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30370dsd.htm"/>
      <w:bookmarkStart w:id="1" w:name="ksd930370dsd"/>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Specialized Disclosure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Magnachip Semiconductor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001-34791</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83-0406195</w:t>
            </w:r>
          </w:p>
        </w:tc>
      </w:tr>
      <w:tr>
        <w:trPr/>
        <w:tc>
          <w:tcPr>
            <w:tcW w:w="3469" w:type="dxa"/>
            <w:tcBorders/>
          </w:tcPr>
          <w:p>
            <w:pPr>
              <w:pStyle w:val="TableContents"/>
              <w:bidi w:val="0"/>
              <w:spacing w:before="0" w:after="283"/>
              <w:jc w:val="center"/>
              <w:rPr>
                <w:b/>
              </w:rPr>
            </w:pPr>
            <w:r>
              <w:rPr>
                <w:b/>
              </w:rPr>
              <w:t>(State or other jurisdiction of</w:t>
              <w:br/>
              <w:t>incorporation or organization)</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(Commission File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c/o Magnachip Semiconductor, Ltd. </w:t>
      </w:r>
    </w:p>
    <w:p>
      <w:pPr>
        <w:pStyle w:val="TextBody"/>
        <w:bidi w:val="0"/>
        <w:spacing w:before="240" w:after="0"/>
        <w:jc w:val="center"/>
        <w:rPr>
          <w:rFonts w:ascii="Times New Roman" w:hAnsi="Times New Roman"/>
          <w:b/>
          <w:sz w:val="20"/>
        </w:rPr>
      </w:pPr>
      <w:r>
        <w:rPr>
          <w:rFonts w:ascii="Times New Roman" w:hAnsi="Times New Roman"/>
          <w:b/>
          <w:sz w:val="20"/>
        </w:rPr>
        <w:t xml:space="preserve">15F, 76 Jikji-daero 436beon-gil, Heungdeok-gu </w:t>
      </w:r>
    </w:p>
    <w:p>
      <w:pPr>
        <w:pStyle w:val="TextBody"/>
        <w:bidi w:val="0"/>
        <w:spacing w:before="0" w:after="0"/>
        <w:jc w:val="center"/>
        <w:rPr>
          <w:rFonts w:ascii="Times New Roman" w:hAnsi="Times New Roman"/>
          <w:b/>
          <w:sz w:val="20"/>
        </w:rPr>
      </w:pPr>
      <w:r>
        <w:rPr>
          <w:rFonts w:ascii="Times New Roman" w:hAnsi="Times New Roman"/>
          <w:b/>
          <w:sz w:val="20"/>
        </w:rPr>
        <w:t xml:space="preserve">Cheongju-si, Chungcheongbuk-do, 28581, Republic of Korea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240" w:after="0"/>
        <w:jc w:val="center"/>
        <w:rPr>
          <w:rFonts w:ascii="Times New Roman" w:hAnsi="Times New Roman"/>
          <w:b/>
          <w:sz w:val="20"/>
        </w:rPr>
      </w:pPr>
      <w:r>
        <w:rPr>
          <w:rFonts w:ascii="Times New Roman" w:hAnsi="Times New Roman"/>
          <w:b/>
          <w:sz w:val="20"/>
        </w:rPr>
        <w:t xml:space="preserve">Theodore S. Kim </w:t>
      </w:r>
    </w:p>
    <w:p>
      <w:pPr>
        <w:pStyle w:val="TextBody"/>
        <w:bidi w:val="0"/>
        <w:spacing w:before="0" w:after="0"/>
        <w:jc w:val="center"/>
        <w:rPr>
          <w:rFonts w:ascii="Times New Roman" w:hAnsi="Times New Roman"/>
          <w:b/>
          <w:sz w:val="20"/>
        </w:rPr>
      </w:pPr>
      <w:r>
        <w:rPr>
          <w:rFonts w:ascii="Times New Roman" w:hAnsi="Times New Roman"/>
          <w:b/>
          <w:sz w:val="20"/>
        </w:rPr>
        <w:t xml:space="preserve">Chief Compliance Officer, Executive Vice President, General Counsel and Secretary </w:t>
      </w:r>
    </w:p>
    <w:p>
      <w:pPr>
        <w:pStyle w:val="TextBody"/>
        <w:bidi w:val="0"/>
        <w:spacing w:before="240" w:after="0"/>
        <w:jc w:val="center"/>
        <w:rPr>
          <w:rFonts w:ascii="Times New Roman" w:hAnsi="Times New Roman"/>
          <w:b/>
          <w:sz w:val="20"/>
        </w:rPr>
      </w:pPr>
      <w:r>
        <w:rPr>
          <w:rFonts w:ascii="Times New Roman" w:hAnsi="Times New Roman"/>
          <w:b/>
          <w:sz w:val="20"/>
        </w:rPr>
        <w:t xml:space="preserve">Telephone: +82-2-6903-3054 </w:t>
      </w:r>
    </w:p>
    <w:p>
      <w:pPr>
        <w:pStyle w:val="TextBody"/>
        <w:bidi w:val="0"/>
        <w:spacing w:before="0" w:after="0"/>
        <w:jc w:val="center"/>
        <w:rPr>
          <w:rFonts w:ascii="Times New Roman" w:hAnsi="Times New Roman"/>
          <w:b/>
          <w:sz w:val="20"/>
        </w:rPr>
      </w:pPr>
      <w:r>
        <w:rPr>
          <w:rFonts w:ascii="Times New Roman" w:hAnsi="Times New Roman"/>
          <w:b/>
          <w:sz w:val="20"/>
        </w:rPr>
        <w:t xml:space="preserve">Fax: +82-2-6903-3019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telephone number, including area code, of person to contact in connection with this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to indicate the rule pursuant to which this form is being filed, and provide the period to which the information in this form applies: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13p-1 under the Securities Exchange Act (17 CFR 240.13p-1) for the reporting period from January 1 to December 31,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13q-1 under the Securities Exchange Act (17 CFR 240.13q-1) for the fiscal year ended _______.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Section 1. Conflict Minerals Disclosure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1.01.</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Conflict Minerals Disclosure and Report.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Conflict Minerals Disclosure </w:t>
      </w:r>
    </w:p>
    <w:p>
      <w:pPr>
        <w:pStyle w:val="TextBody"/>
        <w:bidi w:val="0"/>
        <w:spacing w:before="120" w:after="0"/>
        <w:jc w:val="left"/>
        <w:rPr>
          <w:rFonts w:ascii="Times New Roman" w:hAnsi="Times New Roman"/>
          <w:sz w:val="20"/>
        </w:rPr>
      </w:pPr>
      <w:r>
        <w:rPr>
          <w:rFonts w:ascii="Times New Roman" w:hAnsi="Times New Roman"/>
          <w:sz w:val="20"/>
        </w:rPr>
        <w:t>Magnachip Semiconductor Corporation (including its consolidated subsidiaries, the </w:t>
      </w:r>
      <w:r>
        <w:rPr>
          <w:rFonts w:ascii="Times New Roman" w:hAnsi="Times New Roman"/>
          <w:b/>
          <w:i/>
          <w:sz w:val="20"/>
        </w:rPr>
        <w:t>Company</w:t>
      </w:r>
      <w:r>
        <w:rPr>
          <w:rFonts w:ascii="Times New Roman" w:hAnsi="Times New Roman"/>
          <w:sz w:val="20"/>
        </w:rPr>
        <w:t>) has conducted a good faith reasonable country of origin inquiry (</w:t>
      </w:r>
      <w:r>
        <w:rPr>
          <w:rFonts w:ascii="Times New Roman" w:hAnsi="Times New Roman"/>
          <w:b/>
          <w:i/>
          <w:sz w:val="20"/>
        </w:rPr>
        <w:t>RCOI</w:t>
      </w:r>
      <w:r>
        <w:rPr>
          <w:rFonts w:ascii="Times New Roman" w:hAnsi="Times New Roman"/>
          <w:sz w:val="20"/>
        </w:rPr>
        <w:t xml:space="preserve">) regarding the conflict minerals included in its products for the reporting period from January 1, 2024 to December 31, 2024. The results of the Companys RCOI regarding the conflict minerals included in its products, as well as its additional due diligence regarding the sources of such conflict minerals, are contained in the Companys Conflict Minerals Report, a copy of which is filed as Exhibit 1.01 to this Form SD, and is publicly available at </w:t>
      </w:r>
      <w:r>
        <w:rPr>
          <w:rFonts w:ascii="Times New Roman" w:hAnsi="Times New Roman"/>
          <w:i/>
          <w:sz w:val="20"/>
          <w:u w:val="single"/>
        </w:rPr>
        <w:t>https://www.magnachip.com/about-us/corporate-responsibility/social/supply-chain-management/</w:t>
      </w:r>
      <w:r>
        <w:rPr>
          <w:rFonts w:ascii="Times New Roman" w:hAnsi="Times New Roman"/>
          <w:sz w:val="20"/>
        </w:rPr>
        <w:t xml:space="preserve">. The content on, or accessible through, any website referred to in this Form SD is not incorporated by reference into this Form SD unless expressly noted.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1.02.</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specified in Section 2 of Form SD, the Company is hereby filing its Conflict Minerals Report required by Items 1.01 and 1.02 as Exhibit 1.01 to this Form SD.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2. Exhibits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2.01.</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exhibit is filed as part of this Form SD.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1"/>
        <w:gridCol w:w="425"/>
        <w:gridCol w:w="9009"/>
      </w:tblGrid>
      <w:tr>
        <w:trPr/>
        <w:tc>
          <w:tcPr>
            <w:tcW w:w="771" w:type="dxa"/>
            <w:tcBorders/>
            <w:vAlign w:val="center"/>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9009" w:type="dxa"/>
            <w:tcBorders/>
            <w:vAlign w:val="center"/>
          </w:tcPr>
          <w:p>
            <w:pPr>
              <w:pStyle w:val="TableContents"/>
              <w:bidi w:val="0"/>
              <w:spacing w:before="0" w:after="283"/>
              <w:jc w:val="left"/>
              <w:rPr>
                <w:sz w:val="4"/>
                <w:szCs w:val="4"/>
              </w:rPr>
            </w:pPr>
            <w:r>
              <w:rPr>
                <w:sz w:val="4"/>
                <w:szCs w:val="4"/>
              </w:rPr>
            </w:r>
          </w:p>
        </w:tc>
      </w:tr>
      <w:tr>
        <w:trPr/>
        <w:tc>
          <w:tcPr>
            <w:tcW w:w="771"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No.</w:t>
            </w:r>
          </w:p>
        </w:tc>
        <w:tc>
          <w:tcPr>
            <w:tcW w:w="425" w:type="dxa"/>
            <w:tcBorders/>
            <w:vAlign w:val="bottom"/>
          </w:tcPr>
          <w:p>
            <w:pPr>
              <w:pStyle w:val="TableContents"/>
              <w:bidi w:val="0"/>
              <w:spacing w:before="0" w:after="283"/>
              <w:jc w:val="left"/>
              <w:rPr/>
            </w:pPr>
            <w:r>
              <w:rPr/>
              <w:t>  </w:t>
            </w:r>
          </w:p>
        </w:tc>
        <w:tc>
          <w:tcPr>
            <w:tcW w:w="900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771" w:type="dxa"/>
            <w:tcBorders/>
            <w:vAlign w:val="center"/>
          </w:tcPr>
          <w:p>
            <w:pPr>
              <w:pStyle w:val="TableContents"/>
              <w:bidi w:val="0"/>
              <w:spacing w:before="0" w:after="283"/>
              <w:jc w:val="left"/>
              <w:rPr>
                <w:sz w:val="4"/>
                <w:szCs w:val="4"/>
              </w:rPr>
            </w:pPr>
            <w:r>
              <w:rPr>
                <w:sz w:val="4"/>
                <w:szCs w:val="4"/>
              </w:rPr>
            </w:r>
          </w:p>
        </w:tc>
        <w:tc>
          <w:tcPr>
            <w:tcW w:w="9434" w:type="dxa"/>
            <w:gridSpan w:val="2"/>
            <w:tcBorders/>
            <w:vAlign w:val="center"/>
          </w:tcPr>
          <w:p>
            <w:pPr>
              <w:pStyle w:val="TableContents"/>
              <w:bidi w:val="0"/>
              <w:spacing w:before="0" w:after="283"/>
              <w:jc w:val="left"/>
              <w:rPr>
                <w:sz w:val="4"/>
                <w:szCs w:val="4"/>
              </w:rPr>
            </w:pPr>
            <w:r>
              <w:rPr>
                <w:sz w:val="4"/>
                <w:szCs w:val="4"/>
              </w:rPr>
            </w:r>
          </w:p>
        </w:tc>
      </w:tr>
      <w:tr>
        <w:trPr/>
        <w:tc>
          <w:tcPr>
            <w:tcW w:w="771" w:type="dxa"/>
            <w:tcBorders/>
          </w:tcPr>
          <w:p>
            <w:pPr>
              <w:pStyle w:val="TableContents"/>
              <w:bidi w:val="0"/>
              <w:spacing w:before="0" w:after="283"/>
              <w:jc w:val="left"/>
              <w:rPr/>
            </w:pPr>
            <w:r>
              <w:rPr/>
              <w:t>1.01</w:t>
            </w:r>
          </w:p>
        </w:tc>
        <w:tc>
          <w:tcPr>
            <w:tcW w:w="425" w:type="dxa"/>
            <w:tcBorders/>
            <w:vAlign w:val="bottom"/>
          </w:tcPr>
          <w:p>
            <w:pPr>
              <w:pStyle w:val="TableContents"/>
              <w:bidi w:val="0"/>
              <w:spacing w:before="0" w:after="283"/>
              <w:jc w:val="left"/>
              <w:rPr/>
            </w:pPr>
            <w:r>
              <w:rPr/>
              <w:t>  </w:t>
            </w:r>
          </w:p>
        </w:tc>
        <w:tc>
          <w:tcPr>
            <w:tcW w:w="9009" w:type="dxa"/>
            <w:tcBorders/>
          </w:tcPr>
          <w:p>
            <w:pPr>
              <w:pStyle w:val="TableContents"/>
              <w:bidi w:val="0"/>
              <w:spacing w:before="0" w:after="283"/>
              <w:jc w:val="left"/>
              <w:rPr/>
            </w:pPr>
            <w:hyperlink w:anchor="d930370dex101.htm">
              <w:r>
                <w:rPr>
                  <w:rStyle w:val="InternetLink"/>
                </w:rPr>
                <w:t xml:space="preserve">Conflict Minerals Report of Magnachip Semiconductor Corporation for the reporting period from January 1, 2024 to December 31, 2024.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duly authorized undersigned.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4500"/>
        <w:gridCol w:w="101"/>
        <w:gridCol w:w="409"/>
        <w:gridCol w:w="60"/>
        <w:gridCol w:w="23"/>
        <w:gridCol w:w="101"/>
        <w:gridCol w:w="4604"/>
      </w:tblGrid>
      <w:tr>
        <w:trPr/>
        <w:tc>
          <w:tcPr>
            <w:tcW w:w="30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50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604"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Pr>
          <w:p>
            <w:pPr>
              <w:pStyle w:val="TableContents"/>
              <w:bidi w:val="0"/>
              <w:spacing w:before="0" w:after="283"/>
              <w:jc w:val="left"/>
              <w:rPr>
                <w:b/>
              </w:rPr>
            </w:pPr>
            <w:r>
              <w:rPr>
                <w:b/>
              </w:rPr>
              <w:t>MAGNACHIP SEMICONDUCTOR CORPORATION</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4602" w:type="dxa"/>
            <w:gridSpan w:val="2"/>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705"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50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Theodore S. Kim</w:t>
            </w:r>
          </w:p>
        </w:tc>
        <w:tc>
          <w:tcPr>
            <w:tcW w:w="101"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04"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May 30, 2025</w:t>
            </w:r>
          </w:p>
        </w:tc>
      </w:tr>
      <w:tr>
        <w:trPr/>
        <w:tc>
          <w:tcPr>
            <w:tcW w:w="3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00" w:type="dxa"/>
            <w:tcBorders/>
          </w:tcPr>
          <w:p>
            <w:pPr>
              <w:pStyle w:val="TableContents"/>
              <w:bidi w:val="0"/>
              <w:spacing w:before="0" w:after="283"/>
              <w:jc w:val="left"/>
              <w:rPr/>
            </w:pPr>
            <w:r>
              <w:rPr/>
              <w:t>Theodore S. Kim</w:t>
            </w:r>
          </w:p>
        </w:tc>
        <w:tc>
          <w:tcPr>
            <w:tcW w:w="101"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04" w:type="dxa"/>
            <w:tcBorders/>
          </w:tcPr>
          <w:p>
            <w:pPr>
              <w:pStyle w:val="TableContents"/>
              <w:bidi w:val="0"/>
              <w:spacing w:before="0" w:after="283"/>
              <w:jc w:val="center"/>
              <w:rPr/>
            </w:pPr>
            <w:r>
              <w:rPr/>
              <w:t>(Date)</w:t>
            </w:r>
          </w:p>
        </w:tc>
      </w:tr>
      <w:tr>
        <w:trPr/>
        <w:tc>
          <w:tcPr>
            <w:tcW w:w="3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00" w:type="dxa"/>
            <w:tcBorders/>
          </w:tcPr>
          <w:p>
            <w:pPr>
              <w:pStyle w:val="TableContents"/>
              <w:bidi w:val="0"/>
              <w:spacing w:before="0" w:after="283"/>
              <w:jc w:val="left"/>
              <w:rPr/>
            </w:pPr>
            <w:r>
              <w:rPr/>
              <w:t>Chief Compliance Officer, Executive Vice President, General Counsel and Secretary</w:t>
            </w:r>
          </w:p>
        </w:tc>
        <w:tc>
          <w:tcPr>
            <w:tcW w:w="101" w:type="dxa"/>
            <w:tcBorders/>
            <w:vAlign w:val="bottom"/>
          </w:tcPr>
          <w:p>
            <w:pPr>
              <w:pStyle w:val="TableContents"/>
              <w:bidi w:val="0"/>
              <w:spacing w:before="0" w:after="283"/>
              <w:jc w:val="left"/>
              <w:rPr/>
            </w:pPr>
            <w:r>
              <w:rPr/>
              <w:t> </w:t>
            </w:r>
          </w:p>
        </w:tc>
        <w:tc>
          <w:tcPr>
            <w:tcW w:w="4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0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sz w:val="20"/>
        </w:rPr>
      </w:pPr>
      <w:bookmarkStart w:id="2" w:name="d930370dex101.htm"/>
      <w:bookmarkStart w:id="3" w:name="ksd930370dex101"/>
      <w:bookmarkEnd w:id="2"/>
      <w:bookmarkEnd w:id="3"/>
      <w:r>
        <w:rPr>
          <w:rFonts w:ascii="Times New Roman" w:hAnsi="Times New Roman"/>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Magnachip Semiconductor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Conflict Minerals Report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reporting period from January 1, 2024 to December 31, 2024 </w:t>
      </w:r>
    </w:p>
    <w:p>
      <w:pPr>
        <w:pStyle w:val="TextBody"/>
        <w:bidi w:val="0"/>
        <w:spacing w:before="240" w:after="0"/>
        <w:jc w:val="left"/>
        <w:rPr>
          <w:rFonts w:ascii="Times New Roman" w:hAnsi="Times New Roman"/>
          <w:sz w:val="20"/>
        </w:rPr>
      </w:pPr>
      <w:r>
        <w:rPr>
          <w:rFonts w:ascii="Times New Roman" w:hAnsi="Times New Roman"/>
          <w:sz w:val="20"/>
        </w:rPr>
        <w:t>This Conflict Minerals Report (this </w:t>
      </w:r>
      <w:r>
        <w:rPr>
          <w:rFonts w:ascii="Times New Roman" w:hAnsi="Times New Roman"/>
          <w:b/>
          <w:i/>
          <w:sz w:val="20"/>
        </w:rPr>
        <w:t>Report</w:t>
      </w:r>
      <w:r>
        <w:rPr>
          <w:rFonts w:ascii="Times New Roman" w:hAnsi="Times New Roman"/>
          <w:sz w:val="20"/>
        </w:rPr>
        <w:t>) of Magnachip Semiconductor Corporation (including its consolidated subsidiaries, the </w:t>
      </w:r>
      <w:r>
        <w:rPr>
          <w:rFonts w:ascii="Times New Roman" w:hAnsi="Times New Roman"/>
          <w:b/>
          <w:i/>
          <w:sz w:val="20"/>
        </w:rPr>
        <w:t>Company</w:t>
      </w:r>
      <w:r>
        <w:rPr>
          <w:rFonts w:ascii="Times New Roman" w:hAnsi="Times New Roman"/>
          <w:sz w:val="20"/>
        </w:rPr>
        <w:t>) has been prepared pursuant to Rule 13p-1 and Form SD promulgated under the Securities Exchange Act of 1934 for the reporting period from January 1, 2024 to December 31, 2024 (the </w:t>
      </w:r>
      <w:r>
        <w:rPr>
          <w:rFonts w:ascii="Times New Roman" w:hAnsi="Times New Roman"/>
          <w:b/>
          <w:i/>
          <w:sz w:val="20"/>
        </w:rPr>
        <w:t>Reporting Period</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Forward-looking statements contained in this Report are made based on known events and circumstances at the time of release, and as such, are subject in the future to unforeseen uncertainties and risks. Statements in this Report which express a belief, expectation or intention, as well as those that are not historical fact, are forward-looking statements, including statements related to the Companys compliance efforts and expected actions identified in this Report. These forward-looking statements are subject to various risks, uncertainties and assumptions, including, among other matters, the Companys customers requirements to use certain suppliers, the Companys suppliers responsiveness and cooperation with the Companys due diligence efforts, the Companys ability to implement improvements in its conflict minerals program and the Companys ability to identify and mitigate related risks in its supply chain. If one or more of these or other risks materialize, actual results may vary materially from those expressed. </w:t>
      </w:r>
    </w:p>
    <w:p>
      <w:pPr>
        <w:pStyle w:val="TextBody"/>
        <w:bidi w:val="0"/>
        <w:spacing w:before="240" w:after="0"/>
        <w:jc w:val="left"/>
        <w:rPr>
          <w:rFonts w:ascii="Times New Roman" w:hAnsi="Times New Roman"/>
          <w:sz w:val="20"/>
        </w:rPr>
      </w:pPr>
      <w:r>
        <w:rPr>
          <w:rFonts w:ascii="Times New Roman" w:hAnsi="Times New Roman"/>
          <w:sz w:val="20"/>
        </w:rPr>
        <w:t>Rule 13p-1, through Form SD, requires the disclosure of certain information if a company manufactures or contracts to manufacture products for which certain conflict minerals (as defined below) are necessary to the functionality or production of such products. Form SD defines </w:t>
      </w:r>
      <w:r>
        <w:rPr>
          <w:rFonts w:ascii="Times New Roman" w:hAnsi="Times New Roman"/>
          <w:b/>
          <w:i/>
          <w:sz w:val="20"/>
        </w:rPr>
        <w:t>conflict minerals</w:t>
      </w:r>
      <w:r>
        <w:rPr>
          <w:rFonts w:ascii="Times New Roman" w:hAnsi="Times New Roman"/>
          <w:sz w:val="20"/>
        </w:rPr>
        <w:t> as: (i) columbite-tantalite (or coltan, the metal ore from which tantalum is extracted), cassiterite (the metal ore from which tin is extracted), gold and wolframite (the metal ore from which tungsten is extracted),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Times New Roman" w:hAnsi="Times New Roman"/>
          <w:b/>
          <w:i/>
          <w:sz w:val="20"/>
        </w:rPr>
        <w:t>Covered Countries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operated two lines of business during the Reporting Period: (i) its Mixed-Signal Solutions (</w:t>
      </w:r>
      <w:r>
        <w:rPr>
          <w:rFonts w:ascii="Times New Roman" w:hAnsi="Times New Roman"/>
          <w:b/>
          <w:i/>
          <w:sz w:val="20"/>
        </w:rPr>
        <w:t>MSS</w:t>
      </w:r>
      <w:r>
        <w:rPr>
          <w:rFonts w:ascii="Times New Roman" w:hAnsi="Times New Roman"/>
          <w:sz w:val="20"/>
        </w:rPr>
        <w:t>) business comprised of the Display integrated circuit (</w:t>
      </w:r>
      <w:r>
        <w:rPr>
          <w:rFonts w:ascii="Times New Roman" w:hAnsi="Times New Roman"/>
          <w:b/>
          <w:i/>
          <w:sz w:val="20"/>
        </w:rPr>
        <w:t>IC</w:t>
      </w:r>
      <w:r>
        <w:rPr>
          <w:rFonts w:ascii="Times New Roman" w:hAnsi="Times New Roman"/>
          <w:sz w:val="20"/>
        </w:rPr>
        <w:t>) and Power IC fabless businesses, and (ii) its Power Analog Solutions (</w:t>
      </w:r>
      <w:r>
        <w:rPr>
          <w:rFonts w:ascii="Times New Roman" w:hAnsi="Times New Roman"/>
          <w:b/>
          <w:i/>
          <w:sz w:val="20"/>
        </w:rPr>
        <w:t>PAS</w:t>
      </w:r>
      <w:r>
        <w:rPr>
          <w:rFonts w:ascii="Times New Roman" w:hAnsi="Times New Roman"/>
          <w:sz w:val="20"/>
        </w:rPr>
        <w:t>) business comprised of the Power discrete business which is an integrated device manufacturing (</w:t>
      </w:r>
      <w:r>
        <w:rPr>
          <w:rFonts w:ascii="Times New Roman" w:hAnsi="Times New Roman"/>
          <w:b/>
          <w:i/>
          <w:sz w:val="20"/>
        </w:rPr>
        <w:t>IDM</w:t>
      </w:r>
      <w:r>
        <w:rPr>
          <w:rFonts w:ascii="Times New Roman" w:hAnsi="Times New Roman"/>
          <w:sz w:val="20"/>
        </w:rPr>
        <w:t xml:space="preserve">) business.1 </w:t>
      </w:r>
    </w:p>
    <w:p>
      <w:pPr>
        <w:pStyle w:val="TextBody"/>
        <w:bidi w:val="0"/>
        <w:spacing w:before="240" w:after="0"/>
        <w:jc w:val="left"/>
        <w:rPr>
          <w:rFonts w:ascii="Times New Roman" w:hAnsi="Times New Roman"/>
          <w:sz w:val="20"/>
        </w:rPr>
      </w:pPr>
      <w:r>
        <w:rPr>
          <w:rFonts w:ascii="Times New Roman" w:hAnsi="Times New Roman"/>
          <w:sz w:val="20"/>
        </w:rPr>
        <w:t>The Companys MSS business consists of the Display IC and Power IC businesses. The Companys Display IC products provide flat panel display solutions to major suppliers of large and small flat panel displays. These products include source and gate drivers and timing controllers that cover flat panel displays applied with liquid crystal displays (</w:t>
      </w:r>
      <w:r>
        <w:rPr>
          <w:rFonts w:ascii="Times New Roman" w:hAnsi="Times New Roman"/>
          <w:b/>
          <w:i/>
          <w:sz w:val="20"/>
        </w:rPr>
        <w:t>LCDs</w:t>
      </w:r>
      <w:r>
        <w:rPr>
          <w:rFonts w:ascii="Times New Roman" w:hAnsi="Times New Roman"/>
          <w:sz w:val="20"/>
        </w:rPr>
        <w:t>), organic light emitting diodes (</w:t>
      </w:r>
      <w:r>
        <w:rPr>
          <w:rFonts w:ascii="Times New Roman" w:hAnsi="Times New Roman"/>
          <w:b/>
          <w:i/>
          <w:sz w:val="20"/>
        </w:rPr>
        <w:t>OLEDs</w:t>
      </w:r>
      <w:r>
        <w:rPr>
          <w:rFonts w:ascii="Times New Roman" w:hAnsi="Times New Roman"/>
          <w:sz w:val="20"/>
        </w:rPr>
        <w:t>) or micro light emitting diodes (</w:t>
      </w:r>
      <w:r>
        <w:rPr>
          <w:rFonts w:ascii="Times New Roman" w:hAnsi="Times New Roman"/>
          <w:b/>
          <w:i/>
          <w:sz w:val="20"/>
        </w:rPr>
        <w:t>Micro LEDs</w:t>
      </w:r>
      <w:r>
        <w:rPr>
          <w:rFonts w:ascii="Times New Roman" w:hAnsi="Times New Roman"/>
          <w:sz w:val="20"/>
        </w:rPr>
        <w:t>). Since 2007, the Company has designed and manufactured OLED display driver IC products. The Companys portfolio of OLED solutions addresses various resolutions ranging from High Definition (</w:t>
      </w:r>
      <w:r>
        <w:rPr>
          <w:rFonts w:ascii="Times New Roman" w:hAnsi="Times New Roman"/>
          <w:b/>
          <w:i/>
          <w:sz w:val="20"/>
        </w:rPr>
        <w:t>HD</w:t>
      </w:r>
      <w:r>
        <w:rPr>
          <w:rFonts w:ascii="Times New Roman" w:hAnsi="Times New Roman"/>
          <w:sz w:val="20"/>
        </w:rPr>
        <w:t>) to Ultra High Definition (</w:t>
      </w:r>
      <w:r>
        <w:rPr>
          <w:rFonts w:ascii="Times New Roman" w:hAnsi="Times New Roman"/>
          <w:b/>
          <w:i/>
          <w:sz w:val="20"/>
        </w:rPr>
        <w:t>UHD</w:t>
      </w:r>
      <w:r>
        <w:rPr>
          <w:rFonts w:ascii="Times New Roman" w:hAnsi="Times New Roman"/>
          <w:sz w:val="20"/>
        </w:rPr>
        <w:t>) for a wide range of applications including smartphones, televisions, automotive applications and IT applications such as monitors, notebook personal computers (</w:t>
      </w:r>
      <w:r>
        <w:rPr>
          <w:rFonts w:ascii="Times New Roman" w:hAnsi="Times New Roman"/>
          <w:b/>
          <w:i/>
          <w:sz w:val="20"/>
        </w:rPr>
        <w:t>PCs</w:t>
      </w:r>
      <w:r>
        <w:rPr>
          <w:rFonts w:ascii="Times New Roman" w:hAnsi="Times New Roman"/>
          <w:sz w:val="20"/>
        </w:rPr>
        <w:t>) and tablet PCs, as well as augmented reality and virtual reality devices (</w:t>
      </w:r>
      <w:r>
        <w:rPr>
          <w:rFonts w:ascii="Times New Roman" w:hAnsi="Times New Roman"/>
          <w:b/>
          <w:i/>
          <w:sz w:val="20"/>
        </w:rPr>
        <w:t>AR/VRs</w:t>
      </w:r>
      <w:r>
        <w:rPr>
          <w:rFonts w:ascii="Times New Roman" w:hAnsi="Times New Roman"/>
          <w:sz w:val="20"/>
        </w:rPr>
        <w:t>). The Companys Power IC products provide Power IC solutions to major television suppliers and large panel display suppliers. These products include alternating current to direct current and direct current to direct current (</w:t>
      </w:r>
      <w:r>
        <w:rPr>
          <w:rFonts w:ascii="Times New Roman" w:hAnsi="Times New Roman"/>
          <w:b/>
          <w:i/>
          <w:sz w:val="20"/>
        </w:rPr>
        <w:t>AC-DC/DC-DC</w:t>
      </w:r>
      <w:r>
        <w:rPr>
          <w:rFonts w:ascii="Times New Roman" w:hAnsi="Times New Roman"/>
          <w:sz w:val="20"/>
        </w:rPr>
        <w:t>) converters, LED drivers, regulators, power management integrated circuits (</w:t>
      </w:r>
      <w:r>
        <w:rPr>
          <w:rFonts w:ascii="Times New Roman" w:hAnsi="Times New Roman"/>
          <w:b/>
          <w:i/>
          <w:sz w:val="20"/>
        </w:rPr>
        <w:t>PMICs</w:t>
      </w:r>
      <w:r>
        <w:rPr>
          <w:rFonts w:ascii="Times New Roman" w:hAnsi="Times New Roman"/>
          <w:sz w:val="20"/>
        </w:rPr>
        <w:t xml:space="preserve">) and level shifter for a range of devices, including televisions, wearable devices, notebooks, tablet PCs and others consumer electronics, as well as automotive applications.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March 12, 2025, the Company announced its transition to a pure-play Power company. On April 6, 2025, the Company also announced its plan to shut down its Display business. Currently, the Company develops and manufactures analog and mixed-signal power semiconductor platform solutions.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Companys PAS business produces power management semiconductor products including power discrete solutions for power management in communication, consumer, computing, servers, automotive and industrial applications. These products include metal oxide semiconductor field effect transistors (</w:t>
      </w:r>
      <w:r>
        <w:rPr>
          <w:rFonts w:ascii="Times New Roman" w:hAnsi="Times New Roman"/>
          <w:b/>
          <w:i/>
          <w:sz w:val="20"/>
        </w:rPr>
        <w:t>MOSFETs</w:t>
      </w:r>
      <w:r>
        <w:rPr>
          <w:rFonts w:ascii="Times New Roman" w:hAnsi="Times New Roman"/>
          <w:sz w:val="20"/>
        </w:rPr>
        <w:t>) and insulated-gate bipolar transistors (</w:t>
      </w:r>
      <w:r>
        <w:rPr>
          <w:rFonts w:ascii="Times New Roman" w:hAnsi="Times New Roman"/>
          <w:b/>
          <w:i/>
          <w:sz w:val="20"/>
        </w:rPr>
        <w:t>IGBTs</w:t>
      </w:r>
      <w:r>
        <w:rPr>
          <w:rFonts w:ascii="Times New Roman" w:hAnsi="Times New Roman"/>
          <w:sz w:val="20"/>
        </w:rPr>
        <w:t xml:space="preserve">) for a range of devices including televisions, smartphones, mobile phones, wearable devices, desktop PCs, notebook PCs, tablet PCs, servers and other consumer electronics, as well as automotive and industrial applications such as power suppliers, e-bikes, solar inverters, LED lighting and motor drives. </w:t>
      </w:r>
    </w:p>
    <w:p>
      <w:pPr>
        <w:pStyle w:val="TextBody"/>
        <w:bidi w:val="0"/>
        <w:spacing w:before="240" w:after="0"/>
        <w:jc w:val="left"/>
        <w:rPr>
          <w:rFonts w:ascii="Times New Roman" w:hAnsi="Times New Roman"/>
          <w:sz w:val="20"/>
        </w:rPr>
      </w:pPr>
      <w:r>
        <w:rPr>
          <w:rFonts w:ascii="Times New Roman" w:hAnsi="Times New Roman"/>
          <w:sz w:val="20"/>
        </w:rPr>
        <w:t>The Companys operations during the Reporting Period may have at times manufactured, or contracted to manufacture, products, including the products listed above, for which conflict minerals are necessary to the functionality or production of those products (collectively, the </w:t>
      </w:r>
      <w:r>
        <w:rPr>
          <w:rFonts w:ascii="Times New Roman" w:hAnsi="Times New Roman"/>
          <w:b/>
          <w:i/>
          <w:sz w:val="20"/>
        </w:rPr>
        <w:t>products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As required by Form SD, the Company has conducted a good faith RCOI regarding the conflict minerals included in such products during the Reporting Period (the </w:t>
      </w:r>
      <w:r>
        <w:rPr>
          <w:rFonts w:ascii="Times New Roman" w:hAnsi="Times New Roman"/>
          <w:b/>
          <w:i/>
          <w:sz w:val="20"/>
        </w:rPr>
        <w:t>Subject Minerals</w:t>
      </w:r>
      <w:r>
        <w:rPr>
          <w:rFonts w:ascii="Times New Roman" w:hAnsi="Times New Roman"/>
          <w:sz w:val="20"/>
        </w:rPr>
        <w:t xml:space="preserve">) to determine whether any such Subject Minerals originated in the 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the Companys additional due diligence regarding the sources of such Subject Minerals, are contained in this Report, which is publicly available at </w:t>
      </w:r>
      <w:r>
        <w:rPr>
          <w:rFonts w:ascii="Times New Roman" w:hAnsi="Times New Roman"/>
          <w:i/>
          <w:sz w:val="20"/>
          <w:u w:val="single"/>
        </w:rPr>
        <w:t>https://www.magnachip.com/about-us/corporate-responsibility/social/supply-chain-management/</w:t>
      </w:r>
      <w:r>
        <w:rPr>
          <w:rFonts w:ascii="Times New Roman" w:hAnsi="Times New Roman"/>
          <w:sz w:val="20"/>
        </w:rPr>
        <w:t xml:space="preserve">. The content on, or accessible through, any website referred to in this Report is not incorporated by reference into this Report unless expressly noted.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RCOI and Due Diligence Process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The Company has conducted a good faith RCOI regarding the Subject Minerals. This good faith RCOI was reasonably designed to determine whether any of the Subject Minerals originated in the Covered Countries and whether any of the Subject Minerals may be from recycled or scrap sources, in accordance with Form SD and related guidance provided by the Securities and Exchange Commission (the </w:t>
      </w:r>
      <w:r>
        <w:rPr>
          <w:rFonts w:ascii="Times New Roman" w:hAnsi="Times New Roman"/>
          <w:b/>
          <w:i/>
          <w:sz w:val="20"/>
        </w:rPr>
        <w:t>SEC</w:t>
      </w:r>
      <w:r>
        <w:rPr>
          <w:rFonts w:ascii="Times New Roman" w:hAnsi="Times New Roman"/>
          <w:sz w:val="20"/>
        </w:rPr>
        <w:t>). The Company also exercised due diligence on the source of the Subject Minerals. The Companys due diligence measures have been designed to follow the framework in the Organization for Economic Co-operation and Development Due Diligence Guidance for Responsible Supply Chains of Minerals from Conflict-Affected and High Risk Areas, including the related supplements on gold, tin, tantalum and tungsten (the </w:t>
      </w:r>
      <w:r>
        <w:rPr>
          <w:rFonts w:ascii="Times New Roman" w:hAnsi="Times New Roman"/>
          <w:b/>
          <w:i/>
          <w:sz w:val="20"/>
        </w:rPr>
        <w:t>OECD Guidelines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RCOI </w:t>
      </w:r>
    </w:p>
    <w:p>
      <w:pPr>
        <w:pStyle w:val="TextBody"/>
        <w:bidi w:val="0"/>
        <w:spacing w:before="120" w:after="0"/>
        <w:jc w:val="left"/>
        <w:rPr>
          <w:rFonts w:ascii="Times New Roman" w:hAnsi="Times New Roman"/>
          <w:sz w:val="20"/>
        </w:rPr>
      </w:pPr>
      <w:r>
        <w:rPr>
          <w:rFonts w:ascii="Times New Roman" w:hAnsi="Times New Roman"/>
          <w:sz w:val="20"/>
        </w:rPr>
        <w:t xml:space="preserve">The Companys global supply chain is complex. In the course of its business operations, the Company may purchase materials and components containing conflict minerals. These materials and components may, in turn, be included in the Companys products or products manufactured by the Company. Because the Company does not purchase conflict minerals directly from mines, smelters or refiners, there are many third parties in the supply chain between the Company and the original sources of conflict minerals. As a result, the Company relies on its suppliers and outsourcing manufacturers to provide information regarding the origin of any conflict minerals that are included in its products. In accordance with the OECD Guidelines and related guidance provided by the SEC, the Company worked with its suppliers and outsourcing manufacturers to identify, where possible, the smelters and countries of origin of the Subject Minerals. </w:t>
      </w:r>
    </w:p>
    <w:p>
      <w:pPr>
        <w:pStyle w:val="TextBody"/>
        <w:bidi w:val="0"/>
        <w:spacing w:before="240" w:after="0"/>
        <w:jc w:val="left"/>
        <w:rPr>
          <w:rFonts w:ascii="Times New Roman" w:hAnsi="Times New Roman"/>
          <w:sz w:val="20"/>
        </w:rPr>
      </w:pPr>
      <w:r>
        <w:rPr>
          <w:rFonts w:ascii="Times New Roman" w:hAnsi="Times New Roman"/>
          <w:sz w:val="20"/>
        </w:rPr>
        <w:t>During the Reporting Period, the Company worked to identify its Tier 1 suppliers and outsourcing manufacturers that it believed could potentially provide materials or components containing Subject Minerals (collectively, the </w:t>
      </w:r>
      <w:r>
        <w:rPr>
          <w:rFonts w:ascii="Times New Roman" w:hAnsi="Times New Roman"/>
          <w:b/>
          <w:i/>
          <w:sz w:val="20"/>
        </w:rPr>
        <w:t>Covered Suppliers</w:t>
      </w:r>
      <w:r>
        <w:rPr>
          <w:rFonts w:ascii="Times New Roman" w:hAnsi="Times New Roman"/>
          <w:sz w:val="20"/>
        </w:rPr>
        <w:t>) as part of its RCOI. The Company focused on its suppliers providing materials or components for products that the Company identified as containing Subject Minerals and all of its outsourcing manufacturers. During the Reporting Period, the Company asked the Covered Suppliers to complete and return the Conflict Minerals Reporting Template (</w:t>
      </w:r>
      <w:r>
        <w:rPr>
          <w:rFonts w:ascii="Times New Roman" w:hAnsi="Times New Roman"/>
          <w:b/>
          <w:i/>
          <w:sz w:val="20"/>
        </w:rPr>
        <w:t>CMRT</w:t>
      </w:r>
      <w:r>
        <w:rPr>
          <w:rFonts w:ascii="Times New Roman" w:hAnsi="Times New Roman"/>
          <w:sz w:val="20"/>
        </w:rPr>
        <w:t>) that was developed by the Responsible Minerals Initiative (formerly the Conflict-Free Sourcing Initiative) (the </w:t>
      </w:r>
      <w:r>
        <w:rPr>
          <w:rFonts w:ascii="Times New Roman" w:hAnsi="Times New Roman"/>
          <w:b/>
          <w:i/>
          <w:sz w:val="20"/>
        </w:rPr>
        <w:t>RMI</w:t>
      </w:r>
      <w:r>
        <w:rPr>
          <w:rFonts w:ascii="Times New Roman" w:hAnsi="Times New Roman"/>
          <w:sz w:val="20"/>
        </w:rPr>
        <w:t>). The RMI was founded by the Responsible Business Alliance (</w:t>
      </w:r>
      <w:r>
        <w:rPr>
          <w:rFonts w:ascii="Times New Roman" w:hAnsi="Times New Roman"/>
          <w:b/>
          <w:i/>
          <w:sz w:val="20"/>
        </w:rPr>
        <w:t>RBA</w:t>
      </w:r>
      <w:r>
        <w:rPr>
          <w:rFonts w:ascii="Times New Roman" w:hAnsi="Times New Roman"/>
          <w:sz w:val="20"/>
        </w:rPr>
        <w:t>) (formerly the Electronic Industry Citizenship Coalition) and the Global e-Sustainability Initiative (</w:t>
      </w:r>
      <w:r>
        <w:rPr>
          <w:rFonts w:ascii="Times New Roman" w:hAnsi="Times New Roman"/>
          <w:b/>
          <w:i/>
          <w:sz w:val="20"/>
        </w:rPr>
        <w:t>GeSI</w:t>
      </w:r>
      <w:r>
        <w:rPr>
          <w:rFonts w:ascii="Times New Roman" w:hAnsi="Times New Roman"/>
          <w:sz w:val="20"/>
        </w:rPr>
        <w:t>) and has grown into a multi-industry initiative addressing conflict mineral issues in the supply chain. The CMRT is a widely-used standard form to collect information through the supply chain, including the names of smelters and refiners of conflict minerals. The RMIs Responsible Minerals Assurance Process (formerly the Conflict-Free Smelter Program) (the </w:t>
      </w:r>
      <w:r>
        <w:rPr>
          <w:rFonts w:ascii="Times New Roman" w:hAnsi="Times New Roman"/>
          <w:b/>
          <w:i/>
          <w:sz w:val="20"/>
        </w:rPr>
        <w:t>RMAP</w:t>
      </w:r>
      <w:r>
        <w:rPr>
          <w:rFonts w:ascii="Times New Roman" w:hAnsi="Times New Roman"/>
          <w:sz w:val="20"/>
        </w:rPr>
        <w:t xml:space="preserve">) sponsors independent third-party audits of smelters and refiners of conflict minerals which determine the country of origin of minerals processed through those smelters and refiners.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Using a risk-based approach, the Company evaluated responses from the Covered Suppliers for plausibility, consistency, and gaps both in terms of which materials or components were stated to contain or not contain Subject Minerals, as well as the origin of those Subject Minerals. </w:t>
      </w:r>
    </w:p>
    <w:p>
      <w:pPr>
        <w:pStyle w:val="TextBody"/>
        <w:bidi w:val="0"/>
        <w:spacing w:before="240" w:after="0"/>
        <w:jc w:val="left"/>
        <w:rPr>
          <w:rFonts w:ascii="Times New Roman" w:hAnsi="Times New Roman"/>
          <w:sz w:val="20"/>
        </w:rPr>
      </w:pPr>
      <w:r>
        <w:rPr>
          <w:rFonts w:ascii="Times New Roman" w:hAnsi="Times New Roman"/>
          <w:sz w:val="20"/>
        </w:rPr>
        <w:t>The Company obtained representations from all of its Covered Suppliers, including completed CMRTs indicating the facilities at which the Subject Minerals were processed. Based on the information obtained pursuant to the RCOI process described above, however, the Company does not have sufficient information with respect to the Reporting Period to determine with specificity the country of origin of the Subject Minerals contained in the products. The Companys RCOI procedures are an evolving process. See </w:t>
      </w:r>
      <w:r>
        <w:rPr>
          <w:rFonts w:ascii="Times New Roman" w:hAnsi="Times New Roman"/>
          <w:i/>
          <w:sz w:val="20"/>
        </w:rPr>
        <w:t>Additional Due Diligence and Risk Mitigation</w:t>
      </w:r>
      <w:r>
        <w:rPr>
          <w:rFonts w:ascii="Times New Roman" w:hAnsi="Times New Roman"/>
          <w:sz w:val="20"/>
        </w:rPr>
        <w:t xml:space="preserve"> below for additional detail. </w:t>
      </w:r>
    </w:p>
    <w:p>
      <w:pPr>
        <w:pStyle w:val="TextBody"/>
        <w:bidi w:val="0"/>
        <w:spacing w:before="360" w:after="0"/>
        <w:jc w:val="left"/>
        <w:rPr>
          <w:rFonts w:ascii="Times New Roman" w:hAnsi="Times New Roman"/>
          <w:b/>
          <w:sz w:val="20"/>
        </w:rPr>
      </w:pPr>
      <w:r>
        <w:rPr>
          <w:rFonts w:ascii="Times New Roman" w:hAnsi="Times New Roman"/>
          <w:b/>
          <w:sz w:val="20"/>
        </w:rPr>
        <w:t xml:space="preserve">Due Diligence </w:t>
      </w:r>
    </w:p>
    <w:p>
      <w:pPr>
        <w:pStyle w:val="TextBody"/>
        <w:bidi w:val="0"/>
        <w:spacing w:before="120" w:after="0"/>
        <w:jc w:val="left"/>
        <w:rPr>
          <w:rFonts w:ascii="Times New Roman" w:hAnsi="Times New Roman"/>
          <w:sz w:val="20"/>
        </w:rPr>
      </w:pPr>
      <w:r>
        <w:rPr>
          <w:rFonts w:ascii="Times New Roman" w:hAnsi="Times New Roman"/>
          <w:sz w:val="20"/>
        </w:rPr>
        <w:t xml:space="preserve">The Companys due diligence process is designed to follow the OECD Guidelines. Due diligence measures undertaken by the Company during the Reporting Period included the following: </w:t>
      </w:r>
    </w:p>
    <w:p>
      <w:pPr>
        <w:pStyle w:val="TextBody"/>
        <w:bidi w:val="0"/>
        <w:spacing w:before="240" w:after="0"/>
        <w:jc w:val="left"/>
        <w:rPr>
          <w:rFonts w:ascii="Times New Roman" w:hAnsi="Times New Roman"/>
          <w:b/>
          <w:sz w:val="20"/>
        </w:rPr>
      </w:pPr>
      <w:r>
        <w:rPr>
          <w:rFonts w:ascii="Times New Roman" w:hAnsi="Times New Roman"/>
          <w:b/>
          <w:sz w:val="20"/>
        </w:rPr>
        <w:t xml:space="preserve">Establish Strong Company Management Systems </w:t>
      </w:r>
    </w:p>
    <w:p>
      <w:pPr>
        <w:pStyle w:val="TextBody"/>
        <w:bidi w:val="0"/>
        <w:spacing w:before="120" w:after="0"/>
        <w:jc w:val="left"/>
        <w:rPr>
          <w:rFonts w:ascii="Times New Roman" w:hAnsi="Times New Roman"/>
          <w:i/>
          <w:sz w:val="20"/>
        </w:rPr>
      </w:pPr>
      <w:r>
        <w:rPr>
          <w:rFonts w:ascii="Times New Roman" w:hAnsi="Times New Roman"/>
          <w:i/>
          <w:sz w:val="20"/>
        </w:rPr>
        <w:t xml:space="preserve">Internal Team to Support Supply Chain Due Diligence. </w:t>
      </w:r>
    </w:p>
    <w:p>
      <w:pPr>
        <w:pStyle w:val="TextBody"/>
        <w:bidi w:val="0"/>
        <w:spacing w:before="120" w:after="0"/>
        <w:jc w:val="left"/>
        <w:rPr>
          <w:rFonts w:ascii="Times New Roman" w:hAnsi="Times New Roman"/>
          <w:sz w:val="20"/>
        </w:rPr>
      </w:pPr>
      <w:r>
        <w:rPr>
          <w:rFonts w:ascii="Times New Roman" w:hAnsi="Times New Roman"/>
          <w:sz w:val="20"/>
        </w:rPr>
        <w:t xml:space="preserve">The Companys purchasing and legal teams collaborate to manage supply chain due diligence related to conflict minerals. While the Company does not maintain a dedicated internal team for this purpose, relevant personnel from these departments support compliance efforts with applicable regulations, including the SECs conflict minerals reporting requirements. Their support includes providing internal guidance and facilitating communication with suppliers, as appropriate, to ensure compliance with such reporting requirements. </w:t>
      </w:r>
    </w:p>
    <w:p>
      <w:pPr>
        <w:pStyle w:val="TextBody"/>
        <w:bidi w:val="0"/>
        <w:spacing w:before="240" w:after="0"/>
        <w:jc w:val="left"/>
        <w:rPr>
          <w:rFonts w:ascii="Times New Roman" w:hAnsi="Times New Roman"/>
          <w:i/>
          <w:sz w:val="20"/>
        </w:rPr>
      </w:pPr>
      <w:r>
        <w:rPr>
          <w:rFonts w:ascii="Times New Roman" w:hAnsi="Times New Roman"/>
          <w:i/>
          <w:sz w:val="20"/>
        </w:rPr>
        <w:t xml:space="preserve">Internal Policy Developed to Establish Expectations of Suppliers.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adopted and published a position statement establishing the expectations of its suppliers and outsourcing manufacturers to responsibly source products on a conflict-free basis. The position statement can be found on the Companys website at </w:t>
      </w:r>
      <w:r>
        <w:rPr>
          <w:rFonts w:ascii="Times New Roman" w:hAnsi="Times New Roman"/>
          <w:i/>
          <w:sz w:val="20"/>
          <w:u w:val="single"/>
        </w:rPr>
        <w:t>https://www.magnachip.com/about-us/corporate-responsibility/ethics-compliance/</w:t>
      </w:r>
      <w:r>
        <w:rPr>
          <w:rFonts w:ascii="Times New Roman" w:hAnsi="Times New Roman"/>
          <w:sz w:val="20"/>
        </w:rPr>
        <w:t>. The Companys position statement will be periodically reviewed and updated as needed. The Companys internal conflict minerals team also continually evaluates its supply agreements and purchasing procedures to determine whether additional contractual or other means of implementing the Companys policy should be adopted as described below under </w:t>
      </w:r>
      <w:r>
        <w:rPr>
          <w:rFonts w:ascii="Times New Roman" w:hAnsi="Times New Roman"/>
          <w:i/>
          <w:sz w:val="20"/>
        </w:rPr>
        <w:t>Additional Due Diligence and Risk Mitigation</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Identify and Assess Risks in the Supply Chain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continues to assess its supply chain risks and work with its suppliers and outsourcing manufacturers in developing greater supply chain transparency. </w:t>
      </w:r>
    </w:p>
    <w:p>
      <w:pPr>
        <w:pStyle w:val="TextBody"/>
        <w:bidi w:val="0"/>
        <w:spacing w:before="360" w:after="0"/>
        <w:jc w:val="left"/>
        <w:rPr>
          <w:rFonts w:ascii="Times New Roman" w:hAnsi="Times New Roman"/>
          <w:b/>
          <w:i/>
          <w:sz w:val="20"/>
        </w:rPr>
      </w:pPr>
      <w:r>
        <w:rPr>
          <w:rFonts w:ascii="Times New Roman" w:hAnsi="Times New Roman"/>
          <w:b/>
          <w:i/>
          <w:sz w:val="20"/>
        </w:rPr>
        <w:t xml:space="preserve">Design and Implement a Strategy to Respond to Identified Risks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committed to maintaining high standards of corporate responsibility through its compliance with Form SD. As required by Form SD, the Company is disclosing the results of its RCOI and additional due diligence measures in this Report. The Companys personnel responsible for conflict minerals compliance, including engagement with suppliers and outsourcing manufacturers, also address any significant due diligence findings as they occur. </w:t>
      </w:r>
    </w:p>
    <w:p>
      <w:pPr>
        <w:pStyle w:val="TextBody"/>
        <w:bidi w:val="0"/>
        <w:spacing w:before="360" w:after="0"/>
        <w:jc w:val="left"/>
        <w:rPr>
          <w:rFonts w:ascii="Times New Roman" w:hAnsi="Times New Roman"/>
          <w:b/>
          <w:i/>
          <w:sz w:val="20"/>
        </w:rPr>
      </w:pPr>
      <w:r>
        <w:rPr>
          <w:rFonts w:ascii="Times New Roman" w:hAnsi="Times New Roman"/>
          <w:b/>
          <w:i/>
          <w:sz w:val="20"/>
        </w:rPr>
        <w:t xml:space="preserve">Carry Out Independent Third-Party Audit of Smelters / Refiners Due Diligence Practices </w:t>
      </w:r>
    </w:p>
    <w:p>
      <w:pPr>
        <w:pStyle w:val="TextBody"/>
        <w:bidi w:val="0"/>
        <w:spacing w:before="120" w:after="0"/>
        <w:jc w:val="left"/>
        <w:rPr>
          <w:rFonts w:ascii="Times New Roman" w:hAnsi="Times New Roman"/>
          <w:sz w:val="20"/>
        </w:rPr>
      </w:pPr>
      <w:r>
        <w:rPr>
          <w:rFonts w:ascii="Times New Roman" w:hAnsi="Times New Roman"/>
          <w:sz w:val="20"/>
        </w:rPr>
        <w:t>Where possible, the Company has relied on third party assurances and certifications. For example, the Company accepts as reliable any smelter that is a member of the RMAP (referred to collectively as </w:t>
      </w:r>
      <w:r>
        <w:rPr>
          <w:rFonts w:ascii="Times New Roman" w:hAnsi="Times New Roman"/>
          <w:b/>
          <w:i/>
          <w:sz w:val="20"/>
        </w:rPr>
        <w:t>Members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Report Annually on Supply Chain Due Diligence </w:t>
      </w:r>
    </w:p>
    <w:p>
      <w:pPr>
        <w:pStyle w:val="TextBody"/>
        <w:bidi w:val="0"/>
        <w:spacing w:before="120" w:after="0"/>
        <w:jc w:val="left"/>
        <w:rPr>
          <w:rFonts w:ascii="Times New Roman" w:hAnsi="Times New Roman"/>
          <w:sz w:val="20"/>
        </w:rPr>
      </w:pPr>
      <w:r>
        <w:rPr>
          <w:rFonts w:ascii="Times New Roman" w:hAnsi="Times New Roman"/>
          <w:sz w:val="20"/>
        </w:rPr>
        <w:t xml:space="preserve">This Report is publicly available at </w:t>
      </w:r>
      <w:r>
        <w:rPr>
          <w:rFonts w:ascii="Times New Roman" w:hAnsi="Times New Roman"/>
          <w:i/>
          <w:sz w:val="20"/>
        </w:rPr>
        <w:t>https://www.magnachip.com/about-us/corporate-responsibility/social/supply-chain-management/</w:t>
      </w:r>
      <w:r>
        <w:rPr>
          <w:rFonts w:ascii="Times New Roman" w:hAnsi="Times New Roman"/>
          <w:sz w:val="20"/>
        </w:rPr>
        <w:t xml:space="preserve"> and meets the OECD recommendation to report annually on supply chain due diligence.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Due Diligence Results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Based solely on the information obtained pursuant to its RCOI and due diligence process described above, including review of CMRTs completed by the Covered Suppliers in 2024, the Companys Covered Suppliers reported that all of them solely used Members for the Companys products. However, the Company does not have sufficient information, with respect to the Reporting Period, to determine the known country of origin of the Subject Minerals because certain of the Covered Suppliers did not provide country of origin information for several smelters and refiners that those Covered Suppliers identified as being Members. Therefore, the Company is not able to determine that the Subject Minerals in the Companys products came from recycled or scrap sources or did not come from the Covered Countries. </w:t>
      </w:r>
    </w:p>
    <w:p>
      <w:pPr>
        <w:pStyle w:val="TextBody"/>
        <w:bidi w:val="0"/>
        <w:spacing w:before="240" w:after="0"/>
        <w:jc w:val="left"/>
        <w:rPr>
          <w:rFonts w:ascii="Times New Roman" w:hAnsi="Times New Roman"/>
          <w:sz w:val="20"/>
        </w:rPr>
      </w:pPr>
      <w:r>
        <w:rPr>
          <w:rFonts w:ascii="Times New Roman" w:hAnsi="Times New Roman"/>
          <w:sz w:val="20"/>
        </w:rPr>
        <w:t>Any Covered Suppliers failure to identify a specific facility/smelter and/or country of origin with respect to the Companys products at any point in its supply chain will drive an equivalent response for the Company and, therefore, the Company is unable to report a complete list of facilities/smelters and/or countries of origin for the Subject Minerals at this time. The Company has, however, included in this Report a list of facilities that may have been used to process the Subject Minerals in the Companys products as reported by the Covered Suppliers in their completed CMRTs, as noted in </w:t>
      </w:r>
      <w:r>
        <w:rPr>
          <w:rFonts w:ascii="Times New Roman" w:hAnsi="Times New Roman"/>
          <w:i/>
          <w:sz w:val="20"/>
        </w:rPr>
        <w:t>Facilities Used to Process Subject Minerals and Country of Origin</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The Company expects to continue to implement and refine its conflict minerals program to improve its supply chain transparency by seeking more accurate and more complete information from its suppliers and outsourcing manufacturers. See </w:t>
      </w:r>
      <w:r>
        <w:rPr>
          <w:rFonts w:ascii="Times New Roman" w:hAnsi="Times New Roman"/>
          <w:i/>
          <w:sz w:val="20"/>
        </w:rPr>
        <w:t>Additional Due Diligence and Risk Mitigation</w:t>
      </w:r>
      <w:r>
        <w:rPr>
          <w:rFonts w:ascii="Times New Roman" w:hAnsi="Times New Roman"/>
          <w:sz w:val="20"/>
        </w:rPr>
        <w:t xml:space="preserve"> below for additional details.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Additional Due Diligence and Risk Mitigation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expects to take the following steps, among others, to improve its RCOI process and due diligence measures: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Terms and Conditions / Supplier Code of Conduct </w:t>
      </w:r>
    </w:p>
    <w:p>
      <w:pPr>
        <w:pStyle w:val="TextBody"/>
        <w:bidi w:val="0"/>
        <w:spacing w:before="120" w:after="0"/>
        <w:jc w:val="left"/>
        <w:rPr>
          <w:rFonts w:ascii="Times New Roman" w:hAnsi="Times New Roman"/>
          <w:sz w:val="20"/>
        </w:rPr>
      </w:pPr>
      <w:r>
        <w:rPr>
          <w:rFonts w:ascii="Times New Roman" w:hAnsi="Times New Roman"/>
          <w:sz w:val="20"/>
        </w:rPr>
        <w:t xml:space="preserve">Within the Companys supplier relationships, the Company seeks to manage its sourcing processes ethically and hold the Company, its suppliers, and its outsourcing manufacturers to a high standard of conduct. This means that the Company works with its suppliers and outsourcing manufacturers to promote responsible practices throughout its supply network. The Company continually works to strengthen its commitment to the responsible sourcing of conflict minerals by using the Companys purchasing power and relationships to influence its suppliers and outsourcing manufacturers, and evaluating the use of specific terms and conditions in certain supply agreements and purchase orders. For example, the Company includes in its purchase order form a request that the supplier declare that all products supplied to the Company do not contain Subject Minerals that originate from the Covered Countries and that the supplier does not use smelters that have not been validated to be conflict free. The Company also requires certifications from its suppliers and outsourcing manufacturers that such suppliers and manufacturers will adhere to the Companys conflict minerals policy and assist in its reporting requirements. The Company expects to continue to refine, develop and implement specific terms, conditions and expectations with its suppliers and outsourcing manufacturers that require, among other matters, that no materials or components supplied or manufactured on behalf of the Company contain any conflict minerals that directly or indirectly finance any armed group that has been identified as a perpetrator of human rights abuses.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Continuous Improvement of Supply Chain Due Diligence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continually seeks to improve its supply chain due diligence efforts. Such measures may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assessing the presence of conflict minerals in its supply chain;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clearly communicating expectations with regard to transparency of supplier sourcing of conflict minerals;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the detail and transparency of responses received in its RCOI and due diligence process, including by continuing to request that suppliers provide CMRTs twice a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continuing to compare RCOI and due diligence results to information collected via independent conflict free smelter validation programs such as the RMAP;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contacting suppliers and outsourcing manufacturers regarding smelters identified as a result of its RCOI and due diligence process and request their participation in obtaining a conflict free designation from an industry program such as the RMAP.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Facilities Used to Process Subject Minerals and Country of Origin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Based on the information obtained pursuant to its RCOI and due diligence process described above, the Company does not have sufficient information with respect to the Reporting Period to determine the known country of origin of the Subject Minerals, or whether the Subject Minerals in its products are from recycled or scrap sources for the reasons described above under </w:t>
      </w:r>
      <w:r>
        <w:rPr>
          <w:rFonts w:ascii="Times New Roman" w:hAnsi="Times New Roman"/>
          <w:i/>
          <w:sz w:val="20"/>
        </w:rPr>
        <w:t>Due Diligence Results</w:t>
      </w:r>
      <w:r>
        <w:rPr>
          <w:rFonts w:ascii="Times New Roman" w:hAnsi="Times New Roman"/>
          <w:sz w:val="20"/>
        </w:rPr>
        <w:t xml:space="preserve">. Based on the information provided by the Covered Suppliers in their completed CMRTs, however, the Company believes that facilities that may have been used to process the Subject Minerals in the Companys products during the Reporting Period include the following smelters and refiners.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65"/>
        <w:gridCol w:w="120"/>
        <w:gridCol w:w="6009"/>
        <w:gridCol w:w="106"/>
        <w:gridCol w:w="2305"/>
      </w:tblGrid>
      <w:tr>
        <w:trPr/>
        <w:tc>
          <w:tcPr>
            <w:tcW w:w="16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09"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r>
      <w:tr>
        <w:trPr/>
        <w:tc>
          <w:tcPr>
            <w:tcW w:w="166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Subject Mineral</w:t>
            </w:r>
          </w:p>
        </w:tc>
        <w:tc>
          <w:tcPr>
            <w:tcW w:w="120" w:type="dxa"/>
            <w:tcBorders/>
            <w:vAlign w:val="bottom"/>
          </w:tcPr>
          <w:p>
            <w:pPr>
              <w:pStyle w:val="TableContents"/>
              <w:bidi w:val="0"/>
              <w:spacing w:before="0" w:after="283"/>
              <w:jc w:val="left"/>
              <w:rPr/>
            </w:pPr>
            <w:r>
              <w:rPr/>
              <w:t>  </w:t>
            </w:r>
          </w:p>
        </w:tc>
        <w:tc>
          <w:tcPr>
            <w:tcW w:w="600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Smelter or Refiner Name</w:t>
            </w:r>
          </w:p>
        </w:tc>
        <w:tc>
          <w:tcPr>
            <w:tcW w:w="106" w:type="dxa"/>
            <w:tcBorders/>
            <w:vAlign w:val="bottom"/>
          </w:tcPr>
          <w:p>
            <w:pPr>
              <w:pStyle w:val="TableContents"/>
              <w:bidi w:val="0"/>
              <w:spacing w:before="0" w:after="283"/>
              <w:jc w:val="left"/>
              <w:rPr/>
            </w:pPr>
            <w:r>
              <w:rPr/>
              <w:t> </w:t>
            </w:r>
          </w:p>
        </w:tc>
        <w:tc>
          <w:tcPr>
            <w:tcW w:w="230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Country Location of</w:t>
            </w:r>
          </w:p>
          <w:p>
            <w:pPr>
              <w:pStyle w:val="TableContents"/>
              <w:bidi w:val="0"/>
              <w:spacing w:before="0" w:after="20"/>
              <w:jc w:val="center"/>
              <w:rPr>
                <w:rFonts w:ascii="Times New Roman" w:hAnsi="Times New Roman"/>
                <w:b/>
                <w:sz w:val="16"/>
              </w:rPr>
            </w:pPr>
            <w:r>
              <w:rPr>
                <w:rFonts w:ascii="Times New Roman" w:hAnsi="Times New Roman"/>
                <w:b/>
                <w:sz w:val="16"/>
              </w:rPr>
              <w:t>Smelter or Refiner</w:t>
            </w:r>
          </w:p>
        </w:tc>
      </w:tr>
      <w:tr>
        <w:trPr/>
        <w:tc>
          <w:tcPr>
            <w:tcW w:w="1665"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09" w:type="dxa"/>
            <w:tcBorders/>
            <w:vAlign w:val="bottom"/>
          </w:tcPr>
          <w:p>
            <w:pPr>
              <w:pStyle w:val="TableContents"/>
              <w:bidi w:val="0"/>
              <w:spacing w:before="0" w:after="283"/>
              <w:jc w:val="left"/>
              <w:rPr/>
            </w:pPr>
            <w:r>
              <w:rPr/>
              <w:t>Aida Chemical Industries Co., Ltd.</w:t>
            </w:r>
          </w:p>
        </w:tc>
        <w:tc>
          <w:tcPr>
            <w:tcW w:w="106" w:type="dxa"/>
            <w:tcBorders/>
            <w:vAlign w:val="bottom"/>
          </w:tcPr>
          <w:p>
            <w:pPr>
              <w:pStyle w:val="TableContents"/>
              <w:bidi w:val="0"/>
              <w:spacing w:before="0" w:after="283"/>
              <w:jc w:val="left"/>
              <w:rPr/>
            </w:pPr>
            <w:r>
              <w:rPr/>
              <w:t> </w:t>
            </w:r>
          </w:p>
        </w:tc>
        <w:tc>
          <w:tcPr>
            <w:tcW w:w="2305" w:type="dxa"/>
            <w:tcBorders/>
            <w:vAlign w:val="bottom"/>
          </w:tcPr>
          <w:p>
            <w:pPr>
              <w:pStyle w:val="TableContents"/>
              <w:bidi w:val="0"/>
              <w:spacing w:before="0" w:after="283"/>
              <w:jc w:val="left"/>
              <w:rPr/>
            </w:pPr>
            <w:r>
              <w:rPr/>
              <w:t>Japan</w:t>
            </w:r>
          </w:p>
        </w:tc>
      </w:tr>
      <w:tr>
        <w:trPr/>
        <w:tc>
          <w:tcPr>
            <w:tcW w:w="1665"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09" w:type="dxa"/>
            <w:tcBorders/>
            <w:vAlign w:val="bottom"/>
          </w:tcPr>
          <w:p>
            <w:pPr>
              <w:pStyle w:val="TableContents"/>
              <w:bidi w:val="0"/>
              <w:spacing w:before="0" w:after="283"/>
              <w:jc w:val="left"/>
              <w:rPr/>
            </w:pPr>
            <w:r>
              <w:rPr/>
              <w:t>Agosi AG</w:t>
            </w:r>
          </w:p>
        </w:tc>
        <w:tc>
          <w:tcPr>
            <w:tcW w:w="106" w:type="dxa"/>
            <w:tcBorders/>
            <w:vAlign w:val="bottom"/>
          </w:tcPr>
          <w:p>
            <w:pPr>
              <w:pStyle w:val="TableContents"/>
              <w:bidi w:val="0"/>
              <w:spacing w:before="0" w:after="283"/>
              <w:jc w:val="left"/>
              <w:rPr/>
            </w:pPr>
            <w:r>
              <w:rPr/>
              <w:t> </w:t>
            </w:r>
          </w:p>
        </w:tc>
        <w:tc>
          <w:tcPr>
            <w:tcW w:w="2305" w:type="dxa"/>
            <w:tcBorders/>
            <w:vAlign w:val="bottom"/>
          </w:tcPr>
          <w:p>
            <w:pPr>
              <w:pStyle w:val="TableContents"/>
              <w:bidi w:val="0"/>
              <w:spacing w:before="0" w:after="283"/>
              <w:jc w:val="left"/>
              <w:rPr/>
            </w:pPr>
            <w:r>
              <w:rPr/>
              <w:t>Germany</w:t>
            </w:r>
          </w:p>
        </w:tc>
      </w:tr>
      <w:tr>
        <w:trPr/>
        <w:tc>
          <w:tcPr>
            <w:tcW w:w="1665"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09" w:type="dxa"/>
            <w:tcBorders/>
            <w:vAlign w:val="bottom"/>
          </w:tcPr>
          <w:p>
            <w:pPr>
              <w:pStyle w:val="TableContents"/>
              <w:bidi w:val="0"/>
              <w:spacing w:before="0" w:after="283"/>
              <w:jc w:val="left"/>
              <w:rPr/>
            </w:pPr>
            <w:r>
              <w:rPr/>
              <w:t>AngloGold Ashanti Corrego do Sitio Mineracao</w:t>
            </w:r>
          </w:p>
        </w:tc>
        <w:tc>
          <w:tcPr>
            <w:tcW w:w="106" w:type="dxa"/>
            <w:tcBorders/>
            <w:vAlign w:val="bottom"/>
          </w:tcPr>
          <w:p>
            <w:pPr>
              <w:pStyle w:val="TableContents"/>
              <w:bidi w:val="0"/>
              <w:spacing w:before="0" w:after="283"/>
              <w:jc w:val="left"/>
              <w:rPr/>
            </w:pPr>
            <w:r>
              <w:rPr/>
              <w:t> </w:t>
            </w:r>
          </w:p>
        </w:tc>
        <w:tc>
          <w:tcPr>
            <w:tcW w:w="2305" w:type="dxa"/>
            <w:tcBorders/>
            <w:vAlign w:val="bottom"/>
          </w:tcPr>
          <w:p>
            <w:pPr>
              <w:pStyle w:val="TableContents"/>
              <w:bidi w:val="0"/>
              <w:spacing w:before="0" w:after="283"/>
              <w:jc w:val="left"/>
              <w:rPr/>
            </w:pPr>
            <w:r>
              <w:rPr/>
              <w:t>Brazil</w:t>
            </w:r>
          </w:p>
        </w:tc>
      </w:tr>
      <w:tr>
        <w:trPr/>
        <w:tc>
          <w:tcPr>
            <w:tcW w:w="1665"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09" w:type="dxa"/>
            <w:tcBorders/>
            <w:vAlign w:val="bottom"/>
          </w:tcPr>
          <w:p>
            <w:pPr>
              <w:pStyle w:val="TableContents"/>
              <w:bidi w:val="0"/>
              <w:spacing w:before="0" w:after="283"/>
              <w:jc w:val="left"/>
              <w:rPr/>
            </w:pPr>
            <w:r>
              <w:rPr/>
              <w:t>Argor-Heraeus S.A.</w:t>
            </w:r>
          </w:p>
        </w:tc>
        <w:tc>
          <w:tcPr>
            <w:tcW w:w="106" w:type="dxa"/>
            <w:tcBorders/>
            <w:vAlign w:val="bottom"/>
          </w:tcPr>
          <w:p>
            <w:pPr>
              <w:pStyle w:val="TableContents"/>
              <w:bidi w:val="0"/>
              <w:spacing w:before="0" w:after="283"/>
              <w:jc w:val="left"/>
              <w:rPr/>
            </w:pPr>
            <w:r>
              <w:rPr/>
              <w:t> </w:t>
            </w:r>
          </w:p>
        </w:tc>
        <w:tc>
          <w:tcPr>
            <w:tcW w:w="2305" w:type="dxa"/>
            <w:tcBorders/>
            <w:vAlign w:val="bottom"/>
          </w:tcPr>
          <w:p>
            <w:pPr>
              <w:pStyle w:val="TableContents"/>
              <w:bidi w:val="0"/>
              <w:spacing w:before="0" w:after="283"/>
              <w:jc w:val="left"/>
              <w:rPr/>
            </w:pPr>
            <w:r>
              <w:rPr/>
              <w:t>Switzerland</w:t>
            </w:r>
          </w:p>
        </w:tc>
      </w:tr>
      <w:tr>
        <w:trPr/>
        <w:tc>
          <w:tcPr>
            <w:tcW w:w="1665"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09" w:type="dxa"/>
            <w:tcBorders/>
            <w:vAlign w:val="bottom"/>
          </w:tcPr>
          <w:p>
            <w:pPr>
              <w:pStyle w:val="TableContents"/>
              <w:bidi w:val="0"/>
              <w:spacing w:before="0" w:after="283"/>
              <w:jc w:val="left"/>
              <w:rPr/>
            </w:pPr>
            <w:r>
              <w:rPr/>
              <w:t>Asahi Pretec Corp.</w:t>
            </w:r>
          </w:p>
        </w:tc>
        <w:tc>
          <w:tcPr>
            <w:tcW w:w="106" w:type="dxa"/>
            <w:tcBorders/>
            <w:vAlign w:val="bottom"/>
          </w:tcPr>
          <w:p>
            <w:pPr>
              <w:pStyle w:val="TableContents"/>
              <w:bidi w:val="0"/>
              <w:spacing w:before="0" w:after="283"/>
              <w:jc w:val="left"/>
              <w:rPr/>
            </w:pPr>
            <w:r>
              <w:rPr/>
              <w:t> </w:t>
            </w:r>
          </w:p>
        </w:tc>
        <w:tc>
          <w:tcPr>
            <w:tcW w:w="2305" w:type="dxa"/>
            <w:tcBorders/>
            <w:vAlign w:val="bottom"/>
          </w:tcPr>
          <w:p>
            <w:pPr>
              <w:pStyle w:val="TableContents"/>
              <w:bidi w:val="0"/>
              <w:spacing w:before="0" w:after="283"/>
              <w:jc w:val="left"/>
              <w:rPr/>
            </w:pPr>
            <w:r>
              <w:rPr/>
              <w:t>Japan</w:t>
            </w:r>
          </w:p>
        </w:tc>
      </w:tr>
      <w:tr>
        <w:trPr/>
        <w:tc>
          <w:tcPr>
            <w:tcW w:w="1665"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09" w:type="dxa"/>
            <w:tcBorders/>
            <w:vAlign w:val="bottom"/>
          </w:tcPr>
          <w:p>
            <w:pPr>
              <w:pStyle w:val="TableContents"/>
              <w:bidi w:val="0"/>
              <w:spacing w:before="0" w:after="283"/>
              <w:jc w:val="left"/>
              <w:rPr/>
            </w:pPr>
            <w:r>
              <w:rPr/>
              <w:t>Asaka Riken Co., Ltd.</w:t>
            </w:r>
          </w:p>
        </w:tc>
        <w:tc>
          <w:tcPr>
            <w:tcW w:w="106" w:type="dxa"/>
            <w:tcBorders/>
            <w:vAlign w:val="bottom"/>
          </w:tcPr>
          <w:p>
            <w:pPr>
              <w:pStyle w:val="TableContents"/>
              <w:bidi w:val="0"/>
              <w:spacing w:before="0" w:after="283"/>
              <w:jc w:val="left"/>
              <w:rPr/>
            </w:pPr>
            <w:r>
              <w:rPr/>
              <w:t> </w:t>
            </w:r>
          </w:p>
        </w:tc>
        <w:tc>
          <w:tcPr>
            <w:tcW w:w="2305" w:type="dxa"/>
            <w:tcBorders/>
            <w:vAlign w:val="bottom"/>
          </w:tcPr>
          <w:p>
            <w:pPr>
              <w:pStyle w:val="TableContents"/>
              <w:bidi w:val="0"/>
              <w:spacing w:before="0" w:after="283"/>
              <w:jc w:val="left"/>
              <w:rPr/>
            </w:pPr>
            <w:r>
              <w:rPr/>
              <w:t>Japan</w:t>
            </w:r>
          </w:p>
        </w:tc>
      </w:tr>
      <w:tr>
        <w:trPr/>
        <w:tc>
          <w:tcPr>
            <w:tcW w:w="1665"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09" w:type="dxa"/>
            <w:tcBorders/>
            <w:vAlign w:val="bottom"/>
          </w:tcPr>
          <w:p>
            <w:pPr>
              <w:pStyle w:val="TableContents"/>
              <w:bidi w:val="0"/>
              <w:spacing w:before="0" w:after="283"/>
              <w:jc w:val="left"/>
              <w:rPr/>
            </w:pPr>
            <w:r>
              <w:rPr/>
              <w:t>Aurubis AG</w:t>
            </w:r>
          </w:p>
        </w:tc>
        <w:tc>
          <w:tcPr>
            <w:tcW w:w="106" w:type="dxa"/>
            <w:tcBorders/>
            <w:vAlign w:val="bottom"/>
          </w:tcPr>
          <w:p>
            <w:pPr>
              <w:pStyle w:val="TableContents"/>
              <w:bidi w:val="0"/>
              <w:spacing w:before="0" w:after="283"/>
              <w:jc w:val="left"/>
              <w:rPr/>
            </w:pPr>
            <w:r>
              <w:rPr/>
              <w:t> </w:t>
            </w:r>
          </w:p>
        </w:tc>
        <w:tc>
          <w:tcPr>
            <w:tcW w:w="2305" w:type="dxa"/>
            <w:tcBorders/>
            <w:vAlign w:val="bottom"/>
          </w:tcPr>
          <w:p>
            <w:pPr>
              <w:pStyle w:val="TableContents"/>
              <w:bidi w:val="0"/>
              <w:spacing w:before="0" w:after="283"/>
              <w:jc w:val="left"/>
              <w:rPr/>
            </w:pPr>
            <w:r>
              <w:rPr/>
              <w:t>Germany</w:t>
            </w:r>
          </w:p>
        </w:tc>
      </w:tr>
      <w:tr>
        <w:trPr/>
        <w:tc>
          <w:tcPr>
            <w:tcW w:w="1665"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09" w:type="dxa"/>
            <w:tcBorders/>
            <w:vAlign w:val="bottom"/>
          </w:tcPr>
          <w:p>
            <w:pPr>
              <w:pStyle w:val="TableContents"/>
              <w:bidi w:val="0"/>
              <w:spacing w:before="0" w:after="283"/>
              <w:jc w:val="left"/>
              <w:rPr/>
            </w:pPr>
            <w:r>
              <w:rPr/>
              <w:t>C. Hafner GmbH + Co. KG</w:t>
            </w:r>
          </w:p>
        </w:tc>
        <w:tc>
          <w:tcPr>
            <w:tcW w:w="106" w:type="dxa"/>
            <w:tcBorders/>
            <w:vAlign w:val="bottom"/>
          </w:tcPr>
          <w:p>
            <w:pPr>
              <w:pStyle w:val="TableContents"/>
              <w:bidi w:val="0"/>
              <w:spacing w:before="0" w:after="283"/>
              <w:jc w:val="left"/>
              <w:rPr/>
            </w:pPr>
            <w:r>
              <w:rPr/>
              <w:t> </w:t>
            </w:r>
          </w:p>
        </w:tc>
        <w:tc>
          <w:tcPr>
            <w:tcW w:w="2305" w:type="dxa"/>
            <w:tcBorders/>
            <w:vAlign w:val="bottom"/>
          </w:tcPr>
          <w:p>
            <w:pPr>
              <w:pStyle w:val="TableContents"/>
              <w:bidi w:val="0"/>
              <w:spacing w:before="0" w:after="283"/>
              <w:jc w:val="left"/>
              <w:rPr/>
            </w:pPr>
            <w:r>
              <w:rPr/>
              <w:t>Germany</w:t>
            </w:r>
          </w:p>
        </w:tc>
      </w:tr>
      <w:tr>
        <w:trPr/>
        <w:tc>
          <w:tcPr>
            <w:tcW w:w="1665"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09" w:type="dxa"/>
            <w:tcBorders/>
            <w:vAlign w:val="bottom"/>
          </w:tcPr>
          <w:p>
            <w:pPr>
              <w:pStyle w:val="TableContents"/>
              <w:bidi w:val="0"/>
              <w:spacing w:before="0" w:after="283"/>
              <w:jc w:val="left"/>
              <w:rPr/>
            </w:pPr>
            <w:r>
              <w:rPr/>
              <w:t>Chimet S.p.A.</w:t>
            </w:r>
          </w:p>
        </w:tc>
        <w:tc>
          <w:tcPr>
            <w:tcW w:w="106" w:type="dxa"/>
            <w:tcBorders/>
            <w:vAlign w:val="bottom"/>
          </w:tcPr>
          <w:p>
            <w:pPr>
              <w:pStyle w:val="TableContents"/>
              <w:bidi w:val="0"/>
              <w:spacing w:before="0" w:after="283"/>
              <w:jc w:val="left"/>
              <w:rPr/>
            </w:pPr>
            <w:r>
              <w:rPr/>
              <w:t> </w:t>
            </w:r>
          </w:p>
        </w:tc>
        <w:tc>
          <w:tcPr>
            <w:tcW w:w="2305" w:type="dxa"/>
            <w:tcBorders/>
            <w:vAlign w:val="bottom"/>
          </w:tcPr>
          <w:p>
            <w:pPr>
              <w:pStyle w:val="TableContents"/>
              <w:bidi w:val="0"/>
              <w:spacing w:before="0" w:after="283"/>
              <w:jc w:val="left"/>
              <w:rPr/>
            </w:pPr>
            <w:r>
              <w:rPr/>
              <w:t>Italy</w:t>
            </w:r>
          </w:p>
        </w:tc>
      </w:tr>
      <w:tr>
        <w:trPr/>
        <w:tc>
          <w:tcPr>
            <w:tcW w:w="1665"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09" w:type="dxa"/>
            <w:tcBorders/>
            <w:vAlign w:val="bottom"/>
          </w:tcPr>
          <w:p>
            <w:pPr>
              <w:pStyle w:val="TableContents"/>
              <w:bidi w:val="0"/>
              <w:spacing w:before="0" w:after="283"/>
              <w:jc w:val="left"/>
              <w:rPr/>
            </w:pPr>
            <w:r>
              <w:rPr/>
              <w:t>Dowa</w:t>
            </w:r>
          </w:p>
        </w:tc>
        <w:tc>
          <w:tcPr>
            <w:tcW w:w="106" w:type="dxa"/>
            <w:tcBorders/>
            <w:vAlign w:val="bottom"/>
          </w:tcPr>
          <w:p>
            <w:pPr>
              <w:pStyle w:val="TableContents"/>
              <w:bidi w:val="0"/>
              <w:spacing w:before="0" w:after="283"/>
              <w:jc w:val="left"/>
              <w:rPr/>
            </w:pPr>
            <w:r>
              <w:rPr/>
              <w:t> </w:t>
            </w:r>
          </w:p>
        </w:tc>
        <w:tc>
          <w:tcPr>
            <w:tcW w:w="2305" w:type="dxa"/>
            <w:tcBorders/>
            <w:vAlign w:val="bottom"/>
          </w:tcPr>
          <w:p>
            <w:pPr>
              <w:pStyle w:val="TableContents"/>
              <w:bidi w:val="0"/>
              <w:spacing w:before="0" w:after="283"/>
              <w:jc w:val="left"/>
              <w:rPr/>
            </w:pPr>
            <w:r>
              <w:rPr/>
              <w:t>Japan</w:t>
            </w:r>
          </w:p>
        </w:tc>
      </w:tr>
      <w:tr>
        <w:trPr/>
        <w:tc>
          <w:tcPr>
            <w:tcW w:w="1665"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09" w:type="dxa"/>
            <w:tcBorders/>
            <w:vAlign w:val="bottom"/>
          </w:tcPr>
          <w:p>
            <w:pPr>
              <w:pStyle w:val="TableContents"/>
              <w:bidi w:val="0"/>
              <w:spacing w:before="0" w:after="283"/>
              <w:jc w:val="left"/>
              <w:rPr/>
            </w:pPr>
            <w:r>
              <w:rPr/>
              <w:t>Eco-System Recycling Co., Ltd. East Plant</w:t>
            </w:r>
          </w:p>
        </w:tc>
        <w:tc>
          <w:tcPr>
            <w:tcW w:w="106" w:type="dxa"/>
            <w:tcBorders/>
            <w:vAlign w:val="bottom"/>
          </w:tcPr>
          <w:p>
            <w:pPr>
              <w:pStyle w:val="TableContents"/>
              <w:bidi w:val="0"/>
              <w:spacing w:before="0" w:after="283"/>
              <w:jc w:val="left"/>
              <w:rPr/>
            </w:pPr>
            <w:r>
              <w:rPr/>
              <w:t> </w:t>
            </w:r>
          </w:p>
        </w:tc>
        <w:tc>
          <w:tcPr>
            <w:tcW w:w="2305" w:type="dxa"/>
            <w:tcBorders/>
            <w:vAlign w:val="bottom"/>
          </w:tcPr>
          <w:p>
            <w:pPr>
              <w:pStyle w:val="TableContents"/>
              <w:bidi w:val="0"/>
              <w:spacing w:before="0" w:after="283"/>
              <w:jc w:val="left"/>
              <w:rPr/>
            </w:pPr>
            <w:r>
              <w:rPr/>
              <w:t>Japan</w:t>
            </w:r>
          </w:p>
        </w:tc>
      </w:tr>
      <w:tr>
        <w:trPr/>
        <w:tc>
          <w:tcPr>
            <w:tcW w:w="1665"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09" w:type="dxa"/>
            <w:tcBorders/>
            <w:vAlign w:val="bottom"/>
          </w:tcPr>
          <w:p>
            <w:pPr>
              <w:pStyle w:val="TableContents"/>
              <w:bidi w:val="0"/>
              <w:spacing w:before="0" w:after="283"/>
              <w:jc w:val="left"/>
              <w:rPr/>
            </w:pPr>
            <w:r>
              <w:rPr/>
              <w:t>Heimerle + Meule GmbH</w:t>
            </w:r>
          </w:p>
        </w:tc>
        <w:tc>
          <w:tcPr>
            <w:tcW w:w="106" w:type="dxa"/>
            <w:tcBorders/>
            <w:vAlign w:val="bottom"/>
          </w:tcPr>
          <w:p>
            <w:pPr>
              <w:pStyle w:val="TableContents"/>
              <w:bidi w:val="0"/>
              <w:spacing w:before="0" w:after="283"/>
              <w:jc w:val="left"/>
              <w:rPr/>
            </w:pPr>
            <w:r>
              <w:rPr/>
              <w:t> </w:t>
            </w:r>
          </w:p>
        </w:tc>
        <w:tc>
          <w:tcPr>
            <w:tcW w:w="2305" w:type="dxa"/>
            <w:tcBorders/>
            <w:vAlign w:val="bottom"/>
          </w:tcPr>
          <w:p>
            <w:pPr>
              <w:pStyle w:val="TableContents"/>
              <w:bidi w:val="0"/>
              <w:spacing w:before="0" w:after="283"/>
              <w:jc w:val="left"/>
              <w:rPr/>
            </w:pPr>
            <w:r>
              <w:rPr/>
              <w:t>Germany</w:t>
            </w:r>
          </w:p>
        </w:tc>
      </w:tr>
      <w:tr>
        <w:trPr/>
        <w:tc>
          <w:tcPr>
            <w:tcW w:w="1665"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09" w:type="dxa"/>
            <w:tcBorders/>
            <w:vAlign w:val="bottom"/>
          </w:tcPr>
          <w:p>
            <w:pPr>
              <w:pStyle w:val="TableContents"/>
              <w:bidi w:val="0"/>
              <w:spacing w:before="0" w:after="283"/>
              <w:jc w:val="left"/>
              <w:rPr/>
            </w:pPr>
            <w:r>
              <w:rPr/>
              <w:t>Heraeus Metals Hong Kong Ltd.</w:t>
            </w:r>
          </w:p>
        </w:tc>
        <w:tc>
          <w:tcPr>
            <w:tcW w:w="106" w:type="dxa"/>
            <w:tcBorders/>
            <w:vAlign w:val="bottom"/>
          </w:tcPr>
          <w:p>
            <w:pPr>
              <w:pStyle w:val="TableContents"/>
              <w:bidi w:val="0"/>
              <w:spacing w:before="0" w:after="283"/>
              <w:jc w:val="left"/>
              <w:rPr/>
            </w:pPr>
            <w:r>
              <w:rPr/>
              <w:t> </w:t>
            </w:r>
          </w:p>
        </w:tc>
        <w:tc>
          <w:tcPr>
            <w:tcW w:w="2305" w:type="dxa"/>
            <w:tcBorders/>
            <w:vAlign w:val="bottom"/>
          </w:tcPr>
          <w:p>
            <w:pPr>
              <w:pStyle w:val="TableContents"/>
              <w:bidi w:val="0"/>
              <w:spacing w:before="0" w:after="283"/>
              <w:jc w:val="left"/>
              <w:rPr/>
            </w:pPr>
            <w:r>
              <w:rPr/>
              <w:t>China</w:t>
            </w:r>
          </w:p>
        </w:tc>
      </w:tr>
      <w:tr>
        <w:trPr/>
        <w:tc>
          <w:tcPr>
            <w:tcW w:w="1665"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09" w:type="dxa"/>
            <w:tcBorders/>
            <w:vAlign w:val="bottom"/>
          </w:tcPr>
          <w:p>
            <w:pPr>
              <w:pStyle w:val="TableContents"/>
              <w:bidi w:val="0"/>
              <w:spacing w:before="0" w:after="283"/>
              <w:jc w:val="left"/>
              <w:rPr/>
            </w:pPr>
            <w:r>
              <w:rPr/>
              <w:t>Heraeus Germany GmbH Co. KG</w:t>
            </w:r>
          </w:p>
        </w:tc>
        <w:tc>
          <w:tcPr>
            <w:tcW w:w="106" w:type="dxa"/>
            <w:tcBorders/>
            <w:vAlign w:val="bottom"/>
          </w:tcPr>
          <w:p>
            <w:pPr>
              <w:pStyle w:val="TableContents"/>
              <w:bidi w:val="0"/>
              <w:spacing w:before="0" w:after="283"/>
              <w:jc w:val="left"/>
              <w:rPr/>
            </w:pPr>
            <w:r>
              <w:rPr/>
              <w:t> </w:t>
            </w:r>
          </w:p>
        </w:tc>
        <w:tc>
          <w:tcPr>
            <w:tcW w:w="2305" w:type="dxa"/>
            <w:tcBorders/>
            <w:vAlign w:val="bottom"/>
          </w:tcPr>
          <w:p>
            <w:pPr>
              <w:pStyle w:val="TableContents"/>
              <w:bidi w:val="0"/>
              <w:spacing w:before="0" w:after="283"/>
              <w:jc w:val="left"/>
              <w:rPr/>
            </w:pPr>
            <w:r>
              <w:rPr/>
              <w:t>Germany</w:t>
            </w:r>
          </w:p>
        </w:tc>
      </w:tr>
      <w:tr>
        <w:trPr/>
        <w:tc>
          <w:tcPr>
            <w:tcW w:w="1665"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09" w:type="dxa"/>
            <w:tcBorders/>
            <w:vAlign w:val="bottom"/>
          </w:tcPr>
          <w:p>
            <w:pPr>
              <w:pStyle w:val="TableContents"/>
              <w:bidi w:val="0"/>
              <w:spacing w:before="0" w:after="283"/>
              <w:jc w:val="left"/>
              <w:rPr/>
            </w:pPr>
            <w:r>
              <w:rPr/>
              <w:t>Ishifuku Metal Industry Co., Ltd.</w:t>
            </w:r>
          </w:p>
        </w:tc>
        <w:tc>
          <w:tcPr>
            <w:tcW w:w="106" w:type="dxa"/>
            <w:tcBorders/>
            <w:vAlign w:val="bottom"/>
          </w:tcPr>
          <w:p>
            <w:pPr>
              <w:pStyle w:val="TableContents"/>
              <w:bidi w:val="0"/>
              <w:spacing w:before="0" w:after="283"/>
              <w:jc w:val="left"/>
              <w:rPr/>
            </w:pPr>
            <w:r>
              <w:rPr/>
              <w:t> </w:t>
            </w:r>
          </w:p>
        </w:tc>
        <w:tc>
          <w:tcPr>
            <w:tcW w:w="2305" w:type="dxa"/>
            <w:tcBorders/>
            <w:vAlign w:val="bottom"/>
          </w:tcPr>
          <w:p>
            <w:pPr>
              <w:pStyle w:val="TableContents"/>
              <w:bidi w:val="0"/>
              <w:spacing w:before="0" w:after="283"/>
              <w:jc w:val="left"/>
              <w:rPr/>
            </w:pPr>
            <w:r>
              <w:rPr/>
              <w:t>Japan</w:t>
            </w:r>
          </w:p>
        </w:tc>
      </w:tr>
      <w:tr>
        <w:trPr/>
        <w:tc>
          <w:tcPr>
            <w:tcW w:w="1665"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09" w:type="dxa"/>
            <w:tcBorders/>
            <w:vAlign w:val="bottom"/>
          </w:tcPr>
          <w:p>
            <w:pPr>
              <w:pStyle w:val="TableContents"/>
              <w:bidi w:val="0"/>
              <w:spacing w:before="0" w:after="283"/>
              <w:jc w:val="left"/>
              <w:rPr/>
            </w:pPr>
            <w:r>
              <w:rPr/>
              <w:t>Istanbul Gold Refinery</w:t>
            </w:r>
          </w:p>
        </w:tc>
        <w:tc>
          <w:tcPr>
            <w:tcW w:w="106" w:type="dxa"/>
            <w:tcBorders/>
            <w:vAlign w:val="bottom"/>
          </w:tcPr>
          <w:p>
            <w:pPr>
              <w:pStyle w:val="TableContents"/>
              <w:bidi w:val="0"/>
              <w:spacing w:before="0" w:after="283"/>
              <w:jc w:val="left"/>
              <w:rPr/>
            </w:pPr>
            <w:r>
              <w:rPr/>
              <w:t> </w:t>
            </w:r>
          </w:p>
        </w:tc>
        <w:tc>
          <w:tcPr>
            <w:tcW w:w="2305" w:type="dxa"/>
            <w:tcBorders/>
            <w:vAlign w:val="bottom"/>
          </w:tcPr>
          <w:p>
            <w:pPr>
              <w:pStyle w:val="TableContents"/>
              <w:bidi w:val="0"/>
              <w:spacing w:before="0" w:after="283"/>
              <w:jc w:val="left"/>
              <w:rPr/>
            </w:pPr>
            <w:r>
              <w:rPr/>
              <w:t>Turkey</w:t>
            </w:r>
          </w:p>
        </w:tc>
      </w:tr>
      <w:tr>
        <w:trPr/>
        <w:tc>
          <w:tcPr>
            <w:tcW w:w="1665"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09" w:type="dxa"/>
            <w:tcBorders/>
            <w:vAlign w:val="bottom"/>
          </w:tcPr>
          <w:p>
            <w:pPr>
              <w:pStyle w:val="TableContents"/>
              <w:bidi w:val="0"/>
              <w:spacing w:before="0" w:after="283"/>
              <w:jc w:val="left"/>
              <w:rPr/>
            </w:pPr>
            <w:r>
              <w:rPr/>
              <w:t>Asahi Refining USA Inc.</w:t>
            </w:r>
          </w:p>
        </w:tc>
        <w:tc>
          <w:tcPr>
            <w:tcW w:w="106" w:type="dxa"/>
            <w:tcBorders/>
            <w:vAlign w:val="bottom"/>
          </w:tcPr>
          <w:p>
            <w:pPr>
              <w:pStyle w:val="TableContents"/>
              <w:bidi w:val="0"/>
              <w:spacing w:before="0" w:after="283"/>
              <w:jc w:val="left"/>
              <w:rPr/>
            </w:pPr>
            <w:r>
              <w:rPr/>
              <w:t> </w:t>
            </w:r>
          </w:p>
        </w:tc>
        <w:tc>
          <w:tcPr>
            <w:tcW w:w="2305" w:type="dxa"/>
            <w:tcBorders/>
            <w:vAlign w:val="bottom"/>
          </w:tcPr>
          <w:p>
            <w:pPr>
              <w:pStyle w:val="TableContents"/>
              <w:bidi w:val="0"/>
              <w:spacing w:before="0" w:after="283"/>
              <w:jc w:val="left"/>
              <w:rPr/>
            </w:pPr>
            <w:r>
              <w:rPr/>
              <w:t>United States of America</w:t>
            </w:r>
          </w:p>
        </w:tc>
      </w:tr>
      <w:tr>
        <w:trPr/>
        <w:tc>
          <w:tcPr>
            <w:tcW w:w="1665"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09" w:type="dxa"/>
            <w:tcBorders/>
            <w:vAlign w:val="bottom"/>
          </w:tcPr>
          <w:p>
            <w:pPr>
              <w:pStyle w:val="TableContents"/>
              <w:bidi w:val="0"/>
              <w:spacing w:before="0" w:after="283"/>
              <w:jc w:val="left"/>
              <w:rPr/>
            </w:pPr>
            <w:r>
              <w:rPr/>
              <w:t>Asahi Refining Canada Ltd.</w:t>
            </w:r>
          </w:p>
        </w:tc>
        <w:tc>
          <w:tcPr>
            <w:tcW w:w="106" w:type="dxa"/>
            <w:tcBorders/>
            <w:vAlign w:val="bottom"/>
          </w:tcPr>
          <w:p>
            <w:pPr>
              <w:pStyle w:val="TableContents"/>
              <w:bidi w:val="0"/>
              <w:spacing w:before="0" w:after="283"/>
              <w:jc w:val="left"/>
              <w:rPr/>
            </w:pPr>
            <w:r>
              <w:rPr/>
              <w:t> </w:t>
            </w:r>
          </w:p>
        </w:tc>
        <w:tc>
          <w:tcPr>
            <w:tcW w:w="2305" w:type="dxa"/>
            <w:tcBorders/>
            <w:vAlign w:val="bottom"/>
          </w:tcPr>
          <w:p>
            <w:pPr>
              <w:pStyle w:val="TableContents"/>
              <w:bidi w:val="0"/>
              <w:spacing w:before="0" w:after="283"/>
              <w:jc w:val="left"/>
              <w:rPr/>
            </w:pPr>
            <w:r>
              <w:rPr/>
              <w:t>Canada</w:t>
            </w:r>
          </w:p>
        </w:tc>
      </w:tr>
      <w:tr>
        <w:trPr/>
        <w:tc>
          <w:tcPr>
            <w:tcW w:w="1665"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09" w:type="dxa"/>
            <w:tcBorders/>
            <w:vAlign w:val="bottom"/>
          </w:tcPr>
          <w:p>
            <w:pPr>
              <w:pStyle w:val="TableContents"/>
              <w:bidi w:val="0"/>
              <w:spacing w:before="0" w:after="283"/>
              <w:jc w:val="left"/>
              <w:rPr/>
            </w:pPr>
            <w:r>
              <w:rPr/>
              <w:t>JX Nippon Mining &amp; Metals Co., Ltd.</w:t>
            </w:r>
          </w:p>
        </w:tc>
        <w:tc>
          <w:tcPr>
            <w:tcW w:w="106" w:type="dxa"/>
            <w:tcBorders/>
            <w:vAlign w:val="bottom"/>
          </w:tcPr>
          <w:p>
            <w:pPr>
              <w:pStyle w:val="TableContents"/>
              <w:bidi w:val="0"/>
              <w:spacing w:before="0" w:after="283"/>
              <w:jc w:val="left"/>
              <w:rPr/>
            </w:pPr>
            <w:r>
              <w:rPr/>
              <w:t> </w:t>
            </w:r>
          </w:p>
        </w:tc>
        <w:tc>
          <w:tcPr>
            <w:tcW w:w="2305" w:type="dxa"/>
            <w:tcBorders/>
            <w:vAlign w:val="bottom"/>
          </w:tcPr>
          <w:p>
            <w:pPr>
              <w:pStyle w:val="TableContents"/>
              <w:bidi w:val="0"/>
              <w:spacing w:before="0" w:after="283"/>
              <w:jc w:val="left"/>
              <w:rPr/>
            </w:pPr>
            <w:r>
              <w:rPr/>
              <w:t>Japan</w:t>
            </w:r>
          </w:p>
        </w:tc>
      </w:tr>
      <w:tr>
        <w:trPr/>
        <w:tc>
          <w:tcPr>
            <w:tcW w:w="1665"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09" w:type="dxa"/>
            <w:tcBorders/>
            <w:vAlign w:val="bottom"/>
          </w:tcPr>
          <w:p>
            <w:pPr>
              <w:pStyle w:val="TableContents"/>
              <w:bidi w:val="0"/>
              <w:spacing w:before="0" w:after="283"/>
              <w:jc w:val="left"/>
              <w:rPr/>
            </w:pPr>
            <w:r>
              <w:rPr/>
              <w:t>Kojima Chemicals Co., Ltd.</w:t>
            </w:r>
          </w:p>
        </w:tc>
        <w:tc>
          <w:tcPr>
            <w:tcW w:w="106" w:type="dxa"/>
            <w:tcBorders/>
            <w:vAlign w:val="bottom"/>
          </w:tcPr>
          <w:p>
            <w:pPr>
              <w:pStyle w:val="TableContents"/>
              <w:bidi w:val="0"/>
              <w:spacing w:before="0" w:after="283"/>
              <w:jc w:val="left"/>
              <w:rPr/>
            </w:pPr>
            <w:r>
              <w:rPr/>
              <w:t> </w:t>
            </w:r>
          </w:p>
        </w:tc>
        <w:tc>
          <w:tcPr>
            <w:tcW w:w="2305" w:type="dxa"/>
            <w:tcBorders/>
            <w:vAlign w:val="bottom"/>
          </w:tcPr>
          <w:p>
            <w:pPr>
              <w:pStyle w:val="TableContents"/>
              <w:bidi w:val="0"/>
              <w:spacing w:before="0" w:after="283"/>
              <w:jc w:val="left"/>
              <w:rPr/>
            </w:pPr>
            <w:r>
              <w:rPr/>
              <w:t>Japan</w:t>
            </w:r>
          </w:p>
        </w:tc>
      </w:tr>
      <w:tr>
        <w:trPr/>
        <w:tc>
          <w:tcPr>
            <w:tcW w:w="1665"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09" w:type="dxa"/>
            <w:tcBorders/>
            <w:vAlign w:val="bottom"/>
          </w:tcPr>
          <w:p>
            <w:pPr>
              <w:pStyle w:val="TableContents"/>
              <w:bidi w:val="0"/>
              <w:spacing w:before="0" w:after="283"/>
              <w:jc w:val="left"/>
              <w:rPr/>
            </w:pPr>
            <w:r>
              <w:rPr/>
              <w:t>LS MnM Inc.</w:t>
            </w:r>
          </w:p>
        </w:tc>
        <w:tc>
          <w:tcPr>
            <w:tcW w:w="106" w:type="dxa"/>
            <w:tcBorders/>
            <w:vAlign w:val="bottom"/>
          </w:tcPr>
          <w:p>
            <w:pPr>
              <w:pStyle w:val="TableContents"/>
              <w:bidi w:val="0"/>
              <w:spacing w:before="0" w:after="283"/>
              <w:jc w:val="left"/>
              <w:rPr/>
            </w:pPr>
            <w:r>
              <w:rPr/>
              <w:t> </w:t>
            </w:r>
          </w:p>
        </w:tc>
        <w:tc>
          <w:tcPr>
            <w:tcW w:w="2305" w:type="dxa"/>
            <w:tcBorders/>
            <w:vAlign w:val="bottom"/>
          </w:tcPr>
          <w:p>
            <w:pPr>
              <w:pStyle w:val="TableContents"/>
              <w:bidi w:val="0"/>
              <w:spacing w:before="0" w:after="283"/>
              <w:jc w:val="left"/>
              <w:rPr/>
            </w:pPr>
            <w:r>
              <w:rPr/>
              <w:t>Korea, Republic of</w:t>
            </w:r>
          </w:p>
        </w:tc>
      </w:tr>
      <w:tr>
        <w:trPr/>
        <w:tc>
          <w:tcPr>
            <w:tcW w:w="1665"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09" w:type="dxa"/>
            <w:tcBorders/>
            <w:vAlign w:val="bottom"/>
          </w:tcPr>
          <w:p>
            <w:pPr>
              <w:pStyle w:val="TableContents"/>
              <w:bidi w:val="0"/>
              <w:spacing w:before="0" w:after="283"/>
              <w:jc w:val="left"/>
              <w:rPr/>
            </w:pPr>
            <w:r>
              <w:rPr/>
              <w:t>Materion</w:t>
            </w:r>
          </w:p>
        </w:tc>
        <w:tc>
          <w:tcPr>
            <w:tcW w:w="106" w:type="dxa"/>
            <w:tcBorders/>
            <w:vAlign w:val="bottom"/>
          </w:tcPr>
          <w:p>
            <w:pPr>
              <w:pStyle w:val="TableContents"/>
              <w:bidi w:val="0"/>
              <w:spacing w:before="0" w:after="283"/>
              <w:jc w:val="left"/>
              <w:rPr/>
            </w:pPr>
            <w:r>
              <w:rPr/>
              <w:t> </w:t>
            </w:r>
          </w:p>
        </w:tc>
        <w:tc>
          <w:tcPr>
            <w:tcW w:w="2305" w:type="dxa"/>
            <w:tcBorders/>
            <w:vAlign w:val="bottom"/>
          </w:tcPr>
          <w:p>
            <w:pPr>
              <w:pStyle w:val="TableContents"/>
              <w:bidi w:val="0"/>
              <w:spacing w:before="0" w:after="283"/>
              <w:jc w:val="left"/>
              <w:rPr/>
            </w:pPr>
            <w:r>
              <w:rPr/>
              <w:t>United States of America</w:t>
            </w:r>
          </w:p>
        </w:tc>
      </w:tr>
      <w:tr>
        <w:trPr/>
        <w:tc>
          <w:tcPr>
            <w:tcW w:w="1665"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09" w:type="dxa"/>
            <w:tcBorders/>
            <w:vAlign w:val="bottom"/>
          </w:tcPr>
          <w:p>
            <w:pPr>
              <w:pStyle w:val="TableContents"/>
              <w:bidi w:val="0"/>
              <w:spacing w:before="0" w:after="283"/>
              <w:jc w:val="left"/>
              <w:rPr/>
            </w:pPr>
            <w:r>
              <w:rPr/>
              <w:t>Matsuda Sangyo Co., Ltd.</w:t>
            </w:r>
          </w:p>
        </w:tc>
        <w:tc>
          <w:tcPr>
            <w:tcW w:w="106" w:type="dxa"/>
            <w:tcBorders/>
            <w:vAlign w:val="bottom"/>
          </w:tcPr>
          <w:p>
            <w:pPr>
              <w:pStyle w:val="TableContents"/>
              <w:bidi w:val="0"/>
              <w:spacing w:before="0" w:after="283"/>
              <w:jc w:val="left"/>
              <w:rPr/>
            </w:pPr>
            <w:r>
              <w:rPr/>
              <w:t> </w:t>
            </w:r>
          </w:p>
        </w:tc>
        <w:tc>
          <w:tcPr>
            <w:tcW w:w="2305" w:type="dxa"/>
            <w:tcBorders/>
            <w:vAlign w:val="bottom"/>
          </w:tcPr>
          <w:p>
            <w:pPr>
              <w:pStyle w:val="TableContents"/>
              <w:bidi w:val="0"/>
              <w:spacing w:before="0" w:after="283"/>
              <w:jc w:val="left"/>
              <w:rPr/>
            </w:pPr>
            <w:r>
              <w:rPr/>
              <w:t>Japan</w:t>
            </w:r>
          </w:p>
        </w:tc>
      </w:tr>
      <w:tr>
        <w:trPr/>
        <w:tc>
          <w:tcPr>
            <w:tcW w:w="1665"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09" w:type="dxa"/>
            <w:tcBorders/>
            <w:vAlign w:val="bottom"/>
          </w:tcPr>
          <w:p>
            <w:pPr>
              <w:pStyle w:val="TableContents"/>
              <w:bidi w:val="0"/>
              <w:spacing w:before="0" w:after="283"/>
              <w:jc w:val="left"/>
              <w:rPr/>
            </w:pPr>
            <w:r>
              <w:rPr/>
              <w:t>Metalor Technologies (Suzhou) Ltd.</w:t>
            </w:r>
          </w:p>
        </w:tc>
        <w:tc>
          <w:tcPr>
            <w:tcW w:w="106" w:type="dxa"/>
            <w:tcBorders/>
            <w:vAlign w:val="bottom"/>
          </w:tcPr>
          <w:p>
            <w:pPr>
              <w:pStyle w:val="TableContents"/>
              <w:bidi w:val="0"/>
              <w:spacing w:before="0" w:after="283"/>
              <w:jc w:val="left"/>
              <w:rPr/>
            </w:pPr>
            <w:r>
              <w:rPr/>
              <w:t> </w:t>
            </w:r>
          </w:p>
        </w:tc>
        <w:tc>
          <w:tcPr>
            <w:tcW w:w="2305" w:type="dxa"/>
            <w:tcBorders/>
            <w:vAlign w:val="bottom"/>
          </w:tcPr>
          <w:p>
            <w:pPr>
              <w:pStyle w:val="TableContents"/>
              <w:bidi w:val="0"/>
              <w:spacing w:before="0" w:after="283"/>
              <w:jc w:val="left"/>
              <w:rPr/>
            </w:pPr>
            <w:r>
              <w:rPr/>
              <w:t>China</w:t>
            </w:r>
          </w:p>
        </w:tc>
      </w:tr>
      <w:tr>
        <w:trPr/>
        <w:tc>
          <w:tcPr>
            <w:tcW w:w="16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Gold</w:t>
            </w:r>
          </w:p>
          <w:p>
            <w:pPr>
              <w:pStyle w:val="TableContents"/>
              <w:bidi w:val="0"/>
              <w:spacing w:before="0" w:after="20"/>
              <w:jc w:val="left"/>
              <w:rPr>
                <w:rFonts w:ascii="Times New Roman" w:hAnsi="Times New Roman"/>
                <w:sz w:val="20"/>
              </w:rPr>
            </w:pPr>
            <w:r>
              <w:rPr>
                <w:rFonts w:ascii="Times New Roman" w:hAnsi="Times New Roman"/>
                <w:sz w:val="20"/>
              </w:rPr>
              <w:t>Gold</w:t>
            </w:r>
          </w:p>
        </w:tc>
        <w:tc>
          <w:tcPr>
            <w:tcW w:w="120" w:type="dxa"/>
            <w:tcBorders/>
            <w:vAlign w:val="bottom"/>
          </w:tcPr>
          <w:p>
            <w:pPr>
              <w:pStyle w:val="TableContents"/>
              <w:bidi w:val="0"/>
              <w:spacing w:before="0" w:after="283"/>
              <w:jc w:val="left"/>
              <w:rPr/>
            </w:pPr>
            <w:r>
              <w:rPr/>
              <w:t>  </w:t>
            </w:r>
          </w:p>
        </w:tc>
        <w:tc>
          <w:tcPr>
            <w:tcW w:w="600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Metalor Technologies (Hong Kong) Ltd.</w:t>
            </w:r>
          </w:p>
          <w:p>
            <w:pPr>
              <w:pStyle w:val="TableContents"/>
              <w:bidi w:val="0"/>
              <w:spacing w:before="0" w:after="20"/>
              <w:jc w:val="left"/>
              <w:rPr>
                <w:rFonts w:ascii="Times New Roman" w:hAnsi="Times New Roman"/>
                <w:sz w:val="20"/>
              </w:rPr>
            </w:pPr>
            <w:r>
              <w:rPr>
                <w:rFonts w:ascii="Times New Roman" w:hAnsi="Times New Roman"/>
                <w:sz w:val="20"/>
              </w:rPr>
              <w:t>Metalor Technologies (Singapore) Pte., Ltd.</w:t>
            </w:r>
          </w:p>
        </w:tc>
        <w:tc>
          <w:tcPr>
            <w:tcW w:w="106" w:type="dxa"/>
            <w:tcBorders/>
            <w:vAlign w:val="bottom"/>
          </w:tcPr>
          <w:p>
            <w:pPr>
              <w:pStyle w:val="TableContents"/>
              <w:bidi w:val="0"/>
              <w:spacing w:before="0" w:after="283"/>
              <w:jc w:val="left"/>
              <w:rPr/>
            </w:pPr>
            <w:r>
              <w:rPr/>
              <w:t> </w:t>
            </w:r>
          </w:p>
        </w:tc>
        <w:tc>
          <w:tcPr>
            <w:tcW w:w="23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China</w:t>
            </w:r>
          </w:p>
          <w:p>
            <w:pPr>
              <w:pStyle w:val="TableContents"/>
              <w:bidi w:val="0"/>
              <w:spacing w:before="0" w:after="20"/>
              <w:jc w:val="left"/>
              <w:rPr>
                <w:rFonts w:ascii="Times New Roman" w:hAnsi="Times New Roman"/>
                <w:sz w:val="20"/>
              </w:rPr>
            </w:pPr>
            <w:r>
              <w:rPr>
                <w:rFonts w:ascii="Times New Roman" w:hAnsi="Times New Roman"/>
                <w:sz w:val="20"/>
              </w:rPr>
              <w:t>Singapore</w:t>
            </w:r>
          </w:p>
        </w:tc>
      </w:tr>
      <w:tr>
        <w:trPr/>
        <w:tc>
          <w:tcPr>
            <w:tcW w:w="1665"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09" w:type="dxa"/>
            <w:tcBorders/>
            <w:vAlign w:val="bottom"/>
          </w:tcPr>
          <w:p>
            <w:pPr>
              <w:pStyle w:val="TableContents"/>
              <w:bidi w:val="0"/>
              <w:spacing w:before="0" w:after="283"/>
              <w:jc w:val="left"/>
              <w:rPr/>
            </w:pPr>
            <w:r>
              <w:rPr/>
              <w:t>Metalor Technologies S.A.</w:t>
            </w:r>
          </w:p>
        </w:tc>
        <w:tc>
          <w:tcPr>
            <w:tcW w:w="106" w:type="dxa"/>
            <w:tcBorders/>
            <w:vAlign w:val="bottom"/>
          </w:tcPr>
          <w:p>
            <w:pPr>
              <w:pStyle w:val="TableContents"/>
              <w:bidi w:val="0"/>
              <w:spacing w:before="0" w:after="283"/>
              <w:jc w:val="left"/>
              <w:rPr/>
            </w:pPr>
            <w:r>
              <w:rPr/>
              <w:t> </w:t>
            </w:r>
          </w:p>
        </w:tc>
        <w:tc>
          <w:tcPr>
            <w:tcW w:w="2305" w:type="dxa"/>
            <w:tcBorders/>
            <w:vAlign w:val="bottom"/>
          </w:tcPr>
          <w:p>
            <w:pPr>
              <w:pStyle w:val="TableContents"/>
              <w:bidi w:val="0"/>
              <w:spacing w:before="0" w:after="283"/>
              <w:jc w:val="left"/>
              <w:rPr/>
            </w:pPr>
            <w:r>
              <w:rPr/>
              <w:t>Switzerland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527"/>
        <w:gridCol w:w="120"/>
        <w:gridCol w:w="6082"/>
        <w:gridCol w:w="107"/>
        <w:gridCol w:w="2369"/>
      </w:tblGrid>
      <w:tr>
        <w:trPr/>
        <w:tc>
          <w:tcPr>
            <w:tcW w:w="152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82"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r>
      <w:tr>
        <w:trPr/>
        <w:tc>
          <w:tcPr>
            <w:tcW w:w="1527"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Metalor USA Refining Corporation</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United States of America</w:t>
            </w:r>
          </w:p>
        </w:tc>
      </w:tr>
      <w:tr>
        <w:trPr/>
        <w:tc>
          <w:tcPr>
            <w:tcW w:w="1527"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Metalurgica Met-Mex Penoles S.A. De C.V.</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Mexico</w:t>
            </w:r>
          </w:p>
        </w:tc>
      </w:tr>
      <w:tr>
        <w:trPr/>
        <w:tc>
          <w:tcPr>
            <w:tcW w:w="1527"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Mitsubishi Materials Corporation</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Japan</w:t>
            </w:r>
          </w:p>
        </w:tc>
      </w:tr>
      <w:tr>
        <w:trPr/>
        <w:tc>
          <w:tcPr>
            <w:tcW w:w="1527"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Mitsui Mining and Smelting Co., Ltd.</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Japan</w:t>
            </w:r>
          </w:p>
        </w:tc>
      </w:tr>
      <w:tr>
        <w:trPr/>
        <w:tc>
          <w:tcPr>
            <w:tcW w:w="1527"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Nihon Material Co., Ltd.</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Japan</w:t>
            </w:r>
          </w:p>
        </w:tc>
      </w:tr>
      <w:tr>
        <w:trPr/>
        <w:tc>
          <w:tcPr>
            <w:tcW w:w="1527"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MKS PAMP SA</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Switzerland</w:t>
            </w:r>
          </w:p>
        </w:tc>
      </w:tr>
      <w:tr>
        <w:trPr/>
        <w:tc>
          <w:tcPr>
            <w:tcW w:w="1527"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Rand Refinery (Pty) Ltd.</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South Africa</w:t>
            </w:r>
          </w:p>
        </w:tc>
      </w:tr>
      <w:tr>
        <w:trPr/>
        <w:tc>
          <w:tcPr>
            <w:tcW w:w="1527"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Royal Canadian Mint</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Canada</w:t>
            </w:r>
          </w:p>
        </w:tc>
      </w:tr>
      <w:tr>
        <w:trPr/>
        <w:tc>
          <w:tcPr>
            <w:tcW w:w="1527"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Shandong Zhaojin Gold &amp; Silver Refinery Co., Ltd.</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China</w:t>
            </w:r>
          </w:p>
        </w:tc>
      </w:tr>
      <w:tr>
        <w:trPr/>
        <w:tc>
          <w:tcPr>
            <w:tcW w:w="1527"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Solar Applied Materials Technology Corp.</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Taiwan, Province of China</w:t>
            </w:r>
          </w:p>
        </w:tc>
      </w:tr>
      <w:tr>
        <w:trPr/>
        <w:tc>
          <w:tcPr>
            <w:tcW w:w="1527"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Sumitomo Metal Mining Co., Ltd.</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Japan</w:t>
            </w:r>
          </w:p>
        </w:tc>
      </w:tr>
      <w:tr>
        <w:trPr/>
        <w:tc>
          <w:tcPr>
            <w:tcW w:w="1527"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Tanaka Kikinzoku Kogyo K.K.</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Japan</w:t>
            </w:r>
          </w:p>
        </w:tc>
      </w:tr>
      <w:tr>
        <w:trPr/>
        <w:tc>
          <w:tcPr>
            <w:tcW w:w="1527"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Shandong Gold Smelting Co., Ltd.</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China</w:t>
            </w:r>
          </w:p>
        </w:tc>
      </w:tr>
      <w:tr>
        <w:trPr/>
        <w:tc>
          <w:tcPr>
            <w:tcW w:w="1527"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Tokuriki Honten Co., Ltd.</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Japan</w:t>
            </w:r>
          </w:p>
        </w:tc>
      </w:tr>
      <w:tr>
        <w:trPr/>
        <w:tc>
          <w:tcPr>
            <w:tcW w:w="1527"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Umicore S.A. Business Unit Precious Metals Refining</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Belgium</w:t>
            </w:r>
          </w:p>
        </w:tc>
      </w:tr>
      <w:tr>
        <w:trPr/>
        <w:tc>
          <w:tcPr>
            <w:tcW w:w="1527"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United Precious Metal Refining, Inc.</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United States of America</w:t>
            </w:r>
          </w:p>
        </w:tc>
      </w:tr>
      <w:tr>
        <w:trPr/>
        <w:tc>
          <w:tcPr>
            <w:tcW w:w="1527" w:type="dxa"/>
            <w:tcBorders/>
            <w:vAlign w:val="bottom"/>
          </w:tcPr>
          <w:p>
            <w:pPr>
              <w:pStyle w:val="TableContents"/>
              <w:bidi w:val="0"/>
              <w:spacing w:before="0" w:after="283"/>
              <w:jc w:val="left"/>
              <w:rPr/>
            </w:pPr>
            <w:r>
              <w:rPr/>
              <w:t>Gold</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Western Australian Mint (T/a The Perth Mint)</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Australia</w:t>
            </w:r>
          </w:p>
        </w:tc>
      </w:tr>
      <w:tr>
        <w:trPr/>
        <w:tc>
          <w:tcPr>
            <w:tcW w:w="1527"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Chenzhou Yunxiang Mining and Metallurgy Co., Ltd.</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China</w:t>
            </w:r>
          </w:p>
        </w:tc>
      </w:tr>
      <w:tr>
        <w:trPr/>
        <w:tc>
          <w:tcPr>
            <w:tcW w:w="1527"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Alpha</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United States of America</w:t>
            </w:r>
          </w:p>
        </w:tc>
      </w:tr>
      <w:tr>
        <w:trPr/>
        <w:tc>
          <w:tcPr>
            <w:tcW w:w="1527"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Dowa</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Japan</w:t>
            </w:r>
          </w:p>
        </w:tc>
      </w:tr>
      <w:tr>
        <w:trPr/>
        <w:tc>
          <w:tcPr>
            <w:tcW w:w="1527"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EM Vinto</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Bolivia (Plurinational State of)</w:t>
            </w:r>
          </w:p>
        </w:tc>
      </w:tr>
      <w:tr>
        <w:trPr/>
        <w:tc>
          <w:tcPr>
            <w:tcW w:w="1527"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Fenix Metals</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Poland</w:t>
            </w:r>
          </w:p>
        </w:tc>
      </w:tr>
      <w:tr>
        <w:trPr/>
        <w:tc>
          <w:tcPr>
            <w:tcW w:w="1527"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Gejiu Non-Ferrous Metal Processing Co., Ltd.</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China</w:t>
            </w:r>
          </w:p>
        </w:tc>
      </w:tr>
      <w:tr>
        <w:trPr/>
        <w:tc>
          <w:tcPr>
            <w:tcW w:w="1527"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China Tin Group Co., Ltd.</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China</w:t>
            </w:r>
          </w:p>
        </w:tc>
      </w:tr>
      <w:tr>
        <w:trPr/>
        <w:tc>
          <w:tcPr>
            <w:tcW w:w="1527"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Malaysia Smelting Corporation (MSC)</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Malaysia</w:t>
            </w:r>
          </w:p>
        </w:tc>
      </w:tr>
      <w:tr>
        <w:trPr/>
        <w:tc>
          <w:tcPr>
            <w:tcW w:w="1527"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Metallic Resources, Inc.</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United States of America</w:t>
            </w:r>
          </w:p>
        </w:tc>
      </w:tr>
      <w:tr>
        <w:trPr/>
        <w:tc>
          <w:tcPr>
            <w:tcW w:w="1527"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Mineracao Taboca S.A.</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Brazil</w:t>
            </w:r>
          </w:p>
        </w:tc>
      </w:tr>
      <w:tr>
        <w:trPr/>
        <w:tc>
          <w:tcPr>
            <w:tcW w:w="1527"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Minsur</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Peru</w:t>
            </w:r>
          </w:p>
        </w:tc>
      </w:tr>
      <w:tr>
        <w:trPr/>
        <w:tc>
          <w:tcPr>
            <w:tcW w:w="1527"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Mitsubishi Materials Corporation</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Japan</w:t>
            </w:r>
          </w:p>
        </w:tc>
      </w:tr>
      <w:tr>
        <w:trPr/>
        <w:tc>
          <w:tcPr>
            <w:tcW w:w="1527"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Jiangxi New Nanshan Technology Ltd.</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China</w:t>
            </w:r>
          </w:p>
        </w:tc>
      </w:tr>
      <w:tr>
        <w:trPr/>
        <w:tc>
          <w:tcPr>
            <w:tcW w:w="1527"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Operaciones Metalurgicas S.A.</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Bolivia (Plurinational State of)</w:t>
            </w:r>
          </w:p>
        </w:tc>
      </w:tr>
      <w:tr>
        <w:trPr/>
        <w:tc>
          <w:tcPr>
            <w:tcW w:w="1527"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PT Mitra Stania Prima</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Indonesia</w:t>
            </w:r>
          </w:p>
        </w:tc>
      </w:tr>
      <w:tr>
        <w:trPr/>
        <w:tc>
          <w:tcPr>
            <w:tcW w:w="1527"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PT Refined Bangka Tin</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Indonesia</w:t>
            </w:r>
          </w:p>
        </w:tc>
      </w:tr>
      <w:tr>
        <w:trPr/>
        <w:tc>
          <w:tcPr>
            <w:tcW w:w="1527"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PT Timah Tbk Kundur</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Indonesia</w:t>
            </w:r>
          </w:p>
        </w:tc>
      </w:tr>
      <w:tr>
        <w:trPr/>
        <w:tc>
          <w:tcPr>
            <w:tcW w:w="1527"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PT Timah Tbk Mentok</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Indonesia</w:t>
            </w:r>
          </w:p>
        </w:tc>
      </w:tr>
      <w:tr>
        <w:trPr/>
        <w:tc>
          <w:tcPr>
            <w:tcW w:w="1527"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Thaisarco</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Thailand</w:t>
            </w:r>
          </w:p>
        </w:tc>
      </w:tr>
      <w:tr>
        <w:trPr/>
        <w:tc>
          <w:tcPr>
            <w:tcW w:w="1527"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White Solder Metalurgia e Mineracao Ltda.</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Brazil</w:t>
            </w:r>
          </w:p>
        </w:tc>
      </w:tr>
      <w:tr>
        <w:trPr/>
        <w:tc>
          <w:tcPr>
            <w:tcW w:w="1527"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Yunnan Chengfeng Non-ferrous Metals Co., Ltd.</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China</w:t>
            </w:r>
          </w:p>
        </w:tc>
      </w:tr>
      <w:tr>
        <w:trPr/>
        <w:tc>
          <w:tcPr>
            <w:tcW w:w="1527"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Tin Smelting Branch of Yunnan Tin Co., Ltd.</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China</w:t>
            </w:r>
          </w:p>
        </w:tc>
      </w:tr>
      <w:tr>
        <w:trPr/>
        <w:tc>
          <w:tcPr>
            <w:tcW w:w="1527"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O.M. Manufacturing Philippines, Inc.</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Philippines</w:t>
            </w:r>
          </w:p>
        </w:tc>
      </w:tr>
      <w:tr>
        <w:trPr/>
        <w:tc>
          <w:tcPr>
            <w:tcW w:w="1527"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Super Ligas</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Brazil</w:t>
            </w:r>
          </w:p>
        </w:tc>
      </w:tr>
      <w:tr>
        <w:trPr/>
        <w:tc>
          <w:tcPr>
            <w:tcW w:w="1527"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Aurubis Beerse</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Belgium</w:t>
            </w:r>
          </w:p>
        </w:tc>
      </w:tr>
      <w:tr>
        <w:trPr/>
        <w:tc>
          <w:tcPr>
            <w:tcW w:w="1527" w:type="dxa"/>
            <w:tcBorders/>
            <w:vAlign w:val="bottom"/>
          </w:tcPr>
          <w:p>
            <w:pPr>
              <w:pStyle w:val="TableContents"/>
              <w:bidi w:val="0"/>
              <w:spacing w:before="0" w:after="283"/>
              <w:jc w:val="left"/>
              <w:rPr/>
            </w:pPr>
            <w:r>
              <w:rPr/>
              <w:t>Tin</w:t>
            </w:r>
          </w:p>
        </w:tc>
        <w:tc>
          <w:tcPr>
            <w:tcW w:w="120" w:type="dxa"/>
            <w:tcBorders/>
            <w:vAlign w:val="bottom"/>
          </w:tcPr>
          <w:p>
            <w:pPr>
              <w:pStyle w:val="TableContents"/>
              <w:bidi w:val="0"/>
              <w:spacing w:before="0" w:after="283"/>
              <w:jc w:val="left"/>
              <w:rPr/>
            </w:pPr>
            <w:r>
              <w:rPr/>
              <w:t>  </w:t>
            </w:r>
          </w:p>
        </w:tc>
        <w:tc>
          <w:tcPr>
            <w:tcW w:w="6082" w:type="dxa"/>
            <w:tcBorders/>
            <w:vAlign w:val="bottom"/>
          </w:tcPr>
          <w:p>
            <w:pPr>
              <w:pStyle w:val="TableContents"/>
              <w:bidi w:val="0"/>
              <w:spacing w:before="0" w:after="283"/>
              <w:jc w:val="left"/>
              <w:rPr/>
            </w:pPr>
            <w:r>
              <w:rPr/>
              <w:t>Guangdong Hanhe Non-Ferrous Metal Co., Ltd.</w:t>
            </w:r>
          </w:p>
        </w:tc>
        <w:tc>
          <w:tcPr>
            <w:tcW w:w="107" w:type="dxa"/>
            <w:tcBorders/>
            <w:vAlign w:val="bottom"/>
          </w:tcPr>
          <w:p>
            <w:pPr>
              <w:pStyle w:val="TableContents"/>
              <w:bidi w:val="0"/>
              <w:spacing w:before="0" w:after="283"/>
              <w:jc w:val="left"/>
              <w:rPr/>
            </w:pPr>
            <w:r>
              <w:rPr/>
              <w:t> </w:t>
            </w:r>
          </w:p>
        </w:tc>
        <w:tc>
          <w:tcPr>
            <w:tcW w:w="2369" w:type="dxa"/>
            <w:tcBorders/>
            <w:vAlign w:val="bottom"/>
          </w:tcPr>
          <w:p>
            <w:pPr>
              <w:pStyle w:val="TableContents"/>
              <w:bidi w:val="0"/>
              <w:spacing w:before="0" w:after="283"/>
              <w:jc w:val="left"/>
              <w:rPr/>
            </w:pPr>
            <w:r>
              <w:rPr/>
              <w:t>China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602"/>
        <w:gridCol w:w="120"/>
        <w:gridCol w:w="6123"/>
        <w:gridCol w:w="106"/>
        <w:gridCol w:w="2254"/>
      </w:tblGrid>
      <w:tr>
        <w:trPr/>
        <w:tc>
          <w:tcPr>
            <w:tcW w:w="160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123"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r>
      <w:tr>
        <w:trPr/>
        <w:tc>
          <w:tcPr>
            <w:tcW w:w="1602" w:type="dxa"/>
            <w:tcBorders/>
            <w:vAlign w:val="bottom"/>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6123" w:type="dxa"/>
            <w:tcBorders/>
            <w:vAlign w:val="bottom"/>
          </w:tcPr>
          <w:p>
            <w:pPr>
              <w:pStyle w:val="TableContents"/>
              <w:bidi w:val="0"/>
              <w:spacing w:before="0" w:after="283"/>
              <w:jc w:val="left"/>
              <w:rPr/>
            </w:pPr>
            <w:r>
              <w:rPr/>
              <w:t>Chongyi Zhangyuan Tungsten Co., Ltd.</w:t>
            </w:r>
          </w:p>
        </w:tc>
        <w:tc>
          <w:tcPr>
            <w:tcW w:w="106" w:type="dxa"/>
            <w:tcBorders/>
            <w:vAlign w:val="bottom"/>
          </w:tcPr>
          <w:p>
            <w:pPr>
              <w:pStyle w:val="TableContents"/>
              <w:bidi w:val="0"/>
              <w:spacing w:before="0" w:after="283"/>
              <w:jc w:val="left"/>
              <w:rPr/>
            </w:pPr>
            <w:r>
              <w:rPr/>
              <w:t> </w:t>
            </w:r>
          </w:p>
        </w:tc>
        <w:tc>
          <w:tcPr>
            <w:tcW w:w="2254" w:type="dxa"/>
            <w:tcBorders/>
            <w:vAlign w:val="bottom"/>
          </w:tcPr>
          <w:p>
            <w:pPr>
              <w:pStyle w:val="TableContents"/>
              <w:bidi w:val="0"/>
              <w:spacing w:before="0" w:after="283"/>
              <w:jc w:val="left"/>
              <w:rPr/>
            </w:pPr>
            <w:r>
              <w:rPr/>
              <w:t>China</w:t>
            </w:r>
          </w:p>
        </w:tc>
      </w:tr>
      <w:tr>
        <w:trPr/>
        <w:tc>
          <w:tcPr>
            <w:tcW w:w="1602" w:type="dxa"/>
            <w:tcBorders/>
            <w:vAlign w:val="bottom"/>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6123" w:type="dxa"/>
            <w:tcBorders/>
            <w:vAlign w:val="bottom"/>
          </w:tcPr>
          <w:p>
            <w:pPr>
              <w:pStyle w:val="TableContents"/>
              <w:bidi w:val="0"/>
              <w:spacing w:before="0" w:after="283"/>
              <w:jc w:val="left"/>
              <w:rPr/>
            </w:pPr>
            <w:r>
              <w:rPr/>
              <w:t>Global Tungsten &amp; Powders LLC</w:t>
            </w:r>
          </w:p>
        </w:tc>
        <w:tc>
          <w:tcPr>
            <w:tcW w:w="106" w:type="dxa"/>
            <w:tcBorders/>
            <w:vAlign w:val="bottom"/>
          </w:tcPr>
          <w:p>
            <w:pPr>
              <w:pStyle w:val="TableContents"/>
              <w:bidi w:val="0"/>
              <w:spacing w:before="0" w:after="283"/>
              <w:jc w:val="left"/>
              <w:rPr/>
            </w:pPr>
            <w:r>
              <w:rPr/>
              <w:t> </w:t>
            </w:r>
          </w:p>
        </w:tc>
        <w:tc>
          <w:tcPr>
            <w:tcW w:w="2254" w:type="dxa"/>
            <w:tcBorders/>
            <w:vAlign w:val="bottom"/>
          </w:tcPr>
          <w:p>
            <w:pPr>
              <w:pStyle w:val="TableContents"/>
              <w:bidi w:val="0"/>
              <w:spacing w:before="0" w:after="283"/>
              <w:jc w:val="left"/>
              <w:rPr/>
            </w:pPr>
            <w:r>
              <w:rPr/>
              <w:t>United States of America</w:t>
            </w:r>
          </w:p>
        </w:tc>
      </w:tr>
      <w:tr>
        <w:trPr/>
        <w:tc>
          <w:tcPr>
            <w:tcW w:w="1602" w:type="dxa"/>
            <w:tcBorders/>
            <w:vAlign w:val="bottom"/>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6123" w:type="dxa"/>
            <w:tcBorders/>
            <w:vAlign w:val="bottom"/>
          </w:tcPr>
          <w:p>
            <w:pPr>
              <w:pStyle w:val="TableContents"/>
              <w:bidi w:val="0"/>
              <w:spacing w:before="0" w:after="283"/>
              <w:jc w:val="left"/>
              <w:rPr/>
            </w:pPr>
            <w:r>
              <w:rPr/>
              <w:t>Japan New Metals Co., Ltd.</w:t>
            </w:r>
          </w:p>
        </w:tc>
        <w:tc>
          <w:tcPr>
            <w:tcW w:w="106" w:type="dxa"/>
            <w:tcBorders/>
            <w:vAlign w:val="bottom"/>
          </w:tcPr>
          <w:p>
            <w:pPr>
              <w:pStyle w:val="TableContents"/>
              <w:bidi w:val="0"/>
              <w:spacing w:before="0" w:after="283"/>
              <w:jc w:val="left"/>
              <w:rPr/>
            </w:pPr>
            <w:r>
              <w:rPr/>
              <w:t> </w:t>
            </w:r>
          </w:p>
        </w:tc>
        <w:tc>
          <w:tcPr>
            <w:tcW w:w="2254" w:type="dxa"/>
            <w:tcBorders/>
            <w:vAlign w:val="bottom"/>
          </w:tcPr>
          <w:p>
            <w:pPr>
              <w:pStyle w:val="TableContents"/>
              <w:bidi w:val="0"/>
              <w:spacing w:before="0" w:after="283"/>
              <w:jc w:val="left"/>
              <w:rPr/>
            </w:pPr>
            <w:r>
              <w:rPr/>
              <w:t>Japan</w:t>
            </w:r>
          </w:p>
        </w:tc>
      </w:tr>
      <w:tr>
        <w:trPr/>
        <w:tc>
          <w:tcPr>
            <w:tcW w:w="1602" w:type="dxa"/>
            <w:tcBorders/>
            <w:vAlign w:val="bottom"/>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6123" w:type="dxa"/>
            <w:tcBorders/>
            <w:vAlign w:val="bottom"/>
          </w:tcPr>
          <w:p>
            <w:pPr>
              <w:pStyle w:val="TableContents"/>
              <w:bidi w:val="0"/>
              <w:spacing w:before="0" w:after="283"/>
              <w:jc w:val="left"/>
              <w:rPr/>
            </w:pPr>
            <w:r>
              <w:rPr/>
              <w:t>Xiamen Tungsten Co., Ltd.</w:t>
            </w:r>
          </w:p>
        </w:tc>
        <w:tc>
          <w:tcPr>
            <w:tcW w:w="106" w:type="dxa"/>
            <w:tcBorders/>
            <w:vAlign w:val="bottom"/>
          </w:tcPr>
          <w:p>
            <w:pPr>
              <w:pStyle w:val="TableContents"/>
              <w:bidi w:val="0"/>
              <w:spacing w:before="0" w:after="283"/>
              <w:jc w:val="left"/>
              <w:rPr/>
            </w:pPr>
            <w:r>
              <w:rPr/>
              <w:t> </w:t>
            </w:r>
          </w:p>
        </w:tc>
        <w:tc>
          <w:tcPr>
            <w:tcW w:w="2254" w:type="dxa"/>
            <w:tcBorders/>
            <w:vAlign w:val="bottom"/>
          </w:tcPr>
          <w:p>
            <w:pPr>
              <w:pStyle w:val="TableContents"/>
              <w:bidi w:val="0"/>
              <w:spacing w:before="0" w:after="283"/>
              <w:jc w:val="left"/>
              <w:rPr/>
            </w:pPr>
            <w:r>
              <w:rPr/>
              <w:t>China</w:t>
            </w:r>
          </w:p>
        </w:tc>
      </w:tr>
      <w:tr>
        <w:trPr/>
        <w:tc>
          <w:tcPr>
            <w:tcW w:w="1602" w:type="dxa"/>
            <w:tcBorders/>
            <w:vAlign w:val="bottom"/>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6123" w:type="dxa"/>
            <w:tcBorders/>
            <w:vAlign w:val="bottom"/>
          </w:tcPr>
          <w:p>
            <w:pPr>
              <w:pStyle w:val="TableContents"/>
              <w:bidi w:val="0"/>
              <w:spacing w:before="0" w:after="283"/>
              <w:jc w:val="left"/>
              <w:rPr/>
            </w:pPr>
            <w:r>
              <w:rPr/>
              <w:t>Xiamen Tungsten (H.C.) Co., Ltd.</w:t>
            </w:r>
          </w:p>
        </w:tc>
        <w:tc>
          <w:tcPr>
            <w:tcW w:w="106" w:type="dxa"/>
            <w:tcBorders/>
            <w:vAlign w:val="bottom"/>
          </w:tcPr>
          <w:p>
            <w:pPr>
              <w:pStyle w:val="TableContents"/>
              <w:bidi w:val="0"/>
              <w:spacing w:before="0" w:after="283"/>
              <w:jc w:val="left"/>
              <w:rPr/>
            </w:pPr>
            <w:r>
              <w:rPr/>
              <w:t> </w:t>
            </w:r>
          </w:p>
        </w:tc>
        <w:tc>
          <w:tcPr>
            <w:tcW w:w="2254" w:type="dxa"/>
            <w:tcBorders/>
            <w:vAlign w:val="bottom"/>
          </w:tcPr>
          <w:p>
            <w:pPr>
              <w:pStyle w:val="TableContents"/>
              <w:bidi w:val="0"/>
              <w:spacing w:before="0" w:after="283"/>
              <w:jc w:val="left"/>
              <w:rPr/>
            </w:pPr>
            <w:r>
              <w:rPr/>
              <w:t>China</w:t>
            </w:r>
          </w:p>
        </w:tc>
      </w:tr>
      <w:tr>
        <w:trPr/>
        <w:tc>
          <w:tcPr>
            <w:tcW w:w="1602" w:type="dxa"/>
            <w:tcBorders/>
            <w:vAlign w:val="bottom"/>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6123" w:type="dxa"/>
            <w:tcBorders/>
            <w:vAlign w:val="bottom"/>
          </w:tcPr>
          <w:p>
            <w:pPr>
              <w:pStyle w:val="TableContents"/>
              <w:bidi w:val="0"/>
              <w:spacing w:before="0" w:after="283"/>
              <w:jc w:val="left"/>
              <w:rPr/>
            </w:pPr>
            <w:r>
              <w:rPr/>
              <w:t>Hunan Shizhuyuan Nonferrous Metals Co., Ltd. Chenzhou Tungsten Products Branch</w:t>
            </w:r>
          </w:p>
        </w:tc>
        <w:tc>
          <w:tcPr>
            <w:tcW w:w="106" w:type="dxa"/>
            <w:tcBorders/>
            <w:vAlign w:val="bottom"/>
          </w:tcPr>
          <w:p>
            <w:pPr>
              <w:pStyle w:val="TableContents"/>
              <w:bidi w:val="0"/>
              <w:spacing w:before="0" w:after="283"/>
              <w:jc w:val="left"/>
              <w:rPr/>
            </w:pPr>
            <w:r>
              <w:rPr/>
              <w:t> </w:t>
            </w:r>
          </w:p>
        </w:tc>
        <w:tc>
          <w:tcPr>
            <w:tcW w:w="2254" w:type="dxa"/>
            <w:tcBorders/>
            <w:vAlign w:val="bottom"/>
          </w:tcPr>
          <w:p>
            <w:pPr>
              <w:pStyle w:val="TableContents"/>
              <w:bidi w:val="0"/>
              <w:spacing w:before="0" w:after="283"/>
              <w:jc w:val="left"/>
              <w:rPr/>
            </w:pPr>
            <w:r>
              <w:rPr/>
              <w:t>China</w:t>
            </w:r>
          </w:p>
        </w:tc>
      </w:tr>
      <w:tr>
        <w:trPr/>
        <w:tc>
          <w:tcPr>
            <w:tcW w:w="1602" w:type="dxa"/>
            <w:tcBorders/>
            <w:vAlign w:val="bottom"/>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6123" w:type="dxa"/>
            <w:tcBorders/>
            <w:vAlign w:val="bottom"/>
          </w:tcPr>
          <w:p>
            <w:pPr>
              <w:pStyle w:val="TableContents"/>
              <w:bidi w:val="0"/>
              <w:spacing w:before="0" w:after="283"/>
              <w:jc w:val="left"/>
              <w:rPr/>
            </w:pPr>
            <w:r>
              <w:rPr/>
              <w:t>Ganzhou Seadragon W &amp; Mo Co., Ltd.</w:t>
            </w:r>
          </w:p>
        </w:tc>
        <w:tc>
          <w:tcPr>
            <w:tcW w:w="106" w:type="dxa"/>
            <w:tcBorders/>
            <w:vAlign w:val="bottom"/>
          </w:tcPr>
          <w:p>
            <w:pPr>
              <w:pStyle w:val="TableContents"/>
              <w:bidi w:val="0"/>
              <w:spacing w:before="0" w:after="283"/>
              <w:jc w:val="left"/>
              <w:rPr/>
            </w:pPr>
            <w:r>
              <w:rPr/>
              <w:t> </w:t>
            </w:r>
          </w:p>
        </w:tc>
        <w:tc>
          <w:tcPr>
            <w:tcW w:w="2254" w:type="dxa"/>
            <w:tcBorders/>
            <w:vAlign w:val="bottom"/>
          </w:tcPr>
          <w:p>
            <w:pPr>
              <w:pStyle w:val="TableContents"/>
              <w:bidi w:val="0"/>
              <w:spacing w:before="0" w:after="283"/>
              <w:jc w:val="left"/>
              <w:rPr/>
            </w:pPr>
            <w:r>
              <w:rPr/>
              <w:t>China</w:t>
            </w:r>
          </w:p>
        </w:tc>
      </w:tr>
      <w:tr>
        <w:trPr/>
        <w:tc>
          <w:tcPr>
            <w:tcW w:w="1602" w:type="dxa"/>
            <w:tcBorders/>
            <w:vAlign w:val="bottom"/>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6123" w:type="dxa"/>
            <w:tcBorders/>
            <w:vAlign w:val="bottom"/>
          </w:tcPr>
          <w:p>
            <w:pPr>
              <w:pStyle w:val="TableContents"/>
              <w:bidi w:val="0"/>
              <w:spacing w:before="0" w:after="283"/>
              <w:jc w:val="left"/>
              <w:rPr/>
            </w:pPr>
            <w:r>
              <w:rPr/>
              <w:t>H.C. Starck Tungsten GmbH</w:t>
            </w:r>
          </w:p>
        </w:tc>
        <w:tc>
          <w:tcPr>
            <w:tcW w:w="106" w:type="dxa"/>
            <w:tcBorders/>
            <w:vAlign w:val="bottom"/>
          </w:tcPr>
          <w:p>
            <w:pPr>
              <w:pStyle w:val="TableContents"/>
              <w:bidi w:val="0"/>
              <w:spacing w:before="0" w:after="283"/>
              <w:jc w:val="left"/>
              <w:rPr/>
            </w:pPr>
            <w:r>
              <w:rPr/>
              <w:t> </w:t>
            </w:r>
          </w:p>
        </w:tc>
        <w:tc>
          <w:tcPr>
            <w:tcW w:w="2254" w:type="dxa"/>
            <w:tcBorders/>
            <w:vAlign w:val="bottom"/>
          </w:tcPr>
          <w:p>
            <w:pPr>
              <w:pStyle w:val="TableContents"/>
              <w:bidi w:val="0"/>
              <w:spacing w:before="0" w:after="283"/>
              <w:jc w:val="left"/>
              <w:rPr/>
            </w:pPr>
            <w:r>
              <w:rPr/>
              <w:t>Germany</w:t>
            </w:r>
          </w:p>
        </w:tc>
      </w:tr>
      <w:tr>
        <w:trPr/>
        <w:tc>
          <w:tcPr>
            <w:tcW w:w="1602" w:type="dxa"/>
            <w:tcBorders/>
            <w:vAlign w:val="bottom"/>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6123" w:type="dxa"/>
            <w:tcBorders/>
            <w:vAlign w:val="bottom"/>
          </w:tcPr>
          <w:p>
            <w:pPr>
              <w:pStyle w:val="TableContents"/>
              <w:bidi w:val="0"/>
              <w:spacing w:before="0" w:after="283"/>
              <w:jc w:val="left"/>
              <w:rPr/>
            </w:pPr>
            <w:r>
              <w:rPr/>
              <w:t>Masan High-Tech Materials</w:t>
            </w:r>
          </w:p>
        </w:tc>
        <w:tc>
          <w:tcPr>
            <w:tcW w:w="106" w:type="dxa"/>
            <w:tcBorders/>
            <w:vAlign w:val="bottom"/>
          </w:tcPr>
          <w:p>
            <w:pPr>
              <w:pStyle w:val="TableContents"/>
              <w:bidi w:val="0"/>
              <w:spacing w:before="0" w:after="283"/>
              <w:jc w:val="left"/>
              <w:rPr/>
            </w:pPr>
            <w:r>
              <w:rPr/>
              <w:t> </w:t>
            </w:r>
          </w:p>
        </w:tc>
        <w:tc>
          <w:tcPr>
            <w:tcW w:w="2254" w:type="dxa"/>
            <w:tcBorders/>
            <w:vAlign w:val="bottom"/>
          </w:tcPr>
          <w:p>
            <w:pPr>
              <w:pStyle w:val="TableContents"/>
              <w:bidi w:val="0"/>
              <w:spacing w:before="0" w:after="283"/>
              <w:jc w:val="left"/>
              <w:rPr/>
            </w:pPr>
            <w:r>
              <w:rPr/>
              <w:t>Vietnam</w:t>
            </w:r>
          </w:p>
        </w:tc>
      </w:tr>
      <w:tr>
        <w:trPr/>
        <w:tc>
          <w:tcPr>
            <w:tcW w:w="1602" w:type="dxa"/>
            <w:tcBorders/>
            <w:vAlign w:val="bottom"/>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6123" w:type="dxa"/>
            <w:tcBorders/>
            <w:vAlign w:val="bottom"/>
          </w:tcPr>
          <w:p>
            <w:pPr>
              <w:pStyle w:val="TableContents"/>
              <w:bidi w:val="0"/>
              <w:spacing w:before="0" w:after="283"/>
              <w:jc w:val="left"/>
              <w:rPr/>
            </w:pPr>
            <w:r>
              <w:rPr/>
              <w:t>Jiangwu H.C. Starck Tungsten Products Co., Ltd.</w:t>
            </w:r>
          </w:p>
        </w:tc>
        <w:tc>
          <w:tcPr>
            <w:tcW w:w="106" w:type="dxa"/>
            <w:tcBorders/>
            <w:vAlign w:val="bottom"/>
          </w:tcPr>
          <w:p>
            <w:pPr>
              <w:pStyle w:val="TableContents"/>
              <w:bidi w:val="0"/>
              <w:spacing w:before="0" w:after="283"/>
              <w:jc w:val="left"/>
              <w:rPr/>
            </w:pPr>
            <w:r>
              <w:rPr/>
              <w:t> </w:t>
            </w:r>
          </w:p>
        </w:tc>
        <w:tc>
          <w:tcPr>
            <w:tcW w:w="2254" w:type="dxa"/>
            <w:tcBorders/>
            <w:vAlign w:val="bottom"/>
          </w:tcPr>
          <w:p>
            <w:pPr>
              <w:pStyle w:val="TableContents"/>
              <w:bidi w:val="0"/>
              <w:spacing w:before="0" w:after="283"/>
              <w:jc w:val="left"/>
              <w:rPr/>
            </w:pPr>
            <w:r>
              <w:rPr/>
              <w:t>China</w:t>
            </w:r>
          </w:p>
        </w:tc>
      </w:tr>
      <w:tr>
        <w:trPr/>
        <w:tc>
          <w:tcPr>
            <w:tcW w:w="1602" w:type="dxa"/>
            <w:tcBorders/>
            <w:vAlign w:val="bottom"/>
          </w:tcPr>
          <w:p>
            <w:pPr>
              <w:pStyle w:val="TableContents"/>
              <w:bidi w:val="0"/>
              <w:spacing w:before="0" w:after="283"/>
              <w:jc w:val="left"/>
              <w:rPr/>
            </w:pPr>
            <w:r>
              <w:rPr/>
              <w:t>Tungsten</w:t>
            </w:r>
          </w:p>
        </w:tc>
        <w:tc>
          <w:tcPr>
            <w:tcW w:w="120" w:type="dxa"/>
            <w:tcBorders/>
            <w:vAlign w:val="bottom"/>
          </w:tcPr>
          <w:p>
            <w:pPr>
              <w:pStyle w:val="TableContents"/>
              <w:bidi w:val="0"/>
              <w:spacing w:before="0" w:after="283"/>
              <w:jc w:val="left"/>
              <w:rPr/>
            </w:pPr>
            <w:r>
              <w:rPr/>
              <w:t>  </w:t>
            </w:r>
          </w:p>
        </w:tc>
        <w:tc>
          <w:tcPr>
            <w:tcW w:w="6123" w:type="dxa"/>
            <w:tcBorders/>
            <w:vAlign w:val="bottom"/>
          </w:tcPr>
          <w:p>
            <w:pPr>
              <w:pStyle w:val="TableContents"/>
              <w:bidi w:val="0"/>
              <w:spacing w:before="0" w:after="283"/>
              <w:jc w:val="left"/>
              <w:rPr/>
            </w:pPr>
            <w:r>
              <w:rPr/>
              <w:t>Niagara Refining LLC</w:t>
            </w:r>
          </w:p>
        </w:tc>
        <w:tc>
          <w:tcPr>
            <w:tcW w:w="106" w:type="dxa"/>
            <w:tcBorders/>
            <w:vAlign w:val="bottom"/>
          </w:tcPr>
          <w:p>
            <w:pPr>
              <w:pStyle w:val="TableContents"/>
              <w:bidi w:val="0"/>
              <w:spacing w:before="0" w:after="283"/>
              <w:jc w:val="left"/>
              <w:rPr/>
            </w:pPr>
            <w:r>
              <w:rPr/>
              <w:t> </w:t>
            </w:r>
          </w:p>
        </w:tc>
        <w:tc>
          <w:tcPr>
            <w:tcW w:w="2254" w:type="dxa"/>
            <w:tcBorders/>
            <w:vAlign w:val="bottom"/>
          </w:tcPr>
          <w:p>
            <w:pPr>
              <w:pStyle w:val="TableContents"/>
              <w:bidi w:val="0"/>
              <w:spacing w:before="0" w:after="283"/>
              <w:jc w:val="left"/>
              <w:rPr/>
            </w:pPr>
            <w:r>
              <w:rPr/>
              <w:t>United States of America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3889</Words>
  <Characters>21632</Characters>
  <CharactersWithSpaces>25343</CharactersWithSpaces>
  <Paragraphs>603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