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May 26,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MAGNACHIP SEMICONDUCTOR CORPORATION</w:t>
      </w:r>
    </w:p>
    <w:p>
      <w:pPr>
        <w:spacing w:after="0" w:line="50"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001-34791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83-0406195</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c/o MagnaChip Semiconductor S.A.</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1, Allée Scheffer, L-2520</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Luxembourg , Grand Duchy of Luxembourg</w:t>
      </w:r>
    </w:p>
    <w:p>
      <w:pPr>
        <w:spacing w:after="0" w:line="2"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(Zip Code)</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(352) 45-62-62</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234950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385"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MX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As previously disclosed, on March 25, 2021, Magnachip Semiconductor Corporation, a Delaware corporation (the “Company”), South Dearborn Limited, an exempted company incorporated in the Cayman Islands with limited liability (“Parent”) formed by an affiliate of Wise Road Capital LTD (“Wise Road”), and Michigan Merger Sub, Inc., a Delaware corporation and a wholly owned subsidiary of Parent (“Merger Sub”), entered into an Agreement and Plan of Merger (the “Merger Agreement”). The Merger Agreement provides that, among other things, Merger Sub will be merged with and into the Company (the “Merger”), with the Company continuing its corporate existence under the General Corporation Law of the State of Delaware as the surviving corporation in the Merger and becoming a wholly owned subsidiary of Parent. In connection with the Merger, the Company filed its definitive proxy statement on Schedule 14A with the U.S. Securities and Exchange Commission (the “SEC”) on May 7, 2021 (the “Proxy Statement”).</w:t>
      </w:r>
    </w:p>
    <w:p>
      <w:pPr>
        <w:spacing w:after="0" w:line="166" w:lineRule="exact"/>
        <w:rPr>
          <w:sz w:val="20"/>
          <w:szCs w:val="20"/>
          <w:color w:val="auto"/>
        </w:rPr>
      </w:pPr>
    </w:p>
    <w:p>
      <w:pPr>
        <w:ind w:right="40" w:firstLine="440"/>
        <w:spacing w:after="0" w:line="311" w:lineRule="auto"/>
        <w:rPr>
          <w:sz w:val="20"/>
          <w:szCs w:val="20"/>
          <w:color w:val="auto"/>
        </w:rPr>
      </w:pPr>
      <w:r>
        <w:rPr>
          <w:rFonts w:ascii="Arial" w:cs="Arial" w:eastAsia="Arial" w:hAnsi="Arial"/>
          <w:sz w:val="16"/>
          <w:szCs w:val="16"/>
          <w:color w:val="auto"/>
        </w:rPr>
        <w:t>On May 26, 2021, outside legal counsel of each of the Company and Parent received an e-mail from the U.S. Department of Treasury on behalf of the Staff Chairperson of the Committee on Foreign Investment in the United States (“CFIUS”). In the e-mail, the CFIUS Staff Chairperson, acting on the recommendation of CFIUS, requested that the parties file a notice concerning the Merger and thereby undergo formal CFIUS review of the Merger.</w:t>
      </w:r>
    </w:p>
    <w:p>
      <w:pPr>
        <w:spacing w:after="0" w:line="149"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While the Company continues to believe that there should not be any approvals required for the Merger in the United States, it will cooperate with CFIUS by filing a joint voluntary notice with CFIUS under the Defense Production Act of 1950, as amended, and responding to any further questions from CFIUS regarding the Merger. As previously noted, the Company is a holding company. All manufacturing and research and development activities take place in South Korea, and substantially all sales activities take place in South Korea, with the remainder of sales operations located in China, Hong Kong, Taiwan, Japan and Germany. Substantially all of the employees are based in South Korea and employed by Magnachip Semiconductor, Ltd., the Korean operating company (“MSK”); and the remainder of the employees are located outside the United States. There are no tangible assets or IT systems located in the United States, and all intellectual property is owned by MSK or, to a very limited degree, other non-U.S. subsidiaries of the Company.</w:t>
      </w:r>
    </w:p>
    <w:p>
      <w:pPr>
        <w:spacing w:after="0" w:line="192" w:lineRule="exact"/>
        <w:rPr>
          <w:sz w:val="20"/>
          <w:szCs w:val="20"/>
          <w:color w:val="auto"/>
        </w:rPr>
      </w:pPr>
    </w:p>
    <w:p>
      <w:pPr>
        <w:jc w:val="both"/>
        <w:ind w:right="400" w:firstLine="440"/>
        <w:spacing w:after="0" w:line="263" w:lineRule="auto"/>
        <w:rPr>
          <w:sz w:val="20"/>
          <w:szCs w:val="20"/>
          <w:color w:val="auto"/>
        </w:rPr>
      </w:pPr>
      <w:r>
        <w:rPr>
          <w:rFonts w:ascii="Arial" w:cs="Arial" w:eastAsia="Arial" w:hAnsi="Arial"/>
          <w:sz w:val="18"/>
          <w:szCs w:val="18"/>
          <w:color w:val="auto"/>
        </w:rPr>
        <w:t>Under the terms of the Merger Agreement, the parties’ receipt of the request from CFIUS to file a notice concerning the Merger results in the closing of the Merger now being conditioned on the receipt of CFIUS approval without the imposition of a burdensome condition as defined in the Merger Agreement.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 xml:space="preserve">This communication is being made in respect of the proposed transaction involving the Company and Wise Road. In connection with the proposed transaction, the Company has filed relevant materials with the SEC, including the Proxy Statement. Promptly after filing the Proxy Statement with the SEC, the Company mailed the Proxy Statement and a proxy card to each shareholder of the Company entitled to vote at the special meeting relating to the proposed transaction. This communication is not a substitute for the Proxy Statement or any other document that the Company may file with the SEC or send to its shareholders in connection with the proposed transaction. BEFORE MAKING ANY VOTING DECISION, SHAREHOLDERS OF MAGNACHIP ARE URGED TO READ THESE MATERIALS (INCLUDING ANY AMENDMENTS OR SUPPLEMENTS THERETO) AND ANY OTHER RELEVANT DOCUMENTS IN CONNECTION WITH THE PROPOSED TRANSACTION THAT MAGNACHIP WILL FILE WITH THE SEC WHEN THEY BECOME AVAILABLE BECAUSE THEY WILL CONTAIN IMPORTANT INFORMATION ABOUT THE PROPOSED TRANSACTION AND THE PARTIES TO THE PROPOSED TRANSACTION. The Proxy Statement and other relevant materials in connection with the proposed transaction, and any other documents filed by the Company with the SEC, may be obtained free of charge at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or at the Company’s website at </w:t>
      </w:r>
      <w:r>
        <w:rPr>
          <w:rFonts w:ascii="Arial" w:cs="Arial" w:eastAsia="Arial" w:hAnsi="Arial"/>
          <w:sz w:val="17"/>
          <w:szCs w:val="17"/>
          <w:u w:val="single" w:color="auto"/>
          <w:color w:val="auto"/>
        </w:rPr>
        <w:t>www.magnachip.com</w:t>
      </w:r>
      <w:r>
        <w:rPr>
          <w:rFonts w:ascii="Arial" w:cs="Arial" w:eastAsia="Arial" w:hAnsi="Arial"/>
          <w:sz w:val="17"/>
          <w:szCs w:val="17"/>
          <w:color w:val="auto"/>
        </w:rPr>
        <w: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97"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Participants in the Solicitation</w:t>
      </w:r>
    </w:p>
    <w:p>
      <w:pPr>
        <w:spacing w:after="0" w:line="12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 xml:space="preserve">This communication does not constitute a solicitation of proxy, an offer to purchase, or a solicitation of an offer to sell any securities. The Board and the Company’s executive officers are, and certain employees may be, deemed to be participants in the solicitation of proxies from shareholders in connection with the proposed transaction. Information regarding the names of such persons and their respective interests in the proposed transaction, by securities holdings or otherwise, are set forth in the Proxy Statement. Additional information regarding these individuals is set forth in the Company’s Annual Report on Form 10-K for the fiscal year ended December 31, 2020, filed with the SEC on March 9, 2021, and Annual Report Amendment No. 1 on Form 10-K/A for the year ended December 31, 2020, filed with the SEC on April 30, 2021. To the extent the Company’s directors and executive officers or their holdings of the Company’s securities have changed from the amounts disclosed in those filings, to the Company’s knowledge, such changes have been or will be reflected on initial statements of beneficial ownership on Form 3 or statements of change in ownership on Form 4 on file with the SEC. These documents are (or, when filed, will be) available free of charge at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or at the Company’s website at </w:t>
      </w:r>
      <w:r>
        <w:rPr>
          <w:rFonts w:ascii="Arial" w:cs="Arial" w:eastAsia="Arial" w:hAnsi="Arial"/>
          <w:sz w:val="17"/>
          <w:szCs w:val="17"/>
          <w:u w:val="single" w:color="auto"/>
          <w:color w:val="auto"/>
        </w:rPr>
        <w:t>www.magnachip.com</w:t>
      </w:r>
      <w:r>
        <w:rPr>
          <w:rFonts w:ascii="Arial" w:cs="Arial" w:eastAsia="Arial" w:hAnsi="Arial"/>
          <w:sz w:val="17"/>
          <w:szCs w:val="17"/>
          <w:color w:val="auto"/>
        </w:rPr>
        <w: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This communication contains forward-looking statements within the meaning of the Private Securities Litigation Reform Act of 1995 that are subject to the safe harbor created thereby. Statements that are not historical or current facts, including statements about beliefs and expectations and statements relating to the proposed transaction among the Company and Wise Road and expressions of confidence, are forward-looking statements. These forward-looking statements are often, but not always, made through the use of words or phrases such as “may,” “will,” “will be,” “anticipate,” “estimate,” “plan,” “project,” “continuing,” “ongoing,” “expect,” “believe(s),” “intend,” “predict,” “potential,” “future,” “strategy,” “opportunity” and similar words or phrases or the negatives of these words or phrases. Forward-looking statements involve inherent risks and uncertainties, and important factors could cause actual results to differ materially from those anticipated, including, but not limited to: the possibility that any or all of the conditions precedent to the consummation of the proposed transaction, including, the receipt of shareholder and regulatory approvals, may not be satisfied or waived; unanticipated difficulties or expenditures relating to the proposed transaction; that the transaction may not be completed in a timely manner or at all; the occurrence of any event, change or circumstance that could give rise to the termination of the Merger Agreement with respect to the proposed transaction with Wise Road; the diversion of and attention of management of the Company on transaction-related issues; legal proceedings, judgments or settlements, including those that may be instituted against the Company, the Board and the Company’s executive officers and others following the announcement of the proposed transaction; disruptions of current plans and operations caused by the announcement and pendency of the proposed transaction; potential difficulties in employee retention due to the announcement and pendency of the proposed transaction; the response of customers, suppliers, business partners and regulators to the announcement of the proposed transaction; and other risks and uncertainties and the factors identified under “Risk Factors” in Part I, Item 1A of the Company’s Annual Report on Form 10-K for the year ended December 31, 2020, and updated in subsequent reports filed by the Company with the SEC. These reports are available at </w:t>
      </w:r>
      <w:r>
        <w:rPr>
          <w:rFonts w:ascii="Arial" w:cs="Arial" w:eastAsia="Arial" w:hAnsi="Arial"/>
          <w:sz w:val="17"/>
          <w:szCs w:val="17"/>
          <w:u w:val="single" w:color="auto"/>
          <w:color w:val="auto"/>
        </w:rPr>
        <w:t>www.magnachip.com</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www.sec.gov</w:t>
      </w:r>
      <w:r>
        <w:rPr>
          <w:rFonts w:ascii="Arial" w:cs="Arial" w:eastAsia="Arial" w:hAnsi="Arial"/>
          <w:sz w:val="17"/>
          <w:szCs w:val="17"/>
          <w:color w:val="auto"/>
        </w:rPr>
        <w:t>. Forward-looking statements speak only as of the date they are made, and the Company undertakes no obligation to update them in light of new information or future events.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97" w:right="4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28,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MAGNACHIP SEMICONDUCTOR CORPORATION</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Theodore Kim</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7"/>
          <w:szCs w:val="17"/>
          <w:color w:val="auto"/>
        </w:rPr>
        <w:t>Title:</w:t>
        <w:tab/>
        <w:t>Chief Compliance Officer, General Counsel and</w:t>
      </w:r>
    </w:p>
    <w:p>
      <w:pPr>
        <w:spacing w:after="0" w:line="2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Secretary</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sectPr>
      <w:pgSz w:w="11900" w:h="16838" w:orient="portrait"/>
      <w:cols w:equalWidth="0" w:num="1">
        <w:col w:w="11000"/>
      </w:cols>
      <w:pgMar w:left="440" w:top="29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2021-05-29T01:42:49Z</dcterms:created>
  <dcterms:modified xsi:type="dcterms:W3CDTF">2021-05-29T01:42:49Z</dcterms:modified>
</cp:coreProperties>
</file>