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59690</wp:posOffset>
            </wp:positionH>
            <wp:positionV relativeFrom="page">
              <wp:posOffset>59690</wp:posOffset>
            </wp:positionV>
            <wp:extent cx="7650480" cy="161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161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SCHEDULE 13G</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(Amendment No. 2)*</w:t>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762508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74" w:lineRule="exact"/>
        <w:rPr>
          <w:sz w:val="24"/>
          <w:szCs w:val="24"/>
          <w:color w:val="auto"/>
        </w:rPr>
      </w:pPr>
    </w:p>
    <w:p>
      <w:pPr>
        <w:ind w:left="5360"/>
        <w:spacing w:after="0"/>
        <w:rPr>
          <w:sz w:val="20"/>
          <w:szCs w:val="20"/>
          <w:color w:val="auto"/>
        </w:rPr>
      </w:pPr>
      <w:r>
        <w:rPr>
          <w:rFonts w:ascii="Arial" w:cs="Arial" w:eastAsia="Arial" w:hAnsi="Arial"/>
          <w:sz w:val="19"/>
          <w:szCs w:val="19"/>
          <w:color w:val="auto"/>
        </w:rPr>
        <w:t>(Name of Issuer)</w:t>
      </w:r>
    </w:p>
    <w:p>
      <w:pPr>
        <w:spacing w:after="0" w:line="161" w:lineRule="exact"/>
        <w:rPr>
          <w:sz w:val="24"/>
          <w:szCs w:val="24"/>
          <w:color w:val="auto"/>
        </w:rPr>
      </w:pPr>
    </w:p>
    <w:p>
      <w:pPr>
        <w:ind w:left="4300"/>
        <w:spacing w:after="0"/>
        <w:rPr>
          <w:sz w:val="20"/>
          <w:szCs w:val="20"/>
          <w:color w:val="auto"/>
        </w:rPr>
      </w:pPr>
      <w:r>
        <w:rPr>
          <w:rFonts w:ascii="Arial" w:cs="Arial" w:eastAsia="Arial" w:hAnsi="Arial"/>
          <w:sz w:val="19"/>
          <w:szCs w:val="19"/>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4" w:lineRule="exact"/>
        <w:rPr>
          <w:sz w:val="24"/>
          <w:szCs w:val="24"/>
          <w:color w:val="auto"/>
        </w:rPr>
      </w:pPr>
    </w:p>
    <w:p>
      <w:pPr>
        <w:ind w:left="4920"/>
        <w:spacing w:after="0"/>
        <w:rPr>
          <w:sz w:val="20"/>
          <w:szCs w:val="20"/>
          <w:color w:val="auto"/>
        </w:rPr>
      </w:pPr>
      <w:r>
        <w:rPr>
          <w:rFonts w:ascii="Arial" w:cs="Arial" w:eastAsia="Arial" w:hAnsi="Arial"/>
          <w:sz w:val="19"/>
          <w:szCs w:val="19"/>
          <w:color w:val="auto"/>
        </w:rPr>
        <w:t>(Title of Class of Securities)</w:t>
      </w:r>
    </w:p>
    <w:p>
      <w:pPr>
        <w:spacing w:after="0" w:line="161" w:lineRule="exact"/>
        <w:rPr>
          <w:sz w:val="24"/>
          <w:szCs w:val="24"/>
          <w:color w:val="auto"/>
        </w:rPr>
      </w:pPr>
    </w:p>
    <w:p>
      <w:pPr>
        <w:ind w:left="5580"/>
        <w:spacing w:after="0"/>
        <w:rPr>
          <w:sz w:val="20"/>
          <w:szCs w:val="20"/>
          <w:color w:val="auto"/>
        </w:rPr>
      </w:pPr>
      <w:r>
        <w:rPr>
          <w:rFonts w:ascii="Arial" w:cs="Arial" w:eastAsia="Arial" w:hAnsi="Arial"/>
          <w:sz w:val="19"/>
          <w:szCs w:val="19"/>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4" w:lineRule="exact"/>
        <w:rPr>
          <w:sz w:val="24"/>
          <w:szCs w:val="24"/>
          <w:color w:val="auto"/>
        </w:rPr>
      </w:pPr>
    </w:p>
    <w:p>
      <w:pPr>
        <w:ind w:left="5340"/>
        <w:spacing w:after="0"/>
        <w:rPr>
          <w:sz w:val="20"/>
          <w:szCs w:val="20"/>
          <w:color w:val="auto"/>
        </w:rPr>
      </w:pPr>
      <w:r>
        <w:rPr>
          <w:rFonts w:ascii="Arial" w:cs="Arial" w:eastAsia="Arial" w:hAnsi="Arial"/>
          <w:sz w:val="19"/>
          <w:szCs w:val="19"/>
          <w:color w:val="auto"/>
        </w:rPr>
        <w:t>(CUSIP Number)</w:t>
      </w:r>
    </w:p>
    <w:p>
      <w:pPr>
        <w:spacing w:after="0" w:line="161" w:lineRule="exact"/>
        <w:rPr>
          <w:sz w:val="24"/>
          <w:szCs w:val="24"/>
          <w:color w:val="auto"/>
        </w:rPr>
      </w:pPr>
    </w:p>
    <w:p>
      <w:pPr>
        <w:ind w:left="5240"/>
        <w:spacing w:after="0"/>
        <w:rPr>
          <w:sz w:val="20"/>
          <w:szCs w:val="20"/>
          <w:color w:val="auto"/>
        </w:rPr>
      </w:pPr>
      <w:r>
        <w:rPr>
          <w:rFonts w:ascii="Arial" w:cs="Arial" w:eastAsia="Arial" w:hAnsi="Arial"/>
          <w:sz w:val="19"/>
          <w:szCs w:val="19"/>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62508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24" w:lineRule="exact"/>
        <w:rPr>
          <w:sz w:val="24"/>
          <w:szCs w:val="24"/>
          <w:color w:val="auto"/>
        </w:rPr>
      </w:pPr>
    </w:p>
    <w:p>
      <w:pPr>
        <w:ind w:left="3880"/>
        <w:spacing w:after="0"/>
        <w:rPr>
          <w:sz w:val="20"/>
          <w:szCs w:val="20"/>
          <w:color w:val="auto"/>
        </w:rPr>
      </w:pPr>
      <w:r>
        <w:rPr>
          <w:rFonts w:ascii="Arial" w:cs="Arial" w:eastAsia="Arial" w:hAnsi="Arial"/>
          <w:sz w:val="19"/>
          <w:szCs w:val="19"/>
          <w:color w:val="auto"/>
        </w:rPr>
        <w:t>(Date of Event which Requires Filing of this Statement)</w:t>
      </w:r>
    </w:p>
    <w:p>
      <w:pPr>
        <w:spacing w:after="0" w:line="266"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ectPr>
          <w:pgSz w:w="12240" w:h="15840" w:orient="portrait"/>
          <w:cols w:equalWidth="0" w:num="1">
            <w:col w:w="12000"/>
          </w:cols>
          <w:pgMar w:left="120" w:top="711" w:right="120" w:bottom="1440" w:gutter="0" w:footer="0" w:header="0"/>
        </w:sectPr>
      </w:pPr>
    </w:p>
    <w:p>
      <w:pPr>
        <w:spacing w:after="0" w:line="266" w:lineRule="exact"/>
        <w:rPr>
          <w:sz w:val="24"/>
          <w:szCs w:val="24"/>
          <w:color w:val="auto"/>
        </w:rPr>
      </w:pPr>
    </w:p>
    <w:p>
      <w:pPr>
        <w:spacing w:after="0"/>
        <w:rPr>
          <w:sz w:val="20"/>
          <w:szCs w:val="20"/>
          <w:color w:val="auto"/>
        </w:rPr>
      </w:pPr>
      <w:r>
        <w:rPr>
          <w:rFonts w:ascii="Arial" w:cs="Arial" w:eastAsia="Arial" w:hAnsi="Arial"/>
          <w:sz w:val="19"/>
          <w:szCs w:val="19"/>
          <w:color w:val="auto"/>
        </w:rPr>
        <w:t>â˜</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â˜’</w:t>
      </w:r>
    </w:p>
    <w:p>
      <w:pPr>
        <w:spacing w:after="0" w:line="21" w:lineRule="exact"/>
        <w:rPr>
          <w:sz w:val="24"/>
          <w:szCs w:val="24"/>
          <w:color w:val="auto"/>
        </w:rPr>
      </w:pPr>
    </w:p>
    <w:p>
      <w:pPr>
        <w:spacing w:after="0"/>
        <w:rPr>
          <w:sz w:val="20"/>
          <w:szCs w:val="20"/>
          <w:color w:val="auto"/>
        </w:rPr>
      </w:pPr>
      <w:r>
        <w:rPr>
          <w:rFonts w:ascii="Arial" w:cs="Arial" w:eastAsia="Arial" w:hAnsi="Arial"/>
          <w:sz w:val="19"/>
          <w:szCs w:val="19"/>
          <w:color w:val="auto"/>
        </w:rPr>
        <w:t>â˜</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Arial" w:cs="Arial" w:eastAsia="Arial" w:hAnsi="Arial"/>
          <w:sz w:val="17"/>
          <w:szCs w:val="17"/>
          <w:color w:val="auto"/>
        </w:rPr>
        <w:t>Rule 13d-1(b)</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Rule 13d-1(c)</w:t>
      </w:r>
    </w:p>
    <w:p>
      <w:pPr>
        <w:spacing w:after="0" w:line="33" w:lineRule="exact"/>
        <w:rPr>
          <w:sz w:val="24"/>
          <w:szCs w:val="24"/>
          <w:color w:val="auto"/>
        </w:rPr>
      </w:pPr>
    </w:p>
    <w:p>
      <w:pPr>
        <w:spacing w:after="0"/>
        <w:rPr>
          <w:sz w:val="20"/>
          <w:szCs w:val="20"/>
          <w:color w:val="auto"/>
        </w:rPr>
      </w:pPr>
      <w:r>
        <w:rPr>
          <w:rFonts w:ascii="Arial" w:cs="Arial" w:eastAsia="Arial" w:hAnsi="Arial"/>
          <w:sz w:val="17"/>
          <w:szCs w:val="17"/>
          <w:color w:val="auto"/>
        </w:rPr>
        <w:t>Rule 13d-1(d)</w:t>
      </w:r>
    </w:p>
    <w:p>
      <w:pPr>
        <w:spacing w:after="0" w:line="223" w:lineRule="exact"/>
        <w:rPr>
          <w:sz w:val="24"/>
          <w:szCs w:val="24"/>
          <w:color w:val="auto"/>
        </w:rPr>
      </w:pPr>
    </w:p>
    <w:p>
      <w:pPr>
        <w:sectPr>
          <w:pgSz w:w="12240" w:h="15840" w:orient="portrait"/>
          <w:cols w:equalWidth="0" w:num="2">
            <w:col w:w="200" w:space="400"/>
            <w:col w:w="11400"/>
          </w:cols>
          <w:pgMar w:left="120" w:top="711" w:right="120" w:bottom="1440" w:gutter="0" w:footer="0" w:header="0"/>
          <w:type w:val="continuous"/>
        </w:sectPr>
      </w:pPr>
    </w:p>
    <w:p>
      <w:pPr>
        <w:spacing w:after="0" w:line="110" w:lineRule="exact"/>
        <w:rPr>
          <w:sz w:val="24"/>
          <w:szCs w:val="24"/>
          <w:color w:val="auto"/>
        </w:rPr>
      </w:pPr>
    </w:p>
    <w:p>
      <w:pPr>
        <w:jc w:val="both"/>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personâ€™s initial filing on this form with respect to the subject class of securities, and for any subsequent amendment containing information which would alter disclosures provided in a prior cover page.</w:t>
      </w:r>
    </w:p>
    <w:p>
      <w:pPr>
        <w:spacing w:after="0" w:line="113" w:lineRule="exact"/>
        <w:rPr>
          <w:sz w:val="24"/>
          <w:szCs w:val="24"/>
          <w:color w:val="auto"/>
        </w:rPr>
      </w:pPr>
    </w:p>
    <w:p>
      <w:pPr>
        <w:jc w:val="both"/>
        <w:spacing w:after="0" w:line="263" w:lineRule="auto"/>
        <w:rPr>
          <w:sz w:val="20"/>
          <w:szCs w:val="20"/>
          <w:color w:val="auto"/>
        </w:rPr>
      </w:pPr>
      <w:r>
        <w:rPr>
          <w:rFonts w:ascii="Arial" w:cs="Arial" w:eastAsia="Arial" w:hAnsi="Arial"/>
          <w:sz w:val="19"/>
          <w:szCs w:val="19"/>
          <w:color w:val="auto"/>
        </w:rPr>
        <w:t>The information required on the remainder of this cover page shall not be deemed to be â€œfiledâ€ for the purpose of Section 18 of the Securities Exchange Act of 1934 (â€œ</w:t>
      </w:r>
      <w:r>
        <w:rPr>
          <w:rFonts w:ascii="Arial" w:cs="Arial" w:eastAsia="Arial" w:hAnsi="Arial"/>
          <w:sz w:val="19"/>
          <w:szCs w:val="19"/>
          <w:b w:val="1"/>
          <w:bCs w:val="1"/>
          <w:i w:val="1"/>
          <w:iCs w:val="1"/>
          <w:color w:val="auto"/>
        </w:rPr>
        <w:t>Act</w:t>
      </w:r>
      <w:r>
        <w:rPr>
          <w:rFonts w:ascii="Arial" w:cs="Arial" w:eastAsia="Arial" w:hAnsi="Arial"/>
          <w:sz w:val="19"/>
          <w:szCs w:val="19"/>
          <w:color w:val="auto"/>
        </w:rPr>
        <w:t>â€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219710</wp:posOffset>
            </wp:positionV>
            <wp:extent cx="7650480" cy="161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50480" cy="161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730250</wp:posOffset>
            </wp:positionV>
            <wp:extent cx="7625080"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711" w:right="120" w:bottom="1440" w:gutter="0" w:footer="0" w:header="0"/>
          <w:type w:val="continuous"/>
        </w:sectPr>
      </w:pPr>
    </w:p>
    <w:bookmarkStart w:id="1" w:name="page2"/>
    <w:bookmarkEnd w:id="1"/>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9"/>
                <w:szCs w:val="19"/>
                <w:color w:val="auto"/>
                <w:w w:val="87"/>
              </w:rPr>
              <w:t>Page 2 of 19</w:t>
            </w:r>
          </w:p>
        </w:tc>
        <w:tc>
          <w:tcPr>
            <w:tcW w:w="0" w:type="dxa"/>
            <w:vAlign w:val="bottom"/>
          </w:tcPr>
          <w:p>
            <w:pPr>
              <w:spacing w:after="0"/>
              <w:rPr>
                <w:sz w:val="1"/>
                <w:szCs w:val="1"/>
                <w:color w:val="auto"/>
              </w:rPr>
            </w:pPr>
          </w:p>
        </w:tc>
      </w:tr>
      <w:tr>
        <w:trPr>
          <w:trHeight w:val="579"/>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Value Opportunities Fund Holdings, L.P.</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Delaware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 (2)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251460</wp:posOffset>
            </wp:positionV>
            <wp:extent cx="78232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2320" cy="3111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706" w:hanging="706"/>
        <w:spacing w:after="0"/>
        <w:tabs>
          <w:tab w:leader="none" w:pos="706"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its capacity as the direct owner of 3,250,000 shares of common stock, par value $0.50 per share of the Issuer (â€œCommon Stockâ€  ).</w:t>
      </w:r>
    </w:p>
    <w:p>
      <w:pPr>
        <w:spacing w:after="0" w:line="249" w:lineRule="exact"/>
        <w:rPr>
          <w:rFonts w:ascii="Arial" w:cs="Arial" w:eastAsia="Arial" w:hAnsi="Arial"/>
          <w:sz w:val="18"/>
          <w:szCs w:val="18"/>
          <w:color w:val="auto"/>
        </w:rPr>
      </w:pPr>
    </w:p>
    <w:p>
      <w:pPr>
        <w:jc w:val="both"/>
        <w:ind w:left="706" w:right="240" w:hanging="706"/>
        <w:spacing w:after="0" w:line="336" w:lineRule="auto"/>
        <w:tabs>
          <w:tab w:leader="none" w:pos="706" w:val="left"/>
        </w:tabs>
        <w:numPr>
          <w:ilvl w:val="0"/>
          <w:numId w:val="1"/>
        </w:numPr>
        <w:rPr>
          <w:rFonts w:ascii="Arial" w:cs="Arial" w:eastAsia="Arial" w:hAnsi="Arial"/>
          <w:sz w:val="17"/>
          <w:szCs w:val="17"/>
          <w:color w:val="auto"/>
        </w:rPr>
      </w:pPr>
      <w:r>
        <w:rPr>
          <w:rFonts w:ascii="Arial" w:cs="Arial" w:eastAsia="Arial" w:hAnsi="Arial"/>
          <w:sz w:val="17"/>
          <w:szCs w:val="17"/>
          <w:color w:val="auto"/>
        </w:rPr>
        <w:t>All calculations of percentage ownership herein are based on a total of 34,621,962 shares of Common Stock issued and outstanding as of October 31, 2018, as disclosed on the Issuer's Quarterly Report on Form 10-Q, filed with the Securities and Exchange Commission on November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762508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2" w:name="page3"/>
    <w:bookmarkEnd w:id="2"/>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9"/>
                <w:szCs w:val="19"/>
                <w:color w:val="auto"/>
                <w:w w:val="87"/>
              </w:rPr>
              <w:t>Page 3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Value Opportunities Fund GP, L.P.</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rPr>
              <w:t>Cayman Islands</w:t>
            </w: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2"/>
        </w:numPr>
        <w:rPr>
          <w:rFonts w:ascii="Arial" w:cs="Arial" w:eastAsia="Arial" w:hAnsi="Arial"/>
          <w:sz w:val="19"/>
          <w:szCs w:val="19"/>
          <w:color w:val="auto"/>
        </w:rPr>
      </w:pPr>
      <w:r>
        <w:rPr>
          <w:rFonts w:ascii="Arial" w:cs="Arial" w:eastAsia="Arial" w:hAnsi="Arial"/>
          <w:sz w:val="19"/>
          <w:szCs w:val="19"/>
          <w:color w:val="auto"/>
        </w:rPr>
        <w:t>Solely in its capacity as the general partner of Oaktree Value Opportunities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504190</wp:posOffset>
            </wp:positionV>
            <wp:extent cx="76250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3" w:name="page4"/>
    <w:bookmarkEnd w:id="3"/>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9"/>
                <w:szCs w:val="19"/>
                <w:color w:val="auto"/>
                <w:w w:val="87"/>
              </w:rPr>
              <w:t>Page 4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Value Opportunities Fund GP Ltd.</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rPr>
              <w:t>Cayman Islands</w:t>
            </w: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OO</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3"/>
        </w:numPr>
        <w:rPr>
          <w:rFonts w:ascii="Arial" w:cs="Arial" w:eastAsia="Arial" w:hAnsi="Arial"/>
          <w:sz w:val="19"/>
          <w:szCs w:val="19"/>
          <w:color w:val="auto"/>
        </w:rPr>
      </w:pPr>
      <w:r>
        <w:rPr>
          <w:rFonts w:ascii="Arial" w:cs="Arial" w:eastAsia="Arial" w:hAnsi="Arial"/>
          <w:sz w:val="19"/>
          <w:szCs w:val="19"/>
          <w:color w:val="auto"/>
        </w:rPr>
        <w:t>Solely in its capacity as the general partner of Oaktree Value Opportunities Fund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504190</wp:posOffset>
            </wp:positionV>
            <wp:extent cx="762508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4" w:name="page5"/>
    <w:bookmarkEnd w:id="4"/>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9"/>
                <w:szCs w:val="19"/>
                <w:color w:val="auto"/>
                <w:w w:val="87"/>
              </w:rPr>
              <w:t>Page 5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Fund GP I, L.P.</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Delaware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4"/>
        </w:numPr>
        <w:rPr>
          <w:rFonts w:ascii="Arial" w:cs="Arial" w:eastAsia="Arial" w:hAnsi="Arial"/>
          <w:sz w:val="19"/>
          <w:szCs w:val="19"/>
          <w:color w:val="auto"/>
        </w:rPr>
      </w:pPr>
      <w:r>
        <w:rPr>
          <w:rFonts w:ascii="Arial" w:cs="Arial" w:eastAsia="Arial" w:hAnsi="Arial"/>
          <w:sz w:val="19"/>
          <w:szCs w:val="19"/>
          <w:color w:val="auto"/>
        </w:rPr>
        <w:t>Solely in its capacity as the sole shareholder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648970</wp:posOffset>
            </wp:positionV>
            <wp:extent cx="7625080"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5" w:name="page6"/>
    <w:bookmarkEnd w:id="5"/>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9"/>
                <w:szCs w:val="19"/>
                <w:color w:val="auto"/>
                <w:w w:val="87"/>
              </w:rPr>
              <w:t>Page 6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Capital I, L.P.</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Delaware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5"/>
        </w:numPr>
        <w:rPr>
          <w:rFonts w:ascii="Arial" w:cs="Arial" w:eastAsia="Arial" w:hAnsi="Arial"/>
          <w:sz w:val="19"/>
          <w:szCs w:val="19"/>
          <w:color w:val="auto"/>
        </w:rPr>
      </w:pPr>
      <w:r>
        <w:rPr>
          <w:rFonts w:ascii="Arial" w:cs="Arial" w:eastAsia="Arial" w:hAnsi="Arial"/>
          <w:sz w:val="19"/>
          <w:szCs w:val="19"/>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504190</wp:posOffset>
            </wp:positionV>
            <wp:extent cx="762508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6" w:name="page7"/>
    <w:bookmarkEnd w:id="6"/>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8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9"/>
                <w:szCs w:val="19"/>
                <w:color w:val="auto"/>
                <w:w w:val="87"/>
              </w:rPr>
              <w:t>Page 7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OCM Holdings I, LLC</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Delaware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OO</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6"/>
        </w:numPr>
        <w:rPr>
          <w:rFonts w:ascii="Arial" w:cs="Arial" w:eastAsia="Arial" w:hAnsi="Arial"/>
          <w:sz w:val="19"/>
          <w:szCs w:val="19"/>
          <w:color w:val="auto"/>
        </w:rPr>
      </w:pPr>
      <w:r>
        <w:rPr>
          <w:rFonts w:ascii="Arial" w:cs="Arial" w:eastAsia="Arial" w:hAnsi="Arial"/>
          <w:sz w:val="19"/>
          <w:szCs w:val="19"/>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648970</wp:posOffset>
            </wp:positionV>
            <wp:extent cx="7625080"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7" w:name="page8"/>
    <w:bookmarkEnd w:id="7"/>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8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9"/>
                <w:szCs w:val="19"/>
                <w:color w:val="auto"/>
                <w:w w:val="87"/>
              </w:rPr>
              <w:t>Page 8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Holdings, LLC</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Delaware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OO</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7"/>
        </w:numPr>
        <w:rPr>
          <w:rFonts w:ascii="Arial" w:cs="Arial" w:eastAsia="Arial" w:hAnsi="Arial"/>
          <w:sz w:val="19"/>
          <w:szCs w:val="19"/>
          <w:color w:val="auto"/>
        </w:rPr>
      </w:pPr>
      <w:r>
        <w:rPr>
          <w:rFonts w:ascii="Arial" w:cs="Arial" w:eastAsia="Arial" w:hAnsi="Arial"/>
          <w:sz w:val="19"/>
          <w:szCs w:val="19"/>
          <w:color w:val="auto"/>
        </w:rPr>
        <w:t>Solely in its capacity as the general partner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323215</wp:posOffset>
            </wp:positionV>
            <wp:extent cx="762508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8" w:name="page9"/>
    <w:bookmarkEnd w:id="8"/>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9"/>
                <w:szCs w:val="19"/>
                <w:color w:val="auto"/>
                <w:w w:val="87"/>
              </w:rPr>
              <w:t>Page 9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Capital Management, L.P.</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Delaware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PN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8"/>
        </w:numPr>
        <w:rPr>
          <w:rFonts w:ascii="Arial" w:cs="Arial" w:eastAsia="Arial" w:hAnsi="Arial"/>
          <w:sz w:val="19"/>
          <w:szCs w:val="19"/>
          <w:color w:val="auto"/>
        </w:rPr>
      </w:pPr>
      <w:r>
        <w:rPr>
          <w:rFonts w:ascii="Arial" w:cs="Arial" w:eastAsia="Arial" w:hAnsi="Arial"/>
          <w:sz w:val="19"/>
          <w:szCs w:val="19"/>
          <w:color w:val="auto"/>
        </w:rPr>
        <w:t>Solely in its capacity as the sole director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648970</wp:posOffset>
            </wp:positionV>
            <wp:extent cx="7625080"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9" w:name="page10"/>
    <w:bookmarkEnd w:id="9"/>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87"/>
              </w:rPr>
              <w:t>Page 10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Holdings, Inc.</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Delaware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CO</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9"/>
        </w:numPr>
        <w:rPr>
          <w:rFonts w:ascii="Arial" w:cs="Arial" w:eastAsia="Arial" w:hAnsi="Arial"/>
          <w:sz w:val="19"/>
          <w:szCs w:val="19"/>
          <w:color w:val="auto"/>
        </w:rPr>
      </w:pPr>
      <w:r>
        <w:rPr>
          <w:rFonts w:ascii="Arial" w:cs="Arial" w:eastAsia="Arial" w:hAnsi="Arial"/>
          <w:sz w:val="19"/>
          <w:szCs w:val="19"/>
          <w:color w:val="auto"/>
        </w:rPr>
        <w:t>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685165</wp:posOffset>
            </wp:positionV>
            <wp:extent cx="7625080"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10" w:name="page11"/>
    <w:bookmarkEnd w:id="10"/>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9"/>
                <w:szCs w:val="19"/>
                <w:color w:val="auto"/>
                <w:w w:val="86"/>
              </w:rPr>
              <w:t>Page 11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Capital Group, LLC</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Delaware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OO</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10"/>
        </w:numPr>
        <w:rPr>
          <w:rFonts w:ascii="Arial" w:cs="Arial" w:eastAsia="Arial" w:hAnsi="Arial"/>
          <w:sz w:val="19"/>
          <w:szCs w:val="19"/>
          <w:color w:val="auto"/>
        </w:rPr>
      </w:pPr>
      <w:r>
        <w:rPr>
          <w:rFonts w:ascii="Arial" w:cs="Arial" w:eastAsia="Arial" w:hAnsi="Arial"/>
          <w:sz w:val="19"/>
          <w:szCs w:val="19"/>
          <w:color w:val="auto"/>
        </w:rPr>
        <w:t>Solely in its capacity as the managing member of Oaktree Holdings, LLC and as the sole shareholder of Oaktree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685165</wp:posOffset>
            </wp:positionV>
            <wp:extent cx="7625080"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11" w:name="page12"/>
    <w:bookmarkEnd w:id="11"/>
    <w:tbl>
      <w:tblPr>
        <w:tblLayout w:type="fixed"/>
        <w:tblInd w:w="16" w:type="dxa"/>
        <w:tblCellMar>
          <w:top w:w="0" w:type="dxa"/>
          <w:left w:w="0" w:type="dxa"/>
          <w:bottom w:w="0" w:type="dxa"/>
          <w:right w:w="0" w:type="dxa"/>
        </w:tblCellMar>
      </w:tblPr>
      <w:tr>
        <w:trPr>
          <w:trHeight w:val="265"/>
        </w:trPr>
        <w:tc>
          <w:tcPr>
            <w:tcW w:w="2200" w:type="dxa"/>
            <w:vAlign w:val="bottom"/>
            <w:tcBorders>
              <w:top w:val="single" w:sz="8" w:color="auto"/>
              <w:left w:val="single" w:sz="8" w:color="auto"/>
              <w:bottom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CUSIP No. 55933J203</w:t>
            </w:r>
          </w:p>
        </w:tc>
        <w:tc>
          <w:tcPr>
            <w:tcW w:w="220" w:type="dxa"/>
            <w:vAlign w:val="bottom"/>
            <w:tcBorders>
              <w:top w:val="single" w:sz="8" w:color="auto"/>
              <w:bottom w:val="single" w:sz="8" w:color="auto"/>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900" w:type="dxa"/>
            <w:vAlign w:val="bottom"/>
            <w:tcBorders>
              <w:right w:val="single" w:sz="8" w:color="auto"/>
            </w:tcBorders>
          </w:tcPr>
          <w:p>
            <w:pPr>
              <w:ind w:left="258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87"/>
              </w:rPr>
              <w:t>Page 12 of 19</w:t>
            </w:r>
          </w:p>
        </w:tc>
        <w:tc>
          <w:tcPr>
            <w:tcW w:w="0" w:type="dxa"/>
            <w:vAlign w:val="bottom"/>
          </w:tcPr>
          <w:p>
            <w:pPr>
              <w:spacing w:after="0"/>
              <w:rPr>
                <w:sz w:val="1"/>
                <w:szCs w:val="1"/>
                <w:color w:val="auto"/>
              </w:rPr>
            </w:pPr>
          </w:p>
        </w:tc>
      </w:tr>
      <w:tr>
        <w:trPr>
          <w:trHeight w:val="636"/>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NAME OF REPORTING PERSON OR</w:t>
            </w:r>
          </w:p>
        </w:tc>
        <w:tc>
          <w:tcPr>
            <w:tcW w:w="24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I.R.S. IDENTIFICATION NO. OF ABOVE PERSON</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Oaktree Capital Group Holdings GP, LLC</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900" w:type="dxa"/>
            <w:vAlign w:val="bottom"/>
            <w:tcBorders>
              <w:right w:val="single" w:sz="8" w:color="auto"/>
            </w:tcBorders>
          </w:tcPr>
          <w:p>
            <w:pPr>
              <w:spacing w:after="0"/>
              <w:rPr>
                <w:sz w:val="21"/>
                <w:szCs w:val="21"/>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THE APPROPRIATE BOX IF A MEMBER OF A GROUP</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(a)  o</w:t>
            </w:r>
          </w:p>
        </w:tc>
        <w:tc>
          <w:tcPr>
            <w:tcW w:w="0" w:type="dxa"/>
            <w:vAlign w:val="bottom"/>
          </w:tcPr>
          <w:p>
            <w:pPr>
              <w:spacing w:after="0"/>
              <w:rPr>
                <w:sz w:val="1"/>
                <w:szCs w:val="1"/>
                <w:color w:val="auto"/>
              </w:rPr>
            </w:pPr>
          </w:p>
        </w:tc>
      </w:tr>
      <w:tr>
        <w:trPr>
          <w:trHeight w:val="241"/>
        </w:trPr>
        <w:tc>
          <w:tcPr>
            <w:tcW w:w="34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(b)  o</w:t>
            </w:r>
          </w:p>
        </w:tc>
        <w:tc>
          <w:tcPr>
            <w:tcW w:w="0" w:type="dxa"/>
            <w:vAlign w:val="bottom"/>
          </w:tcPr>
          <w:p>
            <w:pPr>
              <w:spacing w:after="0"/>
              <w:rPr>
                <w:sz w:val="1"/>
                <w:szCs w:val="1"/>
                <w:color w:val="auto"/>
              </w:rPr>
            </w:pPr>
          </w:p>
        </w:tc>
      </w:tr>
      <w:tr>
        <w:trPr>
          <w:trHeight w:val="266"/>
        </w:trPr>
        <w:tc>
          <w:tcPr>
            <w:tcW w:w="340" w:type="dxa"/>
            <w:vAlign w:val="bottom"/>
            <w:tcBorders>
              <w:left w:val="single" w:sz="8" w:color="auto"/>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spacing w:after="0"/>
              <w:rPr>
                <w:sz w:val="23"/>
                <w:szCs w:val="23"/>
                <w:color w:val="auto"/>
              </w:rPr>
            </w:pPr>
          </w:p>
        </w:tc>
        <w:tc>
          <w:tcPr>
            <w:tcW w:w="6900" w:type="dxa"/>
            <w:vAlign w:val="bottom"/>
            <w:tcBorders>
              <w:bottom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900" w:type="dxa"/>
            <w:vAlign w:val="bottom"/>
            <w:tcBorders>
              <w:right w:val="single" w:sz="8" w:color="auto"/>
            </w:tcBorders>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9"/>
                <w:szCs w:val="19"/>
                <w:color w:val="auto"/>
                <w:w w:val="99"/>
              </w:rPr>
              <w:t>SEC USE ONLY</w:t>
            </w:r>
          </w:p>
        </w:tc>
        <w:tc>
          <w:tcPr>
            <w:tcW w:w="690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CITIZENSHIP OR PLACE OF ORGANIZATION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Delaware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5</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SOLE VOTING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NUMBER OF</w:t>
            </w: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continue"/>
          </w:tcPr>
          <w:p>
            <w:pPr>
              <w:spacing w:after="0"/>
              <w:rPr>
                <w:sz w:val="14"/>
                <w:szCs w:val="14"/>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6</w:t>
            </w:r>
          </w:p>
        </w:tc>
        <w:tc>
          <w:tcPr>
            <w:tcW w:w="280" w:type="dxa"/>
            <w:vAlign w:val="bottom"/>
            <w:tcBorders>
              <w:right w:val="single" w:sz="8" w:color="auto"/>
            </w:tcBorders>
          </w:tcPr>
          <w:p>
            <w:pPr>
              <w:spacing w:after="0"/>
              <w:rPr>
                <w:sz w:val="14"/>
                <w:szCs w:val="14"/>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SHARED VOTING POWER</w:t>
            </w: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Borders>
              <w:left w:val="single" w:sz="8" w:color="auto"/>
            </w:tcBorders>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9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restart"/>
          </w:tcPr>
          <w:p>
            <w:pPr>
              <w:jc w:val="center"/>
              <w:ind w:right="265"/>
              <w:spacing w:after="0"/>
              <w:rPr>
                <w:sz w:val="20"/>
                <w:szCs w:val="20"/>
                <w:color w:val="auto"/>
              </w:rPr>
            </w:pPr>
            <w:r>
              <w:rPr>
                <w:rFonts w:ascii="Arial" w:cs="Arial" w:eastAsia="Arial" w:hAnsi="Arial"/>
                <w:sz w:val="19"/>
                <w:szCs w:val="19"/>
                <w:color w:val="auto"/>
                <w:w w:val="96"/>
              </w:rPr>
              <w:t>OWNED</w:t>
            </w:r>
          </w:p>
        </w:tc>
        <w:tc>
          <w:tcPr>
            <w:tcW w:w="22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900" w:type="dxa"/>
            <w:vAlign w:val="bottom"/>
            <w:vMerge w:val="continue"/>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9"/>
                <w:szCs w:val="19"/>
                <w:color w:val="auto"/>
                <w:w w:val="94"/>
              </w:rPr>
              <w:t>7</w:t>
            </w:r>
          </w:p>
        </w:tc>
        <w:tc>
          <w:tcPr>
            <w:tcW w:w="280" w:type="dxa"/>
            <w:vAlign w:val="bottom"/>
            <w:tcBorders>
              <w:right w:val="single" w:sz="8" w:color="auto"/>
            </w:tcBorders>
          </w:tcPr>
          <w:p>
            <w:pPr>
              <w:spacing w:after="0"/>
              <w:rPr>
                <w:sz w:val="7"/>
                <w:szCs w:val="7"/>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SOLE DISPOSITIVE POWER</w:t>
            </w:r>
          </w:p>
        </w:tc>
        <w:tc>
          <w:tcPr>
            <w:tcW w:w="2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9"/>
                <w:szCs w:val="19"/>
                <w:color w:val="auto"/>
                <w:w w:val="96"/>
              </w:rPr>
              <w:t>BY EACH REPORTING</w:t>
            </w:r>
          </w:p>
        </w:tc>
        <w:tc>
          <w:tcPr>
            <w:tcW w:w="22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200" w:type="dxa"/>
            <w:vAlign w:val="bottom"/>
            <w:tcBorders>
              <w:left w:val="single" w:sz="8" w:color="auto"/>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900" w:type="dxa"/>
            <w:vAlign w:val="bottom"/>
          </w:tcPr>
          <w:p>
            <w:pPr>
              <w:spacing w:after="0"/>
              <w:rPr>
                <w:sz w:val="5"/>
                <w:szCs w:val="5"/>
                <w:color w:val="auto"/>
              </w:rPr>
            </w:pPr>
          </w:p>
        </w:tc>
        <w:tc>
          <w:tcPr>
            <w:tcW w:w="2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860" w:type="dxa"/>
            <w:vAlign w:val="bottom"/>
            <w:tcBorders>
              <w:right w:val="single" w:sz="8" w:color="auto"/>
            </w:tcBorders>
            <w:gridSpan w:val="2"/>
          </w:tcPr>
          <w:p>
            <w:pPr>
              <w:jc w:val="center"/>
              <w:ind w:right="265"/>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900" w:type="dxa"/>
            <w:vAlign w:val="bottom"/>
            <w:vMerge w:val="restart"/>
          </w:tcPr>
          <w:p>
            <w:pPr>
              <w:spacing w:after="0"/>
              <w:rPr>
                <w:sz w:val="20"/>
                <w:szCs w:val="20"/>
                <w:color w:val="auto"/>
              </w:rPr>
            </w:pPr>
            <w:r>
              <w:rPr>
                <w:rFonts w:ascii="Arial" w:cs="Arial" w:eastAsia="Arial" w:hAnsi="Arial"/>
                <w:sz w:val="19"/>
                <w:szCs w:val="19"/>
                <w:color w:val="auto"/>
              </w:rPr>
              <w:t>3,250,000 (1)</w:t>
            </w:r>
          </w:p>
        </w:tc>
        <w:tc>
          <w:tcPr>
            <w:tcW w:w="2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 w:type="dxa"/>
            <w:vAlign w:val="bottom"/>
            <w:tcBorders>
              <w:left w:val="single" w:sz="8" w:color="auto"/>
            </w:tcBorders>
          </w:tcPr>
          <w:p>
            <w:pPr>
              <w:spacing w:after="0"/>
              <w:rPr>
                <w:sz w:val="14"/>
                <w:szCs w:val="14"/>
                <w:color w:val="auto"/>
              </w:rPr>
            </w:pPr>
          </w:p>
        </w:tc>
        <w:tc>
          <w:tcPr>
            <w:tcW w:w="1860" w:type="dxa"/>
            <w:vAlign w:val="bottom"/>
            <w:tcBorders>
              <w:right w:val="single" w:sz="8" w:color="auto"/>
            </w:tcBorders>
            <w:gridSpan w:val="2"/>
            <w:vMerge w:val="restart"/>
          </w:tcPr>
          <w:p>
            <w:pPr>
              <w:jc w:val="center"/>
              <w:ind w:right="265"/>
              <w:spacing w:after="0" w:line="200" w:lineRule="exact"/>
              <w:rPr>
                <w:sz w:val="20"/>
                <w:szCs w:val="20"/>
                <w:color w:val="auto"/>
              </w:rPr>
            </w:pPr>
            <w:r>
              <w:rPr>
                <w:rFonts w:ascii="Arial" w:cs="Arial" w:eastAsia="Arial" w:hAnsi="Arial"/>
                <w:sz w:val="19"/>
                <w:szCs w:val="19"/>
                <w:color w:val="auto"/>
              </w:rPr>
              <w:t>WITH</w:t>
            </w:r>
          </w:p>
        </w:tc>
        <w:tc>
          <w:tcPr>
            <w:tcW w:w="2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tcBorders>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20" w:type="dxa"/>
            <w:vAlign w:val="bottom"/>
          </w:tcPr>
          <w:p>
            <w:pPr>
              <w:jc w:val="right"/>
              <w:ind w:right="5"/>
              <w:spacing w:after="0"/>
              <w:rPr>
                <w:sz w:val="20"/>
                <w:szCs w:val="20"/>
                <w:color w:val="auto"/>
              </w:rPr>
            </w:pPr>
            <w:r>
              <w:rPr>
                <w:rFonts w:ascii="Arial" w:cs="Arial" w:eastAsia="Arial" w:hAnsi="Arial"/>
                <w:sz w:val="19"/>
                <w:szCs w:val="19"/>
                <w:color w:val="auto"/>
                <w:w w:val="94"/>
              </w:rPr>
              <w:t>8</w:t>
            </w:r>
          </w:p>
        </w:tc>
        <w:tc>
          <w:tcPr>
            <w:tcW w:w="280" w:type="dxa"/>
            <w:vAlign w:val="bottom"/>
            <w:tcBorders>
              <w:right w:val="single" w:sz="8" w:color="auto"/>
            </w:tcBorders>
          </w:tcPr>
          <w:p>
            <w:pPr>
              <w:spacing w:after="0"/>
              <w:rPr>
                <w:sz w:val="22"/>
                <w:szCs w:val="22"/>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SHARED DISPOSITIVE POWER</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9"/>
                <w:szCs w:val="19"/>
                <w:color w:val="auto"/>
              </w:rPr>
              <w:t>0</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gridSpan w:val="2"/>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AGGREGATE AMOUNT BENEFICIALLY OWNED BY EACH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w w:val="99"/>
              </w:rPr>
              <w:t>3,250,000 (1)</w:t>
            </w: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400" w:type="dxa"/>
            <w:vAlign w:val="bottom"/>
            <w:tcBorders>
              <w:right w:val="single" w:sz="8" w:color="auto"/>
            </w:tcBorders>
          </w:tcPr>
          <w:p>
            <w:pPr>
              <w:ind w:left="124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494"/>
        </w:trPr>
        <w:tc>
          <w:tcPr>
            <w:tcW w:w="3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4"/>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PERCENT OF CLASS REPRESENTED BY AMOUNT IN ROW (9)</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9.4%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360" w:type="dxa"/>
            <w:vAlign w:val="bottom"/>
            <w:tcBorders>
              <w:bottom w:val="single" w:sz="8" w:color="auto"/>
            </w:tcBorders>
            <w:gridSpan w:val="4"/>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40" w:type="dxa"/>
            <w:vAlign w:val="bottom"/>
            <w:tcBorders>
              <w:lef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900" w:type="dxa"/>
            <w:vAlign w:val="bottom"/>
            <w:tcBorders>
              <w:right w:val="single" w:sz="8" w:color="auto"/>
            </w:tcBorders>
          </w:tcPr>
          <w:p>
            <w:pPr>
              <w:spacing w:after="0"/>
              <w:rPr>
                <w:sz w:val="22"/>
                <w:szCs w:val="22"/>
                <w:color w:val="auto"/>
              </w:rPr>
            </w:pPr>
          </w:p>
        </w:tc>
        <w:tc>
          <w:tcPr>
            <w:tcW w:w="8360" w:type="dxa"/>
            <w:vAlign w:val="bottom"/>
            <w:gridSpan w:val="4"/>
          </w:tcPr>
          <w:p>
            <w:pPr>
              <w:ind w:left="20"/>
              <w:spacing w:after="0"/>
              <w:rPr>
                <w:sz w:val="20"/>
                <w:szCs w:val="20"/>
                <w:color w:val="auto"/>
              </w:rPr>
            </w:pPr>
            <w:r>
              <w:rPr>
                <w:rFonts w:ascii="Arial" w:cs="Arial" w:eastAsia="Arial" w:hAnsi="Arial"/>
                <w:sz w:val="19"/>
                <w:szCs w:val="19"/>
                <w:color w:val="auto"/>
              </w:rPr>
              <w:t>TYPE OF REPORTING PERSON</w:t>
            </w:r>
          </w:p>
        </w:tc>
        <w:tc>
          <w:tcPr>
            <w:tcW w:w="2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6"/>
        </w:trPr>
        <w:tc>
          <w:tcPr>
            <w:tcW w:w="34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auto"/>
              </w:rPr>
              <w:t>OO</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3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-30480</wp:posOffset>
            </wp:positionV>
            <wp:extent cx="12700"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334" w:lineRule="exact"/>
        <w:rPr>
          <w:sz w:val="20"/>
          <w:szCs w:val="20"/>
          <w:color w:val="auto"/>
        </w:rPr>
      </w:pPr>
    </w:p>
    <w:p>
      <w:pPr>
        <w:ind w:left="706" w:hanging="706"/>
        <w:spacing w:after="0"/>
        <w:tabs>
          <w:tab w:leader="none" w:pos="706" w:val="left"/>
        </w:tabs>
        <w:numPr>
          <w:ilvl w:val="0"/>
          <w:numId w:val="11"/>
        </w:numPr>
        <w:rPr>
          <w:rFonts w:ascii="Arial" w:cs="Arial" w:eastAsia="Arial" w:hAnsi="Arial"/>
          <w:sz w:val="19"/>
          <w:szCs w:val="19"/>
          <w:color w:val="auto"/>
        </w:rPr>
      </w:pPr>
      <w:r>
        <w:rPr>
          <w:rFonts w:ascii="Arial" w:cs="Arial" w:eastAsia="Arial" w:hAnsi="Arial"/>
          <w:sz w:val="19"/>
          <w:szCs w:val="19"/>
          <w:color w:val="auto"/>
        </w:rPr>
        <w:t>Solely in its capacity as the duly elected manager of Oaktree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685165</wp:posOffset>
            </wp:positionV>
            <wp:extent cx="7625080"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236" w:right="120"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65"/>
        </w:trPr>
        <w:tc>
          <w:tcPr>
            <w:tcW w:w="2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CUSIP No. 55933J203</w:t>
            </w:r>
          </w:p>
        </w:tc>
        <w:tc>
          <w:tcPr>
            <w:tcW w:w="7180" w:type="dxa"/>
            <w:vAlign w:val="bottom"/>
            <w:tcBorders>
              <w:right w:val="single" w:sz="8" w:color="auto"/>
            </w:tcBorders>
          </w:tcPr>
          <w:p>
            <w:pPr>
              <w:ind w:left="286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87"/>
              </w:rPr>
              <w:t>Page 13 of 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180" w:val="left"/>
          <w:tab w:leader="none" w:pos="166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9"/>
          <w:szCs w:val="19"/>
          <w:b w:val="1"/>
          <w:bCs w:val="1"/>
          <w:color w:val="auto"/>
        </w:rPr>
        <w:t>(a)</w:t>
      </w:r>
      <w:r>
        <w:rPr>
          <w:sz w:val="20"/>
          <w:szCs w:val="20"/>
          <w:color w:val="auto"/>
        </w:rPr>
        <w:tab/>
      </w:r>
      <w:r>
        <w:rPr>
          <w:rFonts w:ascii="Arial" w:cs="Arial" w:eastAsia="Arial" w:hAnsi="Arial"/>
          <w:sz w:val="17"/>
          <w:szCs w:val="17"/>
          <w:b w:val="1"/>
          <w:bCs w:val="1"/>
          <w:color w:val="auto"/>
        </w:rPr>
        <w:t>Name of Issuer:</w:t>
      </w:r>
    </w:p>
    <w:p>
      <w:pPr>
        <w:spacing w:after="0" w:line="230" w:lineRule="exact"/>
        <w:rPr>
          <w:sz w:val="20"/>
          <w:szCs w:val="20"/>
          <w:color w:val="auto"/>
        </w:rPr>
      </w:pPr>
    </w:p>
    <w:p>
      <w:pPr>
        <w:ind w:left="1680"/>
        <w:spacing w:after="0"/>
        <w:tabs>
          <w:tab w:leader="none" w:pos="8160" w:val="left"/>
        </w:tabs>
        <w:rPr>
          <w:sz w:val="20"/>
          <w:szCs w:val="20"/>
          <w:color w:val="auto"/>
        </w:rPr>
      </w:pPr>
      <w:r>
        <w:rPr>
          <w:rFonts w:ascii="Arial" w:cs="Arial" w:eastAsia="Arial" w:hAnsi="Arial"/>
          <w:sz w:val="17"/>
          <w:szCs w:val="17"/>
          <w:color w:val="auto"/>
        </w:rPr>
        <w:t>The name of the issuer is MagnaChip Semiconductor Corporation (the â€œ</w:t>
      </w:r>
      <w:r>
        <w:rPr>
          <w:rFonts w:ascii="Arial" w:cs="Arial" w:eastAsia="Arial" w:hAnsi="Arial"/>
          <w:sz w:val="17"/>
          <w:szCs w:val="17"/>
          <w:b w:val="1"/>
          <w:bCs w:val="1"/>
          <w:i w:val="1"/>
          <w:iCs w:val="1"/>
          <w:color w:val="auto"/>
        </w:rPr>
        <w:t>Issuer</w:t>
      </w:r>
      <w:r>
        <w:rPr>
          <w:rFonts w:ascii="Arial" w:cs="Arial" w:eastAsia="Arial" w:hAnsi="Arial"/>
          <w:sz w:val="17"/>
          <w:szCs w:val="17"/>
          <w:color w:val="auto"/>
        </w:rPr>
        <w:t>â€</w:t>
      </w:r>
      <w:r>
        <w:rPr>
          <w:sz w:val="20"/>
          <w:szCs w:val="20"/>
          <w:color w:val="auto"/>
        </w:rPr>
        <w:tab/>
      </w:r>
      <w:r>
        <w:rPr>
          <w:rFonts w:ascii="Arial" w:cs="Arial" w:eastAsia="Arial" w:hAnsi="Arial"/>
          <w:sz w:val="16"/>
          <w:szCs w:val="16"/>
          <w:color w:val="auto"/>
        </w:rPr>
        <w:t>).</w:t>
      </w:r>
    </w:p>
    <w:p>
      <w:pPr>
        <w:spacing w:after="0" w:line="241" w:lineRule="exact"/>
        <w:rPr>
          <w:sz w:val="20"/>
          <w:szCs w:val="20"/>
          <w:color w:val="auto"/>
        </w:rPr>
      </w:pPr>
    </w:p>
    <w:p>
      <w:pPr>
        <w:ind w:left="1680" w:hanging="474"/>
        <w:spacing w:after="0"/>
        <w:tabs>
          <w:tab w:leader="none" w:pos="168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Address of Issuerâ€™s Principal Executive Offices:</w:t>
      </w:r>
    </w:p>
    <w:p>
      <w:pPr>
        <w:spacing w:after="0" w:line="229" w:lineRule="exact"/>
        <w:rPr>
          <w:rFonts w:ascii="Arial" w:cs="Arial" w:eastAsia="Arial" w:hAnsi="Arial"/>
          <w:sz w:val="19"/>
          <w:szCs w:val="19"/>
          <w:b w:val="1"/>
          <w:bCs w:val="1"/>
          <w:color w:val="auto"/>
        </w:rPr>
      </w:pPr>
    </w:p>
    <w:p>
      <w:pPr>
        <w:ind w:left="1680" w:right="880"/>
        <w:spacing w:after="0" w:line="275" w:lineRule="auto"/>
        <w:rPr>
          <w:rFonts w:ascii="Arial" w:cs="Arial" w:eastAsia="Arial" w:hAnsi="Arial"/>
          <w:sz w:val="19"/>
          <w:szCs w:val="19"/>
          <w:b w:val="1"/>
          <w:bCs w:val="1"/>
          <w:color w:val="auto"/>
        </w:rPr>
      </w:pPr>
      <w:r>
        <w:rPr>
          <w:rFonts w:ascii="Arial" w:cs="Arial" w:eastAsia="Arial" w:hAnsi="Arial"/>
          <w:sz w:val="19"/>
          <w:szCs w:val="19"/>
          <w:color w:val="auto"/>
        </w:rPr>
        <w:t>The Issuerâ€™s principal executive offices are located at c/o MagnaChip Semiconductor S.A., 1, AllÃ©e Scheffer, L-2520, Luxembourg, Grand Duchy of Luxembourg.</w:t>
      </w:r>
    </w:p>
    <w:p>
      <w:pPr>
        <w:spacing w:after="0" w:line="235"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7"/>
          <w:szCs w:val="17"/>
          <w:b w:val="1"/>
          <w:bCs w:val="1"/>
          <w:color w:val="auto"/>
        </w:rPr>
        <w:t>(a)-(c) Name of Person Filing; Address of Principal Business Office; and Citizenship</w:t>
      </w:r>
    </w:p>
    <w:p>
      <w:pPr>
        <w:spacing w:after="0" w:line="244" w:lineRule="exact"/>
        <w:rPr>
          <w:sz w:val="20"/>
          <w:szCs w:val="20"/>
          <w:color w:val="auto"/>
        </w:rPr>
      </w:pPr>
    </w:p>
    <w:p>
      <w:pPr>
        <w:ind w:left="1200" w:right="320"/>
        <w:spacing w:after="0" w:line="275" w:lineRule="auto"/>
        <w:rPr>
          <w:sz w:val="20"/>
          <w:szCs w:val="20"/>
          <w:color w:val="auto"/>
        </w:rPr>
      </w:pPr>
      <w:r>
        <w:rPr>
          <w:rFonts w:ascii="Arial" w:cs="Arial" w:eastAsia="Arial" w:hAnsi="Arial"/>
          <w:sz w:val="19"/>
          <w:szCs w:val="19"/>
          <w:color w:val="auto"/>
        </w:rPr>
        <w:t>This Schedule 13G is filed jointly by each of the following persons (collectively, the â€œ</w:t>
      </w:r>
      <w:r>
        <w:rPr>
          <w:rFonts w:ascii="Arial" w:cs="Arial" w:eastAsia="Arial" w:hAnsi="Arial"/>
          <w:sz w:val="19"/>
          <w:szCs w:val="19"/>
          <w:b w:val="1"/>
          <w:bCs w:val="1"/>
          <w:i w:val="1"/>
          <w:iCs w:val="1"/>
          <w:color w:val="auto"/>
        </w:rPr>
        <w:t>Reporting Persons</w:t>
      </w:r>
      <w:r>
        <w:rPr>
          <w:rFonts w:ascii="Arial" w:cs="Arial" w:eastAsia="Arial" w:hAnsi="Arial"/>
          <w:sz w:val="19"/>
          <w:szCs w:val="19"/>
          <w:color w:val="auto"/>
        </w:rPr>
        <w:t>â€ ) pursuant to a joint filing agreement attached hereto as Exhibit 1:</w:t>
      </w:r>
    </w:p>
    <w:p>
      <w:pPr>
        <w:spacing w:after="0" w:line="241" w:lineRule="exact"/>
        <w:rPr>
          <w:sz w:val="20"/>
          <w:szCs w:val="20"/>
          <w:color w:val="auto"/>
        </w:rPr>
      </w:pPr>
    </w:p>
    <w:p>
      <w:pPr>
        <w:ind w:left="1760" w:right="460" w:hanging="554"/>
        <w:spacing w:after="0" w:line="275" w:lineRule="auto"/>
        <w:tabs>
          <w:tab w:leader="none" w:pos="17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Oaktree Value Opportunities Fund Holdings, L.P., a Delaware limited partnership (â€œ</w:t>
      </w:r>
      <w:r>
        <w:rPr>
          <w:rFonts w:ascii="Arial" w:cs="Arial" w:eastAsia="Arial" w:hAnsi="Arial"/>
          <w:sz w:val="19"/>
          <w:szCs w:val="19"/>
          <w:b w:val="1"/>
          <w:bCs w:val="1"/>
          <w:i w:val="1"/>
          <w:iCs w:val="1"/>
          <w:color w:val="auto"/>
        </w:rPr>
        <w:t>VOF Holdings</w:t>
      </w:r>
      <w:r>
        <w:rPr>
          <w:rFonts w:ascii="Arial" w:cs="Arial" w:eastAsia="Arial" w:hAnsi="Arial"/>
          <w:sz w:val="19"/>
          <w:szCs w:val="19"/>
          <w:color w:val="auto"/>
        </w:rPr>
        <w:t>â€ ), in its capacity as the direct owner of 3,250,000 shares of Common Stock;</w:t>
      </w:r>
    </w:p>
    <w:p>
      <w:pPr>
        <w:spacing w:after="0" w:line="112" w:lineRule="exact"/>
        <w:rPr>
          <w:rFonts w:ascii="Arial" w:cs="Arial" w:eastAsia="Arial" w:hAnsi="Arial"/>
          <w:sz w:val="19"/>
          <w:szCs w:val="19"/>
          <w:color w:val="auto"/>
        </w:rPr>
      </w:pPr>
    </w:p>
    <w:p>
      <w:pPr>
        <w:ind w:left="1760" w:right="320" w:hanging="554"/>
        <w:spacing w:after="0" w:line="275" w:lineRule="auto"/>
        <w:tabs>
          <w:tab w:leader="none" w:pos="17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Oaktree Value Opportunities Fund GP, L.P., a Cayman Islands limited partnership (â€œ</w:t>
      </w:r>
      <w:r>
        <w:rPr>
          <w:rFonts w:ascii="Arial" w:cs="Arial" w:eastAsia="Arial" w:hAnsi="Arial"/>
          <w:sz w:val="19"/>
          <w:szCs w:val="19"/>
          <w:b w:val="1"/>
          <w:bCs w:val="1"/>
          <w:i w:val="1"/>
          <w:iCs w:val="1"/>
          <w:color w:val="auto"/>
        </w:rPr>
        <w:t>VOF GP</w:t>
      </w:r>
      <w:r>
        <w:rPr>
          <w:rFonts w:ascii="Arial" w:cs="Arial" w:eastAsia="Arial" w:hAnsi="Arial"/>
          <w:sz w:val="19"/>
          <w:szCs w:val="19"/>
          <w:color w:val="auto"/>
        </w:rPr>
        <w:t>â€ ), in its capacity as the general partner of VOF Holdings;</w:t>
      </w:r>
    </w:p>
    <w:p>
      <w:pPr>
        <w:spacing w:after="0" w:line="112" w:lineRule="exact"/>
        <w:rPr>
          <w:rFonts w:ascii="Arial" w:cs="Arial" w:eastAsia="Arial" w:hAnsi="Arial"/>
          <w:sz w:val="19"/>
          <w:szCs w:val="19"/>
          <w:color w:val="auto"/>
        </w:rPr>
      </w:pPr>
    </w:p>
    <w:p>
      <w:pPr>
        <w:ind w:left="1760" w:right="520" w:hanging="554"/>
        <w:spacing w:after="0" w:line="275" w:lineRule="auto"/>
        <w:tabs>
          <w:tab w:leader="none" w:pos="17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Oaktree Value Opportunities Fund GP Ltd., a Cayman Islands exempted company (â€œ</w:t>
      </w:r>
      <w:r>
        <w:rPr>
          <w:rFonts w:ascii="Arial" w:cs="Arial" w:eastAsia="Arial" w:hAnsi="Arial"/>
          <w:sz w:val="19"/>
          <w:szCs w:val="19"/>
          <w:b w:val="1"/>
          <w:bCs w:val="1"/>
          <w:i w:val="1"/>
          <w:iCs w:val="1"/>
          <w:color w:val="auto"/>
        </w:rPr>
        <w:t>VOF GP Ltd.</w:t>
      </w:r>
      <w:r>
        <w:rPr>
          <w:rFonts w:ascii="Arial" w:cs="Arial" w:eastAsia="Arial" w:hAnsi="Arial"/>
          <w:sz w:val="19"/>
          <w:szCs w:val="19"/>
          <w:color w:val="auto"/>
        </w:rPr>
        <w:t>â€ ), in its capacity as the general partner of VOF GP;</w:t>
      </w:r>
    </w:p>
    <w:p>
      <w:pPr>
        <w:spacing w:after="0" w:line="112" w:lineRule="exact"/>
        <w:rPr>
          <w:rFonts w:ascii="Arial" w:cs="Arial" w:eastAsia="Arial" w:hAnsi="Arial"/>
          <w:sz w:val="19"/>
          <w:szCs w:val="19"/>
          <w:color w:val="auto"/>
        </w:rPr>
      </w:pPr>
    </w:p>
    <w:p>
      <w:pPr>
        <w:ind w:left="1760" w:hanging="554"/>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Oaktree Fund GP I, L.P., a Delaware limited partnership (â€œ</w:t>
      </w:r>
      <w:r>
        <w:rPr>
          <w:rFonts w:ascii="Arial" w:cs="Arial" w:eastAsia="Arial" w:hAnsi="Arial"/>
          <w:sz w:val="18"/>
          <w:szCs w:val="18"/>
          <w:b w:val="1"/>
          <w:bCs w:val="1"/>
          <w:i w:val="1"/>
          <w:iCs w:val="1"/>
          <w:color w:val="auto"/>
        </w:rPr>
        <w:t>GP I</w:t>
      </w:r>
      <w:r>
        <w:rPr>
          <w:rFonts w:ascii="Arial" w:cs="Arial" w:eastAsia="Arial" w:hAnsi="Arial"/>
          <w:sz w:val="18"/>
          <w:szCs w:val="18"/>
          <w:color w:val="auto"/>
        </w:rPr>
        <w:t>â€  ), in its capacity as the sole shareholder of VOF GP Ltd.;</w:t>
      </w:r>
    </w:p>
    <w:p>
      <w:pPr>
        <w:spacing w:after="0" w:line="249" w:lineRule="exact"/>
        <w:rPr>
          <w:rFonts w:ascii="Arial" w:cs="Arial" w:eastAsia="Arial" w:hAnsi="Arial"/>
          <w:sz w:val="18"/>
          <w:szCs w:val="18"/>
          <w:color w:val="auto"/>
        </w:rPr>
      </w:pPr>
    </w:p>
    <w:p>
      <w:pPr>
        <w:ind w:left="1760" w:hanging="554"/>
        <w:spacing w:after="0"/>
        <w:tabs>
          <w:tab w:leader="none" w:pos="17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Oaktree Capital I, L.P., a Delaware limited partnership (â€œ</w:t>
      </w:r>
      <w:r>
        <w:rPr>
          <w:rFonts w:ascii="Arial" w:cs="Arial" w:eastAsia="Arial" w:hAnsi="Arial"/>
          <w:sz w:val="19"/>
          <w:szCs w:val="19"/>
          <w:b w:val="1"/>
          <w:bCs w:val="1"/>
          <w:i w:val="1"/>
          <w:iCs w:val="1"/>
          <w:color w:val="auto"/>
        </w:rPr>
        <w:t>Capital I</w:t>
      </w:r>
      <w:r>
        <w:rPr>
          <w:rFonts w:ascii="Arial" w:cs="Arial" w:eastAsia="Arial" w:hAnsi="Arial"/>
          <w:sz w:val="19"/>
          <w:szCs w:val="19"/>
          <w:color w:val="auto"/>
        </w:rPr>
        <w:t>â€  ), in its capacity as the general partner of GP I;</w:t>
      </w:r>
    </w:p>
    <w:p>
      <w:pPr>
        <w:spacing w:after="0" w:line="200" w:lineRule="exact"/>
        <w:rPr>
          <w:rFonts w:ascii="Arial" w:cs="Arial" w:eastAsia="Arial" w:hAnsi="Arial"/>
          <w:sz w:val="19"/>
          <w:szCs w:val="19"/>
          <w:color w:val="auto"/>
        </w:rPr>
      </w:pPr>
    </w:p>
    <w:p>
      <w:pPr>
        <w:spacing w:after="0" w:line="380" w:lineRule="exact"/>
        <w:rPr>
          <w:rFonts w:ascii="Arial" w:cs="Arial" w:eastAsia="Arial" w:hAnsi="Arial"/>
          <w:sz w:val="19"/>
          <w:szCs w:val="19"/>
          <w:color w:val="auto"/>
        </w:rPr>
      </w:pPr>
    </w:p>
    <w:p>
      <w:pPr>
        <w:ind w:left="1760" w:hanging="554"/>
        <w:spacing w:after="0"/>
        <w:tabs>
          <w:tab w:leader="none" w:pos="1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(â€œ</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â€  ), in its capacity as the general partner of Capital I;</w:t>
      </w:r>
    </w:p>
    <w:p>
      <w:pPr>
        <w:spacing w:after="0" w:line="189" w:lineRule="exact"/>
        <w:rPr>
          <w:rFonts w:ascii="Arial" w:cs="Arial" w:eastAsia="Arial" w:hAnsi="Arial"/>
          <w:sz w:val="17"/>
          <w:szCs w:val="17"/>
          <w:color w:val="auto"/>
        </w:rPr>
      </w:pPr>
    </w:p>
    <w:p>
      <w:pPr>
        <w:ind w:left="1760" w:hanging="554"/>
        <w:spacing w:after="0" w:line="275" w:lineRule="auto"/>
        <w:tabs>
          <w:tab w:leader="none" w:pos="17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Oaktree Holdings, LLC, a Delaware limited liability company (â€œ</w:t>
      </w:r>
      <w:r>
        <w:rPr>
          <w:rFonts w:ascii="Arial" w:cs="Arial" w:eastAsia="Arial" w:hAnsi="Arial"/>
          <w:sz w:val="19"/>
          <w:szCs w:val="19"/>
          <w:b w:val="1"/>
          <w:bCs w:val="1"/>
          <w:i w:val="1"/>
          <w:iCs w:val="1"/>
          <w:color w:val="auto"/>
        </w:rPr>
        <w:t>Holdings</w:t>
      </w:r>
      <w:r>
        <w:rPr>
          <w:rFonts w:ascii="Arial" w:cs="Arial" w:eastAsia="Arial" w:hAnsi="Arial"/>
          <w:sz w:val="19"/>
          <w:szCs w:val="19"/>
          <w:color w:val="auto"/>
        </w:rPr>
        <w:t>â€ ) in its capacity as the managing member of Holdings I;</w:t>
      </w:r>
    </w:p>
    <w:p>
      <w:pPr>
        <w:spacing w:after="0" w:line="112" w:lineRule="exact"/>
        <w:rPr>
          <w:rFonts w:ascii="Arial" w:cs="Arial" w:eastAsia="Arial" w:hAnsi="Arial"/>
          <w:sz w:val="19"/>
          <w:szCs w:val="19"/>
          <w:color w:val="auto"/>
        </w:rPr>
      </w:pPr>
    </w:p>
    <w:p>
      <w:pPr>
        <w:ind w:left="1760" w:right="80" w:hanging="554"/>
        <w:spacing w:after="0" w:line="275" w:lineRule="auto"/>
        <w:tabs>
          <w:tab w:leader="none" w:pos="17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Oaktree Capital Management, L.P., a Delaware limited partnership (â€œ</w:t>
      </w:r>
      <w:r>
        <w:rPr>
          <w:rFonts w:ascii="Arial" w:cs="Arial" w:eastAsia="Arial" w:hAnsi="Arial"/>
          <w:sz w:val="19"/>
          <w:szCs w:val="19"/>
          <w:b w:val="1"/>
          <w:bCs w:val="1"/>
          <w:i w:val="1"/>
          <w:iCs w:val="1"/>
          <w:color w:val="auto"/>
        </w:rPr>
        <w:t>Management</w:t>
      </w:r>
      <w:r>
        <w:rPr>
          <w:rFonts w:ascii="Arial" w:cs="Arial" w:eastAsia="Arial" w:hAnsi="Arial"/>
          <w:sz w:val="19"/>
          <w:szCs w:val="19"/>
          <w:color w:val="auto"/>
        </w:rPr>
        <w:t>â€ ), in its capacity as the sole director of VOF GP Ltd.;</w:t>
      </w:r>
    </w:p>
    <w:p>
      <w:pPr>
        <w:spacing w:after="0" w:line="112" w:lineRule="exact"/>
        <w:rPr>
          <w:rFonts w:ascii="Arial" w:cs="Arial" w:eastAsia="Arial" w:hAnsi="Arial"/>
          <w:sz w:val="19"/>
          <w:szCs w:val="19"/>
          <w:color w:val="auto"/>
        </w:rPr>
      </w:pPr>
    </w:p>
    <w:p>
      <w:pPr>
        <w:ind w:left="1760" w:hanging="554"/>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Oaktree Holdings, Inc., a Delaware corporation (â€œ</w:t>
      </w:r>
      <w:r>
        <w:rPr>
          <w:rFonts w:ascii="Arial" w:cs="Arial" w:eastAsia="Arial" w:hAnsi="Arial"/>
          <w:sz w:val="18"/>
          <w:szCs w:val="18"/>
          <w:b w:val="1"/>
          <w:bCs w:val="1"/>
          <w:i w:val="1"/>
          <w:iCs w:val="1"/>
          <w:color w:val="auto"/>
        </w:rPr>
        <w:t>Holdings, Inc.</w:t>
      </w:r>
      <w:r>
        <w:rPr>
          <w:rFonts w:ascii="Arial" w:cs="Arial" w:eastAsia="Arial" w:hAnsi="Arial"/>
          <w:sz w:val="18"/>
          <w:szCs w:val="18"/>
          <w:color w:val="auto"/>
        </w:rPr>
        <w:t>â€  ), in its capacity as the general partner of Management;</w:t>
      </w:r>
    </w:p>
    <w:p>
      <w:pPr>
        <w:spacing w:after="0" w:line="178" w:lineRule="exact"/>
        <w:rPr>
          <w:rFonts w:ascii="Arial" w:cs="Arial" w:eastAsia="Arial" w:hAnsi="Arial"/>
          <w:sz w:val="18"/>
          <w:szCs w:val="18"/>
          <w:color w:val="auto"/>
        </w:rPr>
      </w:pPr>
    </w:p>
    <w:p>
      <w:pPr>
        <w:ind w:left="1760" w:right="640" w:hanging="554"/>
        <w:spacing w:after="0" w:line="275" w:lineRule="auto"/>
        <w:tabs>
          <w:tab w:leader="none" w:pos="17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Oaktree Capital Group, LLC, a Delaware limited liability company (â€œ</w:t>
      </w:r>
      <w:r>
        <w:rPr>
          <w:rFonts w:ascii="Arial" w:cs="Arial" w:eastAsia="Arial" w:hAnsi="Arial"/>
          <w:sz w:val="19"/>
          <w:szCs w:val="19"/>
          <w:b w:val="1"/>
          <w:bCs w:val="1"/>
          <w:i w:val="1"/>
          <w:iCs w:val="1"/>
          <w:color w:val="auto"/>
        </w:rPr>
        <w:t>OCG</w:t>
      </w:r>
      <w:r>
        <w:rPr>
          <w:rFonts w:ascii="Arial" w:cs="Arial" w:eastAsia="Arial" w:hAnsi="Arial"/>
          <w:sz w:val="19"/>
          <w:szCs w:val="19"/>
          <w:color w:val="auto"/>
        </w:rPr>
        <w:t>â€ ), in its capacity as the managing member of Holdings and as the sole shareholder of Holdings, Inc.; and</w:t>
      </w:r>
    </w:p>
    <w:p>
      <w:pPr>
        <w:spacing w:after="0" w:line="112" w:lineRule="exact"/>
        <w:rPr>
          <w:rFonts w:ascii="Arial" w:cs="Arial" w:eastAsia="Arial" w:hAnsi="Arial"/>
          <w:sz w:val="19"/>
          <w:szCs w:val="19"/>
          <w:color w:val="auto"/>
        </w:rPr>
      </w:pPr>
    </w:p>
    <w:p>
      <w:pPr>
        <w:ind w:left="1760" w:right="460" w:hanging="554"/>
        <w:spacing w:after="0" w:line="275" w:lineRule="auto"/>
        <w:tabs>
          <w:tab w:leader="none" w:pos="17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Oaktree Capital Group Holdings GP, LLC, a Delaware limited liability company (â€œ</w:t>
      </w:r>
      <w:r>
        <w:rPr>
          <w:rFonts w:ascii="Arial" w:cs="Arial" w:eastAsia="Arial" w:hAnsi="Arial"/>
          <w:sz w:val="19"/>
          <w:szCs w:val="19"/>
          <w:b w:val="1"/>
          <w:bCs w:val="1"/>
          <w:i w:val="1"/>
          <w:iCs w:val="1"/>
          <w:color w:val="auto"/>
        </w:rPr>
        <w:t>OCGH GP</w:t>
      </w:r>
      <w:r>
        <w:rPr>
          <w:rFonts w:ascii="Arial" w:cs="Arial" w:eastAsia="Arial" w:hAnsi="Arial"/>
          <w:sz w:val="19"/>
          <w:szCs w:val="19"/>
          <w:color w:val="auto"/>
        </w:rPr>
        <w:t>â€ ), in its capacity as the duly elected manager of OCG.</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principal business address of each of the Reporting Persons is 333 S. Grand Avenue, 28th Floor, Los Angeles, CA 90071.</w:t>
      </w:r>
    </w:p>
    <w:p>
      <w:pPr>
        <w:spacing w:after="0" w:line="289" w:lineRule="exact"/>
        <w:rPr>
          <w:sz w:val="20"/>
          <w:szCs w:val="20"/>
          <w:color w:val="auto"/>
        </w:rPr>
      </w:pPr>
    </w:p>
    <w:p>
      <w:pPr>
        <w:ind w:left="1680" w:hanging="474"/>
        <w:spacing w:after="0"/>
        <w:tabs>
          <w:tab w:leader="none" w:pos="168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Title of Class of Securities:</w:t>
      </w:r>
    </w:p>
    <w:p>
      <w:pPr>
        <w:spacing w:after="0" w:line="243" w:lineRule="exact"/>
        <w:rPr>
          <w:rFonts w:ascii="Arial" w:cs="Arial" w:eastAsia="Arial" w:hAnsi="Arial"/>
          <w:sz w:val="19"/>
          <w:szCs w:val="19"/>
          <w:b w:val="1"/>
          <w:bCs w:val="1"/>
          <w:color w:val="auto"/>
        </w:rPr>
      </w:pPr>
    </w:p>
    <w:p>
      <w:pPr>
        <w:ind w:left="1680"/>
        <w:spacing w:after="0"/>
        <w:rPr>
          <w:rFonts w:ascii="Arial" w:cs="Arial" w:eastAsia="Arial" w:hAnsi="Arial"/>
          <w:sz w:val="19"/>
          <w:szCs w:val="19"/>
          <w:b w:val="1"/>
          <w:bCs w:val="1"/>
          <w:color w:val="auto"/>
        </w:rPr>
      </w:pPr>
      <w:r>
        <w:rPr>
          <w:rFonts w:ascii="Arial" w:cs="Arial" w:eastAsia="Arial" w:hAnsi="Arial"/>
          <w:sz w:val="19"/>
          <w:szCs w:val="19"/>
          <w:color w:val="auto"/>
        </w:rPr>
        <w:t>Common Stock, par value $0.01 per share (â€œ</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â€  ).</w:t>
      </w:r>
    </w:p>
    <w:p>
      <w:pPr>
        <w:spacing w:after="0" w:line="231" w:lineRule="exact"/>
        <w:rPr>
          <w:rFonts w:ascii="Arial" w:cs="Arial" w:eastAsia="Arial" w:hAnsi="Arial"/>
          <w:sz w:val="19"/>
          <w:szCs w:val="19"/>
          <w:b w:val="1"/>
          <w:bCs w:val="1"/>
          <w:color w:val="auto"/>
        </w:rPr>
      </w:pPr>
    </w:p>
    <w:p>
      <w:pPr>
        <w:ind w:left="1680" w:hanging="474"/>
        <w:spacing w:after="0"/>
        <w:tabs>
          <w:tab w:leader="none" w:pos="168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625080"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236" w:right="120"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65"/>
        </w:trPr>
        <w:tc>
          <w:tcPr>
            <w:tcW w:w="2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CUSIP No. 55933J203</w:t>
            </w:r>
          </w:p>
        </w:tc>
        <w:tc>
          <w:tcPr>
            <w:tcW w:w="7180" w:type="dxa"/>
            <w:vAlign w:val="bottom"/>
            <w:tcBorders>
              <w:right w:val="single" w:sz="8" w:color="auto"/>
            </w:tcBorders>
          </w:tcPr>
          <w:p>
            <w:pPr>
              <w:ind w:left="286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87"/>
              </w:rPr>
              <w:t>Page 14 of 19</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0" w:right="40" w:hanging="1211"/>
        <w:spacing w:after="0" w:line="282" w:lineRule="auto"/>
        <w:tabs>
          <w:tab w:leader="none" w:pos="118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SS.240.13D-1(B) OR 240.13D-2(B) OR (C), CHECK WHETHER THE PERSON FILING IS A:</w:t>
      </w:r>
    </w:p>
    <w:p>
      <w:pPr>
        <w:spacing w:after="0" w:line="177" w:lineRule="exact"/>
        <w:rPr>
          <w:sz w:val="20"/>
          <w:szCs w:val="20"/>
          <w:color w:val="auto"/>
        </w:rPr>
      </w:pPr>
    </w:p>
    <w:p>
      <w:pPr>
        <w:ind w:left="1800" w:hanging="594"/>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[__]  Broker or dealer registered under Section 15 of the Act (15 U.S.C. 78o)</w:t>
      </w:r>
    </w:p>
    <w:p>
      <w:pPr>
        <w:spacing w:after="0" w:line="22" w:lineRule="exact"/>
        <w:rPr>
          <w:rFonts w:ascii="Arial" w:cs="Arial" w:eastAsia="Arial" w:hAnsi="Arial"/>
          <w:sz w:val="19"/>
          <w:szCs w:val="19"/>
          <w:color w:val="auto"/>
        </w:rPr>
      </w:pPr>
    </w:p>
    <w:p>
      <w:pPr>
        <w:ind w:left="1800" w:hanging="594"/>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[__]  Bank as defined in Section 3(a)(6) of the Act (15 U.S.C. 78c)</w:t>
      </w:r>
    </w:p>
    <w:p>
      <w:pPr>
        <w:spacing w:after="0" w:line="9" w:lineRule="exact"/>
        <w:rPr>
          <w:rFonts w:ascii="Arial" w:cs="Arial" w:eastAsia="Arial" w:hAnsi="Arial"/>
          <w:sz w:val="19"/>
          <w:szCs w:val="19"/>
          <w:color w:val="auto"/>
        </w:rPr>
      </w:pPr>
    </w:p>
    <w:p>
      <w:pPr>
        <w:ind w:left="1800" w:hanging="594"/>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[__]  Insurance company as defined in Section 3(a)(19) of the Act (15 U.S.C. 78c)</w:t>
      </w:r>
    </w:p>
    <w:p>
      <w:pPr>
        <w:spacing w:after="0" w:line="9" w:lineRule="exact"/>
        <w:rPr>
          <w:rFonts w:ascii="Arial" w:cs="Arial" w:eastAsia="Arial" w:hAnsi="Arial"/>
          <w:sz w:val="19"/>
          <w:szCs w:val="19"/>
          <w:color w:val="auto"/>
        </w:rPr>
      </w:pPr>
    </w:p>
    <w:p>
      <w:pPr>
        <w:ind w:left="1800" w:hanging="594"/>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[__]  Investment company registered under Section 8 of the Investment Company Act of 1940 (15 U.S.C. 80a-8)</w:t>
      </w:r>
    </w:p>
    <w:p>
      <w:pPr>
        <w:spacing w:after="0" w:line="9" w:lineRule="exact"/>
        <w:rPr>
          <w:rFonts w:ascii="Arial" w:cs="Arial" w:eastAsia="Arial" w:hAnsi="Arial"/>
          <w:sz w:val="19"/>
          <w:szCs w:val="19"/>
          <w:color w:val="auto"/>
        </w:rPr>
      </w:pPr>
    </w:p>
    <w:p>
      <w:pPr>
        <w:ind w:left="1800" w:hanging="594"/>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[__] An investment adviser in accordance with ss.240.13d-1(b)(1)(ii)(E)</w:t>
      </w:r>
    </w:p>
    <w:p>
      <w:pPr>
        <w:spacing w:after="0" w:line="9" w:lineRule="exact"/>
        <w:rPr>
          <w:rFonts w:ascii="Arial" w:cs="Arial" w:eastAsia="Arial" w:hAnsi="Arial"/>
          <w:sz w:val="19"/>
          <w:szCs w:val="19"/>
          <w:color w:val="auto"/>
        </w:rPr>
      </w:pPr>
    </w:p>
    <w:p>
      <w:pPr>
        <w:ind w:left="1800" w:hanging="594"/>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[__] An employee benefit plan or endowment fund in accordance with ss.240.13d-1(b)(1)(ii)(F)</w:t>
      </w:r>
    </w:p>
    <w:p>
      <w:pPr>
        <w:spacing w:after="0" w:line="9" w:lineRule="exact"/>
        <w:rPr>
          <w:rFonts w:ascii="Arial" w:cs="Arial" w:eastAsia="Arial" w:hAnsi="Arial"/>
          <w:sz w:val="19"/>
          <w:szCs w:val="19"/>
          <w:color w:val="auto"/>
        </w:rPr>
      </w:pPr>
    </w:p>
    <w:p>
      <w:pPr>
        <w:ind w:left="1800" w:hanging="594"/>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[__] A Parent holding company or control person in accordance with ss.240.13d-1(b)(1)(ii)(G)</w:t>
      </w:r>
    </w:p>
    <w:p>
      <w:pPr>
        <w:spacing w:after="0" w:line="9" w:lineRule="exact"/>
        <w:rPr>
          <w:rFonts w:ascii="Arial" w:cs="Arial" w:eastAsia="Arial" w:hAnsi="Arial"/>
          <w:sz w:val="19"/>
          <w:szCs w:val="19"/>
          <w:color w:val="auto"/>
        </w:rPr>
      </w:pPr>
    </w:p>
    <w:p>
      <w:pPr>
        <w:ind w:left="1800" w:hanging="594"/>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[__] A savings associations as defined in Section 3(b) of the Federal Deposit Insurance Act (12 U.S.C. 1813)</w:t>
      </w:r>
    </w:p>
    <w:p>
      <w:pPr>
        <w:spacing w:after="0" w:line="9" w:lineRule="exact"/>
        <w:rPr>
          <w:rFonts w:ascii="Arial" w:cs="Arial" w:eastAsia="Arial" w:hAnsi="Arial"/>
          <w:sz w:val="19"/>
          <w:szCs w:val="19"/>
          <w:color w:val="auto"/>
        </w:rPr>
      </w:pPr>
    </w:p>
    <w:p>
      <w:pPr>
        <w:ind w:left="1800" w:right="40" w:hanging="594"/>
        <w:spacing w:after="0" w:line="250" w:lineRule="auto"/>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[__] A church plan that is excluded from the definition of an investment company under section 3(c)(14) of the Investment Company Act of 1940 (15 U.S.C. 80a-3)</w:t>
      </w:r>
    </w:p>
    <w:p>
      <w:pPr>
        <w:spacing w:after="0" w:line="1" w:lineRule="exact"/>
        <w:rPr>
          <w:rFonts w:ascii="Arial" w:cs="Arial" w:eastAsia="Arial" w:hAnsi="Arial"/>
          <w:sz w:val="19"/>
          <w:szCs w:val="19"/>
          <w:color w:val="auto"/>
        </w:rPr>
      </w:pPr>
    </w:p>
    <w:p>
      <w:pPr>
        <w:ind w:left="1800" w:hanging="594"/>
        <w:spacing w:after="0"/>
        <w:tabs>
          <w:tab w:leader="none" w:pos="18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  Group, in accordance with ss.240.13d-1(b)(1)(ii)(J).</w:t>
      </w:r>
    </w:p>
    <w:p>
      <w:pPr>
        <w:spacing w:after="0" w:line="147"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8" w:lineRule="exact"/>
        <w:rPr>
          <w:sz w:val="20"/>
          <w:szCs w:val="20"/>
          <w:color w:val="auto"/>
        </w:rPr>
      </w:pPr>
    </w:p>
    <w:p>
      <w:pPr>
        <w:ind w:left="1200" w:right="360"/>
        <w:spacing w:after="0" w:line="282" w:lineRule="auto"/>
        <w:rPr>
          <w:sz w:val="20"/>
          <w:szCs w:val="20"/>
          <w:color w:val="auto"/>
        </w:rPr>
      </w:pPr>
      <w:r>
        <w:rPr>
          <w:rFonts w:ascii="Arial" w:cs="Arial" w:eastAsia="Arial" w:hAnsi="Arial"/>
          <w:sz w:val="19"/>
          <w:szCs w:val="19"/>
          <w:b w:val="1"/>
          <w:bCs w:val="1"/>
          <w:color w:val="auto"/>
        </w:rPr>
        <w:t>(a)-(c) Amount beneficially owned, percent of class, number of shares as to which each person has sole or shared power to vote or direct the vote; sole or shared power to dispose or direct the disposition of:</w:t>
      </w:r>
    </w:p>
    <w:p>
      <w:pPr>
        <w:spacing w:after="0" w:line="177" w:lineRule="exact"/>
        <w:rPr>
          <w:sz w:val="20"/>
          <w:szCs w:val="20"/>
          <w:color w:val="auto"/>
        </w:rPr>
      </w:pPr>
    </w:p>
    <w:p>
      <w:pPr>
        <w:ind w:left="1200" w:right="780"/>
        <w:spacing w:after="0" w:line="275" w:lineRule="auto"/>
        <w:rPr>
          <w:sz w:val="20"/>
          <w:szCs w:val="20"/>
          <w:color w:val="auto"/>
        </w:rPr>
      </w:pPr>
      <w:r>
        <w:rPr>
          <w:rFonts w:ascii="Arial" w:cs="Arial" w:eastAsia="Arial" w:hAnsi="Arial"/>
          <w:sz w:val="19"/>
          <w:szCs w:val="19"/>
          <w:color w:val="auto"/>
        </w:rPr>
        <w:t>The responses of the Reporting Persons to Rows 5, 6, 7, 8, 9 and 11 in each of their respective cover pages to this Schedule 13G are incorporated herein by reference.</w:t>
      </w:r>
    </w:p>
    <w:p>
      <w:pPr>
        <w:spacing w:after="0" w:line="18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VOF Holdings directly holds 3,250,000 shares of the Issuerâ€™s Common Stock.</w:t>
      </w:r>
    </w:p>
    <w:p>
      <w:pPr>
        <w:spacing w:after="0" w:line="238" w:lineRule="exact"/>
        <w:rPr>
          <w:sz w:val="20"/>
          <w:szCs w:val="20"/>
          <w:color w:val="auto"/>
        </w:rPr>
      </w:pPr>
    </w:p>
    <w:p>
      <w:pPr>
        <w:ind w:left="1200" w:right="320"/>
        <w:spacing w:after="0" w:line="263" w:lineRule="auto"/>
        <w:rPr>
          <w:sz w:val="20"/>
          <w:szCs w:val="20"/>
          <w:color w:val="auto"/>
        </w:rPr>
      </w:pPr>
      <w:r>
        <w:rPr>
          <w:rFonts w:ascii="Arial" w:cs="Arial" w:eastAsia="Arial" w:hAnsi="Arial"/>
          <w:sz w:val="19"/>
          <w:szCs w:val="19"/>
          <w:color w:val="auto"/>
        </w:rPr>
        <w:t>VOF GP, in its capacity as the general partner of VOF Holdings, has the ability to direct the management of VOF Holdingsâ€™ business, including the power to vote and dispose of securities held by VOF Holdings; therefore, VOF GP may be deemed to beneficially own the shares of the Issuerâ€™s Common Stock deemed held by VOF Holdings.</w:t>
      </w:r>
    </w:p>
    <w:p>
      <w:pPr>
        <w:spacing w:after="0" w:line="194" w:lineRule="exact"/>
        <w:rPr>
          <w:sz w:val="20"/>
          <w:szCs w:val="20"/>
          <w:color w:val="auto"/>
        </w:rPr>
      </w:pPr>
    </w:p>
    <w:p>
      <w:pPr>
        <w:ind w:left="1200" w:right="20"/>
        <w:spacing w:after="0" w:line="308" w:lineRule="auto"/>
        <w:rPr>
          <w:sz w:val="20"/>
          <w:szCs w:val="20"/>
          <w:color w:val="auto"/>
        </w:rPr>
      </w:pPr>
      <w:r>
        <w:rPr>
          <w:rFonts w:ascii="Arial" w:cs="Arial" w:eastAsia="Arial" w:hAnsi="Arial"/>
          <w:sz w:val="17"/>
          <w:szCs w:val="17"/>
          <w:color w:val="auto"/>
        </w:rPr>
        <w:t>VOF GP Ltd., in its capacity as the general partner of VOF GP, has the ability to direct the management of VOF GPâ€™s business, including the power to direct the decisions of VOF GP regarding the vote and disposition of securities held by VOF Holdings; therefore, VOF GP Ltd. may be deemed to have indirect beneficial ownership of the shares of the Issuerâ€™s Common Stock deemed held by VOF Holdings.</w:t>
      </w:r>
    </w:p>
    <w:p>
      <w:pPr>
        <w:spacing w:after="0" w:line="160" w:lineRule="exact"/>
        <w:rPr>
          <w:sz w:val="20"/>
          <w:szCs w:val="20"/>
          <w:color w:val="auto"/>
        </w:rPr>
      </w:pPr>
    </w:p>
    <w:p>
      <w:pPr>
        <w:ind w:left="1200" w:right="20"/>
        <w:spacing w:after="0" w:line="259" w:lineRule="auto"/>
        <w:rPr>
          <w:sz w:val="20"/>
          <w:szCs w:val="20"/>
          <w:color w:val="auto"/>
        </w:rPr>
      </w:pPr>
      <w:r>
        <w:rPr>
          <w:rFonts w:ascii="Arial" w:cs="Arial" w:eastAsia="Arial" w:hAnsi="Arial"/>
          <w:sz w:val="19"/>
          <w:szCs w:val="19"/>
          <w:color w:val="auto"/>
        </w:rPr>
        <w:t>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Issuerâ€™s Common Stock deemed held by VOF Holdings.</w:t>
      </w:r>
    </w:p>
    <w:p>
      <w:pPr>
        <w:spacing w:after="0" w:line="198" w:lineRule="exact"/>
        <w:rPr>
          <w:sz w:val="20"/>
          <w:szCs w:val="20"/>
          <w:color w:val="auto"/>
        </w:rPr>
      </w:pPr>
    </w:p>
    <w:p>
      <w:pPr>
        <w:ind w:left="1200" w:right="20"/>
        <w:spacing w:after="0" w:line="284" w:lineRule="auto"/>
        <w:rPr>
          <w:sz w:val="20"/>
          <w:szCs w:val="20"/>
          <w:color w:val="auto"/>
        </w:rPr>
      </w:pPr>
      <w:r>
        <w:rPr>
          <w:rFonts w:ascii="Arial" w:cs="Arial" w:eastAsia="Arial" w:hAnsi="Arial"/>
          <w:sz w:val="18"/>
          <w:szCs w:val="18"/>
          <w:color w:val="auto"/>
        </w:rPr>
        <w:t>Capital I, in its capacity as the general partner of GP I, has the ability to direct the management of GP Iâ€™s business, including the power to direct the decisions of GP I regarding the vote and disposition of securities held by VOF Holdings; therefore, Capital I may be deemed to have indirect beneficial ownership of the shares of the Issuerâ€™s Common Stock deemed held by VOF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493395</wp:posOffset>
            </wp:positionV>
            <wp:extent cx="762508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265" w:right="120" w:bottom="1440" w:gutter="0" w:footer="0" w:header="0"/>
        </w:sectPr>
      </w:pPr>
    </w:p>
    <w:bookmarkStart w:id="14" w:name="page15"/>
    <w:bookmarkEnd w:id="14"/>
    <w:p>
      <w:pPr>
        <w:spacing w:after="0"/>
        <w:tabs>
          <w:tab w:leader="none" w:pos="5180" w:val="left"/>
          <w:tab w:leader="none" w:pos="10820" w:val="left"/>
        </w:tabs>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6158230</wp:posOffset>
            </wp:positionH>
            <wp:positionV relativeFrom="page">
              <wp:posOffset>217170</wp:posOffset>
            </wp:positionV>
            <wp:extent cx="1539240" cy="180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39240" cy="18097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217170</wp:posOffset>
            </wp:positionV>
            <wp:extent cx="1539240" cy="180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9240" cy="180975"/>
                    </a:xfrm>
                    <a:prstGeom prst="rect">
                      <a:avLst/>
                    </a:prstGeom>
                    <a:noFill/>
                  </pic:spPr>
                </pic:pic>
              </a:graphicData>
            </a:graphic>
          </wp:anchor>
        </w:drawing>
        <w:t>CUSIP No. 55933J203</w:t>
      </w:r>
      <w:r>
        <w:rPr>
          <w:sz w:val="20"/>
          <w:szCs w:val="20"/>
          <w:color w:val="auto"/>
        </w:rPr>
        <w:tab/>
      </w:r>
      <w:r>
        <w:rPr>
          <w:rFonts w:ascii="Arial" w:cs="Arial" w:eastAsia="Arial" w:hAnsi="Arial"/>
          <w:sz w:val="19"/>
          <w:szCs w:val="19"/>
          <w:b w:val="1"/>
          <w:bCs w:val="1"/>
          <w:color w:val="auto"/>
        </w:rPr>
        <w:t>SCHEDULE 13G</w:t>
      </w:r>
      <w:r>
        <w:rPr>
          <w:sz w:val="20"/>
          <w:szCs w:val="20"/>
          <w:color w:val="auto"/>
        </w:rPr>
        <w:tab/>
      </w:r>
      <w:r>
        <w:rPr>
          <w:rFonts w:ascii="Arial" w:cs="Arial" w:eastAsia="Arial" w:hAnsi="Arial"/>
          <w:sz w:val="17"/>
          <w:szCs w:val="17"/>
          <w:color w:val="auto"/>
        </w:rPr>
        <w:t>Page 15 of 19</w:t>
      </w:r>
    </w:p>
    <w:p>
      <w:pPr>
        <w:sectPr>
          <w:pgSz w:w="12240" w:h="15840" w:orient="portrait"/>
          <w:cols w:equalWidth="0" w:num="1">
            <w:col w:w="11900"/>
          </w:cols>
          <w:pgMar w:left="200" w:top="350" w:right="1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20" w:right="240"/>
        <w:spacing w:after="0" w:line="308" w:lineRule="auto"/>
        <w:rPr>
          <w:sz w:val="20"/>
          <w:szCs w:val="20"/>
          <w:color w:val="auto"/>
        </w:rPr>
      </w:pPr>
      <w:r>
        <w:rPr>
          <w:rFonts w:ascii="Arial" w:cs="Arial" w:eastAsia="Arial" w:hAnsi="Arial"/>
          <w:sz w:val="17"/>
          <w:szCs w:val="17"/>
          <w:color w:val="auto"/>
        </w:rPr>
        <w:t>Holdings I, in its capacity as the general partner of Capital I, has the ability to direct the management of Capital Iâ€™s business, including the power to direct the decisions of Capital I regarding the vote and disposition of securities held by VOF Holdings; therefore, Holdings I may be deemed to have indirect beneficial ownership of the shares of the Issuerâ€™s Common Stock deemed held by VOF Holdings.</w:t>
      </w:r>
    </w:p>
    <w:p>
      <w:pPr>
        <w:spacing w:after="0" w:line="160" w:lineRule="exact"/>
        <w:rPr>
          <w:sz w:val="20"/>
          <w:szCs w:val="20"/>
          <w:color w:val="auto"/>
        </w:rPr>
      </w:pPr>
    </w:p>
    <w:p>
      <w:pPr>
        <w:ind w:left="1120" w:right="280"/>
        <w:spacing w:after="0" w:line="259" w:lineRule="auto"/>
        <w:rPr>
          <w:sz w:val="20"/>
          <w:szCs w:val="20"/>
          <w:color w:val="auto"/>
        </w:rPr>
      </w:pPr>
      <w:r>
        <w:rPr>
          <w:rFonts w:ascii="Arial" w:cs="Arial" w:eastAsia="Arial" w:hAnsi="Arial"/>
          <w:sz w:val="19"/>
          <w:szCs w:val="19"/>
          <w:color w:val="auto"/>
        </w:rPr>
        <w:t>Holdings, in its capacity as the managing member of Holdings I, has the ability to direct the management of Holding Iâ€™s business, including the power to direct the decisions of Holdings I regarding the vote and disposition of securities held by VOF Holdings; therefore, Holdings may be deemed to have indirect beneficial ownership of the shares of the Issuerâ€™s Common Stock deemed held by VOF Holdings.</w:t>
      </w:r>
    </w:p>
    <w:p>
      <w:pPr>
        <w:spacing w:after="0" w:line="198" w:lineRule="exact"/>
        <w:rPr>
          <w:sz w:val="20"/>
          <w:szCs w:val="20"/>
          <w:color w:val="auto"/>
        </w:rPr>
      </w:pPr>
    </w:p>
    <w:p>
      <w:pPr>
        <w:ind w:left="1120" w:right="60"/>
        <w:spacing w:after="0" w:line="308" w:lineRule="auto"/>
        <w:rPr>
          <w:sz w:val="20"/>
          <w:szCs w:val="20"/>
          <w:color w:val="auto"/>
        </w:rPr>
      </w:pPr>
      <w:r>
        <w:rPr>
          <w:rFonts w:ascii="Arial" w:cs="Arial" w:eastAsia="Arial" w:hAnsi="Arial"/>
          <w:sz w:val="17"/>
          <w:szCs w:val="17"/>
          <w:color w:val="auto"/>
        </w:rPr>
        <w:t>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the Issuerâ€™s Common Stock deemed held by VOF Holdings.</w:t>
      </w:r>
    </w:p>
    <w:p>
      <w:pPr>
        <w:spacing w:after="0" w:line="160" w:lineRule="exact"/>
        <w:rPr>
          <w:sz w:val="20"/>
          <w:szCs w:val="20"/>
          <w:color w:val="auto"/>
        </w:rPr>
      </w:pPr>
    </w:p>
    <w:p>
      <w:pPr>
        <w:ind w:left="1120" w:right="80"/>
        <w:spacing w:after="0" w:line="284" w:lineRule="auto"/>
        <w:rPr>
          <w:sz w:val="20"/>
          <w:szCs w:val="20"/>
          <w:color w:val="auto"/>
        </w:rPr>
      </w:pPr>
      <w:r>
        <w:rPr>
          <w:rFonts w:ascii="Arial" w:cs="Arial" w:eastAsia="Arial" w:hAnsi="Arial"/>
          <w:sz w:val="18"/>
          <w:szCs w:val="18"/>
          <w:color w:val="auto"/>
        </w:rPr>
        <w:t>Holdings, Inc., in its capacity as the general partner of Management, has the ability to direct the management of Managementâ€™s business, including the power to vote and dispose of securities held by VOF Holdings; therefore, Holdings, Inc. may be deemed to have indirect beneficial ownership of the shares of the Issuerâ€™s Common Stock deemed held by VOF Holdings.</w:t>
      </w:r>
    </w:p>
    <w:p>
      <w:pPr>
        <w:spacing w:after="0" w:line="178" w:lineRule="exact"/>
        <w:rPr>
          <w:sz w:val="20"/>
          <w:szCs w:val="20"/>
          <w:color w:val="auto"/>
        </w:rPr>
      </w:pPr>
    </w:p>
    <w:p>
      <w:pPr>
        <w:ind w:left="1120" w:right="100"/>
        <w:spacing w:after="0" w:line="294" w:lineRule="auto"/>
        <w:rPr>
          <w:sz w:val="20"/>
          <w:szCs w:val="20"/>
          <w:color w:val="auto"/>
        </w:rPr>
      </w:pPr>
      <w:r>
        <w:rPr>
          <w:rFonts w:ascii="Arial" w:cs="Arial" w:eastAsia="Arial" w:hAnsi="Arial"/>
          <w:sz w:val="17"/>
          <w:szCs w:val="17"/>
          <w:color w:val="auto"/>
        </w:rPr>
        <w:t>OCG, in its capacity as the managing member of Holdings, has the ability to direct the management of Holdingsâ€™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the Issuerâ€™s Common Stock deemed held by VOF Holdings.</w:t>
      </w:r>
    </w:p>
    <w:p>
      <w:pPr>
        <w:spacing w:after="0" w:line="172" w:lineRule="exact"/>
        <w:rPr>
          <w:sz w:val="20"/>
          <w:szCs w:val="20"/>
          <w:color w:val="auto"/>
        </w:rPr>
      </w:pPr>
    </w:p>
    <w:p>
      <w:pPr>
        <w:ind w:left="1120" w:right="80"/>
        <w:spacing w:after="0" w:line="308" w:lineRule="auto"/>
        <w:rPr>
          <w:sz w:val="20"/>
          <w:szCs w:val="20"/>
          <w:color w:val="auto"/>
        </w:rPr>
      </w:pPr>
      <w:r>
        <w:rPr>
          <w:rFonts w:ascii="Arial" w:cs="Arial" w:eastAsia="Arial" w:hAnsi="Arial"/>
          <w:sz w:val="17"/>
          <w:szCs w:val="17"/>
          <w:color w:val="auto"/>
        </w:rPr>
        <w:t>OCGH GP, in its capacity as the duly appointed manager of OCG, has the ability appoint and remove directors of OCG and, as such, may indirectly control the decisions of OCG regarding the vote and disposition of securities held by VOF Holdings; therefore, OCGH GP may be deemed to have indirect beneficial ownership of the shares of the Issuerâ€™s Common Stock deemed held by VOF Holdings.</w:t>
      </w:r>
    </w:p>
    <w:p>
      <w:pPr>
        <w:spacing w:after="0" w:line="160" w:lineRule="exact"/>
        <w:rPr>
          <w:sz w:val="20"/>
          <w:szCs w:val="20"/>
          <w:color w:val="auto"/>
        </w:rPr>
      </w:pPr>
    </w:p>
    <w:p>
      <w:pPr>
        <w:ind w:left="1120" w:right="180"/>
        <w:spacing w:after="0" w:line="298"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personâ€™s pecuniary interest in the shares of Common Stock, and except to the extent of its pecuniary interest, such beneficial ownership is expressly disclaimed by each Reporting Person.</w:t>
      </w:r>
    </w:p>
    <w:p>
      <w:pPr>
        <w:spacing w:after="0" w:line="170" w:lineRule="exact"/>
        <w:rPr>
          <w:sz w:val="20"/>
          <w:szCs w:val="20"/>
          <w:color w:val="auto"/>
        </w:rPr>
      </w:pPr>
    </w:p>
    <w:p>
      <w:pPr>
        <w:ind w:left="1120" w:right="380"/>
        <w:spacing w:after="0" w:line="263" w:lineRule="auto"/>
        <w:rPr>
          <w:sz w:val="20"/>
          <w:szCs w:val="20"/>
          <w:color w:val="auto"/>
        </w:rPr>
      </w:pPr>
      <w:r>
        <w:rPr>
          <w:rFonts w:ascii="Arial" w:cs="Arial" w:eastAsia="Arial" w:hAnsi="Arial"/>
          <w:sz w:val="19"/>
          <w:szCs w:val="19"/>
          <w:color w:val="auto"/>
        </w:rPr>
        <w:t>All calculations of percentage ownership herein are based on a total of 34,621,962 shares of Common Stock issued and outstanding as of October 31, 2018, as disclosed on the Issuer's Quarterly Report on Form 10-Q, filed with the Securities and Exchange Commission on November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648970</wp:posOffset>
            </wp:positionV>
            <wp:extent cx="7625080"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900"/>
          </w:cols>
          <w:pgMar w:left="200" w:top="350" w:right="140"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265"/>
        </w:trPr>
        <w:tc>
          <w:tcPr>
            <w:tcW w:w="2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CUSIP No. 55933J203</w:t>
            </w:r>
          </w:p>
        </w:tc>
        <w:tc>
          <w:tcPr>
            <w:tcW w:w="7180" w:type="dxa"/>
            <w:vAlign w:val="bottom"/>
            <w:tcBorders>
              <w:right w:val="single" w:sz="8" w:color="auto"/>
            </w:tcBorders>
          </w:tcPr>
          <w:p>
            <w:pPr>
              <w:ind w:left="286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87"/>
              </w:rPr>
              <w:t>Page 16 of 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8"/>
          <w:szCs w:val="18"/>
          <w:b w:val="1"/>
          <w:bCs w:val="1"/>
          <w:color w:val="auto"/>
        </w:rPr>
        <w:t>OWNERSHIP OF FIVE PERCENT OR LESS OF A CLASS.</w:t>
      </w:r>
    </w:p>
    <w:p>
      <w:pPr>
        <w:spacing w:after="0" w:line="173" w:lineRule="exact"/>
        <w:rPr>
          <w:sz w:val="20"/>
          <w:szCs w:val="20"/>
          <w:color w:val="auto"/>
        </w:rPr>
      </w:pPr>
    </w:p>
    <w:p>
      <w:pPr>
        <w:ind w:left="1200" w:right="20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â˜ .</w:t>
      </w:r>
    </w:p>
    <w:p>
      <w:pPr>
        <w:spacing w:after="0" w:line="107"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Not applicable.</w:t>
      </w:r>
    </w:p>
    <w:p>
      <w:pPr>
        <w:spacing w:after="0" w:line="161" w:lineRule="exact"/>
        <w:rPr>
          <w:sz w:val="20"/>
          <w:szCs w:val="20"/>
          <w:color w:val="auto"/>
        </w:rPr>
      </w:pPr>
    </w:p>
    <w:p>
      <w:pPr>
        <w:ind w:left="1200" w:right="20" w:hanging="1211"/>
        <w:spacing w:after="0" w:line="282" w:lineRule="auto"/>
        <w:tabs>
          <w:tab w:leader="none" w:pos="118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w:t>
      </w:r>
    </w:p>
    <w:p>
      <w:pPr>
        <w:spacing w:after="0" w:line="177"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Not applicable.</w:t>
      </w:r>
    </w:p>
    <w:p>
      <w:pPr>
        <w:spacing w:after="0" w:line="161"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Not applicable.</w:t>
      </w:r>
    </w:p>
    <w:p>
      <w:pPr>
        <w:spacing w:after="0" w:line="161"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173" w:lineRule="exact"/>
        <w:rPr>
          <w:sz w:val="20"/>
          <w:szCs w:val="20"/>
          <w:color w:val="auto"/>
        </w:rPr>
      </w:pPr>
    </w:p>
    <w:p>
      <w:pPr>
        <w:ind w:left="1200" w:right="100"/>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625080"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450" w:right="120"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65"/>
        </w:trPr>
        <w:tc>
          <w:tcPr>
            <w:tcW w:w="2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CUSIP No. 55933J203</w:t>
            </w:r>
          </w:p>
        </w:tc>
        <w:tc>
          <w:tcPr>
            <w:tcW w:w="7180" w:type="dxa"/>
            <w:vAlign w:val="bottom"/>
            <w:tcBorders>
              <w:right w:val="single" w:sz="8" w:color="auto"/>
            </w:tcBorders>
          </w:tcPr>
          <w:p>
            <w:pPr>
              <w:ind w:left="286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87"/>
              </w:rPr>
              <w:t>Page 17 of 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363" w:lineRule="exact"/>
        <w:rPr>
          <w:sz w:val="20"/>
          <w:szCs w:val="20"/>
          <w:color w:val="auto"/>
        </w:rPr>
      </w:pPr>
    </w:p>
    <w:p>
      <w:pPr>
        <w:ind w:right="180" w:firstLine="513"/>
        <w:spacing w:after="0" w:line="283" w:lineRule="auto"/>
        <w:rPr>
          <w:sz w:val="20"/>
          <w:szCs w:val="20"/>
          <w:color w:val="auto"/>
        </w:rPr>
      </w:pPr>
      <w:r>
        <w:rPr>
          <w:rFonts w:ascii="Arial" w:cs="Arial" w:eastAsia="Arial" w:hAnsi="Arial"/>
          <w:sz w:val="23"/>
          <w:szCs w:val="23"/>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color w:val="auto"/>
        </w:rPr>
        <w:t>Dated:  February 13, 2019</w:t>
      </w:r>
    </w:p>
    <w:p>
      <w:pPr>
        <w:spacing w:after="0" w:line="200" w:lineRule="exact"/>
        <w:rPr>
          <w:sz w:val="20"/>
          <w:szCs w:val="20"/>
          <w:color w:val="auto"/>
        </w:rPr>
      </w:pPr>
    </w:p>
    <w:p>
      <w:pPr>
        <w:spacing w:after="0" w:line="287"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OAKTREE VALUE OPPORTUNITIES FUND</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HOLDINGS, L.P.</w:t>
      </w:r>
    </w:p>
    <w:p>
      <w:pPr>
        <w:spacing w:after="0" w:line="153" w:lineRule="exact"/>
        <w:rPr>
          <w:sz w:val="20"/>
          <w:szCs w:val="20"/>
          <w:color w:val="auto"/>
        </w:rPr>
      </w:pPr>
    </w:p>
    <w:tbl>
      <w:tblPr>
        <w:tblLayout w:type="fixed"/>
        <w:tblInd w:w="624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9"/>
                <w:szCs w:val="19"/>
                <w:color w:val="auto"/>
              </w:rPr>
              <w:t>By:</w:t>
            </w:r>
          </w:p>
        </w:tc>
        <w:tc>
          <w:tcPr>
            <w:tcW w:w="3780" w:type="dxa"/>
            <w:vAlign w:val="bottom"/>
          </w:tcPr>
          <w:p>
            <w:pPr>
              <w:spacing w:after="0"/>
              <w:rPr>
                <w:sz w:val="20"/>
                <w:szCs w:val="20"/>
                <w:color w:val="auto"/>
              </w:rPr>
            </w:pPr>
            <w:r>
              <w:rPr>
                <w:rFonts w:ascii="Arial" w:cs="Arial" w:eastAsia="Arial" w:hAnsi="Arial"/>
                <w:sz w:val="19"/>
                <w:szCs w:val="19"/>
                <w:color w:val="auto"/>
              </w:rPr>
              <w:t>Oaktree Value Opportunities Fund GP, L.P.</w:t>
            </w:r>
          </w:p>
        </w:tc>
      </w:tr>
      <w:tr>
        <w:trPr>
          <w:trHeight w:val="241"/>
        </w:trPr>
        <w:tc>
          <w:tcPr>
            <w:tcW w:w="740" w:type="dxa"/>
            <w:vAlign w:val="bottom"/>
          </w:tcPr>
          <w:p>
            <w:pPr>
              <w:spacing w:after="0"/>
              <w:rPr>
                <w:sz w:val="20"/>
                <w:szCs w:val="20"/>
                <w:color w:val="auto"/>
              </w:rPr>
            </w:pPr>
            <w:r>
              <w:rPr>
                <w:rFonts w:ascii="Arial" w:cs="Arial" w:eastAsia="Arial" w:hAnsi="Arial"/>
                <w:sz w:val="19"/>
                <w:szCs w:val="19"/>
                <w:color w:val="auto"/>
              </w:rPr>
              <w:t>Its:</w:t>
            </w:r>
          </w:p>
        </w:tc>
        <w:tc>
          <w:tcPr>
            <w:tcW w:w="3780" w:type="dxa"/>
            <w:vAlign w:val="bottom"/>
          </w:tcPr>
          <w:p>
            <w:pPr>
              <w:spacing w:after="0"/>
              <w:rPr>
                <w:sz w:val="20"/>
                <w:szCs w:val="20"/>
                <w:color w:val="auto"/>
              </w:rPr>
            </w:pPr>
            <w:r>
              <w:rPr>
                <w:rFonts w:ascii="Arial" w:cs="Arial" w:eastAsia="Arial" w:hAnsi="Arial"/>
                <w:sz w:val="19"/>
                <w:szCs w:val="19"/>
                <w:color w:val="auto"/>
              </w:rPr>
              <w:t>General Partner</w:t>
            </w:r>
          </w:p>
        </w:tc>
      </w:tr>
      <w:tr>
        <w:trPr>
          <w:trHeight w:val="372"/>
        </w:trPr>
        <w:tc>
          <w:tcPr>
            <w:tcW w:w="740" w:type="dxa"/>
            <w:vAlign w:val="bottom"/>
          </w:tcPr>
          <w:p>
            <w:pPr>
              <w:spacing w:after="0"/>
              <w:rPr>
                <w:sz w:val="20"/>
                <w:szCs w:val="20"/>
                <w:color w:val="auto"/>
              </w:rPr>
            </w:pPr>
            <w:r>
              <w:rPr>
                <w:rFonts w:ascii="Arial" w:cs="Arial" w:eastAsia="Arial" w:hAnsi="Arial"/>
                <w:sz w:val="19"/>
                <w:szCs w:val="19"/>
                <w:color w:val="auto"/>
              </w:rPr>
              <w:t>By:</w:t>
            </w:r>
          </w:p>
        </w:tc>
        <w:tc>
          <w:tcPr>
            <w:tcW w:w="3780" w:type="dxa"/>
            <w:vAlign w:val="bottom"/>
          </w:tcPr>
          <w:p>
            <w:pPr>
              <w:spacing w:after="0"/>
              <w:rPr>
                <w:sz w:val="20"/>
                <w:szCs w:val="20"/>
                <w:color w:val="auto"/>
              </w:rPr>
            </w:pPr>
            <w:r>
              <w:rPr>
                <w:rFonts w:ascii="Arial" w:cs="Arial" w:eastAsia="Arial" w:hAnsi="Arial"/>
                <w:sz w:val="19"/>
                <w:szCs w:val="19"/>
                <w:color w:val="auto"/>
              </w:rPr>
              <w:t>Oaktree Value Opportunities Fund GP Ltd.</w:t>
            </w:r>
          </w:p>
        </w:tc>
      </w:tr>
      <w:tr>
        <w:trPr>
          <w:trHeight w:val="241"/>
        </w:trPr>
        <w:tc>
          <w:tcPr>
            <w:tcW w:w="740" w:type="dxa"/>
            <w:vAlign w:val="bottom"/>
          </w:tcPr>
          <w:p>
            <w:pPr>
              <w:spacing w:after="0"/>
              <w:rPr>
                <w:sz w:val="20"/>
                <w:szCs w:val="20"/>
                <w:color w:val="auto"/>
              </w:rPr>
            </w:pPr>
            <w:r>
              <w:rPr>
                <w:rFonts w:ascii="Arial" w:cs="Arial" w:eastAsia="Arial" w:hAnsi="Arial"/>
                <w:sz w:val="19"/>
                <w:szCs w:val="19"/>
                <w:color w:val="auto"/>
              </w:rPr>
              <w:t>Its:</w:t>
            </w:r>
          </w:p>
        </w:tc>
        <w:tc>
          <w:tcPr>
            <w:tcW w:w="3780" w:type="dxa"/>
            <w:vAlign w:val="bottom"/>
          </w:tcPr>
          <w:p>
            <w:pPr>
              <w:spacing w:after="0"/>
              <w:rPr>
                <w:sz w:val="20"/>
                <w:szCs w:val="20"/>
                <w:color w:val="auto"/>
              </w:rPr>
            </w:pPr>
            <w:r>
              <w:rPr>
                <w:rFonts w:ascii="Arial" w:cs="Arial" w:eastAsia="Arial" w:hAnsi="Arial"/>
                <w:sz w:val="19"/>
                <w:szCs w:val="19"/>
                <w:color w:val="auto"/>
              </w:rPr>
              <w:t>General Partner</w:t>
            </w:r>
          </w:p>
        </w:tc>
      </w:tr>
      <w:tr>
        <w:trPr>
          <w:trHeight w:val="372"/>
        </w:trPr>
        <w:tc>
          <w:tcPr>
            <w:tcW w:w="740" w:type="dxa"/>
            <w:vAlign w:val="bottom"/>
          </w:tcPr>
          <w:p>
            <w:pPr>
              <w:spacing w:after="0"/>
              <w:rPr>
                <w:sz w:val="20"/>
                <w:szCs w:val="20"/>
                <w:color w:val="auto"/>
              </w:rPr>
            </w:pPr>
            <w:r>
              <w:rPr>
                <w:rFonts w:ascii="Arial" w:cs="Arial" w:eastAsia="Arial" w:hAnsi="Arial"/>
                <w:sz w:val="19"/>
                <w:szCs w:val="19"/>
                <w:color w:val="auto"/>
              </w:rPr>
              <w:t>By:</w:t>
            </w:r>
          </w:p>
        </w:tc>
        <w:tc>
          <w:tcPr>
            <w:tcW w:w="3780" w:type="dxa"/>
            <w:vAlign w:val="bottom"/>
          </w:tcPr>
          <w:p>
            <w:pPr>
              <w:spacing w:after="0"/>
              <w:rPr>
                <w:sz w:val="20"/>
                <w:szCs w:val="20"/>
                <w:color w:val="auto"/>
              </w:rPr>
            </w:pPr>
            <w:r>
              <w:rPr>
                <w:rFonts w:ascii="Arial" w:cs="Arial" w:eastAsia="Arial" w:hAnsi="Arial"/>
                <w:sz w:val="19"/>
                <w:szCs w:val="19"/>
                <w:color w:val="auto"/>
              </w:rPr>
              <w:t>Oaktree Capital Management, L.P.</w:t>
            </w:r>
          </w:p>
        </w:tc>
      </w:tr>
      <w:tr>
        <w:trPr>
          <w:trHeight w:val="241"/>
        </w:trPr>
        <w:tc>
          <w:tcPr>
            <w:tcW w:w="740" w:type="dxa"/>
            <w:vAlign w:val="bottom"/>
          </w:tcPr>
          <w:p>
            <w:pPr>
              <w:spacing w:after="0"/>
              <w:rPr>
                <w:sz w:val="20"/>
                <w:szCs w:val="20"/>
                <w:color w:val="auto"/>
              </w:rPr>
            </w:pPr>
            <w:r>
              <w:rPr>
                <w:rFonts w:ascii="Arial" w:cs="Arial" w:eastAsia="Arial" w:hAnsi="Arial"/>
                <w:sz w:val="19"/>
                <w:szCs w:val="19"/>
                <w:color w:val="auto"/>
              </w:rPr>
              <w:t>Its:</w:t>
            </w:r>
          </w:p>
        </w:tc>
        <w:tc>
          <w:tcPr>
            <w:tcW w:w="3780" w:type="dxa"/>
            <w:vAlign w:val="bottom"/>
          </w:tcPr>
          <w:p>
            <w:pPr>
              <w:spacing w:after="0"/>
              <w:rPr>
                <w:sz w:val="20"/>
                <w:szCs w:val="20"/>
                <w:color w:val="auto"/>
              </w:rPr>
            </w:pPr>
            <w:r>
              <w:rPr>
                <w:rFonts w:ascii="Arial" w:cs="Arial" w:eastAsia="Arial" w:hAnsi="Arial"/>
                <w:sz w:val="19"/>
                <w:szCs w:val="19"/>
                <w:color w:val="auto"/>
              </w:rPr>
              <w:t>Director</w:t>
            </w:r>
          </w:p>
        </w:tc>
      </w:tr>
      <w:tr>
        <w:trPr>
          <w:trHeight w:val="395"/>
        </w:trPr>
        <w:tc>
          <w:tcPr>
            <w:tcW w:w="740" w:type="dxa"/>
            <w:vAlign w:val="bottom"/>
          </w:tcPr>
          <w:p>
            <w:pPr>
              <w:spacing w:after="0"/>
              <w:rPr>
                <w:sz w:val="20"/>
                <w:szCs w:val="20"/>
                <w:color w:val="auto"/>
              </w:rPr>
            </w:pPr>
            <w:r>
              <w:rPr>
                <w:rFonts w:ascii="Arial" w:cs="Arial" w:eastAsia="Arial" w:hAnsi="Arial"/>
                <w:sz w:val="19"/>
                <w:szCs w:val="19"/>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Jordan Mikes</w:t>
            </w:r>
          </w:p>
        </w:tc>
      </w:tr>
      <w:tr>
        <w:trPr>
          <w:trHeight w:val="214"/>
        </w:trPr>
        <w:tc>
          <w:tcPr>
            <w:tcW w:w="740" w:type="dxa"/>
            <w:vAlign w:val="bottom"/>
          </w:tcPr>
          <w:p>
            <w:pPr>
              <w:spacing w:after="0" w:line="214" w:lineRule="exact"/>
              <w:rPr>
                <w:sz w:val="20"/>
                <w:szCs w:val="20"/>
                <w:color w:val="auto"/>
              </w:rPr>
            </w:pPr>
            <w:r>
              <w:rPr>
                <w:rFonts w:ascii="Arial" w:cs="Arial" w:eastAsia="Arial" w:hAnsi="Arial"/>
                <w:sz w:val="19"/>
                <w:szCs w:val="19"/>
                <w:color w:val="auto"/>
              </w:rPr>
              <w:t>Name:</w:t>
            </w:r>
          </w:p>
        </w:tc>
        <w:tc>
          <w:tcPr>
            <w:tcW w:w="3780" w:type="dxa"/>
            <w:vAlign w:val="bottom"/>
          </w:tcPr>
          <w:p>
            <w:pPr>
              <w:spacing w:after="0" w:line="214" w:lineRule="exact"/>
              <w:rPr>
                <w:sz w:val="20"/>
                <w:szCs w:val="20"/>
                <w:color w:val="auto"/>
              </w:rPr>
            </w:pPr>
            <w:r>
              <w:rPr>
                <w:rFonts w:ascii="Arial" w:cs="Arial" w:eastAsia="Arial" w:hAnsi="Arial"/>
                <w:sz w:val="19"/>
                <w:szCs w:val="19"/>
                <w:color w:val="auto"/>
              </w:rPr>
              <w:t>Jordan Mikes</w:t>
            </w:r>
          </w:p>
        </w:tc>
      </w:tr>
      <w:tr>
        <w:trPr>
          <w:trHeight w:val="241"/>
        </w:trPr>
        <w:tc>
          <w:tcPr>
            <w:tcW w:w="740" w:type="dxa"/>
            <w:vAlign w:val="bottom"/>
          </w:tcPr>
          <w:p>
            <w:pPr>
              <w:spacing w:after="0"/>
              <w:rPr>
                <w:sz w:val="20"/>
                <w:szCs w:val="20"/>
                <w:color w:val="auto"/>
              </w:rPr>
            </w:pPr>
            <w:r>
              <w:rPr>
                <w:rFonts w:ascii="Arial" w:cs="Arial" w:eastAsia="Arial" w:hAnsi="Arial"/>
                <w:sz w:val="19"/>
                <w:szCs w:val="19"/>
                <w:color w:val="auto"/>
              </w:rPr>
              <w:t>Title:</w:t>
            </w:r>
          </w:p>
        </w:tc>
        <w:tc>
          <w:tcPr>
            <w:tcW w:w="378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86"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OAKTREE VALUE OPPORTUNITIES FUND GP, L.P.</w:t>
      </w:r>
    </w:p>
    <w:p>
      <w:pPr>
        <w:spacing w:after="0" w:line="167" w:lineRule="exact"/>
        <w:rPr>
          <w:sz w:val="20"/>
          <w:szCs w:val="20"/>
          <w:color w:val="auto"/>
        </w:rPr>
      </w:pPr>
    </w:p>
    <w:tbl>
      <w:tblPr>
        <w:tblLayout w:type="fixed"/>
        <w:tblInd w:w="624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9"/>
                <w:szCs w:val="19"/>
                <w:color w:val="auto"/>
              </w:rPr>
              <w:t>By:</w:t>
            </w:r>
          </w:p>
        </w:tc>
        <w:tc>
          <w:tcPr>
            <w:tcW w:w="3780" w:type="dxa"/>
            <w:vAlign w:val="bottom"/>
          </w:tcPr>
          <w:p>
            <w:pPr>
              <w:spacing w:after="0"/>
              <w:rPr>
                <w:sz w:val="20"/>
                <w:szCs w:val="20"/>
                <w:color w:val="auto"/>
              </w:rPr>
            </w:pPr>
            <w:r>
              <w:rPr>
                <w:rFonts w:ascii="Arial" w:cs="Arial" w:eastAsia="Arial" w:hAnsi="Arial"/>
                <w:sz w:val="19"/>
                <w:szCs w:val="19"/>
                <w:color w:val="auto"/>
              </w:rPr>
              <w:t>Oaktree Value Opportunities Fund GP Ltd.</w:t>
            </w:r>
          </w:p>
        </w:tc>
      </w:tr>
      <w:tr>
        <w:trPr>
          <w:trHeight w:val="241"/>
        </w:trPr>
        <w:tc>
          <w:tcPr>
            <w:tcW w:w="740" w:type="dxa"/>
            <w:vAlign w:val="bottom"/>
          </w:tcPr>
          <w:p>
            <w:pPr>
              <w:spacing w:after="0"/>
              <w:rPr>
                <w:sz w:val="20"/>
                <w:szCs w:val="20"/>
                <w:color w:val="auto"/>
              </w:rPr>
            </w:pPr>
            <w:r>
              <w:rPr>
                <w:rFonts w:ascii="Arial" w:cs="Arial" w:eastAsia="Arial" w:hAnsi="Arial"/>
                <w:sz w:val="19"/>
                <w:szCs w:val="19"/>
                <w:color w:val="auto"/>
              </w:rPr>
              <w:t>Its:</w:t>
            </w:r>
          </w:p>
        </w:tc>
        <w:tc>
          <w:tcPr>
            <w:tcW w:w="3780" w:type="dxa"/>
            <w:vAlign w:val="bottom"/>
          </w:tcPr>
          <w:p>
            <w:pPr>
              <w:spacing w:after="0"/>
              <w:rPr>
                <w:sz w:val="20"/>
                <w:szCs w:val="20"/>
                <w:color w:val="auto"/>
              </w:rPr>
            </w:pPr>
            <w:r>
              <w:rPr>
                <w:rFonts w:ascii="Arial" w:cs="Arial" w:eastAsia="Arial" w:hAnsi="Arial"/>
                <w:sz w:val="19"/>
                <w:szCs w:val="19"/>
                <w:color w:val="auto"/>
              </w:rPr>
              <w:t>General Partner</w:t>
            </w:r>
          </w:p>
        </w:tc>
      </w:tr>
      <w:tr>
        <w:trPr>
          <w:trHeight w:val="372"/>
        </w:trPr>
        <w:tc>
          <w:tcPr>
            <w:tcW w:w="740" w:type="dxa"/>
            <w:vAlign w:val="bottom"/>
          </w:tcPr>
          <w:p>
            <w:pPr>
              <w:spacing w:after="0"/>
              <w:rPr>
                <w:sz w:val="20"/>
                <w:szCs w:val="20"/>
                <w:color w:val="auto"/>
              </w:rPr>
            </w:pPr>
            <w:r>
              <w:rPr>
                <w:rFonts w:ascii="Arial" w:cs="Arial" w:eastAsia="Arial" w:hAnsi="Arial"/>
                <w:sz w:val="19"/>
                <w:szCs w:val="19"/>
                <w:color w:val="auto"/>
              </w:rPr>
              <w:t>By:</w:t>
            </w:r>
          </w:p>
        </w:tc>
        <w:tc>
          <w:tcPr>
            <w:tcW w:w="3780" w:type="dxa"/>
            <w:vAlign w:val="bottom"/>
          </w:tcPr>
          <w:p>
            <w:pPr>
              <w:spacing w:after="0"/>
              <w:rPr>
                <w:sz w:val="20"/>
                <w:szCs w:val="20"/>
                <w:color w:val="auto"/>
              </w:rPr>
            </w:pPr>
            <w:r>
              <w:rPr>
                <w:rFonts w:ascii="Arial" w:cs="Arial" w:eastAsia="Arial" w:hAnsi="Arial"/>
                <w:sz w:val="19"/>
                <w:szCs w:val="19"/>
                <w:color w:val="auto"/>
              </w:rPr>
              <w:t>Oaktree Capital Management, L.P.</w:t>
            </w:r>
          </w:p>
        </w:tc>
      </w:tr>
      <w:tr>
        <w:trPr>
          <w:trHeight w:val="241"/>
        </w:trPr>
        <w:tc>
          <w:tcPr>
            <w:tcW w:w="740" w:type="dxa"/>
            <w:vAlign w:val="bottom"/>
          </w:tcPr>
          <w:p>
            <w:pPr>
              <w:spacing w:after="0"/>
              <w:rPr>
                <w:sz w:val="20"/>
                <w:szCs w:val="20"/>
                <w:color w:val="auto"/>
              </w:rPr>
            </w:pPr>
            <w:r>
              <w:rPr>
                <w:rFonts w:ascii="Arial" w:cs="Arial" w:eastAsia="Arial" w:hAnsi="Arial"/>
                <w:sz w:val="19"/>
                <w:szCs w:val="19"/>
                <w:color w:val="auto"/>
              </w:rPr>
              <w:t>Its:</w:t>
            </w:r>
          </w:p>
        </w:tc>
        <w:tc>
          <w:tcPr>
            <w:tcW w:w="3780" w:type="dxa"/>
            <w:vAlign w:val="bottom"/>
          </w:tcPr>
          <w:p>
            <w:pPr>
              <w:spacing w:after="0"/>
              <w:rPr>
                <w:sz w:val="20"/>
                <w:szCs w:val="20"/>
                <w:color w:val="auto"/>
              </w:rPr>
            </w:pPr>
            <w:r>
              <w:rPr>
                <w:rFonts w:ascii="Arial" w:cs="Arial" w:eastAsia="Arial" w:hAnsi="Arial"/>
                <w:sz w:val="19"/>
                <w:szCs w:val="19"/>
                <w:color w:val="auto"/>
              </w:rPr>
              <w:t>Director</w:t>
            </w:r>
          </w:p>
        </w:tc>
      </w:tr>
      <w:tr>
        <w:trPr>
          <w:trHeight w:val="395"/>
        </w:trPr>
        <w:tc>
          <w:tcPr>
            <w:tcW w:w="740" w:type="dxa"/>
            <w:vAlign w:val="bottom"/>
          </w:tcPr>
          <w:p>
            <w:pPr>
              <w:spacing w:after="0"/>
              <w:rPr>
                <w:sz w:val="20"/>
                <w:szCs w:val="20"/>
                <w:color w:val="auto"/>
              </w:rPr>
            </w:pPr>
            <w:r>
              <w:rPr>
                <w:rFonts w:ascii="Arial" w:cs="Arial" w:eastAsia="Arial" w:hAnsi="Arial"/>
                <w:sz w:val="19"/>
                <w:szCs w:val="19"/>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Jordan Mikes</w:t>
            </w:r>
          </w:p>
        </w:tc>
      </w:tr>
      <w:tr>
        <w:trPr>
          <w:trHeight w:val="214"/>
        </w:trPr>
        <w:tc>
          <w:tcPr>
            <w:tcW w:w="740" w:type="dxa"/>
            <w:vAlign w:val="bottom"/>
          </w:tcPr>
          <w:p>
            <w:pPr>
              <w:spacing w:after="0" w:line="214" w:lineRule="exact"/>
              <w:rPr>
                <w:sz w:val="20"/>
                <w:szCs w:val="20"/>
                <w:color w:val="auto"/>
              </w:rPr>
            </w:pPr>
            <w:r>
              <w:rPr>
                <w:rFonts w:ascii="Arial" w:cs="Arial" w:eastAsia="Arial" w:hAnsi="Arial"/>
                <w:sz w:val="19"/>
                <w:szCs w:val="19"/>
                <w:color w:val="auto"/>
              </w:rPr>
              <w:t>Name:</w:t>
            </w:r>
          </w:p>
        </w:tc>
        <w:tc>
          <w:tcPr>
            <w:tcW w:w="3780" w:type="dxa"/>
            <w:vAlign w:val="bottom"/>
          </w:tcPr>
          <w:p>
            <w:pPr>
              <w:spacing w:after="0" w:line="214" w:lineRule="exact"/>
              <w:rPr>
                <w:sz w:val="20"/>
                <w:szCs w:val="20"/>
                <w:color w:val="auto"/>
              </w:rPr>
            </w:pPr>
            <w:r>
              <w:rPr>
                <w:rFonts w:ascii="Arial" w:cs="Arial" w:eastAsia="Arial" w:hAnsi="Arial"/>
                <w:sz w:val="19"/>
                <w:szCs w:val="19"/>
                <w:color w:val="auto"/>
              </w:rPr>
              <w:t>Jordan Mikes</w:t>
            </w:r>
          </w:p>
        </w:tc>
      </w:tr>
      <w:tr>
        <w:trPr>
          <w:trHeight w:val="241"/>
        </w:trPr>
        <w:tc>
          <w:tcPr>
            <w:tcW w:w="740" w:type="dxa"/>
            <w:vAlign w:val="bottom"/>
          </w:tcPr>
          <w:p>
            <w:pPr>
              <w:spacing w:after="0"/>
              <w:rPr>
                <w:sz w:val="20"/>
                <w:szCs w:val="20"/>
                <w:color w:val="auto"/>
              </w:rPr>
            </w:pPr>
            <w:r>
              <w:rPr>
                <w:rFonts w:ascii="Arial" w:cs="Arial" w:eastAsia="Arial" w:hAnsi="Arial"/>
                <w:sz w:val="19"/>
                <w:szCs w:val="19"/>
                <w:color w:val="auto"/>
              </w:rPr>
              <w:t>Title:</w:t>
            </w:r>
          </w:p>
        </w:tc>
        <w:tc>
          <w:tcPr>
            <w:tcW w:w="378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301"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OAKTREE VALUE OPPORTUNITIES FUND GP LTD.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ind w:left="6240"/>
              <w:spacing w:after="0"/>
              <w:rPr>
                <w:sz w:val="20"/>
                <w:szCs w:val="20"/>
                <w:color w:val="auto"/>
              </w:rPr>
            </w:pPr>
            <w:r>
              <w:rPr>
                <w:rFonts w:ascii="Arial" w:cs="Arial" w:eastAsia="Arial" w:hAnsi="Arial"/>
                <w:sz w:val="19"/>
                <w:szCs w:val="19"/>
                <w:color w:val="auto"/>
              </w:rPr>
              <w:t>By:</w:t>
            </w:r>
          </w:p>
        </w:tc>
        <w:tc>
          <w:tcPr>
            <w:tcW w:w="3780" w:type="dxa"/>
            <w:vAlign w:val="bottom"/>
          </w:tcPr>
          <w:p>
            <w:pPr>
              <w:spacing w:after="0"/>
              <w:rPr>
                <w:sz w:val="20"/>
                <w:szCs w:val="20"/>
                <w:color w:val="auto"/>
              </w:rPr>
            </w:pPr>
            <w:r>
              <w:rPr>
                <w:rFonts w:ascii="Arial" w:cs="Arial" w:eastAsia="Arial" w:hAnsi="Arial"/>
                <w:sz w:val="19"/>
                <w:szCs w:val="19"/>
                <w:color w:val="auto"/>
              </w:rPr>
              <w:t>Oaktree Capital Management, L.P.</w:t>
            </w:r>
          </w:p>
        </w:tc>
        <w:tc>
          <w:tcPr>
            <w:tcW w:w="1240" w:type="dxa"/>
            <w:vAlign w:val="bottom"/>
          </w:tcPr>
          <w:p>
            <w:pPr>
              <w:spacing w:after="0"/>
              <w:rPr>
                <w:sz w:val="19"/>
                <w:szCs w:val="19"/>
                <w:color w:val="auto"/>
              </w:rPr>
            </w:pPr>
          </w:p>
        </w:tc>
      </w:tr>
      <w:tr>
        <w:trPr>
          <w:trHeight w:val="241"/>
        </w:trPr>
        <w:tc>
          <w:tcPr>
            <w:tcW w:w="6980" w:type="dxa"/>
            <w:vAlign w:val="bottom"/>
          </w:tcPr>
          <w:p>
            <w:pPr>
              <w:ind w:left="6240"/>
              <w:spacing w:after="0"/>
              <w:rPr>
                <w:sz w:val="20"/>
                <w:szCs w:val="20"/>
                <w:color w:val="auto"/>
              </w:rPr>
            </w:pPr>
            <w:r>
              <w:rPr>
                <w:rFonts w:ascii="Arial" w:cs="Arial" w:eastAsia="Arial" w:hAnsi="Arial"/>
                <w:sz w:val="19"/>
                <w:szCs w:val="19"/>
                <w:color w:val="auto"/>
              </w:rPr>
              <w:t>Its:</w:t>
            </w:r>
          </w:p>
        </w:tc>
        <w:tc>
          <w:tcPr>
            <w:tcW w:w="3780" w:type="dxa"/>
            <w:vAlign w:val="bottom"/>
          </w:tcPr>
          <w:p>
            <w:pPr>
              <w:spacing w:after="0"/>
              <w:rPr>
                <w:sz w:val="20"/>
                <w:szCs w:val="20"/>
                <w:color w:val="auto"/>
              </w:rPr>
            </w:pPr>
            <w:r>
              <w:rPr>
                <w:rFonts w:ascii="Arial" w:cs="Arial" w:eastAsia="Arial" w:hAnsi="Arial"/>
                <w:sz w:val="19"/>
                <w:szCs w:val="19"/>
                <w:color w:val="auto"/>
              </w:rPr>
              <w:t>Director</w:t>
            </w:r>
          </w:p>
        </w:tc>
        <w:tc>
          <w:tcPr>
            <w:tcW w:w="1240" w:type="dxa"/>
            <w:vAlign w:val="bottom"/>
          </w:tcPr>
          <w:p>
            <w:pPr>
              <w:spacing w:after="0"/>
              <w:rPr>
                <w:sz w:val="20"/>
                <w:szCs w:val="20"/>
                <w:color w:val="auto"/>
              </w:rPr>
            </w:pPr>
          </w:p>
        </w:tc>
      </w:tr>
      <w:tr>
        <w:trPr>
          <w:trHeight w:val="395"/>
        </w:trPr>
        <w:tc>
          <w:tcPr>
            <w:tcW w:w="6980" w:type="dxa"/>
            <w:vAlign w:val="bottom"/>
          </w:tcPr>
          <w:p>
            <w:pPr>
              <w:ind w:left="6240"/>
              <w:spacing w:after="0"/>
              <w:rPr>
                <w:sz w:val="20"/>
                <w:szCs w:val="20"/>
                <w:color w:val="auto"/>
              </w:rPr>
            </w:pPr>
            <w:r>
              <w:rPr>
                <w:rFonts w:ascii="Arial" w:cs="Arial" w:eastAsia="Arial" w:hAnsi="Arial"/>
                <w:sz w:val="19"/>
                <w:szCs w:val="19"/>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Jordan Mikes</w:t>
            </w:r>
          </w:p>
        </w:tc>
        <w:tc>
          <w:tcPr>
            <w:tcW w:w="1240" w:type="dxa"/>
            <w:vAlign w:val="bottom"/>
          </w:tcPr>
          <w:p>
            <w:pPr>
              <w:spacing w:after="0"/>
              <w:rPr>
                <w:sz w:val="24"/>
                <w:szCs w:val="24"/>
                <w:color w:val="auto"/>
              </w:rPr>
            </w:pPr>
          </w:p>
        </w:tc>
      </w:tr>
      <w:tr>
        <w:trPr>
          <w:trHeight w:val="214"/>
        </w:trPr>
        <w:tc>
          <w:tcPr>
            <w:tcW w:w="6980" w:type="dxa"/>
            <w:vAlign w:val="bottom"/>
          </w:tcPr>
          <w:p>
            <w:pPr>
              <w:ind w:left="6240"/>
              <w:spacing w:after="0" w:line="214" w:lineRule="exact"/>
              <w:rPr>
                <w:sz w:val="20"/>
                <w:szCs w:val="20"/>
                <w:color w:val="auto"/>
              </w:rPr>
            </w:pPr>
            <w:r>
              <w:rPr>
                <w:rFonts w:ascii="Arial" w:cs="Arial" w:eastAsia="Arial" w:hAnsi="Arial"/>
                <w:sz w:val="19"/>
                <w:szCs w:val="19"/>
                <w:color w:val="auto"/>
              </w:rPr>
              <w:t>Name:</w:t>
            </w:r>
          </w:p>
        </w:tc>
        <w:tc>
          <w:tcPr>
            <w:tcW w:w="3780" w:type="dxa"/>
            <w:vAlign w:val="bottom"/>
          </w:tcPr>
          <w:p>
            <w:pPr>
              <w:spacing w:after="0" w:line="214" w:lineRule="exact"/>
              <w:rPr>
                <w:sz w:val="20"/>
                <w:szCs w:val="20"/>
                <w:color w:val="auto"/>
              </w:rPr>
            </w:pPr>
            <w:r>
              <w:rPr>
                <w:rFonts w:ascii="Arial" w:cs="Arial" w:eastAsia="Arial" w:hAnsi="Arial"/>
                <w:sz w:val="19"/>
                <w:szCs w:val="19"/>
                <w:color w:val="auto"/>
              </w:rPr>
              <w:t>Jordan Mikes</w:t>
            </w:r>
          </w:p>
        </w:tc>
        <w:tc>
          <w:tcPr>
            <w:tcW w:w="1240" w:type="dxa"/>
            <w:vAlign w:val="bottom"/>
          </w:tcPr>
          <w:p>
            <w:pPr>
              <w:spacing w:after="0"/>
              <w:rPr>
                <w:sz w:val="18"/>
                <w:szCs w:val="18"/>
                <w:color w:val="auto"/>
              </w:rPr>
            </w:pPr>
          </w:p>
        </w:tc>
      </w:tr>
      <w:tr>
        <w:trPr>
          <w:trHeight w:val="241"/>
        </w:trPr>
        <w:tc>
          <w:tcPr>
            <w:tcW w:w="6980" w:type="dxa"/>
            <w:vAlign w:val="bottom"/>
          </w:tcPr>
          <w:p>
            <w:pPr>
              <w:ind w:left="6240"/>
              <w:spacing w:after="0"/>
              <w:rPr>
                <w:sz w:val="20"/>
                <w:szCs w:val="20"/>
                <w:color w:val="auto"/>
              </w:rPr>
            </w:pPr>
            <w:r>
              <w:rPr>
                <w:rFonts w:ascii="Arial" w:cs="Arial" w:eastAsia="Arial" w:hAnsi="Arial"/>
                <w:sz w:val="19"/>
                <w:szCs w:val="19"/>
                <w:color w:val="auto"/>
              </w:rPr>
              <w:t>Title:</w:t>
            </w:r>
          </w:p>
        </w:tc>
        <w:tc>
          <w:tcPr>
            <w:tcW w:w="3780" w:type="dxa"/>
            <w:vAlign w:val="bottom"/>
          </w:tcPr>
          <w:p>
            <w:pPr>
              <w:spacing w:after="0"/>
              <w:rPr>
                <w:sz w:val="20"/>
                <w:szCs w:val="20"/>
                <w:color w:val="auto"/>
              </w:rPr>
            </w:pPr>
            <w:r>
              <w:rPr>
                <w:rFonts w:ascii="Arial" w:cs="Arial" w:eastAsia="Arial" w:hAnsi="Arial"/>
                <w:sz w:val="19"/>
                <w:szCs w:val="19"/>
                <w:color w:val="auto"/>
              </w:rPr>
              <w:t>Vice President</w:t>
            </w:r>
          </w:p>
        </w:tc>
        <w:tc>
          <w:tcPr>
            <w:tcW w:w="1240" w:type="dxa"/>
            <w:vAlign w:val="bottom"/>
          </w:tcPr>
          <w:p>
            <w:pPr>
              <w:spacing w:after="0"/>
              <w:rPr>
                <w:sz w:val="20"/>
                <w:szCs w:val="20"/>
                <w:color w:val="auto"/>
              </w:rPr>
            </w:pPr>
          </w:p>
        </w:tc>
      </w:tr>
      <w:tr>
        <w:trPr>
          <w:trHeight w:val="480"/>
        </w:trPr>
        <w:tc>
          <w:tcPr>
            <w:tcW w:w="69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265" w:right="120" w:bottom="1440" w:gutter="0" w:footer="0" w:header="0"/>
        </w:sectPr>
      </w:pPr>
    </w:p>
    <w:bookmarkStart w:id="17" w:name="page18"/>
    <w:bookmarkEnd w:id="17"/>
    <w:p>
      <w:pPr>
        <w:spacing w:after="0"/>
        <w:tabs>
          <w:tab w:leader="none" w:pos="5180" w:val="left"/>
          <w:tab w:leader="none" w:pos="10820" w:val="left"/>
        </w:tabs>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6158230</wp:posOffset>
            </wp:positionH>
            <wp:positionV relativeFrom="page">
              <wp:posOffset>180975</wp:posOffset>
            </wp:positionV>
            <wp:extent cx="1539240" cy="180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39240" cy="18097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180975</wp:posOffset>
            </wp:positionV>
            <wp:extent cx="1539240" cy="180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39240" cy="180975"/>
                    </a:xfrm>
                    <a:prstGeom prst="rect">
                      <a:avLst/>
                    </a:prstGeom>
                    <a:noFill/>
                  </pic:spPr>
                </pic:pic>
              </a:graphicData>
            </a:graphic>
          </wp:anchor>
        </w:drawing>
        <w:t>CUSIP No. 55933J203</w:t>
      </w:r>
      <w:r>
        <w:rPr>
          <w:sz w:val="20"/>
          <w:szCs w:val="20"/>
          <w:color w:val="auto"/>
        </w:rPr>
        <w:tab/>
      </w:r>
      <w:r>
        <w:rPr>
          <w:rFonts w:ascii="Arial" w:cs="Arial" w:eastAsia="Arial" w:hAnsi="Arial"/>
          <w:sz w:val="19"/>
          <w:szCs w:val="19"/>
          <w:b w:val="1"/>
          <w:bCs w:val="1"/>
          <w:color w:val="auto"/>
        </w:rPr>
        <w:t>SCHEDULE 13G</w:t>
      </w:r>
      <w:r>
        <w:rPr>
          <w:sz w:val="20"/>
          <w:szCs w:val="20"/>
          <w:color w:val="auto"/>
        </w:rPr>
        <w:tab/>
      </w:r>
      <w:r>
        <w:rPr>
          <w:rFonts w:ascii="Arial" w:cs="Arial" w:eastAsia="Arial" w:hAnsi="Arial"/>
          <w:sz w:val="17"/>
          <w:szCs w:val="17"/>
          <w:color w:val="auto"/>
        </w:rPr>
        <w:t>Page 18 of 19</w:t>
      </w:r>
    </w:p>
    <w:p>
      <w:pPr>
        <w:sectPr>
          <w:pgSz w:w="12240" w:h="15840" w:orient="portrait"/>
          <w:cols w:equalWidth="0" w:num="1">
            <w:col w:w="11900"/>
          </w:cols>
          <w:pgMar w:left="200" w:top="293" w:right="1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OAKTREE FUND GP I, L.P.</w:t>
      </w:r>
    </w:p>
    <w:p>
      <w:pPr>
        <w:spacing w:after="0" w:line="167"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15240</wp:posOffset>
            </wp:positionV>
            <wp:extent cx="239966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99665" cy="18415"/>
                    </a:xfrm>
                    <a:prstGeom prst="rect">
                      <a:avLst/>
                    </a:prstGeom>
                    <a:noFill/>
                  </pic:spPr>
                </pic:pic>
              </a:graphicData>
            </a:graphic>
          </wp:anchor>
        </w:drawing>
      </w:r>
    </w:p>
    <w:p>
      <w:pPr>
        <w:spacing w:after="0" w:line="18"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Jordan Mikes</w:t>
      </w:r>
    </w:p>
    <w:p>
      <w:pPr>
        <w:spacing w:after="0" w:line="2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310"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OAKTREE CAPITAL I, L.P.</w:t>
      </w:r>
    </w:p>
    <w:p>
      <w:pPr>
        <w:spacing w:after="0" w:line="167"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15240</wp:posOffset>
            </wp:positionV>
            <wp:extent cx="239966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99665" cy="18415"/>
                    </a:xfrm>
                    <a:prstGeom prst="rect">
                      <a:avLst/>
                    </a:prstGeom>
                    <a:noFill/>
                  </pic:spPr>
                </pic:pic>
              </a:graphicData>
            </a:graphic>
          </wp:anchor>
        </w:drawing>
      </w:r>
    </w:p>
    <w:p>
      <w:pPr>
        <w:spacing w:after="0" w:line="18"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Jordan Mikes</w:t>
      </w:r>
    </w:p>
    <w:p>
      <w:pPr>
        <w:spacing w:after="0" w:line="2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24"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OCM HOLDINGS I, LLC</w:t>
      </w:r>
    </w:p>
    <w:p>
      <w:pPr>
        <w:spacing w:after="0" w:line="167"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15240</wp:posOffset>
            </wp:positionV>
            <wp:extent cx="239966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99665" cy="18415"/>
                    </a:xfrm>
                    <a:prstGeom prst="rect">
                      <a:avLst/>
                    </a:prstGeom>
                    <a:noFill/>
                  </pic:spPr>
                </pic:pic>
              </a:graphicData>
            </a:graphic>
          </wp:anchor>
        </w:drawing>
      </w:r>
    </w:p>
    <w:p>
      <w:pPr>
        <w:spacing w:after="0" w:line="18"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Jordan Mikes</w:t>
      </w:r>
    </w:p>
    <w:p>
      <w:pPr>
        <w:spacing w:after="0" w:line="2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310"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OAKTREE HOLDINGS, LLC</w:t>
      </w:r>
    </w:p>
    <w:p>
      <w:pPr>
        <w:spacing w:after="0" w:line="167"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15240</wp:posOffset>
            </wp:positionV>
            <wp:extent cx="239966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9665" cy="18415"/>
                    </a:xfrm>
                    <a:prstGeom prst="rect">
                      <a:avLst/>
                    </a:prstGeom>
                    <a:noFill/>
                  </pic:spPr>
                </pic:pic>
              </a:graphicData>
            </a:graphic>
          </wp:anchor>
        </w:drawing>
      </w:r>
    </w:p>
    <w:p>
      <w:pPr>
        <w:spacing w:after="0" w:line="18"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Jordan Mikes</w:t>
      </w:r>
    </w:p>
    <w:p>
      <w:pPr>
        <w:spacing w:after="0" w:line="2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24"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OAKTREE CAPITAL MANAGEMENT, L.P.</w:t>
      </w:r>
    </w:p>
    <w:p>
      <w:pPr>
        <w:spacing w:after="0" w:line="167"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15240</wp:posOffset>
            </wp:positionV>
            <wp:extent cx="239966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99665" cy="18415"/>
                    </a:xfrm>
                    <a:prstGeom prst="rect">
                      <a:avLst/>
                    </a:prstGeom>
                    <a:noFill/>
                  </pic:spPr>
                </pic:pic>
              </a:graphicData>
            </a:graphic>
          </wp:anchor>
        </w:drawing>
      </w:r>
    </w:p>
    <w:p>
      <w:pPr>
        <w:spacing w:after="0" w:line="18"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Jordan Mikes</w:t>
      </w:r>
    </w:p>
    <w:p>
      <w:pPr>
        <w:spacing w:after="0" w:line="2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310"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OAKTREE HOLDINGS, INC.</w:t>
      </w:r>
    </w:p>
    <w:p>
      <w:pPr>
        <w:spacing w:after="0" w:line="167"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15240</wp:posOffset>
            </wp:positionV>
            <wp:extent cx="239966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99665" cy="18415"/>
                    </a:xfrm>
                    <a:prstGeom prst="rect">
                      <a:avLst/>
                    </a:prstGeom>
                    <a:noFill/>
                  </pic:spPr>
                </pic:pic>
              </a:graphicData>
            </a:graphic>
          </wp:anchor>
        </w:drawing>
      </w:r>
    </w:p>
    <w:p>
      <w:pPr>
        <w:spacing w:after="0" w:line="18"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Jordan Mikes</w:t>
      </w:r>
    </w:p>
    <w:p>
      <w:pPr>
        <w:spacing w:after="0" w:line="2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310" w:lineRule="exact"/>
        <w:rPr>
          <w:sz w:val="20"/>
          <w:szCs w:val="20"/>
          <w:color w:val="auto"/>
        </w:rPr>
      </w:pPr>
    </w:p>
    <w:p>
      <w:pPr>
        <w:ind w:left="6160"/>
        <w:spacing w:after="0"/>
        <w:rPr>
          <w:sz w:val="20"/>
          <w:szCs w:val="20"/>
          <w:color w:val="auto"/>
        </w:rPr>
      </w:pPr>
      <w:r>
        <w:rPr>
          <w:rFonts w:ascii="Arial" w:cs="Arial" w:eastAsia="Arial" w:hAnsi="Arial"/>
          <w:sz w:val="19"/>
          <w:szCs w:val="19"/>
          <w:color w:val="auto"/>
        </w:rPr>
        <w:t>OAKTREE CAPITAL GROUP, LLC</w:t>
      </w:r>
    </w:p>
    <w:p>
      <w:pPr>
        <w:spacing w:after="0" w:line="167"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15240</wp:posOffset>
            </wp:positionV>
            <wp:extent cx="239966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99665" cy="18415"/>
                    </a:xfrm>
                    <a:prstGeom prst="rect">
                      <a:avLst/>
                    </a:prstGeom>
                    <a:noFill/>
                  </pic:spPr>
                </pic:pic>
              </a:graphicData>
            </a:graphic>
          </wp:anchor>
        </w:drawing>
      </w:r>
    </w:p>
    <w:p>
      <w:pPr>
        <w:spacing w:after="0" w:line="18"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Jordan Mikes</w:t>
      </w:r>
    </w:p>
    <w:p>
      <w:pPr>
        <w:spacing w:after="0" w:line="2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3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OAKTREE CAPITAL GROUP HOLDINGS GP, LLC</w:t>
      </w:r>
    </w:p>
    <w:p>
      <w:pPr>
        <w:spacing w:after="0" w:line="178"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Jordan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15240</wp:posOffset>
            </wp:positionV>
            <wp:extent cx="239966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99665" cy="18415"/>
                    </a:xfrm>
                    <a:prstGeom prst="rect">
                      <a:avLst/>
                    </a:prstGeom>
                    <a:noFill/>
                  </pic:spPr>
                </pic:pic>
              </a:graphicData>
            </a:graphic>
          </wp:anchor>
        </w:drawing>
      </w:r>
    </w:p>
    <w:p>
      <w:pPr>
        <w:spacing w:after="0" w:line="18"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Jordan Mikes</w:t>
      </w:r>
    </w:p>
    <w:p>
      <w:pPr>
        <w:spacing w:after="0" w:line="23" w:lineRule="exact"/>
        <w:rPr>
          <w:sz w:val="20"/>
          <w:szCs w:val="20"/>
          <w:color w:val="auto"/>
        </w:rPr>
      </w:pPr>
    </w:p>
    <w:p>
      <w:pPr>
        <w:ind w:left="6160"/>
        <w:spacing w:after="0"/>
        <w:tabs>
          <w:tab w:leader="none" w:pos="68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523240</wp:posOffset>
            </wp:positionV>
            <wp:extent cx="7625080"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900"/>
          </w:cols>
          <w:pgMar w:left="200" w:top="293" w:right="140" w:bottom="144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65"/>
        </w:trPr>
        <w:tc>
          <w:tcPr>
            <w:tcW w:w="2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CUSIP No. 55933J203</w:t>
            </w:r>
          </w:p>
        </w:tc>
        <w:tc>
          <w:tcPr>
            <w:tcW w:w="7180" w:type="dxa"/>
            <w:vAlign w:val="bottom"/>
            <w:tcBorders>
              <w:right w:val="single" w:sz="8" w:color="auto"/>
            </w:tcBorders>
          </w:tcPr>
          <w:p>
            <w:pPr>
              <w:ind w:left="2860"/>
              <w:spacing w:after="0"/>
              <w:rPr>
                <w:sz w:val="20"/>
                <w:szCs w:val="20"/>
                <w:color w:val="auto"/>
              </w:rPr>
            </w:pPr>
            <w:r>
              <w:rPr>
                <w:rFonts w:ascii="Arial" w:cs="Arial" w:eastAsia="Arial" w:hAnsi="Arial"/>
                <w:sz w:val="19"/>
                <w:szCs w:val="19"/>
                <w:b w:val="1"/>
                <w:bCs w:val="1"/>
                <w:color w:val="auto"/>
              </w:rPr>
              <w:t>SCHEDULE 13G</w:t>
            </w:r>
          </w:p>
        </w:tc>
        <w:tc>
          <w:tcPr>
            <w:tcW w:w="240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87"/>
              </w:rPr>
              <w:t>Page 19 of 19</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Exhibit 1.</w:t>
      </w:r>
      <w:r>
        <w:rPr>
          <w:sz w:val="20"/>
          <w:szCs w:val="20"/>
          <w:color w:val="auto"/>
        </w:rPr>
        <w:tab/>
      </w:r>
      <w:r>
        <w:rPr>
          <w:rFonts w:ascii="Arial" w:cs="Arial" w:eastAsia="Arial" w:hAnsi="Arial"/>
          <w:sz w:val="17"/>
          <w:szCs w:val="17"/>
          <w:color w:val="auto"/>
        </w:rPr>
        <w:t>Joint Filing Agreement as required by Rule 13d-1(k)(1) under the Securities Exchange Act of 1934, as amended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909955</wp:posOffset>
            </wp:positionV>
            <wp:extent cx="762889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28890" cy="40005"/>
                    </a:xfrm>
                    <a:prstGeom prst="rect">
                      <a:avLst/>
                    </a:prstGeom>
                    <a:noFill/>
                  </pic:spPr>
                </pic:pic>
              </a:graphicData>
            </a:graphic>
          </wp:anchor>
        </w:drawing>
      </w:r>
    </w:p>
    <w:sectPr>
      <w:pgSz w:w="12240" w:h="15840" w:orient="portrait"/>
      <w:cols w:equalWidth="0" w:num="1">
        <w:col w:w="12000"/>
      </w:cols>
      <w:pgMar w:left="120" w:top="265"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lowerLetter"/>
      <w:start w:val="4"/>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2019-12-15T11:08:38Z</dcterms:created>
  <dcterms:modified xsi:type="dcterms:W3CDTF">2019-12-15T11:08:38Z</dcterms:modified>
</cp:coreProperties>
</file>