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120" w:type="dxa"/>
            <w:vAlign w:val="bottom"/>
          </w:tcPr>
          <w:p>
            <w:pPr>
              <w:jc w:val="center"/>
              <w:ind w:right="23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20" w:type="dxa"/>
            <w:vAlign w:val="bottom"/>
          </w:tcPr>
          <w:p>
            <w:pPr>
              <w:jc w:val="center"/>
              <w:ind w:right="233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20" w:type="dxa"/>
            <w:vAlign w:val="bottom"/>
          </w:tcPr>
          <w:p>
            <w:pPr>
              <w:jc w:val="center"/>
              <w:ind w:left="1138"/>
              <w:spacing w:after="0"/>
              <w:rPr>
                <w:sz w:val="20"/>
                <w:szCs w:val="20"/>
                <w:color w:val="auto"/>
              </w:rPr>
            </w:pPr>
            <w:r>
              <w:rPr>
                <w:rFonts w:ascii="Times New Roman" w:cs="Times New Roman" w:eastAsia="Times New Roman" w:hAnsi="Times New Roman"/>
                <w:sz w:val="18"/>
                <w:szCs w:val="18"/>
                <w:b w:val="1"/>
                <w:bCs w:val="1"/>
                <w:color w:val="auto"/>
                <w:w w:val="99"/>
              </w:rPr>
              <w:t>c/o Magnachip Semiconductor, Ltd.</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634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15F, 76 Jikji-daero 436beon-gil, Heungdeok-gu</w:t>
            </w:r>
          </w:p>
        </w:tc>
        <w:tc>
          <w:tcPr>
            <w:tcW w:w="2460" w:type="dxa"/>
            <w:vAlign w:val="bottom"/>
          </w:tcPr>
          <w:p>
            <w:pPr>
              <w:spacing w:after="0"/>
              <w:rPr>
                <w:sz w:val="18"/>
                <w:szCs w:val="18"/>
                <w:color w:val="auto"/>
              </w:rPr>
            </w:pPr>
          </w:p>
        </w:tc>
      </w:tr>
      <w:tr>
        <w:trPr>
          <w:trHeight w:val="227"/>
        </w:trPr>
        <w:tc>
          <w:tcPr>
            <w:tcW w:w="634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Cheongju-si, Chungcheongbuk-do, 28581, Republic of Korea</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0"/>
        </w:trPr>
        <w:tc>
          <w:tcPr>
            <w:tcW w:w="4120" w:type="dxa"/>
            <w:vAlign w:val="bottom"/>
          </w:tcPr>
          <w:p>
            <w:pPr>
              <w:jc w:val="center"/>
              <w:ind w:left="11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left="4" w:right="640"/>
        <w:spacing w:after="0" w:line="312" w:lineRule="auto"/>
        <w:rPr>
          <w:sz w:val="20"/>
          <w:szCs w:val="20"/>
          <w:color w:val="auto"/>
        </w:rPr>
      </w:pPr>
      <w:r>
        <w:rPr>
          <w:rFonts w:ascii="Times New Roman" w:cs="Times New Roman" w:eastAsia="Times New Roman" w:hAnsi="Times New Roman"/>
          <w:sz w:val="17"/>
          <w:szCs w:val="17"/>
          <w:color w:val="auto"/>
        </w:rPr>
        <w:t>Attached hereto as Exhibit 99.1 and incorporated by reference herein is financial information for Magnachip Semiconductor Corporation and its consolidated subsidiaries for the fourth quarter and full year ended December 31, 2024, as presented in a press release dated March 12, 2025.</w:t>
      </w:r>
    </w:p>
    <w:p>
      <w:pPr>
        <w:spacing w:after="0" w:line="140"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20" w:type="dxa"/>
            <w:vAlign w:val="bottom"/>
          </w:tcPr>
          <w:p>
            <w:pPr>
              <w:spacing w:after="0"/>
              <w:rPr>
                <w:sz w:val="13"/>
                <w:szCs w:val="13"/>
                <w:color w:val="auto"/>
              </w:rPr>
            </w:pPr>
          </w:p>
        </w:tc>
        <w:tc>
          <w:tcPr>
            <w:tcW w:w="8180" w:type="dxa"/>
            <w:vAlign w:val="bottom"/>
            <w:gridSpan w:val="2"/>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1920" w:type="dxa"/>
            <w:vAlign w:val="bottom"/>
          </w:tcPr>
          <w:p>
            <w:pPr>
              <w:spacing w:after="0"/>
              <w:rPr>
                <w:sz w:val="15"/>
                <w:szCs w:val="15"/>
                <w:color w:val="auto"/>
              </w:rPr>
            </w:pPr>
          </w:p>
        </w:tc>
        <w:tc>
          <w:tcPr>
            <w:tcW w:w="8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10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for Magnachip Semiconductor Corporation dated March 12, 2025, announcing the results for the fourth quarter and full year</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March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220281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2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Magnachip Reports Results for Fourth Quarter and Full-Year 2024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-Announces Transition to Become Pure-Play Power Company; Explores All Strategic Options for Display Business -</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Q4 Results Summary</w:t>
      </w:r>
    </w:p>
    <w:p>
      <w:pPr>
        <w:spacing w:after="0" w:line="135" w:lineRule="exact"/>
        <w:rPr>
          <w:sz w:val="20"/>
          <w:szCs w:val="20"/>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of $63 million was above the mid-point of our guidance range of $59.0 to $64.0 million.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Product business revenue was down 5.1% sequentially due primarily to seasonality.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of 25.2% was above the high-end our guidance range of 21.5% to 23.5%.</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Product business gross profit margin was 26.6%, up 2.2 percentage points sequentially.</w:t>
      </w:r>
    </w:p>
    <w:p>
      <w:pPr>
        <w:spacing w:after="0" w:line="130"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0.7 million shares for aggregate purchase price of $2.9 million during the quarter and ended Q4 with cash of $138.6 million.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2024 Highlights</w:t>
      </w:r>
    </w:p>
    <w:p>
      <w:pPr>
        <w:spacing w:after="0" w:line="135" w:lineRule="exact"/>
        <w:rPr>
          <w:sz w:val="20"/>
          <w:szCs w:val="20"/>
          <w:color w:val="auto"/>
        </w:rPr>
      </w:pPr>
    </w:p>
    <w:p>
      <w:pPr>
        <w:jc w:val="both"/>
        <w:ind w:left="964" w:right="20" w:hanging="424"/>
        <w:spacing w:after="0" w:line="266"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Transitional Foundry Services, Standard Products business revenue increased 13% year-over-year, with MSS up 22.5% and PAS up 10.2%. Both of these business line growth rates were in line with original guidance for double-digit growth provided at the beginning of 2024.</w:t>
      </w:r>
    </w:p>
    <w:p>
      <w:pPr>
        <w:spacing w:after="0" w:line="81" w:lineRule="exact"/>
        <w:rPr>
          <w:rFonts w:ascii="Times New Roman" w:cs="Times New Roman" w:eastAsia="Times New Roman" w:hAnsi="Times New Roman"/>
          <w:sz w:val="18"/>
          <w:szCs w:val="18"/>
          <w:color w:val="auto"/>
        </w:rPr>
      </w:pPr>
    </w:p>
    <w:p>
      <w:pPr>
        <w:ind w:left="964" w:right="28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revenue growth was strongest in Communication, Computing and Consumer in calendar 2024. Automotive and Industrial declined only slightly, relatively outperforming the broader markets.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IC revenue increased more than 50% year-over-year.</w:t>
      </w:r>
    </w:p>
    <w:p>
      <w:pPr>
        <w:spacing w:after="0" w:line="221"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b w:val="1"/>
          <w:bCs w:val="1"/>
          <w:color w:val="auto"/>
        </w:rPr>
        <w:t>SEOUL, South Korea, March 12, 2025</w:t>
      </w:r>
      <w:r>
        <w:rPr>
          <w:rFonts w:ascii="Times New Roman" w:cs="Times New Roman" w:eastAsia="Times New Roman" w:hAnsi="Times New Roman"/>
          <w:sz w:val="18"/>
          <w:szCs w:val="18"/>
          <w:color w:val="auto"/>
        </w:rPr>
        <w:t>—Magnachip Semiconductor Corporation (NYSE: MX) (“Magnachip”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fourth quarter and full-year 2024.</w:t>
      </w:r>
    </w:p>
    <w:p>
      <w:pPr>
        <w:spacing w:after="0" w:line="159"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YJ Kim, Magnachip’s CEO, said, “Our Q4 revenue of $63 million was up 24% year-over-year, and gross profit margin of 25.2% was up 2.5 percentage points as compared to a year ago. For the year, Standard Products business revenue increased 13% year-over-year, in line with our guidance for double-digit growth that we provided at the beginning of 2024.”</w:t>
      </w:r>
    </w:p>
    <w:p>
      <w:pPr>
        <w:spacing w:after="0" w:line="176" w:lineRule="exact"/>
        <w:rPr>
          <w:sz w:val="20"/>
          <w:szCs w:val="20"/>
          <w:color w:val="auto"/>
        </w:rPr>
      </w:pPr>
    </w:p>
    <w:p>
      <w:pPr>
        <w:jc w:val="both"/>
        <w:ind w:left="4" w:right="80"/>
        <w:spacing w:after="0" w:line="289" w:lineRule="auto"/>
        <w:rPr>
          <w:sz w:val="20"/>
          <w:szCs w:val="20"/>
          <w:color w:val="auto"/>
        </w:rPr>
      </w:pPr>
      <w:r>
        <w:rPr>
          <w:rFonts w:ascii="Times New Roman" w:cs="Times New Roman" w:eastAsia="Times New Roman" w:hAnsi="Times New Roman"/>
          <w:sz w:val="17"/>
          <w:szCs w:val="17"/>
          <w:color w:val="auto"/>
        </w:rPr>
        <w:t>YJ Kim added, “Our revenue and gross margin results represented a step in the right direction, but our utmost short-term goal is a return to profitability. To achieve this goal, Magnachip announced today its transition to become a pure-play Power company, and we also announced that we are exploring all strategic options for the Display business, which will be classified as discontinued operations when the Company reports Q1 results in May.”</w:t>
      </w:r>
    </w:p>
    <w:p>
      <w:pPr>
        <w:spacing w:after="0" w:line="154" w:lineRule="exact"/>
        <w:rPr>
          <w:sz w:val="20"/>
          <w:szCs w:val="20"/>
          <w:color w:val="auto"/>
        </w:rPr>
      </w:pPr>
    </w:p>
    <w:p>
      <w:pPr>
        <w:ind w:left="4" w:right="160"/>
        <w:spacing w:after="0" w:line="210" w:lineRule="auto"/>
        <w:rPr>
          <w:sz w:val="20"/>
          <w:szCs w:val="20"/>
          <w:color w:val="auto"/>
        </w:rPr>
      </w:pPr>
      <w:r>
        <w:rPr>
          <w:rFonts w:ascii="Times New Roman" w:cs="Times New Roman" w:eastAsia="Times New Roman" w:hAnsi="Times New Roman"/>
          <w:sz w:val="18"/>
          <w:szCs w:val="18"/>
          <w:color w:val="auto"/>
        </w:rPr>
        <w:t xml:space="preserve">YJ Kim commented, “By focusing on the Power business, Magnachip currently expects to achieve </w:t>
      </w:r>
      <w:r>
        <w:rPr>
          <w:rFonts w:ascii="Times New Roman" w:cs="Times New Roman" w:eastAsia="Times New Roman" w:hAnsi="Times New Roman"/>
          <w:sz w:val="18"/>
          <w:szCs w:val="18"/>
          <w:b w:val="1"/>
          <w:bCs w:val="1"/>
          <w:color w:val="auto"/>
        </w:rPr>
        <w:t>a quarterly</w:t>
      </w:r>
      <w:r>
        <w:rPr>
          <w:rFonts w:ascii="Times New Roman" w:cs="Times New Roman" w:eastAsia="Times New Roman" w:hAnsi="Times New Roman"/>
          <w:sz w:val="18"/>
          <w:szCs w:val="18"/>
          <w:color w:val="auto"/>
        </w:rPr>
        <w:t xml:space="preserve"> Adjusted EBITDA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breakeven by the end of Q4 2025 from continuing operations, followed by positive adjusted operating income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2026, and positive adjusted free cash flow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2027. Each of these targets will act as milestones towards achieving a goal in 3 years to reach a $300 million annual revenue run-rate with a 30% gross profit margin target. We call this our 3-3-3 strategy.”</w:t>
      </w:r>
    </w:p>
    <w:p>
      <w:pPr>
        <w:spacing w:after="0" w:line="104" w:lineRule="exact"/>
        <w:rPr>
          <w:sz w:val="20"/>
          <w:szCs w:val="20"/>
          <w:color w:val="auto"/>
        </w:rPr>
      </w:pPr>
    </w:p>
    <w:p>
      <w:pPr>
        <w:ind w:left="224" w:right="440" w:hanging="224"/>
        <w:spacing w:after="0" w:line="208" w:lineRule="auto"/>
        <w:tabs>
          <w:tab w:leader="none" w:pos="2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measure. Please see footnote (2) under the table below, as well as the reconciliation tables of historical GAAP results to non-GAAP results included at the end of this press release.</w:t>
      </w:r>
    </w:p>
    <w:p>
      <w:pPr>
        <w:spacing w:after="0" w:line="3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Q4 and 2024 Financial Highlights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65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Q4 2024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Q3 2024</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Q4 2023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22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60,744</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64,020</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41,182</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6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Mixed-Signal Solutions</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17,289</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16,446</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8,558</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6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43,455</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47,574</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32,624</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65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2,295</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9,640</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76.2%</w:t>
            </w:r>
          </w:p>
        </w:tc>
      </w:tr>
    </w:tbl>
    <w:p>
      <w:pPr>
        <w:sectPr>
          <w:pgSz w:w="11900" w:h="16838" w:orient="portrait"/>
          <w:cols w:equalWidth="0" w:num="1">
            <w:col w:w="11024"/>
          </w:cols>
          <w:pgMar w:left="436" w:top="11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183515</wp:posOffset>
            </wp:positionV>
            <wp:extent cx="1320165"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2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6"/>
          </w:tcPr>
          <w:p>
            <w:pPr>
              <w:jc w:val="center"/>
              <w:ind w:left="164"/>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Q4 2024</w:t>
            </w:r>
          </w:p>
        </w:tc>
        <w:tc>
          <w:tcPr>
            <w:tcW w:w="3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Q3 2024</w:t>
            </w:r>
          </w:p>
        </w:tc>
        <w:tc>
          <w:tcPr>
            <w:tcW w:w="200" w:type="dxa"/>
            <w:vAlign w:val="bottom"/>
            <w:tcBorders>
              <w:bottom w:val="single" w:sz="8" w:color="CCEEFF"/>
            </w:tcBorders>
            <w:gridSpan w:val="2"/>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Q4 2023</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6"/>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Gross Profit Margin</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8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75"/>
              </w:rPr>
              <w:t>9%pts</w:t>
            </w:r>
          </w:p>
        </w:tc>
        <w:tc>
          <w:tcPr>
            <w:tcW w:w="880" w:type="dxa"/>
            <w:vAlign w:val="bottom"/>
            <w:gridSpan w:val="8"/>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2.5%pts</w:t>
            </w:r>
          </w:p>
        </w:tc>
      </w:tr>
      <w:tr>
        <w:trPr>
          <w:trHeight w:val="216"/>
        </w:trPr>
        <w:tc>
          <w:tcPr>
            <w:tcW w:w="5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8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5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2.2%pts</w:t>
            </w:r>
          </w:p>
        </w:tc>
        <w:tc>
          <w:tcPr>
            <w:tcW w:w="880" w:type="dxa"/>
            <w:vAlign w:val="bottom"/>
            <w:gridSpan w:val="8"/>
          </w:tcPr>
          <w:p>
            <w:pPr>
              <w:jc w:val="right"/>
              <w:ind w:right="48"/>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up</w:t>
            </w:r>
          </w:p>
        </w:tc>
        <w:tc>
          <w:tcPr>
            <w:tcW w:w="20" w:type="dxa"/>
            <w:vAlign w:val="bottom"/>
          </w:tcPr>
          <w:p>
            <w:pPr>
              <w:spacing w:after="0"/>
              <w:rPr>
                <w:sz w:val="18"/>
                <w:szCs w:val="18"/>
                <w:color w:val="auto"/>
              </w:rPr>
            </w:pPr>
          </w:p>
        </w:tc>
        <w:tc>
          <w:tcPr>
            <w:tcW w:w="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3.7%pts</w:t>
            </w:r>
          </w:p>
        </w:tc>
      </w:tr>
      <w:tr>
        <w:trPr>
          <w:trHeight w:val="216"/>
        </w:trPr>
        <w:tc>
          <w:tcPr>
            <w:tcW w:w="440" w:type="dxa"/>
            <w:vAlign w:val="bottom"/>
            <w:shd w:val="clear" w:color="auto" w:fill="CCEEFF"/>
          </w:tcPr>
          <w:p>
            <w:pPr>
              <w:spacing w:after="0"/>
              <w:rPr>
                <w:sz w:val="18"/>
                <w:szCs w:val="18"/>
                <w:color w:val="auto"/>
              </w:rPr>
            </w:pPr>
          </w:p>
        </w:tc>
        <w:tc>
          <w:tcPr>
            <w:tcW w:w="5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Mixed-Signal Solutions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8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c>
          <w:tcPr>
            <w:tcW w:w="54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3.1%pts</w:t>
            </w:r>
          </w:p>
        </w:tc>
        <w:tc>
          <w:tcPr>
            <w:tcW w:w="880" w:type="dxa"/>
            <w:vAlign w:val="bottom"/>
            <w:gridSpan w:val="8"/>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41.3%</w:t>
            </w:r>
          </w:p>
        </w:tc>
        <w:tc>
          <w:tcPr>
            <w:tcW w:w="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w:t>
            </w: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0.5%pts</w:t>
            </w:r>
          </w:p>
        </w:tc>
      </w:tr>
      <w:tr>
        <w:trPr>
          <w:trHeight w:val="216"/>
        </w:trPr>
        <w:tc>
          <w:tcPr>
            <w:tcW w:w="440" w:type="dxa"/>
            <w:vAlign w:val="bottom"/>
          </w:tcPr>
          <w:p>
            <w:pPr>
              <w:spacing w:after="0"/>
              <w:rPr>
                <w:sz w:val="18"/>
                <w:szCs w:val="18"/>
                <w:color w:val="auto"/>
              </w:rPr>
            </w:pPr>
          </w:p>
        </w:tc>
        <w:tc>
          <w:tcPr>
            <w:tcW w:w="5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Analog Solutions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8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5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up</w:t>
            </w:r>
          </w:p>
        </w:tc>
        <w:tc>
          <w:tcPr>
            <w:tcW w:w="8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1.1%pts</w:t>
            </w:r>
          </w:p>
        </w:tc>
        <w:tc>
          <w:tcPr>
            <w:tcW w:w="880" w:type="dxa"/>
            <w:vAlign w:val="bottom"/>
            <w:gridSpan w:val="8"/>
          </w:tcPr>
          <w:p>
            <w:pPr>
              <w:jc w:val="right"/>
              <w:ind w:right="48"/>
              <w:spacing w:after="0"/>
              <w:rPr>
                <w:sz w:val="20"/>
                <w:szCs w:val="20"/>
                <w:color w:val="auto"/>
              </w:rPr>
            </w:pPr>
            <w:r>
              <w:rPr>
                <w:rFonts w:ascii="Times New Roman" w:cs="Times New Roman" w:eastAsia="Times New Roman" w:hAnsi="Times New Roman"/>
                <w:sz w:val="18"/>
                <w:szCs w:val="18"/>
                <w:color w:val="auto"/>
              </w:rPr>
              <w:t>18.1%</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up</w:t>
            </w:r>
          </w:p>
        </w:tc>
        <w:tc>
          <w:tcPr>
            <w:tcW w:w="20" w:type="dxa"/>
            <w:vAlign w:val="bottom"/>
          </w:tcPr>
          <w:p>
            <w:pPr>
              <w:spacing w:after="0"/>
              <w:rPr>
                <w:sz w:val="18"/>
                <w:szCs w:val="18"/>
                <w:color w:val="auto"/>
              </w:rPr>
            </w:pPr>
          </w:p>
        </w:tc>
        <w:tc>
          <w:tcPr>
            <w:tcW w:w="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2.4%pts</w:t>
            </w: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(15,745)</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(11,003)</w:t>
            </w:r>
          </w:p>
        </w:tc>
        <w:tc>
          <w:tcPr>
            <w:tcW w:w="60" w:type="dxa"/>
            <w:vAlign w:val="bottom"/>
            <w:shd w:val="clear" w:color="auto" w:fill="CCEEFF"/>
          </w:tcPr>
          <w:p>
            <w:pPr>
              <w:spacing w:after="0"/>
              <w:rPr>
                <w:sz w:val="18"/>
                <w:szCs w:val="18"/>
                <w:color w:val="auto"/>
              </w:rPr>
            </w:pPr>
          </w:p>
        </w:tc>
        <w:tc>
          <w:tcPr>
            <w:tcW w:w="54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down</w:t>
            </w:r>
          </w:p>
        </w:tc>
        <w:tc>
          <w:tcPr>
            <w:tcW w:w="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8"/>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(15,935)</w:t>
            </w:r>
          </w:p>
        </w:tc>
        <w:tc>
          <w:tcPr>
            <w:tcW w:w="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w:t>
            </w: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(16,277)</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(9,617)</w:t>
            </w:r>
          </w:p>
        </w:tc>
        <w:tc>
          <w:tcPr>
            <w:tcW w:w="60" w:type="dxa"/>
            <w:vAlign w:val="bottom"/>
          </w:tcPr>
          <w:p>
            <w:pPr>
              <w:spacing w:after="0"/>
              <w:rPr>
                <w:sz w:val="18"/>
                <w:szCs w:val="18"/>
                <w:color w:val="auto"/>
              </w:rPr>
            </w:pPr>
          </w:p>
        </w:tc>
        <w:tc>
          <w:tcPr>
            <w:tcW w:w="5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down</w:t>
            </w:r>
          </w:p>
        </w:tc>
        <w:tc>
          <w:tcPr>
            <w:tcW w:w="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8"/>
          </w:tcPr>
          <w:p>
            <w:pPr>
              <w:jc w:val="right"/>
              <w:ind w:right="128"/>
              <w:spacing w:after="0"/>
              <w:rPr>
                <w:sz w:val="20"/>
                <w:szCs w:val="20"/>
                <w:color w:val="auto"/>
              </w:rPr>
            </w:pPr>
            <w:r>
              <w:rPr>
                <w:rFonts w:ascii="Times New Roman" w:cs="Times New Roman" w:eastAsia="Times New Roman" w:hAnsi="Times New Roman"/>
                <w:sz w:val="18"/>
                <w:szCs w:val="18"/>
                <w:color w:val="auto"/>
              </w:rPr>
              <w:t>(6,040)</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4"/>
              </w:rPr>
              <w:t>down</w:t>
            </w:r>
          </w:p>
        </w:tc>
        <w:tc>
          <w:tcPr>
            <w:tcW w:w="20" w:type="dxa"/>
            <w:vAlign w:val="bottom"/>
          </w:tcPr>
          <w:p>
            <w:pPr>
              <w:spacing w:after="0"/>
              <w:rPr>
                <w:sz w:val="18"/>
                <w:szCs w:val="18"/>
                <w:color w:val="auto"/>
              </w:rPr>
            </w:pPr>
          </w:p>
        </w:tc>
        <w:tc>
          <w:tcPr>
            <w:tcW w:w="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shd w:val="clear" w:color="auto" w:fill="CCEEFF"/>
          </w:tcPr>
          <w:p>
            <w:pPr>
              <w:spacing w:after="0"/>
              <w:rPr>
                <w:sz w:val="18"/>
                <w:szCs w:val="18"/>
                <w:color w:val="auto"/>
              </w:rPr>
            </w:pPr>
          </w:p>
        </w:tc>
        <w:tc>
          <w:tcPr>
            <w:tcW w:w="54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down</w:t>
            </w:r>
          </w:p>
        </w:tc>
        <w:tc>
          <w:tcPr>
            <w:tcW w:w="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8"/>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down</w:t>
            </w: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tcPr>
          <w:p>
            <w:pPr>
              <w:spacing w:after="0"/>
              <w:rPr>
                <w:sz w:val="20"/>
                <w:szCs w:val="20"/>
                <w:color w:val="auto"/>
              </w:rPr>
            </w:pPr>
          </w:p>
        </w:tc>
        <w:tc>
          <w:tcPr>
            <w:tcW w:w="5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down</w:t>
            </w:r>
          </w:p>
        </w:tc>
        <w:tc>
          <w:tcPr>
            <w:tcW w:w="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8"/>
          </w:tcPr>
          <w:p>
            <w:pPr>
              <w:jc w:val="right"/>
              <w:ind w:right="128"/>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4"/>
              </w:rPr>
              <w:t>down</w:t>
            </w:r>
          </w:p>
        </w:tc>
        <w:tc>
          <w:tcPr>
            <w:tcW w:w="20" w:type="dxa"/>
            <w:vAlign w:val="bottom"/>
          </w:tcPr>
          <w:p>
            <w:pPr>
              <w:spacing w:after="0"/>
              <w:rPr>
                <w:sz w:val="20"/>
                <w:szCs w:val="20"/>
                <w:color w:val="auto"/>
              </w:rPr>
            </w:pPr>
          </w:p>
        </w:tc>
        <w:tc>
          <w:tcPr>
            <w:tcW w:w="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4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7"/>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8"/>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0"/>
                <w:szCs w:val="10"/>
                <w:b w:val="1"/>
                <w:bCs w:val="1"/>
                <w:color w:val="auto"/>
              </w:rPr>
              <w:t>(2)</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Q4 2024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6"/>
          </w:tcPr>
          <w:p>
            <w:pPr>
              <w:jc w:val="center"/>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Q3 2024</w:t>
            </w:r>
          </w:p>
        </w:tc>
        <w:tc>
          <w:tcPr>
            <w:tcW w:w="980" w:type="dxa"/>
            <w:vAlign w:val="bottom"/>
            <w:gridSpan w:val="8"/>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76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Q4 2023</w:t>
            </w:r>
          </w:p>
        </w:tc>
        <w:tc>
          <w:tcPr>
            <w:tcW w:w="20" w:type="dxa"/>
            <w:vAlign w:val="bottom"/>
          </w:tcPr>
          <w:p>
            <w:pPr>
              <w:spacing w:after="0"/>
              <w:rPr>
                <w:sz w:val="12"/>
                <w:szCs w:val="12"/>
                <w:color w:val="auto"/>
              </w:rPr>
            </w:pPr>
          </w:p>
        </w:tc>
        <w:tc>
          <w:tcPr>
            <w:tcW w:w="7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60" w:type="dxa"/>
            <w:vAlign w:val="bottom"/>
          </w:tcPr>
          <w:p>
            <w:pPr>
              <w:spacing w:after="0"/>
              <w:rPr>
                <w:sz w:val="12"/>
                <w:szCs w:val="12"/>
                <w:color w:val="auto"/>
              </w:rPr>
            </w:pPr>
          </w:p>
        </w:tc>
      </w:tr>
      <w:tr>
        <w:trPr>
          <w:trHeight w:val="210"/>
        </w:trPr>
        <w:tc>
          <w:tcPr>
            <w:tcW w:w="5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Loss</w:t>
            </w: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(6,970)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0"/>
              </w:rPr>
              <w:t>up    </w:t>
            </w:r>
          </w:p>
        </w:tc>
        <w:tc>
          <w:tcPr>
            <w:tcW w:w="340" w:type="dxa"/>
            <w:vAlign w:val="bottom"/>
            <w:tcBorders>
              <w:top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0"/>
              </w:rPr>
              <w:t>n/a</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(14,095)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0"/>
              </w:rPr>
              <w:t>n/a</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w:t>
            </w:r>
          </w:p>
        </w:tc>
        <w:tc>
          <w:tcPr>
            <w:tcW w:w="5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(9,972)</w:t>
            </w:r>
          </w:p>
        </w:tc>
        <w:tc>
          <w:tcPr>
            <w:tcW w:w="60" w:type="dxa"/>
            <w:vAlign w:val="bottom"/>
          </w:tcPr>
          <w:p>
            <w:pPr>
              <w:spacing w:after="0"/>
              <w:rPr>
                <w:sz w:val="18"/>
                <w:szCs w:val="18"/>
                <w:color w:val="auto"/>
              </w:rPr>
            </w:pP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up</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2,637</w:t>
            </w:r>
          </w:p>
        </w:tc>
        <w:tc>
          <w:tcPr>
            <w:tcW w:w="9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56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(8,044)</w:t>
            </w:r>
          </w:p>
        </w:tc>
        <w:tc>
          <w:tcPr>
            <w:tcW w:w="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Earnings (Loss) per Common Share—Diluted</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w:t>
            </w:r>
          </w:p>
        </w:tc>
        <w:tc>
          <w:tcPr>
            <w:tcW w:w="5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20"/>
                <w:szCs w:val="20"/>
                <w:color w:val="auto"/>
              </w:rPr>
            </w:pP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up</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369"/>
        </w:trPr>
        <w:tc>
          <w:tcPr>
            <w:tcW w:w="4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gridSpan w:val="26"/>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gridSpan w:val="2"/>
          </w:tcPr>
          <w:p>
            <w:pPr>
              <w:spacing w:after="0"/>
              <w:rPr>
                <w:sz w:val="12"/>
                <w:szCs w:val="12"/>
                <w:color w:val="auto"/>
              </w:rPr>
            </w:pPr>
          </w:p>
        </w:tc>
        <w:tc>
          <w:tcPr>
            <w:tcW w:w="50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4"/>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9"/>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4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231,737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6"/>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221,140</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195,690</w:t>
            </w:r>
          </w:p>
        </w:tc>
        <w:tc>
          <w:tcPr>
            <w:tcW w:w="140" w:type="dxa"/>
            <w:vAlign w:val="bottom"/>
          </w:tcPr>
          <w:p>
            <w:pPr>
              <w:spacing w:after="0"/>
              <w:rPr>
                <w:sz w:val="18"/>
                <w:szCs w:val="18"/>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up</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6"/>
          </w:tcPr>
          <w:p>
            <w:pPr>
              <w:jc w:val="right"/>
              <w:ind w:right="151"/>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Mixed-Signal Solutions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44,366</w:t>
            </w:r>
          </w:p>
        </w:tc>
        <w:tc>
          <w:tcPr>
            <w:tcW w:w="140" w:type="dxa"/>
            <w:vAlign w:val="bottom"/>
            <w:shd w:val="clear" w:color="auto" w:fill="CCEEFF"/>
          </w:tcPr>
          <w:p>
            <w:pPr>
              <w:spacing w:after="0"/>
              <w:rPr>
                <w:sz w:val="18"/>
                <w:szCs w:val="18"/>
                <w:color w:val="auto"/>
              </w:rPr>
            </w:pP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6"/>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166,804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151,324</w:t>
            </w:r>
          </w:p>
        </w:tc>
        <w:tc>
          <w:tcPr>
            <w:tcW w:w="140" w:type="dxa"/>
            <w:vAlign w:val="bottom"/>
          </w:tcPr>
          <w:p>
            <w:pPr>
              <w:spacing w:after="0"/>
              <w:rPr>
                <w:sz w:val="18"/>
                <w:szCs w:val="18"/>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up</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6"/>
          </w:tcPr>
          <w:p>
            <w:pPr>
              <w:jc w:val="right"/>
              <w:ind w:right="151"/>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(1)</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34,361</w:t>
            </w:r>
          </w:p>
        </w:tc>
        <w:tc>
          <w:tcPr>
            <w:tcW w:w="140" w:type="dxa"/>
            <w:vAlign w:val="bottom"/>
            <w:shd w:val="clear" w:color="auto" w:fill="CCEEFF"/>
          </w:tcPr>
          <w:p>
            <w:pPr>
              <w:spacing w:after="0"/>
              <w:rPr>
                <w:sz w:val="18"/>
                <w:szCs w:val="18"/>
                <w:color w:val="auto"/>
              </w:rPr>
            </w:pP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down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6"/>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Gross Profit Margin</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9"/>
          </w:tcPr>
          <w:p>
            <w:pPr>
              <w:jc w:val="right"/>
              <w:ind w:right="144"/>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18"/>
                <w:szCs w:val="18"/>
                <w:color w:val="auto"/>
              </w:rPr>
            </w:pPr>
          </w:p>
        </w:tc>
        <w:tc>
          <w:tcPr>
            <w:tcW w:w="8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down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0.0%pts</w:t>
            </w:r>
          </w:p>
        </w:tc>
        <w:tc>
          <w:tcPr>
            <w:tcW w:w="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9"/>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CCEEFF"/>
          </w:tcPr>
          <w:p>
            <w:pPr>
              <w:spacing w:after="0"/>
              <w:rPr>
                <w:sz w:val="18"/>
                <w:szCs w:val="18"/>
                <w:color w:val="auto"/>
              </w:rPr>
            </w:pP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down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2.5%pts</w:t>
            </w:r>
          </w:p>
        </w:tc>
        <w:tc>
          <w:tcPr>
            <w:tcW w:w="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Mixed-Signal Solutions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9"/>
          </w:tcPr>
          <w:p>
            <w:pPr>
              <w:jc w:val="right"/>
              <w:ind w:right="144"/>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tcPr>
          <w:p>
            <w:pPr>
              <w:spacing w:after="0"/>
              <w:rPr>
                <w:sz w:val="18"/>
                <w:szCs w:val="18"/>
                <w:color w:val="auto"/>
              </w:rPr>
            </w:pPr>
          </w:p>
        </w:tc>
        <w:tc>
          <w:tcPr>
            <w:tcW w:w="8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18"/>
                <w:szCs w:val="18"/>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up</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6.1%pts</w:t>
            </w:r>
          </w:p>
        </w:tc>
        <w:tc>
          <w:tcPr>
            <w:tcW w:w="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9"/>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shd w:val="clear" w:color="auto" w:fill="CCEEFF"/>
          </w:tcPr>
          <w:p>
            <w:pPr>
              <w:spacing w:after="0"/>
              <w:rPr>
                <w:sz w:val="18"/>
                <w:szCs w:val="18"/>
                <w:color w:val="auto"/>
              </w:rPr>
            </w:pP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down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5.5%pts</w:t>
            </w:r>
          </w:p>
        </w:tc>
        <w:tc>
          <w:tcPr>
            <w:tcW w:w="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9"/>
          </w:tcPr>
          <w:p>
            <w:pPr>
              <w:jc w:val="right"/>
              <w:ind w:right="224"/>
              <w:spacing w:after="0"/>
              <w:rPr>
                <w:sz w:val="20"/>
                <w:szCs w:val="20"/>
                <w:color w:val="auto"/>
              </w:rPr>
            </w:pPr>
            <w:r>
              <w:rPr>
                <w:rFonts w:ascii="Times New Roman" w:cs="Times New Roman" w:eastAsia="Times New Roman" w:hAnsi="Times New Roman"/>
                <w:sz w:val="18"/>
                <w:szCs w:val="18"/>
                <w:color w:val="auto"/>
              </w:rPr>
              <w:t>(53,031)</w:t>
            </w:r>
          </w:p>
        </w:tc>
        <w:tc>
          <w:tcPr>
            <w:tcW w:w="60" w:type="dxa"/>
            <w:vAlign w:val="bottom"/>
          </w:tcPr>
          <w:p>
            <w:pPr>
              <w:spacing w:after="0"/>
              <w:rPr>
                <w:sz w:val="18"/>
                <w:szCs w:val="18"/>
                <w:color w:val="auto"/>
              </w:rPr>
            </w:pPr>
          </w:p>
        </w:tc>
        <w:tc>
          <w:tcPr>
            <w:tcW w:w="86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(57,644)</w:t>
            </w:r>
          </w:p>
        </w:tc>
        <w:tc>
          <w:tcPr>
            <w:tcW w:w="140" w:type="dxa"/>
            <w:vAlign w:val="bottom"/>
          </w:tcPr>
          <w:p>
            <w:pPr>
              <w:spacing w:after="0"/>
              <w:rPr>
                <w:sz w:val="18"/>
                <w:szCs w:val="18"/>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up</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9"/>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(54,308)</w:t>
            </w:r>
          </w:p>
        </w:tc>
        <w:tc>
          <w:tcPr>
            <w:tcW w:w="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(36,622)</w:t>
            </w:r>
          </w:p>
        </w:tc>
        <w:tc>
          <w:tcPr>
            <w:tcW w:w="140" w:type="dxa"/>
            <w:vAlign w:val="bottom"/>
            <w:shd w:val="clear" w:color="auto" w:fill="CCEEFF"/>
          </w:tcPr>
          <w:p>
            <w:pPr>
              <w:spacing w:after="0"/>
              <w:rPr>
                <w:sz w:val="18"/>
                <w:szCs w:val="18"/>
                <w:color w:val="auto"/>
              </w:rPr>
            </w:pP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down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9"/>
          </w:tcPr>
          <w:p>
            <w:pPr>
              <w:jc w:val="right"/>
              <w:ind w:right="224"/>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18"/>
                <w:szCs w:val="18"/>
                <w:color w:val="auto"/>
              </w:rPr>
            </w:pPr>
          </w:p>
        </w:tc>
        <w:tc>
          <w:tcPr>
            <w:tcW w:w="86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(0.89)</w:t>
            </w:r>
          </w:p>
        </w:tc>
        <w:tc>
          <w:tcPr>
            <w:tcW w:w="140" w:type="dxa"/>
            <w:vAlign w:val="bottom"/>
          </w:tcPr>
          <w:p>
            <w:pPr>
              <w:spacing w:after="0"/>
              <w:rPr>
                <w:sz w:val="18"/>
                <w:szCs w:val="18"/>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down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9"/>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(0.89)</w:t>
            </w:r>
          </w:p>
        </w:tc>
        <w:tc>
          <w:tcPr>
            <w:tcW w:w="140" w:type="dxa"/>
            <w:vAlign w:val="bottom"/>
            <w:shd w:val="clear" w:color="auto" w:fill="CCEEFF"/>
          </w:tcPr>
          <w:p>
            <w:pPr>
              <w:spacing w:after="0"/>
              <w:rPr>
                <w:sz w:val="18"/>
                <w:szCs w:val="18"/>
                <w:color w:val="auto"/>
              </w:rPr>
            </w:pP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down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91"/>
        </w:trPr>
        <w:tc>
          <w:tcPr>
            <w:tcW w:w="4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10"/>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0"/>
                <w:szCs w:val="10"/>
                <w:b w:val="1"/>
                <w:bCs w:val="1"/>
                <w:color w:val="auto"/>
              </w:rPr>
              <w:t>(2)</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60" w:type="dxa"/>
            <w:vAlign w:val="bottom"/>
            <w:gridSpan w:val="4"/>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7"/>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1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44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Loss</w:t>
            </w: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(40,163)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2"/>
              </w:rPr>
              <w:t>up </w:t>
            </w: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8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72"/>
              </w:rPr>
              <w:t>up </w:t>
            </w:r>
          </w:p>
        </w:tc>
        <w:tc>
          <w:tcPr>
            <w:tcW w:w="40" w:type="dxa"/>
            <w:vAlign w:val="bottom"/>
          </w:tcPr>
          <w:p>
            <w:pPr>
              <w:spacing w:after="0"/>
              <w:rPr>
                <w:sz w:val="18"/>
                <w:szCs w:val="18"/>
                <w:color w:val="auto"/>
              </w:rPr>
            </w:pP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w:t>
            </w:r>
          </w:p>
        </w:tc>
        <w:tc>
          <w:tcPr>
            <w:tcW w:w="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down</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Loss per Common Share—Diluted</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tcPr>
          <w:p>
            <w:pPr>
              <w:spacing w:after="0"/>
              <w:rPr>
                <w:sz w:val="20"/>
                <w:szCs w:val="20"/>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down</w:t>
            </w:r>
          </w:p>
        </w:tc>
        <w:tc>
          <w:tcPr>
            <w:tcW w:w="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left="424" w:right="40" w:hanging="424"/>
        <w:spacing w:after="0" w:line="25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sale of the Foundry Services Group business and Fab 4 in Q3 2020, we provided transitional foundry services to the buyer for foundry products manufactured in our fabrication facility located in Gumi, Korea, known as “Fab 3” (“Transitional Fab 3 Foundry Services”). The contractual obligation to provide the Transitional Fab 3 Foundry Services ended August 31, 2023, and we have wound down these foundry services and begun to convert portions of the idle capacity to PAS products during the second half of 2024. Because these foundry services during the wind-down period have still been provided to the same buyer by us using our Fab 3 based on mutually agreed terms and conditions, we continued to report our revenue from providing these foundry services and related cost of sales within the Transitional Fab 3 Foundry Services line in our consolidated statement of operations until such wind down is completed. Management believes that disclosing revenue of Transitional Fab 3 Foundry Services separately from the standard products business allows investors to better understand the results of our core standard products MSS and PAS businesses.</w:t>
      </w:r>
    </w:p>
    <w:p>
      <w:pPr>
        <w:spacing w:after="0" w:line="6" w:lineRule="exact"/>
        <w:rPr>
          <w:rFonts w:ascii="Times New Roman" w:cs="Times New Roman" w:eastAsia="Times New Roman" w:hAnsi="Times New Roman"/>
          <w:sz w:val="18"/>
          <w:szCs w:val="18"/>
          <w:color w:val="auto"/>
        </w:rPr>
      </w:pPr>
    </w:p>
    <w:p>
      <w:pPr>
        <w:ind w:left="424" w:right="240" w:hanging="424"/>
        <w:spacing w:after="0" w:line="25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historical GAAP results to non-GAAP results is included in this press release. We define adjusted free cash flow as net cash provided by operating activities, adjusted for net foreign currency transaction gain or loss less capital expenditures.</w:t>
      </w:r>
    </w:p>
    <w:p>
      <w:pPr>
        <w:sectPr>
          <w:pgSz w:w="11900" w:h="16838" w:orient="portrait"/>
          <w:cols w:equalWidth="0" w:num="1">
            <w:col w:w="11024"/>
          </w:cols>
          <w:pgMar w:left="436" w:top="844"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Q1 and Full-year 2025 Financial Guidance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Q1 2025, the Company will become a pure-play Power company, with the display business classified as discontinued operations and reported separately from continuing operations, which will include PAS and Power IC business lines. While actual results may vary, Magnachip currently expects the following: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Q1 2025:</w:t>
      </w:r>
    </w:p>
    <w:p>
      <w:pPr>
        <w:spacing w:after="0" w:line="135" w:lineRule="exact"/>
        <w:rPr>
          <w:sz w:val="20"/>
          <w:szCs w:val="20"/>
          <w:color w:val="auto"/>
        </w:rPr>
      </w:pPr>
    </w:p>
    <w:p>
      <w:pPr>
        <w:ind w:left="960" w:right="20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(which includes Power discrete and Power IC businesses, and excludes our former Display business) to be in the range of $42 to $47 million, down 8.9% sequentially due primarily to seasonality, but up 11.5% year-over-year at the mid-point. This compares with equivalent revenue of $48.9 million in Q4 2024 and $39.9 million in Q1 2024.</w:t>
      </w:r>
    </w:p>
    <w:p>
      <w:pPr>
        <w:spacing w:after="0" w:line="81"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to be in the range of 18.5% to 20.5%, due to the seasonal sequential decline in revenue and the wind down of Transitional Foundry Services impacting fab utilization. This compares with equivalent gross profit margin of 23.2% in Q4 2024 and 17.6% in Q1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full-year 2025, which will set the stage to become a pure-play Power company, we currently expect:</w:t>
      </w:r>
    </w:p>
    <w:p>
      <w:pPr>
        <w:spacing w:after="0" w:line="135" w:lineRule="exact"/>
        <w:rPr>
          <w:sz w:val="20"/>
          <w:szCs w:val="20"/>
          <w:color w:val="auto"/>
        </w:rPr>
      </w:pPr>
    </w:p>
    <w:p>
      <w:pPr>
        <w:ind w:left="960" w:right="1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to grow mid-to-high single digit year-over-year as compared with equivalent revenue of $185.8 million in 2024.</w:t>
      </w:r>
    </w:p>
    <w:p>
      <w:pPr>
        <w:spacing w:after="0" w:line="67"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between 19.5% to 21.5%, reflecting the fact that we have completed the wind down of Transitional Foundry Services and new generation power products will just begin production in the second half 2025. The equivalent gross profit margin was 21.5% in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2024 Earnings Conference Call</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Magnachip will host a corresponding conference call at 8:30 a.m. ET on Wednesday, March 12, 2025,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t>
      </w:r>
      <w:r>
        <w:rPr>
          <w:rFonts w:ascii="Times New Roman" w:cs="Times New Roman" w:eastAsia="Times New Roman" w:hAnsi="Times New Roman"/>
          <w:sz w:val="18"/>
          <w:szCs w:val="18"/>
          <w:u w:val="single" w:color="auto"/>
          <w:color w:val="auto"/>
        </w:rPr>
        <w:t>www.magnachip.com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https://register.vevent.com/register/BIa6cd0a845f2f49d6b9ae30f6b3ef47d2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Sell-Side Analyst Briefing and Webcast</w:t>
      </w:r>
    </w:p>
    <w:p>
      <w:pPr>
        <w:spacing w:after="0" w:line="121" w:lineRule="exact"/>
        <w:rPr>
          <w:sz w:val="20"/>
          <w:szCs w:val="20"/>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Following the conference call, Magnachip will hold an in-person briefing for sell-side analysts in New York City at 10:15 a.m. ET on Wednesday, March 12, 2025. The session will be led by Chief Executive Officer YJ Kim, with Chief Financial Officer Shinyoung Park and other members of management also in attendance. The in person briefing is open to all sell-side analysts and will be webcast live. For further details, please contact steven@blueshirtgroup.co.</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 join the Analyst Briefing webcast, all participants must use the following link to complete the online registration process in advance. Upon registering, each participant will receive access details, including the dial-in numbers, a PIN number, and an email with detailed instructions to join the call.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Online registration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https://register.vevent.com/register/BIa603d2c4ff554592b500a20e6e1500d7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Information in this presentation regarding Magnachip’s forecasts, business outlook, expectations and beliefs are forward-looking statements within the meaning of the Private Securities Litigation Reform Act of 1995 that involve risks and uncertainties. All forward-looking statements included or incorporated by reference in this presentation, including expectations about estimated historical or future operating results and financial performance, outlook and business plans, including first quarter and full year 2025 revenue and gross profit margin expectations and longer term annualized revenue and gross profit margin targets, future growth and revenue opportunities from new and existing products and customers, the timing and extent of future revenue contributions by our products and businesses, and the impact of</w:t>
      </w:r>
    </w:p>
    <w:p>
      <w:pPr>
        <w:sectPr>
          <w:pgSz w:w="11900" w:h="16838" w:orient="portrait"/>
          <w:cols w:equalWidth="0" w:num="1">
            <w:col w:w="11000"/>
          </w:cols>
          <w:pgMar w:left="440" w:top="846" w:right="459" w:bottom="1440" w:gutter="0" w:footer="0" w:header="0"/>
        </w:sectPr>
      </w:pPr>
    </w:p>
    <w:bookmarkStart w:id="6" w:name="page7"/>
    <w:bookmarkEnd w:id="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market conditions associated with inflation and higher interest rates, geopolitical conflicts between Russia-Ukraine and between Israel-Hamas, sustained military action and conflict in the Red Sea, and trade tensions between the U.S. and China on Magnachip’s first quarter and full year 2025 revenue and future operating results, and the timing and extent of future revenue contributions by our products and businesses, are based upon information available to Magnachip as of the date of this presentation and the accompanying press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inflation, potential recessions or other deteriorations, economic instability or civil unrest; the geopolitical conflicts between Russia-Ukraine and between Israel-Hamas, sustained military action and conflict in the Red Sea, and trade tensions between the U.S., China and other countries, including the impact of tariff actions;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U.S. Securities and Exchange Commission (the “SEC”), including our Form 10-K filed on March 8, 2024,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semiconductor platform solutions for communication, Internet of Things (“IoT”), consumer, computing, industrial and automotive applications. The Company provides a broad range of standard products to customers worldwide. Magnachip, with about 45 years of operating history, owns a portfolio of approximately 1,000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C. Pelayo,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(360) 808-5154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steven@blueshirtgroup.co</w:t>
      </w:r>
    </w:p>
    <w:p>
      <w:pPr>
        <w:sectPr>
          <w:pgSz w:w="11900" w:h="16838" w:orient="portrait"/>
          <w:cols w:equalWidth="0" w:num="1">
            <w:col w:w="10980"/>
          </w:cols>
          <w:pgMar w:left="440" w:top="850" w:right="479" w:bottom="1440" w:gutter="0" w:footer="0" w:header="0"/>
        </w:sectPr>
      </w:pPr>
    </w:p>
    <w:bookmarkStart w:id="7" w:name="page8"/>
    <w:bookmarkEnd w:id="7"/>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sales—standard products business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60,744</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64,020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221,140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195,690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sales—transitional Fab 3 foundry services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10,597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34,361</w:t>
            </w:r>
          </w:p>
        </w:tc>
        <w:tc>
          <w:tcPr>
            <w:tcW w:w="0" w:type="dxa"/>
            <w:vAlign w:val="bottom"/>
          </w:tcPr>
          <w:p>
            <w:pPr>
              <w:spacing w:after="0"/>
              <w:rPr>
                <w:sz w:val="1"/>
                <w:szCs w:val="1"/>
                <w:color w:val="auto"/>
              </w:rPr>
            </w:pPr>
          </w:p>
        </w:tc>
      </w:tr>
      <w:tr>
        <w:trPr>
          <w:trHeight w:val="223"/>
        </w:trPr>
        <w:tc>
          <w:tcPr>
            <w:tcW w:w="4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66,460</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231,737</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sales—standard products business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48,400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168,008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143,762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sales—transitional Fab 3 foundry services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34,649</w:t>
            </w:r>
          </w:p>
        </w:tc>
        <w:tc>
          <w:tcPr>
            <w:tcW w:w="0" w:type="dxa"/>
            <w:vAlign w:val="bottom"/>
          </w:tcPr>
          <w:p>
            <w:pPr>
              <w:spacing w:after="0"/>
              <w:rPr>
                <w:sz w:val="1"/>
                <w:szCs w:val="1"/>
                <w:color w:val="auto"/>
              </w:rPr>
            </w:pPr>
          </w:p>
        </w:tc>
      </w:tr>
      <w:tr>
        <w:trPr>
          <w:trHeight w:val="230"/>
        </w:trPr>
        <w:tc>
          <w:tcPr>
            <w:tcW w:w="4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50,999</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179,822</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51,915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51,640</w:t>
            </w:r>
          </w:p>
        </w:tc>
        <w:tc>
          <w:tcPr>
            <w:tcW w:w="0" w:type="dxa"/>
            <w:vAlign w:val="bottom"/>
          </w:tcPr>
          <w:p>
            <w:pPr>
              <w:spacing w:after="0"/>
              <w:rPr>
                <w:sz w:val="1"/>
                <w:szCs w:val="1"/>
                <w:color w:val="auto"/>
              </w:rPr>
            </w:pPr>
          </w:p>
        </w:tc>
      </w:tr>
      <w:tr>
        <w:trPr>
          <w:trHeight w:val="198"/>
        </w:trPr>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profit as a percentage of standard products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net sales</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47,098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48,470</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14,373</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51,194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51,563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26,464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104,946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109,284</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(53,031)</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8,771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10,435</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(16,899)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(loss), net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 (benefit)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(62,643)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(47,559)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(10,835)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(10,937)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(16,277)</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(54,308)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(36,622)</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36,921,300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37,468,849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38,834,451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37,774,280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41,013,069</w:t>
            </w:r>
          </w:p>
        </w:tc>
        <w:tc>
          <w:tcPr>
            <w:tcW w:w="0" w:type="dxa"/>
            <w:vAlign w:val="bottom"/>
          </w:tcPr>
          <w:p>
            <w:pPr>
              <w:spacing w:after="0"/>
              <w:rPr>
                <w:sz w:val="1"/>
                <w:szCs w:val="1"/>
                <w:color w:val="auto"/>
              </w:rPr>
            </w:pPr>
          </w:p>
        </w:tc>
      </w:tr>
      <w:tr>
        <w:trPr>
          <w:trHeight w:val="234"/>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36,921,300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37,468,849</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38,834,451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37,774,280</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41,013,069</w:t>
            </w:r>
          </w:p>
        </w:tc>
        <w:tc>
          <w:tcPr>
            <w:tcW w:w="0" w:type="dxa"/>
            <w:vAlign w:val="bottom"/>
          </w:tcPr>
          <w:p>
            <w:pPr>
              <w:spacing w:after="0"/>
              <w:rPr>
                <w:sz w:val="1"/>
                <w:szCs w:val="1"/>
                <w:color w:val="auto"/>
              </w:rPr>
            </w:pPr>
          </w:p>
        </w:tc>
      </w:tr>
    </w:tbl>
    <w:p>
      <w:pPr>
        <w:sectPr>
          <w:pgSz w:w="11900" w:h="16838" w:orient="portrait"/>
          <w:cols w:equalWidth="0" w:num="1">
            <w:col w:w="11020"/>
          </w:cols>
          <w:pgMar w:left="440" w:top="846" w:right="439" w:bottom="1440" w:gutter="0" w:footer="0" w:header="0"/>
        </w:sectPr>
      </w:pPr>
    </w:p>
    <w:bookmarkStart w:id="8" w:name="page9"/>
    <w:bookmarkEnd w:id="8"/>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9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138,610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158,092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28,402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32,641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32,733</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10,379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7,390</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Hedge collateral</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9,283</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219,229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81,463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100,122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4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52,889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50,836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21,956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12,187</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420,491</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21,642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24,443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10,764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3,286</w:t>
            </w:r>
          </w:p>
        </w:tc>
        <w:tc>
          <w:tcPr>
            <w:tcW w:w="0" w:type="dxa"/>
            <w:vAlign w:val="bottom"/>
          </w:tcPr>
          <w:p>
            <w:pPr>
              <w:spacing w:after="0"/>
              <w:rPr>
                <w:sz w:val="1"/>
                <w:szCs w:val="1"/>
                <w:color w:val="auto"/>
              </w:rPr>
            </w:pPr>
          </w:p>
        </w:tc>
      </w:tr>
      <w:tr>
        <w:trPr>
          <w:trHeight w:val="230"/>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14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17,094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16,020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10,123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10,088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75,893</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57,498,507 shares issued and 36,912,118</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2024 and 56,971,394 shares issued and 38,852,742 outstanding at December 31,</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279,423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273,256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244,576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298,884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20,586,389 shares at December 31, 2024 and 18,118,652 shares at December 31, 2023, respectively</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(225,883)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(213,454)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(21,893)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(14,657)</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344,598</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379,316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84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3"/>
                <w:szCs w:val="13"/>
                <w:color w:val="auto"/>
              </w:rPr>
            </w:pPr>
          </w:p>
        </w:tc>
        <w:tc>
          <w:tcPr>
            <w:tcW w:w="12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(16,277)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(54,308)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(36,622)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3,990</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16,161</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16,684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3,468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8,020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foreign currency,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26,711</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32,851</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(reversal) for inventory reserves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2,121</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6,214</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7,223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charges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4,637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4,637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(10,145)</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(7,034)</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(13,405)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2,719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782</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(1,583)</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3,232</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8,877</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1,753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8,048</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(2,590)</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(1,971)</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(3,963)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(14,160)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(8,934)</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(1,161)</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(2,407)</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(1,445)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(2,522)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(5,122)</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(7,425)</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(11,600)</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(6,955)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2,382</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3,535</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(2,175)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(7,338)</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Collection of short-term financial instruments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short-term financial instruments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23,725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(11,672)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long-term borrowing</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30,059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(3,384)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(12,891)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(51,782)</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principal portion of finance lease liabilities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16,557</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(52,339)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(14,532)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(18,234)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(19,482)</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(67,385)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158,092</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225,477</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138,610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138,610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158,092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846"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183515</wp:posOffset>
            </wp:positionV>
            <wp:extent cx="1320165"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LOSS TO ADJUSTED OPERATING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180" w:type="dxa"/>
            <w:vAlign w:val="bottom"/>
          </w:tcPr>
          <w:p>
            <w:pPr>
              <w:spacing w:after="0"/>
              <w:rPr>
                <w:sz w:val="10"/>
                <w:szCs w:val="10"/>
                <w:color w:val="auto"/>
              </w:rPr>
            </w:pPr>
          </w:p>
        </w:tc>
        <w:tc>
          <w:tcPr>
            <w:tcW w:w="9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0"/>
                <w:szCs w:val="10"/>
                <w:color w:val="auto"/>
              </w:rPr>
            </w:pPr>
          </w:p>
        </w:tc>
        <w:tc>
          <w:tcPr>
            <w:tcW w:w="12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8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5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1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(57,644)</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1,977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6,214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7,223</w:t>
            </w: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6,654</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8,449</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(6,970)</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(9,026)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(14,095)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(40,163)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(41,170)</w:t>
            </w: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80" w:firstLine="440"/>
        <w:spacing w:after="0" w:line="312" w:lineRule="auto"/>
        <w:rPr>
          <w:sz w:val="20"/>
          <w:szCs w:val="20"/>
          <w:color w:val="auto"/>
        </w:rPr>
      </w:pPr>
      <w:r>
        <w:rPr>
          <w:rFonts w:ascii="Times New Roman" w:cs="Times New Roman" w:eastAsia="Times New Roman" w:hAnsi="Times New Roman"/>
          <w:sz w:val="17"/>
          <w:szCs w:val="17"/>
          <w:color w:val="auto"/>
        </w:rPr>
        <w:t>We present Adjusted Operating Loss as a supplemental measure of our performance. We define Adjusted Operating Loss for the periods indicated as operating loss adjusted to exclude (i) Equity-based compensation expense, (ii) Impairment and other charges and (iii) Early termination charges.</w:t>
      </w:r>
    </w:p>
    <w:p>
      <w:pPr>
        <w:spacing w:after="0" w:line="140"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recorded in our consolidated statement of operations $4,637 thousand of impairment loss primarily related to the tangible assets associated with our Display business. During the same period, we also recorded $2,017 thousand of one-time cumulative financial impact in connection with certain employee benefits.</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recorded in our consolidated statement of operations $8,449 thousand of termination related charges in connection with the voluntary resignation program that we offered to certain employees during the first quarter of 2023. During the same period, we also recorded $802 thousand of one-time employee incentives.</w:t>
      </w:r>
    </w:p>
    <w:p>
      <w:pPr>
        <w:sectPr>
          <w:pgSz w:w="11900" w:h="16838" w:orient="portrait"/>
          <w:cols w:equalWidth="0" w:num="1">
            <w:col w:w="11020"/>
          </w:cols>
          <w:pgMar w:left="440" w:top="846" w:right="43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183515</wp:posOffset>
            </wp:positionV>
            <wp:extent cx="1320165"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 AND ADJUSTED NET INCOME (LOSS)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20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(8,771)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16,161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16,684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(40,482)</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7,223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16,899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6,654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(2,635)</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(4,949)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(23,594)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7,223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16,899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6,654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8,449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effect on non-GAAP adjustments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per common share—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shares—basic</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36,921,300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8"/>
              </w:rPr>
              <w:t>37,468,849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8"/>
              </w:rPr>
              <w:t>38,834,451</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w w:val="96"/>
              </w:rPr>
              <w:t>37,774,280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6"/>
              </w:rPr>
              <w:t>41,013,069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shares—diluted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37,738,210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98"/>
              </w:rPr>
              <w:t>37,468,849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38,834,451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6"/>
              </w:rPr>
              <w:t>37,774,280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41,013,069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 w:right="140" w:firstLine="440"/>
        <w:spacing w:after="0" w:line="276" w:lineRule="auto"/>
        <w:rPr>
          <w:sz w:val="20"/>
          <w:szCs w:val="20"/>
          <w:color w:val="auto"/>
        </w:rPr>
      </w:pPr>
      <w:r>
        <w:rPr>
          <w:rFonts w:ascii="Times New Roman" w:cs="Times New Roman" w:eastAsia="Times New Roman" w:hAnsi="Times New Roman"/>
          <w:sz w:val="17"/>
          <w:szCs w:val="17"/>
          <w:color w:val="auto"/>
        </w:rPr>
        <w:t>We present Adjusted EBITDA and Adjusted Net Income (Loss) as supplemental measures of our performance. We define Adjusted EBITDA for the periods indicated as EBITDA (as defined below), adjusted to exclude (i) Equity-based compensation expense, (ii) Foreign currency loss (gain), net,</w:t>
      </w:r>
    </w:p>
    <w:p>
      <w:pPr>
        <w:spacing w:after="0" w:line="1" w:lineRule="exact"/>
        <w:rPr>
          <w:sz w:val="20"/>
          <w:szCs w:val="20"/>
          <w:color w:val="auto"/>
        </w:rPr>
      </w:pPr>
    </w:p>
    <w:p>
      <w:pPr>
        <w:ind w:left="4" w:right="400" w:hanging="4"/>
        <w:spacing w:after="0" w:line="260"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valuation loss (gain), net, (iv) Impairment and other charges and (v) Early termination charges. EBITDA for the periods indicated is defined as net loss before interest income, interest expense, income tax expense (benefit), net and depreciation and amortization.</w:t>
      </w:r>
    </w:p>
    <w:p>
      <w:pPr>
        <w:spacing w:after="0" w:line="181"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We prepare Adjusted Net Income (Loss) by adjusting net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loss, adjusted to exclude (i) Equity-based compensation expense, (ii) Foreign currency loss (gain), net,</w:t>
      </w:r>
    </w:p>
    <w:p>
      <w:pPr>
        <w:spacing w:after="0" w:line="3" w:lineRule="exact"/>
        <w:rPr>
          <w:sz w:val="20"/>
          <w:szCs w:val="20"/>
          <w:color w:val="auto"/>
        </w:rPr>
      </w:pPr>
    </w:p>
    <w:p>
      <w:pPr>
        <w:ind w:left="4" w:right="1480" w:hanging="4"/>
        <w:spacing w:after="0" w:line="260"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valuation loss (gain), net, (iv) Impairment and other charges, (v) Early termination charges and (vi) Income tax effect on non-GAAP adjustments.</w:t>
      </w:r>
    </w:p>
    <w:p>
      <w:pPr>
        <w:spacing w:after="0" w:line="181"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recorded in our consolidated statement of operations $4,637 thousand of impairment loss primarily related to the tangible assets associated with our Display business. During the same period, we also recorded $2,017 thousand of one-time cumulative financial impact in connection with certain employee benefits.</w:t>
      </w:r>
    </w:p>
    <w:p>
      <w:pPr>
        <w:spacing w:after="0" w:line="176"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recorded in our consolidated statement of operations $8,449 thousand of termination related charges in connection with the voluntary resignation program that we offered to certain employees during the first quarter of 2023. During the same period, we also recorded $802 thousand of one-time employee incentives.</w:t>
      </w:r>
    </w:p>
    <w:sectPr>
      <w:pgSz w:w="11900" w:h="16838" w:orient="portrait"/>
      <w:cols w:equalWidth="0" w:num="1">
        <w:col w:w="11024"/>
      </w:cols>
      <w:pgMar w:left="436" w:top="84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2025-03-12T06:10:33Z</dcterms:created>
  <dcterms:modified xsi:type="dcterms:W3CDTF">2025-03-12T06:10:33Z</dcterms:modified>
</cp:coreProperties>
</file>