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pPr>
      <w:hyperlink w:anchor="toc_page">
        <w:bookmarkStart w:id="0" w:name="mx-20260930.htm"/>
        <w:bookmarkStart w:id="1" w:name="ksmx20260930"/>
        <w:bookmarkEnd w:id="0"/>
        <w:bookmarkEnd w:id="1"/>
        <w:r>
          <w:rPr>
            <w:rStyle w:val="InternetLink"/>
            <w:rFonts w:ascii="Times New Roman" w:hAnsi="Times New Roman"/>
            <w:b/>
            <w:color w:val="0000FF"/>
            <w:sz w:val="20"/>
            <w:u w:val="single"/>
          </w:rPr>
          <w:t>Table of Contents</w:t>
        </w:r>
      </w:hyperlink>
    </w:p>
    <w:p>
      <w:pPr>
        <w:pStyle w:val="TextBody"/>
        <w:pBdr>
          <w:bottom w:val="double" w:sz="6" w:space="1" w:color="000000"/>
        </w:pBdr>
        <w:bidi w:val="0"/>
        <w:spacing w:lineRule="auto" w:line="273" w:before="20" w:after="283"/>
        <w:jc w:val="center"/>
      </w:pPr>
      <w:r>
        <w:t> </w:t>
      </w:r>
    </w:p>
    <w:p>
      <w:pPr>
        <w:pStyle w:val="TextBody"/>
        <w:bidi w:val="0"/>
        <w:spacing w:lineRule="auto" w:line="273" w:before="40" w:after="283"/>
        <w:jc w:val="center"/>
        <w:rPr>
          <w:rFonts w:ascii="Times New Roman" w:hAnsi="Times New Roman"/>
          <w:sz w:val="33"/>
        </w:rPr>
      </w:pPr>
      <w:r>
        <w:rPr>
          <w:rFonts w:ascii="Times New Roman" w:hAnsi="Times New Roman"/>
          <w:b/>
          <w:color w:val="000000"/>
          <w:sz w:val="33"/>
        </w:rPr>
        <w:t>UNITED STATES</w:t>
      </w:r>
      <w:r>
        <w:rPr>
          <w:rFonts w:ascii="Times New Roman" w:hAnsi="Times New Roman"/>
          <w:color w:val="000000"/>
          <w:sz w:val="33"/>
        </w:rPr>
        <w:t xml:space="preserve"> </w:t>
      </w:r>
    </w:p>
    <w:p>
      <w:pPr>
        <w:pStyle w:val="TextBody"/>
        <w:bidi w:val="0"/>
        <w:spacing w:lineRule="auto" w:line="273"/>
        <w:jc w:val="center"/>
        <w:rPr>
          <w:rFonts w:ascii="Times New Roman" w:hAnsi="Times New Roman"/>
          <w:sz w:val="33"/>
        </w:rPr>
      </w:pPr>
      <w:r>
        <w:rPr>
          <w:rFonts w:ascii="Times New Roman" w:hAnsi="Times New Roman"/>
          <w:b/>
          <w:color w:val="000000"/>
          <w:sz w:val="33"/>
        </w:rPr>
        <w:t>SECURITIES AND EXCHANGE COMMISSION</w:t>
      </w:r>
      <w:r>
        <w:rPr>
          <w:rFonts w:ascii="Times New Roman" w:hAnsi="Times New Roman"/>
          <w:color w:val="000000"/>
          <w:sz w:val="33"/>
        </w:rPr>
        <w:t xml:space="preserve"> </w:t>
      </w:r>
    </w:p>
    <w:p>
      <w:pPr>
        <w:pStyle w:val="TextBody"/>
        <w:bidi w:val="0"/>
        <w:spacing w:lineRule="auto" w:line="273"/>
        <w:jc w:val="center"/>
        <w:rPr>
          <w:rFonts w:ascii="Times New Roman" w:hAnsi="Times New Roman"/>
          <w:sz w:val="21"/>
        </w:rPr>
      </w:pPr>
      <w:r>
        <w:rPr>
          <w:rFonts w:ascii="Times New Roman" w:hAnsi="Times New Roman"/>
          <w:b/>
          <w:color w:val="000000"/>
          <w:sz w:val="21"/>
        </w:rPr>
        <w:t>Washington, D.C. 20549</w:t>
      </w:r>
      <w:r>
        <w:rPr>
          <w:rFonts w:ascii="Times New Roman" w:hAnsi="Times New Roman"/>
          <w:color w:val="000000"/>
          <w:sz w:val="21"/>
        </w:rPr>
        <w:t xml:space="preserve"> </w:t>
      </w:r>
    </w:p>
    <w:p>
      <w:pPr>
        <w:pStyle w:val="TextBody"/>
        <w:bidi w:val="0"/>
        <w:spacing w:lineRule="auto" w:line="273" w:before="40" w:after="283"/>
        <w:ind w:left="4320" w:right="4320" w:hanging="0"/>
        <w:jc w:val="center"/>
        <w:rPr>
          <w:rFonts w:ascii="Times New Roman" w:hAnsi="Times New Roman"/>
          <w:sz w:val="33"/>
        </w:rPr>
      </w:pPr>
      <w:r>
        <w:rPr>
          <w:rFonts w:ascii="Times New Roman" w:hAnsi="Times New Roman"/>
          <w:b/>
          <w:color w:val="000000"/>
          <w:sz w:val="33"/>
        </w:rPr>
        <w:t>FORM 10-Q</w:t>
      </w:r>
      <w:r>
        <w:rPr>
          <w:rFonts w:ascii="Times New Roman" w:hAnsi="Times New Roman"/>
          <w:color w:val="000000"/>
          <w:sz w:val="33"/>
        </w:rPr>
        <w:t xml:space="preserve"> </w:t>
      </w:r>
    </w:p>
    <w:p>
      <w:pPr>
        <w:pStyle w:val="TextBody"/>
        <w:bidi w:val="0"/>
        <w:spacing w:lineRule="auto" w:line="273"/>
        <w:ind w:left="4320" w:right="4320" w:hanging="0"/>
        <w:jc w:val="left"/>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1"/>
              </w:rPr>
            </w:pPr>
            <w:r>
              <w:rPr>
                <w:rFonts w:ascii="Times New Roman" w:hAnsi="Times New Roman"/>
                <w:b/>
                <w:color w:val="000000"/>
                <w:sz w:val="21"/>
              </w:rPr>
              <w:t>QUARTERLY REPORT PURSUANT TO SECTION 13 OR 15(d) OF THE SECURITIES EXCHANGE ACT OF 1934</w:t>
            </w:r>
            <w:r>
              <w:rPr>
                <w:rFonts w:ascii="Times New Roman" w:hAnsi="Times New Roman"/>
                <w:color w:val="000000"/>
                <w:sz w:val="21"/>
              </w:rPr>
              <w:t xml:space="preserve"> </w:t>
            </w:r>
          </w:p>
        </w:tc>
      </w:tr>
    </w:tbl>
    <w:p>
      <w:pPr>
        <w:pStyle w:val="TextBody"/>
        <w:bidi w:val="0"/>
        <w:spacing w:lineRule="auto" w:line="273"/>
        <w:jc w:val="left"/>
      </w:pPr>
      <w:r>
        <w:t> </w:t>
      </w:r>
    </w:p>
    <w:p>
      <w:pPr>
        <w:pStyle w:val="TextBody"/>
        <w:bidi w:val="0"/>
        <w:spacing w:lineRule="auto" w:line="273"/>
        <w:jc w:val="center"/>
        <w:rPr>
          <w:rFonts w:ascii="Times New Roman" w:hAnsi="Times New Roman"/>
          <w:sz w:val="17"/>
        </w:rPr>
      </w:pPr>
      <w:r>
        <w:rPr>
          <w:rFonts w:ascii="Times New Roman" w:hAnsi="Times New Roman"/>
          <w:b/>
          <w:color w:val="000000"/>
          <w:sz w:val="17"/>
        </w:rPr>
        <w:t>For the quarterly period ended September 30, 2026</w:t>
      </w:r>
      <w:r>
        <w:rPr>
          <w:rFonts w:ascii="Times New Roman" w:hAnsi="Times New Roman"/>
          <w:color w:val="000000"/>
          <w:sz w:val="17"/>
        </w:rPr>
        <w:t xml:space="preserve"> </w:t>
      </w:r>
    </w:p>
    <w:p>
      <w:pPr>
        <w:pStyle w:val="TextBody"/>
        <w:bidi w:val="0"/>
        <w:spacing w:lineRule="auto" w:line="273" w:before="40" w:after="283"/>
        <w:jc w:val="center"/>
        <w:rPr>
          <w:rFonts w:ascii="Times New Roman" w:hAnsi="Times New Roman"/>
          <w:sz w:val="17"/>
        </w:rPr>
      </w:pPr>
      <w:r>
        <w:rPr>
          <w:rFonts w:ascii="Times New Roman" w:hAnsi="Times New Roman"/>
          <w:b/>
          <w:color w:val="000000"/>
          <w:sz w:val="17"/>
        </w:rPr>
        <w:t>or</w:t>
      </w:r>
      <w:r>
        <w:rPr>
          <w:rFonts w:ascii="Times New Roman" w:hAnsi="Times New Roman"/>
          <w:color w:val="000000"/>
          <w:sz w:val="17"/>
        </w:rPr>
        <w:t xml:space="preserve"> </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1"/>
              </w:rPr>
            </w:pPr>
            <w:r>
              <w:rPr>
                <w:rFonts w:ascii="Times New Roman" w:hAnsi="Times New Roman"/>
                <w:b/>
                <w:color w:val="000000"/>
                <w:sz w:val="21"/>
              </w:rPr>
              <w:t>TRANSITION REPORT PURSUANT TO SECTION 13 OR 15(d) OF THE SECURITIES EXCHANGE ACT OF 1934</w:t>
            </w:r>
            <w:r>
              <w:rPr>
                <w:rFonts w:ascii="Times New Roman" w:hAnsi="Times New Roman"/>
                <w:color w:val="000000"/>
                <w:sz w:val="21"/>
              </w:rPr>
              <w:t xml:space="preserve"> </w:t>
            </w:r>
          </w:p>
        </w:tc>
      </w:tr>
    </w:tbl>
    <w:p>
      <w:pPr>
        <w:pStyle w:val="TextBody"/>
        <w:bidi w:val="0"/>
        <w:spacing w:lineRule="auto" w:line="273" w:before="40" w:after="283"/>
        <w:jc w:val="center"/>
        <w:rPr>
          <w:rFonts w:ascii="Times New Roman" w:hAnsi="Times New Roman"/>
          <w:sz w:val="17"/>
        </w:rPr>
      </w:pPr>
      <w:r>
        <w:rPr>
          <w:rFonts w:ascii="Times New Roman" w:hAnsi="Times New Roman"/>
          <w:b/>
          <w:color w:val="000000"/>
          <w:sz w:val="17"/>
        </w:rPr>
        <w:t>For the transition period from to .</w:t>
      </w:r>
      <w:r>
        <w:rPr>
          <w:rFonts w:ascii="Times New Roman" w:hAnsi="Times New Roman"/>
          <w:color w:val="000000"/>
          <w:sz w:val="17"/>
        </w:rPr>
        <w:t xml:space="preserve"> </w:t>
      </w:r>
    </w:p>
    <w:p>
      <w:pPr>
        <w:pStyle w:val="TextBody"/>
        <w:bidi w:val="0"/>
        <w:spacing w:lineRule="auto" w:line="273" w:before="40" w:after="283"/>
        <w:jc w:val="center"/>
        <w:rPr>
          <w:rFonts w:ascii="Times New Roman" w:hAnsi="Times New Roman"/>
          <w:sz w:val="17"/>
        </w:rPr>
      </w:pPr>
      <w:r>
        <w:rPr>
          <w:rFonts w:ascii="Times New Roman" w:hAnsi="Times New Roman"/>
          <w:b/>
          <w:color w:val="000000"/>
          <w:sz w:val="17"/>
        </w:rPr>
        <w:t>Commission File Number: 001-34791</w:t>
      </w:r>
      <w:r>
        <w:rPr>
          <w:rFonts w:ascii="Times New Roman" w:hAnsi="Times New Roman"/>
          <w:color w:val="000000"/>
          <w:sz w:val="17"/>
        </w:rPr>
        <w:t xml:space="preserve"> </w:t>
      </w:r>
    </w:p>
    <w:p>
      <w:pPr>
        <w:pStyle w:val="TextBody"/>
        <w:bidi w:val="0"/>
        <w:spacing w:lineRule="auto" w:line="273"/>
        <w:ind w:left="4320" w:right="4320" w:hanging="0"/>
        <w:jc w:val="left"/>
      </w:pPr>
      <w:r>
        <w:t> </w:t>
      </w:r>
    </w:p>
    <w:p>
      <w:pPr>
        <w:pStyle w:val="TextBody"/>
        <w:bidi w:val="0"/>
        <w:spacing w:lineRule="auto" w:line="273"/>
        <w:jc w:val="center"/>
      </w:pPr>
      <w:r>
        <w:drawing>
          <wp:inline distT="0" distB="0" distL="0" distR="0">
            <wp:extent cx="33147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14700" cy="704850"/>
                    </a:xfrm>
                    <a:prstGeom prst="rect">
                      <a:avLst/>
                    </a:prstGeom>
                  </pic:spPr>
                </pic:pic>
              </a:graphicData>
            </a:graphic>
          </wp:inline>
        </w:drawing>
      </w:r>
    </w:p>
    <w:p>
      <w:pPr>
        <w:pStyle w:val="TextBody"/>
        <w:bidi w:val="0"/>
        <w:spacing w:lineRule="auto" w:line="273"/>
        <w:jc w:val="center"/>
        <w:rPr>
          <w:rFonts w:ascii="Times New Roman" w:hAnsi="Times New Roman"/>
          <w:sz w:val="45"/>
        </w:rPr>
      </w:pPr>
      <w:r>
        <w:rPr>
          <w:rFonts w:ascii="Times New Roman" w:hAnsi="Times New Roman"/>
          <w:b/>
          <w:color w:val="000000"/>
          <w:sz w:val="45"/>
        </w:rPr>
        <w:t>Magnachip Semiconductor Corporation</w:t>
      </w:r>
      <w:r>
        <w:rPr>
          <w:rFonts w:ascii="Times New Roman" w:hAnsi="Times New Roman"/>
          <w:color w:val="000000"/>
          <w:sz w:val="45"/>
        </w:rPr>
        <w:t xml:space="preserve"> </w:t>
      </w:r>
    </w:p>
    <w:p>
      <w:pPr>
        <w:pStyle w:val="TextBody"/>
        <w:bidi w:val="0"/>
        <w:spacing w:lineRule="auto" w:line="273"/>
        <w:jc w:val="center"/>
        <w:rPr>
          <w:rFonts w:ascii="Times New Roman" w:hAnsi="Times New Roman"/>
          <w:sz w:val="17"/>
        </w:rPr>
      </w:pPr>
      <w:r>
        <w:rPr>
          <w:rFonts w:ascii="Times New Roman" w:hAnsi="Times New Roman"/>
          <w:b/>
          <w:color w:val="000000"/>
          <w:sz w:val="17"/>
        </w:rPr>
        <w:t>(Exact name of registrant as specified in its charter)</w:t>
      </w:r>
      <w:r>
        <w:rPr>
          <w:rFonts w:ascii="Times New Roman" w:hAnsi="Times New Roman"/>
          <w:color w:val="000000"/>
          <w:sz w:val="17"/>
        </w:rPr>
        <w:t xml:space="preserve"> </w:t>
      </w:r>
    </w:p>
    <w:p>
      <w:pPr>
        <w:pStyle w:val="TextBody"/>
        <w:bidi w:val="0"/>
        <w:spacing w:lineRule="auto" w:line="273"/>
        <w:ind w:left="4320" w:right="4320" w:hanging="0"/>
        <w:jc w:val="left"/>
      </w:pPr>
      <w:r>
        <w:t> </w:t>
      </w:r>
    </w:p>
    <w:tbl>
      <w:tblPr>
        <w:tblW w:w="3857" w:type="dxa"/>
        <w:jc w:val="left"/>
        <w:tblInd w:w="0" w:type="dxa"/>
        <w:tblLayout w:type="fixed"/>
        <w:tblCellMar>
          <w:top w:w="28" w:type="dxa"/>
          <w:left w:w="28" w:type="dxa"/>
          <w:bottom w:w="28" w:type="dxa"/>
          <w:right w:w="28" w:type="dxa"/>
        </w:tblCellMar>
      </w:tblPr>
      <w:tblGrid>
        <w:gridCol w:w="2371"/>
        <w:gridCol w:w="1486"/>
      </w:tblGrid>
      <w:t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c>
          <w:tcPr>
            <w:tcW w:w="23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Delaware</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83-0406195</w:t>
            </w:r>
          </w:p>
        </w:tc>
      </w:tr>
      <w:tr>
        <w:tc>
          <w:tcPr>
            <w:tcW w:w="237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lineRule="auto" w:line="252"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lineRule="auto" w:line="252"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lineRule="auto" w:line="273" w:before="40" w:after="283"/>
        <w:jc w:val="center"/>
        <w:rPr>
          <w:rFonts w:ascii="Times New Roman" w:hAnsi="Times New Roman"/>
          <w:sz w:val="16"/>
        </w:rPr>
      </w:pPr>
      <w:r>
        <w:rPr>
          <w:rFonts w:ascii="Times New Roman" w:hAnsi="Times New Roman"/>
          <w:b/>
          <w:color w:val="000000"/>
          <w:sz w:val="16"/>
        </w:rPr>
        <w:t>c/o Magnachip Semiconductor, Ltd.</w:t>
      </w:r>
      <w:r>
        <w:rPr>
          <w:rFonts w:ascii="Times New Roman" w:hAnsi="Times New Roman"/>
          <w:color w:val="000000"/>
          <w:sz w:val="16"/>
        </w:rPr>
        <w:t xml:space="preserve"> </w:t>
      </w:r>
    </w:p>
    <w:p>
      <w:pPr>
        <w:pStyle w:val="TextBody"/>
        <w:bidi w:val="0"/>
        <w:spacing w:lineRule="auto" w:line="273"/>
        <w:jc w:val="center"/>
        <w:rPr>
          <w:rFonts w:ascii="Times New Roman" w:hAnsi="Times New Roman"/>
          <w:sz w:val="16"/>
        </w:rPr>
      </w:pPr>
      <w:r>
        <w:rPr>
          <w:rFonts w:ascii="Times New Roman" w:hAnsi="Times New Roman"/>
          <w:b/>
          <w:color w:val="000000"/>
          <w:sz w:val="16"/>
        </w:rPr>
        <w:t>15F, 76 Jikji-daero 436beon-gil, Heungdeok-gu</w:t>
      </w:r>
      <w:r>
        <w:rPr>
          <w:rFonts w:ascii="Times New Roman" w:hAnsi="Times New Roman"/>
          <w:color w:val="000000"/>
          <w:sz w:val="16"/>
        </w:rPr>
        <w:t xml:space="preserve"> </w:t>
      </w:r>
    </w:p>
    <w:p>
      <w:pPr>
        <w:pStyle w:val="TextBody"/>
        <w:bidi w:val="0"/>
        <w:spacing w:lineRule="auto" w:line="273"/>
        <w:jc w:val="center"/>
        <w:rPr>
          <w:rFonts w:ascii="Times New Roman" w:hAnsi="Times New Roman"/>
          <w:sz w:val="16"/>
        </w:rPr>
      </w:pPr>
      <w:r>
        <w:rPr>
          <w:rFonts w:ascii="Times New Roman" w:hAnsi="Times New Roman"/>
          <w:b/>
          <w:color w:val="000000"/>
          <w:sz w:val="16"/>
        </w:rPr>
        <w:t>Cheongju-si, Chungcheongbuk-do, Republic of Korea</w:t>
      </w:r>
      <w:r>
        <w:rPr>
          <w:rFonts w:ascii="Times New Roman" w:hAnsi="Times New Roman"/>
          <w:color w:val="000000"/>
          <w:sz w:val="16"/>
        </w:rPr>
        <w:t xml:space="preserve"> </w:t>
      </w:r>
      <w:r>
        <w:rPr>
          <w:rFonts w:ascii="Times New Roman" w:hAnsi="Times New Roman"/>
          <w:b/>
          <w:color w:val="000000"/>
          <w:sz w:val="16"/>
        </w:rPr>
        <w:t>28581</w:t>
      </w:r>
      <w:r>
        <w:rPr>
          <w:rFonts w:ascii="Times New Roman" w:hAnsi="Times New Roman"/>
          <w:color w:val="000000"/>
          <w:sz w:val="16"/>
        </w:rPr>
        <w:t xml:space="preserve"> </w:t>
      </w:r>
    </w:p>
    <w:p>
      <w:pPr>
        <w:pStyle w:val="TextBody"/>
        <w:bidi w:val="0"/>
        <w:spacing w:lineRule="auto" w:line="273"/>
        <w:jc w:val="center"/>
        <w:rPr>
          <w:rFonts w:ascii="Times New Roman" w:hAnsi="Times New Roman"/>
          <w:sz w:val="16"/>
        </w:rPr>
      </w:pPr>
      <w:r>
        <w:rPr>
          <w:rFonts w:ascii="Times New Roman" w:hAnsi="Times New Roman"/>
          <w:b/>
          <w:color w:val="000000"/>
          <w:sz w:val="16"/>
        </w:rPr>
        <w:t>(Address of principal executive offices) (Zip Code)</w:t>
      </w:r>
      <w:r>
        <w:rPr>
          <w:rFonts w:ascii="Times New Roman" w:hAnsi="Times New Roman"/>
          <w:color w:val="000000"/>
          <w:sz w:val="16"/>
        </w:rPr>
        <w:t xml:space="preserve"> </w:t>
      </w:r>
    </w:p>
    <w:p>
      <w:pPr>
        <w:pStyle w:val="TextBody"/>
        <w:bidi w:val="0"/>
        <w:spacing w:lineRule="auto" w:line="273"/>
        <w:jc w:val="center"/>
        <w:rPr>
          <w:rFonts w:ascii="Times New Roman" w:hAnsi="Times New Roman"/>
          <w:sz w:val="16"/>
        </w:rPr>
      </w:pPr>
      <w:r>
        <w:rPr>
          <w:rFonts w:ascii="Times New Roman" w:hAnsi="Times New Roman"/>
          <w:b/>
          <w:color w:val="000000"/>
          <w:sz w:val="16"/>
        </w:rPr>
        <w:t>Registrant’s telephone number, including area code: +82</w:t>
      </w:r>
      <w:r>
        <w:rPr>
          <w:rFonts w:ascii="Times New Roman" w:hAnsi="Times New Roman"/>
          <w:color w:val="000000"/>
          <w:sz w:val="16"/>
        </w:rPr>
        <w:t xml:space="preserve"> </w:t>
      </w:r>
      <w:r>
        <w:rPr>
          <w:rFonts w:ascii="Times New Roman" w:hAnsi="Times New Roman"/>
          <w:b/>
          <w:color w:val="000000"/>
          <w:sz w:val="16"/>
        </w:rPr>
        <w:t>(2) 6903-3000</w:t>
      </w:r>
      <w:r>
        <w:rPr>
          <w:rFonts w:ascii="Times New Roman" w:hAnsi="Times New Roman"/>
          <w:color w:val="000000"/>
          <w:sz w:val="16"/>
        </w:rPr>
        <w:t xml:space="preserve"> </w:t>
      </w:r>
    </w:p>
    <w:p>
      <w:pPr>
        <w:pStyle w:val="TextBody"/>
        <w:bidi w:val="0"/>
        <w:spacing w:lineRule="auto" w:line="273" w:before="40" w:after="283"/>
        <w:ind w:left="4320" w:right="4320" w:hanging="0"/>
        <w:jc w:val="center"/>
        <w:rPr>
          <w:rFonts w:ascii="Times New Roman" w:hAnsi="Times New Roman"/>
          <w:sz w:val="16"/>
        </w:rPr>
      </w:pPr>
      <w:r>
        <w:rPr>
          <w:rFonts w:ascii="Times New Roman" w:hAnsi="Times New Roman"/>
          <w:b/>
          <w:color w:val="000000"/>
          <w:sz w:val="16"/>
        </w:rPr>
        <w:t>Securities registered pursuant to Section 12(b) of the Act:</w:t>
      </w:r>
      <w:r>
        <w:rPr>
          <w:rFonts w:ascii="Times New Roman" w:hAnsi="Times New Roman"/>
          <w:color w:val="000000"/>
          <w:sz w:val="16"/>
        </w:rPr>
        <w:t xml:space="preserve"> </w:t>
      </w:r>
    </w:p>
    <w:p>
      <w:pPr>
        <w:pStyle w:val="TextBody"/>
        <w:bidi w:val="0"/>
        <w:spacing w:lineRule="auto" w:line="273"/>
        <w:jc w:val="left"/>
      </w:pPr>
      <w:r>
        <w:t> </w:t>
      </w:r>
    </w:p>
    <w:tbl>
      <w:tblPr>
        <w:tblW w:w="6093" w:type="dxa"/>
        <w:jc w:val="left"/>
        <w:tblInd w:w="0" w:type="dxa"/>
        <w:tblLayout w:type="fixed"/>
        <w:tblCellMar>
          <w:top w:w="28" w:type="dxa"/>
          <w:left w:w="28" w:type="dxa"/>
          <w:bottom w:w="28" w:type="dxa"/>
          <w:right w:w="28" w:type="dxa"/>
        </w:tblCellMar>
      </w:tblPr>
      <w:tblGrid>
        <w:gridCol w:w="3181"/>
        <w:gridCol w:w="826"/>
        <w:gridCol w:w="2086"/>
      </w:tblGrid>
      <w:tr>
        <w:tc>
          <w:tcPr>
            <w:tcW w:w="318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2086" w:type="dxa"/>
            <w:tcBorders/>
            <w:shd w:fill="FFFFFF" w:val="clear"/>
            <w:vAlign w:val="center"/>
          </w:tcPr>
          <w:p>
            <w:pPr>
              <w:pStyle w:val="TableContents"/>
              <w:bidi w:val="0"/>
              <w:spacing w:before="0" w:after="283"/>
              <w:jc w:val="left"/>
              <w:rPr>
                <w:sz w:val="4"/>
                <w:szCs w:val="4"/>
              </w:rPr>
            </w:pPr>
            <w:r>
              <w:rPr>
                <w:sz w:val="4"/>
                <w:szCs w:val="4"/>
              </w:rPr>
            </w:r>
          </w:p>
        </w:tc>
      </w:tr>
      <w:tr>
        <w:tc>
          <w:tcPr>
            <w:tcW w:w="318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Symbol(s)</w:t>
            </w:r>
          </w:p>
        </w:tc>
        <w:tc>
          <w:tcPr>
            <w:tcW w:w="208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on which registered</w:t>
            </w:r>
          </w:p>
        </w:tc>
      </w:tr>
      <w:tr>
        <w:tc>
          <w:tcPr>
            <w:tcW w:w="318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Common Stock, par value $0.01 per share</w:t>
            </w:r>
          </w:p>
        </w:tc>
        <w:tc>
          <w:tcPr>
            <w:tcW w:w="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MX</w:t>
            </w:r>
          </w:p>
        </w:tc>
        <w:tc>
          <w:tcPr>
            <w:tcW w:w="20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7"/>
              </w:rPr>
            </w:pPr>
            <w:r>
              <w:rPr>
                <w:rFonts w:ascii="Times New Roman" w:hAnsi="Times New Roman"/>
                <w:b/>
                <w:color w:val="000000"/>
                <w:sz w:val="17"/>
              </w:rPr>
              <w:t>New York Stock Exchange</w:t>
            </w:r>
          </w:p>
        </w:tc>
      </w:tr>
    </w:tbl>
    <w:p>
      <w:pPr>
        <w:pStyle w:val="TextBody"/>
        <w:pBdr>
          <w:top w:val="single" w:sz="8" w:space="1" w:color="000000"/>
        </w:pBdr>
        <w:bidi w:val="0"/>
        <w:spacing w:lineRule="atLeast" w:line="142" w:before="40" w:after="283"/>
        <w:ind w:left="4320" w:right="4320" w:hanging="0"/>
        <w:jc w:val="center"/>
      </w:pPr>
      <w:r>
        <w:t> </w:t>
      </w:r>
    </w:p>
    <w:p>
      <w:pPr>
        <w:pStyle w:val="TextBody"/>
        <w:bidi w:val="0"/>
        <w:spacing w:lineRule="auto" w:line="273"/>
        <w:ind w:left="0" w:right="0" w:firstLine="490"/>
        <w:jc w:val="left"/>
        <w:rPr>
          <w:rFonts w:ascii="Times New Roman" w:hAnsi="Times New Roman"/>
          <w:color w:val="000000"/>
          <w:sz w:val="17"/>
        </w:rPr>
      </w:pPr>
      <w:r>
        <w:rPr>
          <w:rFonts w:ascii="Times New Roman" w:hAnsi="Times New Roman"/>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lineRule="auto" w:line="273" w:before="40" w:after="283"/>
        <w:ind w:left="0" w:right="0" w:firstLine="490"/>
        <w:jc w:val="left"/>
        <w:rPr>
          <w:rFonts w:ascii="Times New Roman" w:hAnsi="Times New Roman"/>
          <w:color w:val="000000"/>
          <w:sz w:val="17"/>
        </w:rPr>
      </w:pPr>
      <w:r>
        <w:rPr>
          <w:rFonts w:ascii="Times New Roman" w:hAnsi="Times New Roman"/>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spacing w:lineRule="auto" w:line="273" w:before="40" w:after="283"/>
        <w:ind w:left="0" w:right="0" w:firstLine="490"/>
        <w:jc w:val="left"/>
        <w:rPr>
          <w:rFonts w:ascii="Times New Roman" w:hAnsi="Times New Roman"/>
          <w:color w:val="000000"/>
          <w:sz w:val="17"/>
        </w:rPr>
      </w:pPr>
      <w:r>
        <w:rPr>
          <w:rFonts w:ascii="Times New Roman" w:hAnsi="Times New Roman"/>
          <w:color w:val="000000"/>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6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bl>
    <w:p>
      <w:pPr>
        <w:pStyle w:val="TextBody"/>
        <w:bidi w:val="0"/>
        <w:spacing w:lineRule="auto" w:line="273" w:before="40" w:after="283"/>
        <w:ind w:left="0" w:right="0" w:firstLine="490"/>
        <w:jc w:val="left"/>
        <w:rPr>
          <w:rFonts w:ascii="Times New Roman" w:hAnsi="Times New Roman"/>
          <w:color w:val="000000"/>
          <w:sz w:val="17"/>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73" w:before="40" w:after="283"/>
        <w:ind w:left="0" w:right="0" w:firstLine="490"/>
        <w:jc w:val="left"/>
        <w:rPr>
          <w:rFonts w:ascii="Times New Roman" w:hAnsi="Times New Roman"/>
          <w:color w:val="000000"/>
          <w:sz w:val="17"/>
        </w:rPr>
      </w:pPr>
      <w:r>
        <w:rPr>
          <w:rFonts w:ascii="Times New Roman" w:hAnsi="Times New Roman"/>
          <w:color w:val="000000"/>
          <w:sz w:val="17"/>
        </w:rPr>
        <w:t xml:space="preserve">Indicate by check mark whether the registrant is a shell company (as defined in Rule 12b-2 of the Exchange Act). ☐ Yes ☒ No </w:t>
      </w:r>
    </w:p>
    <w:p>
      <w:pPr>
        <w:pStyle w:val="TextBody"/>
        <w:bidi w:val="0"/>
        <w:spacing w:lineRule="auto" w:line="273" w:before="40" w:after="283"/>
        <w:ind w:left="0" w:right="0" w:firstLine="490"/>
        <w:jc w:val="left"/>
        <w:rPr>
          <w:rFonts w:ascii="Times New Roman" w:hAnsi="Times New Roman"/>
          <w:color w:val="000000"/>
          <w:sz w:val="17"/>
        </w:rPr>
      </w:pPr>
      <w:r>
        <w:rPr>
          <w:rFonts w:ascii="Times New Roman" w:hAnsi="Times New Roman"/>
          <w:color w:val="000000"/>
          <w:sz w:val="17"/>
        </w:rPr>
        <w:t xml:space="preserve">As of October 31, 2026, the registrant had 38,051,179 shares of common stock outstanding. </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2" w:name="toc_page"/>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886"/>
        <w:gridCol w:w="8237"/>
        <w:gridCol w:w="1082"/>
      </w:tblGrid>
      <w:tr>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8237" w:type="dxa"/>
            <w:tcBorders/>
            <w:shd w:fill="FFFFFF" w:val="clear"/>
            <w:vAlign w:val="center"/>
          </w:tcPr>
          <w:p>
            <w:pPr>
              <w:pStyle w:val="TableContents"/>
              <w:bidi w:val="0"/>
              <w:spacing w:before="0" w:after="283"/>
              <w:jc w:val="left"/>
              <w:rPr>
                <w:sz w:val="4"/>
                <w:szCs w:val="4"/>
              </w:rPr>
            </w:pPr>
            <w:r>
              <w:rPr>
                <w:sz w:val="4"/>
                <w:szCs w:val="4"/>
              </w:rPr>
            </w:r>
          </w:p>
        </w:tc>
        <w:tc>
          <w:tcPr>
            <w:tcW w:w="1082" w:type="dxa"/>
            <w:tcBorders/>
            <w:shd w:fill="FFFFFF" w:val="clear"/>
            <w:vAlign w:val="center"/>
          </w:tcPr>
          <w:p>
            <w:pPr>
              <w:pStyle w:val="TableContents"/>
              <w:bidi w:val="0"/>
              <w:spacing w:before="0" w:after="283"/>
              <w:jc w:val="left"/>
              <w:rPr>
                <w:sz w:val="4"/>
                <w:szCs w:val="4"/>
              </w:rPr>
            </w:pPr>
            <w:r>
              <w:rPr>
                <w:sz w:val="4"/>
                <w:szCs w:val="4"/>
              </w:rPr>
            </w:r>
          </w:p>
        </w:tc>
      </w:tr>
      <w:t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sz w:val="16"/>
              </w:rPr>
            </w:pPr>
            <w:r>
              <w:rPr>
                <w:rFonts w:ascii="Times New Roman" w:hAnsi="Times New Roman"/>
                <w:b/>
                <w:color w:val="000000"/>
                <w:sz w:val="16"/>
              </w:rPr>
              <w:t>Page No.</w:t>
            </w:r>
            <w:r>
              <w:rPr>
                <w:rFonts w:ascii="Times New Roman" w:hAnsi="Times New Roman"/>
                <w:color w:val="000000"/>
                <w:sz w:val="16"/>
              </w:rPr>
              <w:t xml:space="preserve"> </w:t>
            </w:r>
          </w:p>
          <w:p>
            <w:pPr>
              <w:pStyle w:val="TableContents"/>
              <w:bidi w:val="0"/>
              <w:spacing w:lineRule="auto" w:line="252" w:before="0" w:after="283"/>
              <w:ind w:left="0" w:right="0" w:firstLine="240"/>
              <w:jc w:val="center"/>
            </w:pPr>
            <w:r>
              <w:t> </w:t>
            </w:r>
          </w:p>
        </w:tc>
      </w:tr>
      <w:tr>
        <w:tc>
          <w:tcPr>
            <w:tcW w:w="9123" w:type="dxa"/>
            <w:gridSpan w:val="2"/>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part_i_financial_information">
              <w:r>
                <w:rPr>
                  <w:rStyle w:val="InternetLink"/>
                  <w:rFonts w:ascii="Times New Roman" w:hAnsi="Times New Roman"/>
                  <w:color w:val="0000FF"/>
                  <w:sz w:val="20"/>
                  <w:u w:val="single"/>
                </w:rPr>
                <w:t>PART I FINANCIAL INFORMATION</w:t>
              </w:r>
            </w:hyperlink>
            <w:hyperlink w:anchor="part_i_financial_information">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3</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item_1_interim_cons_financial_stmt_unaud">
              <w:r>
                <w:rPr>
                  <w:rStyle w:val="InternetLink"/>
                  <w:rFonts w:ascii="Times New Roman" w:hAnsi="Times New Roman"/>
                  <w:color w:val="0000FF"/>
                  <w:sz w:val="20"/>
                  <w:u w:val="single"/>
                </w:rPr>
                <w:t>Interim Consolidated Financial Statements (Unaudited)</w:t>
              </w:r>
            </w:hyperlink>
            <w:hyperlink w:anchor="item_1_interim_cons_financial_stmt_unaud">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w:t>
            </w:r>
          </w:p>
        </w:tc>
      </w:tr>
      <w:tr>
        <w:tc>
          <w:tcPr>
            <w:tcW w:w="886" w:type="dxa"/>
            <w:tcBorders/>
            <w:tcMar>
              <w:top w:w="0" w:type="dxa"/>
              <w:left w:w="0" w:type="dxa"/>
              <w:bottom w:w="0" w:type="dxa"/>
              <w:right w:w="0" w:type="dxa"/>
            </w:tcMar>
            <w:vAlign w:val="center"/>
          </w:tcPr>
          <w:p>
            <w:pPr>
              <w:pStyle w:val="TableContents"/>
              <w:bidi w:val="0"/>
              <w:spacing w:lineRule="atLeast" w:line="142" w:before="0" w:after="283"/>
              <w:ind w:left="0" w:right="0" w:firstLine="240"/>
              <w:jc w:val="left"/>
            </w:pPr>
            <w:r>
              <w:t> </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consolidated_balance_sheets">
              <w:r>
                <w:rPr>
                  <w:rStyle w:val="InternetLink"/>
                  <w:rFonts w:ascii="Times New Roman" w:hAnsi="Times New Roman"/>
                  <w:color w:val="0000FF"/>
                  <w:sz w:val="20"/>
                  <w:u w:val="single"/>
                </w:rPr>
                <w:t>Magnachip Semiconductor Corporation and Subsidiaries Consolidated Balance Sheets as of September 30, 2026 and December 31,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w:t>
            </w:r>
          </w:p>
        </w:tc>
      </w:tr>
      <w:tr>
        <w:tc>
          <w:tcPr>
            <w:tcW w:w="886" w:type="dxa"/>
            <w:tcBorders/>
            <w:tcMar>
              <w:top w:w="0" w:type="dxa"/>
              <w:left w:w="0" w:type="dxa"/>
              <w:bottom w:w="0" w:type="dxa"/>
              <w:right w:w="0" w:type="dxa"/>
            </w:tcMar>
            <w:vAlign w:val="center"/>
          </w:tcPr>
          <w:p>
            <w:pPr>
              <w:pStyle w:val="TableContents"/>
              <w:bidi w:val="0"/>
              <w:spacing w:lineRule="atLeast" w:line="142" w:before="0" w:after="283"/>
              <w:ind w:left="0" w:right="0" w:firstLine="240"/>
              <w:jc w:val="left"/>
            </w:pPr>
            <w:r>
              <w:t> </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consolidated_statements_of_operations">
              <w:r>
                <w:rPr>
                  <w:rStyle w:val="InternetLink"/>
                  <w:rFonts w:ascii="Times New Roman" w:hAnsi="Times New Roman"/>
                  <w:color w:val="0000FF"/>
                  <w:sz w:val="20"/>
                  <w:u w:val="single"/>
                </w:rPr>
                <w:t>Magnachip Semiconductor Corporation and Subsidiaries Consolidated Statements of Operations for the Three and Nine Months Ended September 30, 2026 and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4</w:t>
            </w:r>
          </w:p>
        </w:tc>
      </w:tr>
      <w:tr>
        <w:tc>
          <w:tcPr>
            <w:tcW w:w="886" w:type="dxa"/>
            <w:tcBorders/>
            <w:tcMar>
              <w:top w:w="0" w:type="dxa"/>
              <w:left w:w="0" w:type="dxa"/>
              <w:bottom w:w="0" w:type="dxa"/>
              <w:right w:w="0" w:type="dxa"/>
            </w:tcMar>
            <w:vAlign w:val="center"/>
          </w:tcPr>
          <w:p>
            <w:pPr>
              <w:pStyle w:val="TableContents"/>
              <w:bidi w:val="0"/>
              <w:spacing w:lineRule="atLeast" w:line="142" w:before="0" w:after="283"/>
              <w:ind w:left="0" w:right="0" w:firstLine="240"/>
              <w:jc w:val="left"/>
            </w:pPr>
            <w:r>
              <w:t> </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consolidated_stmts_of_comprehensive_loss">
              <w:r>
                <w:rPr>
                  <w:rStyle w:val="InternetLink"/>
                  <w:rFonts w:ascii="Times New Roman" w:hAnsi="Times New Roman"/>
                  <w:color w:val="0000FF"/>
                  <w:sz w:val="20"/>
                  <w:u w:val="single"/>
                </w:rPr>
                <w:t>Magnachip Semiconductor Corporation and Subsidiaries Consolidated Statements of Comprehensive Income (Loss) for the Three and Nine Months Ended September 30, 2026 and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5</w:t>
            </w:r>
          </w:p>
        </w:tc>
      </w:tr>
      <w:tr>
        <w:tc>
          <w:tcPr>
            <w:tcW w:w="886" w:type="dxa"/>
            <w:tcBorders/>
            <w:tcMar>
              <w:top w:w="0" w:type="dxa"/>
              <w:left w:w="0" w:type="dxa"/>
              <w:bottom w:w="0" w:type="dxa"/>
              <w:right w:w="0" w:type="dxa"/>
            </w:tcMar>
            <w:vAlign w:val="center"/>
          </w:tcPr>
          <w:p>
            <w:pPr>
              <w:pStyle w:val="TableContents"/>
              <w:bidi w:val="0"/>
              <w:spacing w:lineRule="atLeast" w:line="142" w:before="0" w:after="283"/>
              <w:ind w:left="0" w:right="0" w:firstLine="240"/>
              <w:jc w:val="left"/>
            </w:pPr>
            <w:r>
              <w:t> </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con_stmt_of_change_in_stockholder_equity">
              <w:r>
                <w:rPr>
                  <w:rStyle w:val="InternetLink"/>
                  <w:rFonts w:ascii="Times New Roman" w:hAnsi="Times New Roman"/>
                  <w:color w:val="0000FF"/>
                  <w:sz w:val="20"/>
                  <w:u w:val="single"/>
                </w:rPr>
                <w:t>Magnachip Semiconductor Corporation and Subsidiaries Consolidated Statements of Changes in Stockholders’ Equity for the Three and Nine Months Ended September 30, 2026 and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6</w:t>
            </w:r>
          </w:p>
        </w:tc>
      </w:tr>
      <w:tr>
        <w:tc>
          <w:tcPr>
            <w:tcW w:w="886" w:type="dxa"/>
            <w:tcBorders/>
            <w:tcMar>
              <w:top w:w="0" w:type="dxa"/>
              <w:left w:w="0" w:type="dxa"/>
              <w:bottom w:w="0" w:type="dxa"/>
              <w:right w:w="0" w:type="dxa"/>
            </w:tcMar>
            <w:vAlign w:val="center"/>
          </w:tcPr>
          <w:p>
            <w:pPr>
              <w:pStyle w:val="TableContents"/>
              <w:bidi w:val="0"/>
              <w:spacing w:lineRule="atLeast" w:line="142" w:before="0" w:after="283"/>
              <w:ind w:left="0" w:right="0" w:firstLine="240"/>
              <w:jc w:val="left"/>
            </w:pPr>
            <w:r>
              <w:t> </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consolidated_statements_of_cash_flows">
              <w:r>
                <w:rPr>
                  <w:rStyle w:val="InternetLink"/>
                  <w:rFonts w:ascii="Times New Roman" w:hAnsi="Times New Roman"/>
                  <w:color w:val="0000FF"/>
                  <w:sz w:val="20"/>
                  <w:u w:val="single"/>
                </w:rPr>
                <w:t>Magnachip Semiconductor Corporation and Subsidiaries Consolidated Statements of Cash Flows for the Nine Months Ended September 30, 2026 and 2025</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7</w:t>
            </w:r>
          </w:p>
        </w:tc>
      </w:tr>
      <w:tr>
        <w:tc>
          <w:tcPr>
            <w:tcW w:w="886" w:type="dxa"/>
            <w:tcBorders/>
            <w:tcMar>
              <w:top w:w="0" w:type="dxa"/>
              <w:left w:w="0" w:type="dxa"/>
              <w:bottom w:w="0" w:type="dxa"/>
              <w:right w:w="0" w:type="dxa"/>
            </w:tcMar>
            <w:vAlign w:val="center"/>
          </w:tcPr>
          <w:p>
            <w:pPr>
              <w:pStyle w:val="TableContents"/>
              <w:bidi w:val="0"/>
              <w:spacing w:lineRule="atLeast" w:line="142" w:before="0" w:after="283"/>
              <w:ind w:left="0" w:right="0" w:firstLine="240"/>
              <w:jc w:val="left"/>
            </w:pPr>
            <w:r>
              <w:t> </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notes_to_consolidated_financial_stmt">
              <w:r>
                <w:rPr>
                  <w:rStyle w:val="InternetLink"/>
                  <w:rFonts w:ascii="Times New Roman" w:hAnsi="Times New Roman"/>
                  <w:color w:val="0000FF"/>
                  <w:sz w:val="20"/>
                  <w:u w:val="single"/>
                </w:rPr>
                <w:t>Magnachip Semiconductor Corporation and Subsidiaries Notes to Consolidated Financial Statements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8</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25</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480" w:right="0" w:hanging="240"/>
              <w:jc w:val="left"/>
              <w:rPr>
                <w:rFonts w:ascii="Times New Roman" w:hAnsi="Times New Roman"/>
                <w:color w:val="000000"/>
                <w:sz w:val="20"/>
              </w:rPr>
            </w:pPr>
            <w:r>
              <w:rPr>
                <w:rFonts w:ascii="Times New Roman" w:hAnsi="Times New Roman"/>
                <w:color w:val="000000"/>
                <w:sz w:val="20"/>
              </w:rPr>
              <w:t>Item 3.</w:t>
            </w:r>
          </w:p>
        </w:tc>
        <w:tc>
          <w:tcPr>
            <w:tcW w:w="8237" w:type="dxa"/>
            <w:tcBorders/>
            <w:tcMar>
              <w:top w:w="0" w:type="dxa"/>
              <w:left w:w="0" w:type="dxa"/>
              <w:bottom w:w="0" w:type="dxa"/>
              <w:right w:w="0" w:type="dxa"/>
            </w:tcMar>
            <w:vAlign w:val="center"/>
          </w:tcPr>
          <w:p>
            <w:pPr>
              <w:pStyle w:val="TableContents"/>
              <w:bidi w:val="0"/>
              <w:spacing w:lineRule="auto" w:line="252" w:before="0" w:after="283"/>
              <w:jc w:val="left"/>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controls_and_procedures">
              <w:r>
                <w:rPr>
                  <w:rStyle w:val="InternetLink"/>
                  <w:rFonts w:ascii="Times New Roman" w:hAnsi="Times New Roman"/>
                  <w:color w:val="0000FF"/>
                  <w:sz w:val="20"/>
                  <w:u w:val="single"/>
                </w:rPr>
                <w:t>Controls and Procedures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240"/>
              <w:jc w:val="right"/>
              <w:rPr>
                <w:rFonts w:ascii="Times New Roman" w:hAnsi="Times New Roman"/>
                <w:color w:val="000000"/>
                <w:sz w:val="20"/>
              </w:rPr>
            </w:pPr>
            <w:r>
              <w:rPr>
                <w:rFonts w:ascii="Times New Roman" w:hAnsi="Times New Roman"/>
                <w:color w:val="000000"/>
                <w:sz w:val="20"/>
              </w:rPr>
              <w:t>46</w:t>
            </w:r>
          </w:p>
        </w:tc>
      </w:tr>
      <w:tr>
        <w:tc>
          <w:tcPr>
            <w:tcW w:w="9123" w:type="dxa"/>
            <w:gridSpan w:val="2"/>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part_ii_other_information">
              <w:r>
                <w:rPr>
                  <w:rStyle w:val="InternetLink"/>
                  <w:rFonts w:ascii="Times New Roman" w:hAnsi="Times New Roman"/>
                  <w:color w:val="0000FF"/>
                  <w:sz w:val="20"/>
                  <w:u w:val="single"/>
                </w:rPr>
                <w:t>PART II OTHER INFORMATION</w:t>
              </w:r>
            </w:hyperlink>
            <w:hyperlink w:anchor="part_ii_other_information">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47</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item_1_legal_proceedings">
              <w:r>
                <w:rPr>
                  <w:rStyle w:val="InternetLink"/>
                  <w:rFonts w:ascii="Times New Roman" w:hAnsi="Times New Roman"/>
                  <w:color w:val="0000FF"/>
                  <w:sz w:val="20"/>
                  <w:u w:val="single"/>
                </w:rPr>
                <w:t>Legal Proceedings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47</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item_1a_risk_factors">
              <w:r>
                <w:rPr>
                  <w:rStyle w:val="InternetLink"/>
                  <w:rFonts w:ascii="Times New Roman" w:hAnsi="Times New Roman"/>
                  <w:color w:val="0000FF"/>
                  <w:sz w:val="20"/>
                  <w:u w:val="single"/>
                </w:rPr>
                <w:t>Risk Factors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47</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unreg_sale_of_equity_sec_and_use_of_proc">
              <w:r>
                <w:rPr>
                  <w:rStyle w:val="InternetLink"/>
                  <w:rFonts w:ascii="Times New Roman" w:hAnsi="Times New Roman"/>
                  <w:color w:val="0000FF"/>
                  <w:sz w:val="20"/>
                  <w:u w:val="single"/>
                </w:rPr>
                <w:t>Unregistered Sales of Equity Securities and Use of Proceeds</w:t>
              </w:r>
            </w:hyperlink>
            <w:hyperlink w:anchor="unreg_sale_of_equity_sec_and_use_of_proc">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47</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defaults_upon_senior_securities">
              <w:r>
                <w:rPr>
                  <w:rStyle w:val="InternetLink"/>
                  <w:rFonts w:ascii="Times New Roman" w:hAnsi="Times New Roman"/>
                  <w:color w:val="0000FF"/>
                  <w:sz w:val="20"/>
                  <w:u w:val="single"/>
                </w:rPr>
                <w:t>Defaults Upon Senior Securities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47</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mine_safety_disclosures">
              <w:r>
                <w:rPr>
                  <w:rStyle w:val="InternetLink"/>
                  <w:rFonts w:ascii="Times New Roman" w:hAnsi="Times New Roman"/>
                  <w:color w:val="0000FF"/>
                  <w:sz w:val="20"/>
                  <w:u w:val="single"/>
                </w:rPr>
                <w:t>Mine Safety Disclosures</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47</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other_information">
              <w:r>
                <w:rPr>
                  <w:rStyle w:val="InternetLink"/>
                  <w:rFonts w:ascii="Times New Roman" w:hAnsi="Times New Roman"/>
                  <w:color w:val="0000FF"/>
                  <w:sz w:val="20"/>
                  <w:u w:val="single"/>
                </w:rPr>
                <w:t>Other Information</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720"/>
              <w:jc w:val="right"/>
              <w:rPr>
                <w:rFonts w:ascii="Times New Roman" w:hAnsi="Times New Roman"/>
                <w:color w:val="000000"/>
                <w:sz w:val="20"/>
              </w:rPr>
            </w:pPr>
            <w:r>
              <w:rPr>
                <w:rFonts w:ascii="Times New Roman" w:hAnsi="Times New Roman"/>
                <w:color w:val="000000"/>
                <w:sz w:val="20"/>
              </w:rPr>
              <w:t>47</w:t>
            </w:r>
          </w:p>
        </w:tc>
      </w:tr>
      <w:tr>
        <w:tc>
          <w:tcPr>
            <w:tcW w:w="886" w:type="dxa"/>
            <w:tcBorders/>
            <w:tcMar>
              <w:top w:w="0" w:type="dxa"/>
              <w:left w:w="0" w:type="dxa"/>
              <w:bottom w:w="0" w:type="dxa"/>
              <w:right w:w="0" w:type="dxa"/>
            </w:tcMar>
            <w:vAlign w:val="center"/>
          </w:tcPr>
          <w:p>
            <w:pPr>
              <w:pStyle w:val="TableContents"/>
              <w:pBdr/>
              <w:bidi w:val="0"/>
              <w:spacing w:lineRule="auto" w:line="252"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37" w:type="dxa"/>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exhibits">
              <w:r>
                <w:rPr>
                  <w:rStyle w:val="InternetLink"/>
                  <w:rFonts w:ascii="Times New Roman" w:hAnsi="Times New Roman"/>
                  <w:color w:val="0000FF"/>
                  <w:sz w:val="20"/>
                  <w:u w:val="single"/>
                </w:rPr>
                <w:t>Exhibits</w:t>
              </w:r>
            </w:hyperlink>
            <w:hyperlink w:anchor="exhibits">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ind w:left="0" w:right="0" w:firstLine="240"/>
              <w:jc w:val="right"/>
              <w:rPr>
                <w:rFonts w:ascii="Times New Roman" w:hAnsi="Times New Roman"/>
                <w:color w:val="000000"/>
                <w:sz w:val="20"/>
              </w:rPr>
            </w:pPr>
            <w:r>
              <w:rPr>
                <w:rFonts w:ascii="Times New Roman" w:hAnsi="Times New Roman"/>
                <w:color w:val="000000"/>
                <w:sz w:val="20"/>
              </w:rPr>
              <w:t>48</w:t>
            </w:r>
          </w:p>
        </w:tc>
      </w:tr>
      <w:tr>
        <w:tc>
          <w:tcPr>
            <w:tcW w:w="9123" w:type="dxa"/>
            <w:gridSpan w:val="2"/>
            <w:tcBorders/>
            <w:tcMar>
              <w:top w:w="0" w:type="dxa"/>
              <w:left w:w="0" w:type="dxa"/>
              <w:bottom w:w="0" w:type="dxa"/>
              <w:right w:w="0" w:type="dxa"/>
            </w:tcMar>
            <w:vAlign w:val="center"/>
          </w:tcPr>
          <w:p>
            <w:pPr>
              <w:pStyle w:val="TableContents"/>
              <w:pBdr/>
              <w:bidi w:val="0"/>
              <w:spacing w:lineRule="auto" w:line="252" w:before="0" w:after="283"/>
              <w:ind w:left="0" w:right="0" w:hanging="240"/>
              <w:jc w:val="left"/>
            </w:pPr>
            <w:hyperlink w:anchor="signatures">
              <w:r>
                <w:rPr>
                  <w:rStyle w:val="InternetLink"/>
                  <w:rFonts w:ascii="Times New Roman" w:hAnsi="Times New Roman"/>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49</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bookmarkStart w:id="3" w:name="part_i_financial_information"/>
      <w:bookmarkEnd w:id="3"/>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pBdr/>
        <w:bidi w:val="0"/>
        <w:spacing w:lineRule="auto" w:line="273" w:before="240" w:after="283"/>
        <w:ind w:left="122" w:right="0" w:hanging="1102"/>
        <w:jc w:val="left"/>
        <w:rPr>
          <w:rFonts w:ascii="Times New Roman" w:hAnsi="Times New Roman"/>
          <w:sz w:val="20"/>
        </w:rPr>
      </w:pPr>
      <w:bookmarkStart w:id="4" w:name="item_1_interim_cons_financial_stmt_unaud"/>
      <w:bookmarkEnd w:id="4"/>
      <w:r>
        <w:rPr>
          <w:rFonts w:ascii="Times New Roman" w:hAnsi="Times New Roman"/>
          <w:b/>
          <w:color w:val="000000"/>
          <w:sz w:val="20"/>
        </w:rPr>
        <w:t>Item 1. Interim Consolidated Financial Statements (Unaudited)</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bookmarkStart w:id="5" w:name="consolidated_balance_sheets"/>
      <w:bookmarkEnd w:id="5"/>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CONSOLIDATED BALANCE SHEETS (Unaudited)</w:t>
      </w:r>
      <w:r>
        <w:rPr>
          <w:rFonts w:ascii="Times New Roman" w:hAnsi="Times New Roman"/>
          <w:color w:val="000000"/>
          <w:sz w:val="20"/>
        </w:rPr>
        <w:t xml:space="preserve"> </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5604"/>
        <w:gridCol w:w="546"/>
        <w:gridCol w:w="308"/>
        <w:gridCol w:w="1235"/>
        <w:gridCol w:w="225"/>
        <w:gridCol w:w="198"/>
        <w:gridCol w:w="304"/>
        <w:gridCol w:w="1170"/>
        <w:gridCol w:w="615"/>
      </w:tblGrid>
      <w:tr>
        <w:tc>
          <w:tcPr>
            <w:tcW w:w="560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c>
          <w:tcPr>
            <w:tcW w:w="5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54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44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 except share data)</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Assets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7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Current assets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86,911</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103,756</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24,870</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26,022</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Inventories,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40,444</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34,151</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 receivables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4,830</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2,882</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Prepaid expenses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4,723</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5,062</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Hedge collateral (Note 8)</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1,200</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 current assets (Note 18)</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3,782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169,278</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176,855</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103,381</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100,204</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1,377</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2,070</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Intangible assets,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460</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454</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Long-term prepaid expenses, net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564</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584</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Deferred income taxes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62,086</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64,248</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Other non-current assets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6,644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7,114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343,790</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351,529</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Current liabilities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7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19,513</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20,848</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 accounts payable</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4,402</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11,444</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Accrued expenses (Note 7)</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7,066</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6,929</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Accrued income taxes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81</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1,206</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1,427</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borrowings (Note 11)</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29,998</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1,682</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2,681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63,884</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43,410</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Long-term borrowings (Note 11)</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17,112</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44,599</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Accrued severance benefits,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14,429</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11,502</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Non-current 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690</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2,737</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3,078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98,374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103,279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Commitments and contingencies (Note 18)</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7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Common stock, $0.01 par value, 150,000,000 shares authorized, 59,849,913</w:t>
              <w:br/>
              <w:t>   shares issued and 38,041,317 outstanding at September 30, 2026 and</w:t>
              <w:br/>
              <w:t>   58,027,696 shares issued and 36,219,100 outstanding at December 31, 2025</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579</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290,472</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281,537</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192,847</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214,852</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Treasury stock, 21,808,596 shares at September 30, 2026 and 21,808,596 shares</w:t>
              <w:br/>
              <w:t>   at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(229,910</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(229,910</w:t>
            </w:r>
          </w:p>
        </w:tc>
        <w:tc>
          <w:tcPr>
            <w:tcW w:w="6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(8,591</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(18,808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c>
          <w:tcPr>
            <w:tcW w:w="560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245,416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248,250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pPr>
            <w:r>
              <w:t> </w:t>
            </w:r>
          </w:p>
        </w:tc>
      </w:tr>
      <w:tr>
        <w:tc>
          <w:tcPr>
            <w:tcW w:w="560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343,790</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351,529</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bookmarkStart w:id="6" w:name="consolidated_statements_of_operations"/>
      <w:bookmarkEnd w:id="6"/>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CONSOLIDATED STATEMENTS OF OPERATIONS (Unaudited)</w:t>
      </w:r>
      <w:r>
        <w:rPr>
          <w:rFonts w:ascii="Times New Roman" w:hAnsi="Times New Roman"/>
          <w:color w:val="000000"/>
          <w:sz w:val="20"/>
        </w:rPr>
        <w:t xml:space="preserve"> </w:t>
      </w:r>
    </w:p>
    <w:p>
      <w:pPr>
        <w:pStyle w:val="TextBody"/>
        <w:bidi w:val="0"/>
        <w:spacing w:lineRule="auto" w:line="273"/>
        <w:jc w:val="left"/>
      </w:pPr>
      <w:r>
        <w:t> </w:t>
      </w:r>
    </w:p>
    <w:tbl>
      <w:tblPr>
        <w:tblW w:w="10122" w:type="dxa"/>
        <w:jc w:val="left"/>
        <w:tblInd w:w="0" w:type="dxa"/>
        <w:tblLayout w:type="fixed"/>
        <w:tblCellMar>
          <w:top w:w="28" w:type="dxa"/>
          <w:left w:w="28" w:type="dxa"/>
          <w:bottom w:w="28" w:type="dxa"/>
          <w:right w:w="28" w:type="dxa"/>
        </w:tblCellMar>
      </w:tblPr>
      <w:tblGrid>
        <w:gridCol w:w="3441"/>
        <w:gridCol w:w="146"/>
        <w:gridCol w:w="211"/>
        <w:gridCol w:w="1036"/>
        <w:gridCol w:w="166"/>
        <w:gridCol w:w="146"/>
        <w:gridCol w:w="211"/>
        <w:gridCol w:w="1036"/>
        <w:gridCol w:w="166"/>
        <w:gridCol w:w="146"/>
        <w:gridCol w:w="211"/>
        <w:gridCol w:w="1036"/>
        <w:gridCol w:w="166"/>
        <w:gridCol w:w="146"/>
        <w:gridCol w:w="211"/>
        <w:gridCol w:w="1036"/>
        <w:gridCol w:w="611"/>
      </w:tblGrid>
      <w:tr>
        <w:tc>
          <w:tcPr>
            <w:tcW w:w="3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2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 except share data)</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134,890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138,290</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110,675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27,615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8,779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26,491</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19,698</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Early termination and other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(12,880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(23,414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4,117</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Foreign currency gain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6,112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Loss from continuing operations before</w:t>
              <w:br/>
              <w:t>   income tax expense (benefit),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(14,166</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tax expense (benefit),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(5,457</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discontinued operations,</w:t>
              <w:br/>
              <w:t>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Basic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(0.15</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Diluted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(0.15</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Weighted average number of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36,649,278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35,934,406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36,504,776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36,298,491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36,649,278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35,934,406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36,504,776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36,298,491</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7" w:name="consolidated_stmts_of_comprehensive_loss"/>
      <w:bookmarkEnd w:id="7"/>
      <w:r>
        <w:rPr>
          <w:rFonts w:ascii="Times New Roman" w:hAnsi="Times New Roman"/>
          <w:b/>
          <w:color w:val="000000"/>
          <w:sz w:val="20"/>
        </w:rPr>
        <w:t>CONSOLIDATED STATEMENTS OF COMPREHENSIVE INCOME (LOSS) (Unaudited)</w:t>
      </w:r>
      <w:r>
        <w:rPr>
          <w:rFonts w:ascii="Times New Roman" w:hAnsi="Times New Roman"/>
          <w:color w:val="000000"/>
          <w:sz w:val="20"/>
        </w:rPr>
        <w:t xml:space="preserve"> </w:t>
      </w:r>
    </w:p>
    <w:p>
      <w:pPr>
        <w:pStyle w:val="TextBody"/>
        <w:bidi w:val="0"/>
        <w:spacing w:lineRule="auto" w:line="273"/>
        <w:jc w:val="left"/>
      </w:pPr>
      <w:r>
        <w:t> </w:t>
      </w:r>
    </w:p>
    <w:tbl>
      <w:tblPr>
        <w:tblW w:w="9669" w:type="dxa"/>
        <w:jc w:val="left"/>
        <w:tblInd w:w="0" w:type="dxa"/>
        <w:tblLayout w:type="fixed"/>
        <w:tblCellMar>
          <w:top w:w="28" w:type="dxa"/>
          <w:left w:w="28" w:type="dxa"/>
          <w:bottom w:w="28" w:type="dxa"/>
          <w:right w:w="28" w:type="dxa"/>
        </w:tblCellMar>
      </w:tblPr>
      <w:tblGrid>
        <w:gridCol w:w="3636"/>
        <w:gridCol w:w="146"/>
        <w:gridCol w:w="254"/>
        <w:gridCol w:w="886"/>
        <w:gridCol w:w="166"/>
        <w:gridCol w:w="146"/>
        <w:gridCol w:w="254"/>
        <w:gridCol w:w="886"/>
        <w:gridCol w:w="166"/>
        <w:gridCol w:w="146"/>
        <w:gridCol w:w="254"/>
        <w:gridCol w:w="886"/>
        <w:gridCol w:w="166"/>
        <w:gridCol w:w="146"/>
        <w:gridCol w:w="254"/>
        <w:gridCol w:w="886"/>
        <w:gridCol w:w="391"/>
      </w:tblGrid>
      <w:t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496"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6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63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63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6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8" w:name="con_stmt_of_change_in_stockholder_equity"/>
      <w:bookmarkEnd w:id="8"/>
      <w:r>
        <w:rPr>
          <w:rFonts w:ascii="Times New Roman" w:hAnsi="Times New Roman"/>
          <w:b/>
          <w:color w:val="000000"/>
          <w:sz w:val="20"/>
        </w:rPr>
        <w:t>CONSOLIDATED STATEMENTS OF CHANGES IN STOCKHOLDERS’ EQUITY (Unaudited)</w:t>
      </w:r>
      <w:r>
        <w:rPr>
          <w:rFonts w:ascii="Times New Roman" w:hAnsi="Times New Roman"/>
          <w:color w:val="000000"/>
          <w:sz w:val="20"/>
        </w:rPr>
        <w:t xml:space="preserve"> </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2309"/>
        <w:gridCol w:w="146"/>
        <w:gridCol w:w="146"/>
        <w:gridCol w:w="766"/>
        <w:gridCol w:w="151"/>
        <w:gridCol w:w="146"/>
        <w:gridCol w:w="196"/>
        <w:gridCol w:w="375"/>
        <w:gridCol w:w="146"/>
        <w:gridCol w:w="146"/>
        <w:gridCol w:w="181"/>
        <w:gridCol w:w="586"/>
        <w:gridCol w:w="151"/>
        <w:gridCol w:w="146"/>
        <w:gridCol w:w="181"/>
        <w:gridCol w:w="586"/>
        <w:gridCol w:w="151"/>
        <w:gridCol w:w="146"/>
        <w:gridCol w:w="181"/>
        <w:gridCol w:w="631"/>
        <w:gridCol w:w="151"/>
        <w:gridCol w:w="146"/>
        <w:gridCol w:w="250"/>
        <w:gridCol w:w="771"/>
        <w:gridCol w:w="151"/>
        <w:gridCol w:w="146"/>
        <w:gridCol w:w="181"/>
        <w:gridCol w:w="586"/>
        <w:gridCol w:w="356"/>
      </w:tblGrid>
      <w:tr>
        <w:tc>
          <w:tcPr>
            <w:tcW w:w="2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Retained</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Treasury</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except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Three Months Ended September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36,510,111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581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283,263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205,390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(229,910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(32,792</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226,532</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2,366</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2,366</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1,461,988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4,845</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4,860</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69,218</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24,201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24,201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(12,543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(12,543</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38,041,317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290,472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192,847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(229,910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(8,591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245,416</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Three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35,954,038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575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280,853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236,021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(229,381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(17,906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270,162</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123</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123</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92,981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Acquisition of treasury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(98,597</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(319</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(319</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(1,527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(1,527</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(13,090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(13,090</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35,948,422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280,975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222,931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(229,700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(19,433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255,349</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2309"/>
        <w:gridCol w:w="146"/>
        <w:gridCol w:w="146"/>
        <w:gridCol w:w="766"/>
        <w:gridCol w:w="151"/>
        <w:gridCol w:w="146"/>
        <w:gridCol w:w="196"/>
        <w:gridCol w:w="375"/>
        <w:gridCol w:w="146"/>
        <w:gridCol w:w="146"/>
        <w:gridCol w:w="181"/>
        <w:gridCol w:w="586"/>
        <w:gridCol w:w="151"/>
        <w:gridCol w:w="146"/>
        <w:gridCol w:w="181"/>
        <w:gridCol w:w="586"/>
        <w:gridCol w:w="151"/>
        <w:gridCol w:w="146"/>
        <w:gridCol w:w="181"/>
        <w:gridCol w:w="631"/>
        <w:gridCol w:w="151"/>
        <w:gridCol w:w="146"/>
        <w:gridCol w:w="250"/>
        <w:gridCol w:w="771"/>
        <w:gridCol w:w="151"/>
        <w:gridCol w:w="146"/>
        <w:gridCol w:w="181"/>
        <w:gridCol w:w="586"/>
        <w:gridCol w:w="356"/>
      </w:tblGrid>
      <w:tr>
        <w:tc>
          <w:tcPr>
            <w:tcW w:w="2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Retained</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Treasury</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except share data)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3"/>
              </w:rPr>
            </w:pPr>
            <w:r>
              <w:rPr>
                <w:rFonts w:ascii="Times New Roman" w:hAnsi="Times New Roman"/>
                <w:b/>
                <w:color w:val="000000"/>
                <w:sz w:val="13"/>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Nine Months Ended September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36,219,100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579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281,537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214,852</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(229,910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(18,808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248,250</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4,028</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4,028</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1,472,797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4,911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4,926</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349,420</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10,217</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10,217</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(22,005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(22,005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38,041,317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290,472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192,847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(229,910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(8,591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245,416</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Nine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36,912,118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574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279,423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244,576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(225,883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(21,893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276,797</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1,615</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1,615</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175,749</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(63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(61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Acquisition of treasury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(1,139,445</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(3,817</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(3,817</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2,460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2,460</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309"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(21,645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(21,645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r>
      <w:tr>
        <w:tc>
          <w:tcPr>
            <w:tcW w:w="2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3"/>
              </w:rPr>
            </w:pPr>
            <w:r>
              <w:rPr>
                <w:rFonts w:ascii="Times New Roman" w:hAnsi="Times New Roman"/>
                <w:b/>
                <w:color w:val="000000"/>
                <w:sz w:val="13"/>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35,948,422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280,975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222,931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(229,700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(19,433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3"/>
              </w:rPr>
            </w:pPr>
            <w:r>
              <w:rPr>
                <w:rFonts w:ascii="Times New Roman" w:hAnsi="Times New Roman"/>
                <w:color w:val="000000"/>
                <w:sz w:val="13"/>
              </w:rPr>
              <w:t>255,349</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47"/>
        <w:jc w:val="center"/>
        <w:rPr>
          <w:rFonts w:ascii="Times New Roman" w:hAnsi="Times New Roman"/>
          <w:sz w:val="20"/>
        </w:rPr>
      </w:pPr>
      <w:bookmarkStart w:id="9" w:name="consolidated_statements_of_cash_flows"/>
      <w:bookmarkEnd w:id="9"/>
      <w:r>
        <w:rPr>
          <w:rFonts w:ascii="Times New Roman" w:hAnsi="Times New Roman"/>
          <w:b/>
          <w:color w:val="000000"/>
          <w:sz w:val="20"/>
        </w:rPr>
        <w:t>CONSOLIDATED STATEMENTS OF CASH FLOWS (Unaudited)</w:t>
      </w:r>
      <w:r>
        <w:rPr>
          <w:rFonts w:ascii="Times New Roman" w:hAnsi="Times New Roman"/>
          <w:color w:val="000000"/>
          <w:sz w:val="20"/>
        </w:rPr>
        <w:t xml:space="preserve"> </w:t>
      </w:r>
    </w:p>
    <w:p>
      <w:pPr>
        <w:pStyle w:val="TextBody"/>
        <w:bidi w:val="0"/>
        <w:spacing w:lineRule="auto" w:line="218"/>
        <w:jc w:val="center"/>
      </w:pPr>
      <w:r>
        <w:t> </w:t>
      </w:r>
    </w:p>
    <w:tbl>
      <w:tblPr>
        <w:tblW w:w="8420" w:type="dxa"/>
        <w:jc w:val="left"/>
        <w:tblInd w:w="0" w:type="dxa"/>
        <w:tblLayout w:type="fixed"/>
        <w:tblCellMar>
          <w:top w:w="28" w:type="dxa"/>
          <w:left w:w="28" w:type="dxa"/>
          <w:bottom w:w="28" w:type="dxa"/>
          <w:right w:w="28" w:type="dxa"/>
        </w:tblCellMar>
      </w:tblPr>
      <w:tblGrid>
        <w:gridCol w:w="5271"/>
        <w:gridCol w:w="146"/>
        <w:gridCol w:w="252"/>
        <w:gridCol w:w="888"/>
        <w:gridCol w:w="166"/>
        <w:gridCol w:w="146"/>
        <w:gridCol w:w="252"/>
        <w:gridCol w:w="888"/>
        <w:gridCol w:w="411"/>
      </w:tblGrid>
      <w:tr>
        <w:tc>
          <w:tcPr>
            <w:tcW w:w="5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2"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(22,005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(21,645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8,588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9,938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Provision for severance benefits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2,868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Gain on foreign currency,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(5,305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(10,612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Provision (reversal) for inventory reserves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1,919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1,615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12,424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Gain from disposal of investment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5,436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220</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(7,610</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(7,131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receivables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(1,287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5,325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(3,247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(6,220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(6,803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1,925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Payment of severance benefits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(10,669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(21,152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(29,639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Proceeds from settlement of hedge collateral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9,669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2,237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Payment of hedge collateral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Proceeds from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554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(7,566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(19,739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Payment for intellectual property registration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Proceeds from sale of investment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Collection of guarantee deposits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4,274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Payment of guarantee deposits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(13,031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Proceeds from long-term borrowings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10,611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Acquisition of treasury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(4,340</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Repayment of financing related to water treatment facility arrangement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Repayment of principal portion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5,809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Effect of exchange rates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6,256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(16,845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(30,605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138,610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86,911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108,005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paid for interest on borrowings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refunded for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(1,043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5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Property, plant and equipment additions in other 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2,220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192"/>
        <w:jc w:val="left"/>
      </w:pPr>
      <w:r>
        <w:t> </w:t>
      </w:r>
    </w:p>
    <w:p>
      <w:pPr>
        <w:pStyle w:val="TextBody"/>
        <w:bidi w:val="0"/>
        <w:spacing w:lineRule="auto" w:line="136"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bookmarkStart w:id="10" w:name="notes_to_consolidated_financial_stmt"/>
      <w:bookmarkEnd w:id="1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(TABULAR DOLLARS IN THOUSANDS, EXCEPT SHARE DATA)</w:t>
      </w:r>
      <w:r>
        <w:rPr>
          <w:rFonts w:ascii="Times New Roman" w:hAnsi="Times New Roman"/>
          <w:color w:val="000000"/>
          <w:sz w:val="20"/>
        </w:rPr>
        <w:t xml:space="preserve">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 Business, Basis of Presentation and Significant Accounting Policies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Magnachip Semiconductor Corporation (together with its subsidiaries, the “Company”) is a designer and manufacturer of analog and mixed-signal power semiconductor platform solutions for various applications, including industrial, automotive, communication, consumer and computing.</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Company develops and manufactures Power discrete (“Power Analog Solutions”) products and develops Power integrated circuit (“IC”) products. Power Analog Solutions products include metal oxide semiconductor field effect transistors (“MOSFETs”) and insulated-gate bipolar transistors (“IGBTs”) for a range of devices, including televisions, smartphones, mobile phones, wearable devices, desktop personal computers (“PCs”), notebook PCs, tablet PCs, home appliance, other consumer electronics, automotive and industrial applications such as power suppliers, e-bikes, photovoltaic inverters, LED lighting and motor drives. Power IC products include AC-DC/DC-DC converters, LED drivers, regulators, power management integrated circuits (“PMICs”) and level shifter for a range of devices, including televisions, wearable devices, notebooks, tablet PCs and other consumer electronics, as well as automotive applications.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2024, the Power IC business was operated by Magnachip Mixed-Signal, Ltd. (“MMS”), which later transferred the business to Magnachip Semiconductor, Ltd., a Korean limited liability company (“MSK”) effective January 1, 2025, pursuant to an intercompany business transfer agreement executed between MMS and MSK. The transfer was based on the mutual understanding that consolidating the Power Analog Solutions and Power IC businesses under a single company would create a more effective framework for expanding and strengthening the Company’s business for Power products.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December 31, 2025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2025.</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have been no material changes to the Company’s significant accounting policies as of and for the nine months ended September 30, 2026 as compared to the significant accounting policies described in the Company’s Annual Report on Form 10-K for the fiscal year ended December 31, 2025.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Recent Accounting Pronouncements Not Yet Adopted</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Accounting Standards Update (“ASU”) 2024-03, “Income Statement - Reporting Comprehensive Income - Expense Disaggregation Disclosures (Subtopic 220-40): Disaggregation of Income Statement Expenses” (“ASU 2024-03”). Additionally, in January 2025, the FASB issued ASU 2025-01 to clarify the effective date of ASU 2024-03. ASU 2024-03 requires public companies to disclose, in the notes to the financial statements, specific information about certain costs and expenses at each interim and annual reporting period. This includes disclosing amounts related to purchases of inventory, employee compensation, depreciation, and intangible asset amortization. In addition, public companies will need to provide qualitative description of the amounts remaining in relevant expense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captions that are not separately disaggregated quantitatively. ASU 2024-03 is effective for public business entities for annual reporting periods beginning after December 15, 2026, and interim reporting periods beginning after December 15, 2027. Early adoption is permitted and the amendments in this update may be applied prospectively or retrospectively. The Company is currently evaluating the impact of this accounting standard update on its consolidated financial statements and related disclosures.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December 2025, the FASB issued ASU 2025-10, Government Grants (Topic 832): Accounting for Government Grants Received by Business Entities, which establishes guidance on the recognition, measurement, presentation, and disclosure of government grants received by business entities, including grants related to assets and grants related to income. The amendments are effective for fiscal years beginning after December 15, 2028, including interim periods within those fiscal years, with early adoption permitted. The Company is currently evaluating the impact of adopting this guidance on its consolidated financial statements and related disclosures.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May 2026, the FASB issued ASU 2026-02, Environmental Credits and Environmental Credit Obligations (Topic 818), which establishes guidance on the recognition, measurement, presentation, and disclosure of environmental credits and environmental credit obligations. The amendments are effective for fiscal years beginning after December 15, 2027, including interim periods within those fiscal years, with early adoption permitted. The Company is currently evaluating the impact of adopting this guidance on its consolidated financial statements and related disclosures.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2. Discontinued Operations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On March 7, 2025, the Company’s Board of Directors authorized a strategy to transition to a pure-play Power company, focusing future investments on the Power Analog Solutions and Power IC businesses. In connection with this strategy, the Company evaluated various strategic alternatives for its Display business, including a sale, merger, joint venture, licensing, or wind-down; however, the Company was unable to complete a transaction on terms that the Company’s Board of Directors believed were in the best interests of the Company and its stockholders.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Accordingly, on April 6, 2025, the Company’s Board of Directors unanimously approved the decision to shut down the Company’s Display business (the “Discontinued Business”), including the liquidation of MMS, the Company’s indirect wholly owned subsidiary that operated the Display business. As a result, the Display business qualifies as a discontinued operation in accordance with ASC 205-20.</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results from discontinued operations, net of tax, for the three and nine months ended September 30, 2026 and 2025 (in thousands): </w:t>
      </w:r>
    </w:p>
    <w:p>
      <w:pPr>
        <w:pStyle w:val="TextBody"/>
        <w:bidi w:val="0"/>
        <w:spacing w:lineRule="auto" w:line="273"/>
        <w:jc w:val="left"/>
      </w:pPr>
      <w:r>
        <w:t> </w:t>
      </w:r>
    </w:p>
    <w:tbl>
      <w:tblPr>
        <w:tblW w:w="9804" w:type="dxa"/>
        <w:jc w:val="left"/>
        <w:tblInd w:w="0" w:type="dxa"/>
        <w:tblLayout w:type="fixed"/>
        <w:tblCellMar>
          <w:top w:w="28" w:type="dxa"/>
          <w:left w:w="28" w:type="dxa"/>
          <w:bottom w:w="28" w:type="dxa"/>
          <w:right w:w="28" w:type="dxa"/>
        </w:tblCellMar>
      </w:tblPr>
      <w:tblGrid>
        <w:gridCol w:w="3571"/>
        <w:gridCol w:w="146"/>
        <w:gridCol w:w="315"/>
        <w:gridCol w:w="825"/>
        <w:gridCol w:w="166"/>
        <w:gridCol w:w="146"/>
        <w:gridCol w:w="290"/>
        <w:gridCol w:w="850"/>
        <w:gridCol w:w="166"/>
        <w:gridCol w:w="146"/>
        <w:gridCol w:w="280"/>
        <w:gridCol w:w="860"/>
        <w:gridCol w:w="166"/>
        <w:gridCol w:w="146"/>
        <w:gridCol w:w="260"/>
        <w:gridCol w:w="880"/>
        <w:gridCol w:w="591"/>
      </w:tblGrid>
      <w:t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7,233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10,763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24,519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5,366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10,319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1,535</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5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9,579</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Early termination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1,561</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5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Impairment and other charges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12,758</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pPr>
            <w:r>
              <w:t> </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25,433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5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income (loss) from discontinued</w:t>
              <w:br/>
              <w:t>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(15,114</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215</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5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(272</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Foreign currency gain (loss),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(296</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357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discontinued operations</w:t>
              <w:br/>
              <w:t>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(15,265</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35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tax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5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discontinued operations, net</w:t>
              <w:br/>
              <w: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(16,188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For the nine months ended September 30, 2025, the Company recognized the impairment charges of $12,424 thousand, primarily related to certain design tool software contracts in connection with the shutdown of the Display business.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major classes of assets and liabilities of the discontinued operations that were included in the consolidated balance sheets (in thousands): </w:t>
      </w:r>
    </w:p>
    <w:p>
      <w:pPr>
        <w:pStyle w:val="TextBody"/>
        <w:bidi w:val="0"/>
        <w:spacing w:lineRule="auto" w:line="273" w:before="40" w:after="283"/>
        <w:ind w:left="0" w:right="0" w:firstLine="490"/>
        <w:jc w:val="left"/>
      </w:pPr>
      <w:r>
        <w:t> </w:t>
      </w:r>
    </w:p>
    <w:tbl>
      <w:tblPr>
        <w:tblW w:w="5535" w:type="dxa"/>
        <w:jc w:val="left"/>
        <w:tblInd w:w="0" w:type="dxa"/>
        <w:tblLayout w:type="fixed"/>
        <w:tblCellMar>
          <w:top w:w="28" w:type="dxa"/>
          <w:left w:w="28" w:type="dxa"/>
          <w:bottom w:w="28" w:type="dxa"/>
          <w:right w:w="28" w:type="dxa"/>
        </w:tblCellMar>
      </w:tblPr>
      <w:tblGrid>
        <w:gridCol w:w="2671"/>
        <w:gridCol w:w="146"/>
        <w:gridCol w:w="307"/>
        <w:gridCol w:w="833"/>
        <w:gridCol w:w="146"/>
        <w:gridCol w:w="146"/>
        <w:gridCol w:w="294"/>
        <w:gridCol w:w="801"/>
        <w:gridCol w:w="191"/>
      </w:tblGrid>
      <w:t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severance benefits,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before="40" w:after="283"/>
        <w:ind w:left="0" w:right="0" w:firstLine="490"/>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provides supplemental cash flows information related to discontinued operations (in thousands): </w:t>
      </w:r>
    </w:p>
    <w:p>
      <w:pPr>
        <w:pStyle w:val="TextBody"/>
        <w:bidi w:val="0"/>
        <w:spacing w:lineRule="auto" w:line="273"/>
        <w:ind w:left="0" w:right="0" w:firstLine="490"/>
        <w:jc w:val="left"/>
      </w:pPr>
      <w:r>
        <w:t> </w:t>
      </w:r>
    </w:p>
    <w:tbl>
      <w:tblPr>
        <w:tblW w:w="6610" w:type="dxa"/>
        <w:jc w:val="left"/>
        <w:tblInd w:w="0" w:type="dxa"/>
        <w:tblLayout w:type="fixed"/>
        <w:tblCellMar>
          <w:top w:w="28" w:type="dxa"/>
          <w:left w:w="28" w:type="dxa"/>
          <w:bottom w:w="28" w:type="dxa"/>
          <w:right w:w="28" w:type="dxa"/>
        </w:tblCellMar>
      </w:tblPr>
      <w:tblGrid>
        <w:gridCol w:w="3481"/>
        <w:gridCol w:w="146"/>
        <w:gridCol w:w="430"/>
        <w:gridCol w:w="710"/>
        <w:gridCol w:w="146"/>
        <w:gridCol w:w="146"/>
        <w:gridCol w:w="271"/>
        <w:gridCol w:w="869"/>
        <w:gridCol w:w="411"/>
      </w:tblGrid>
      <w:t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3481"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481" w:type="dxa"/>
            <w:vMerge w:val="continue"/>
            <w:tcBorders/>
            <w:shd w:fill="FFFFFF" w:val="clear"/>
            <w:tcMar>
              <w:top w:w="0" w:type="dxa"/>
              <w:left w:w="0" w:type="dxa"/>
              <w:bottom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4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Significant non-cash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4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48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Provision for severance benefits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4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48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12,424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ind w:left="0" w:right="0" w:firstLine="490"/>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Although the Company has discontinued the Display business, certain limited activities remain active solely for the purpose of completing the orderly wind-down of operations and fulfilling pre-existing customer obligations, including the sale of “end of life” (“EOL”) Display products, which is being conducted by MSK. A small team has been retained exclusively to facilitate these wind-down activities.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As such, the result of these limited ongoing activities do not qualify for presentation as part of continuing operations and are instead presented as part of discontinued operations. The following table presents the revenue, gross profit and operating expenses related to the Company’s continuing involvement with the Discontinued Business for the period presented (in thousands):</w:t>
      </w:r>
    </w:p>
    <w:p>
      <w:pPr>
        <w:pStyle w:val="TextBody"/>
        <w:bidi w:val="0"/>
        <w:spacing w:lineRule="auto" w:line="273"/>
        <w:ind w:left="0" w:right="0" w:firstLine="490"/>
        <w:jc w:val="left"/>
      </w:pPr>
      <w:r>
        <w:t> </w:t>
      </w:r>
    </w:p>
    <w:tbl>
      <w:tblPr>
        <w:tblW w:w="7484" w:type="dxa"/>
        <w:jc w:val="left"/>
        <w:tblInd w:w="0" w:type="dxa"/>
        <w:tblLayout w:type="fixed"/>
        <w:tblCellMar>
          <w:top w:w="28" w:type="dxa"/>
          <w:left w:w="28" w:type="dxa"/>
          <w:bottom w:w="28" w:type="dxa"/>
          <w:right w:w="28" w:type="dxa"/>
        </w:tblCellMar>
      </w:tblPr>
      <w:tblGrid>
        <w:gridCol w:w="1711"/>
        <w:gridCol w:w="146"/>
        <w:gridCol w:w="307"/>
        <w:gridCol w:w="833"/>
        <w:gridCol w:w="146"/>
        <w:gridCol w:w="146"/>
        <w:gridCol w:w="307"/>
        <w:gridCol w:w="833"/>
        <w:gridCol w:w="146"/>
        <w:gridCol w:w="146"/>
        <w:gridCol w:w="271"/>
        <w:gridCol w:w="869"/>
        <w:gridCol w:w="146"/>
        <w:gridCol w:w="146"/>
        <w:gridCol w:w="307"/>
        <w:gridCol w:w="833"/>
        <w:gridCol w:w="191"/>
      </w:tblGrid>
      <w:t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7,233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4,473</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ind w:left="0" w:right="0" w:firstLine="490"/>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3. Inventories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Inventories as of September 30, 2026 and December 31, 2025 consist of the following (in thousands): </w:t>
      </w:r>
    </w:p>
    <w:p>
      <w:pPr>
        <w:pStyle w:val="TextBody"/>
        <w:bidi w:val="0"/>
        <w:spacing w:lineRule="auto" w:line="273"/>
        <w:ind w:left="0" w:right="0" w:firstLine="490"/>
        <w:jc w:val="left"/>
      </w:pPr>
      <w:r>
        <w:t> </w:t>
      </w:r>
    </w:p>
    <w:tbl>
      <w:tblPr>
        <w:tblW w:w="6370" w:type="dxa"/>
        <w:jc w:val="left"/>
        <w:tblInd w:w="0" w:type="dxa"/>
        <w:tblLayout w:type="fixed"/>
        <w:tblCellMar>
          <w:top w:w="28" w:type="dxa"/>
          <w:left w:w="28" w:type="dxa"/>
          <w:bottom w:w="28" w:type="dxa"/>
          <w:right w:w="28" w:type="dxa"/>
        </w:tblCellMar>
      </w:tblPr>
      <w:tblGrid>
        <w:gridCol w:w="3466"/>
        <w:gridCol w:w="146"/>
        <w:gridCol w:w="271"/>
        <w:gridCol w:w="869"/>
        <w:gridCol w:w="166"/>
        <w:gridCol w:w="146"/>
        <w:gridCol w:w="260"/>
        <w:gridCol w:w="835"/>
        <w:gridCol w:w="211"/>
      </w:tblGrid>
      <w:t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Semi-finished goods and work-in-process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29,245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4,198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Materials in-transit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inventory reserve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34,151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ind w:left="0" w:right="0" w:firstLine="490"/>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 xml:space="preserve">Changes in inventory reserve for the three and nine months ended September 30, 2026 and 2025 are as follows (in thousands): </w:t>
      </w:r>
    </w:p>
    <w:p>
      <w:pPr>
        <w:pStyle w:val="TextBody"/>
        <w:bidi w:val="0"/>
        <w:spacing w:lineRule="auto" w:line="273"/>
        <w:ind w:left="0" w:right="0" w:firstLine="490"/>
        <w:jc w:val="left"/>
      </w:pPr>
      <w:r>
        <w:t> </w:t>
      </w:r>
    </w:p>
    <w:tbl>
      <w:tblPr>
        <w:tblW w:w="10205" w:type="dxa"/>
        <w:jc w:val="left"/>
        <w:tblInd w:w="0" w:type="dxa"/>
        <w:tblLayout w:type="fixed"/>
        <w:tblCellMar>
          <w:top w:w="28" w:type="dxa"/>
          <w:left w:w="28" w:type="dxa"/>
          <w:bottom w:w="28" w:type="dxa"/>
          <w:right w:w="28" w:type="dxa"/>
        </w:tblCellMar>
      </w:tblPr>
      <w:tblGrid>
        <w:gridCol w:w="2669"/>
        <w:gridCol w:w="346"/>
        <w:gridCol w:w="322"/>
        <w:gridCol w:w="964"/>
        <w:gridCol w:w="366"/>
        <w:gridCol w:w="346"/>
        <w:gridCol w:w="308"/>
        <w:gridCol w:w="925"/>
        <w:gridCol w:w="366"/>
        <w:gridCol w:w="346"/>
        <w:gridCol w:w="322"/>
        <w:gridCol w:w="964"/>
        <w:gridCol w:w="166"/>
        <w:gridCol w:w="146"/>
        <w:gridCol w:w="308"/>
        <w:gridCol w:w="925"/>
        <w:gridCol w:w="416"/>
      </w:tblGrid>
      <w:tr>
        <w:tc>
          <w:tcPr>
            <w:tcW w:w="26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c>
          <w:tcPr>
            <w:tcW w:w="2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23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83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(4,994</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(6,834</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(7,732</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6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reserve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66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Inventory reserve charged to costs of sales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(2,638</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(4,633</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(5,293</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66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 of previously reserved inventory</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6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(837</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(1,893</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6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Write off</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3,471</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Translation adjustments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(419</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6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(6,359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(6,359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(6,573</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ind w:left="0" w:right="0" w:firstLine="490"/>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4. Property, Plant and Equipment</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Property, plant and equipment as of September 30, 2026 and December 31, 2025 are comprised of the following (in thousands): </w:t>
      </w:r>
    </w:p>
    <w:p>
      <w:pPr>
        <w:pStyle w:val="TextBody"/>
        <w:bidi w:val="0"/>
        <w:spacing w:lineRule="auto" w:line="273"/>
        <w:jc w:val="left"/>
      </w:pPr>
      <w:r>
        <w:t> </w:t>
      </w:r>
    </w:p>
    <w:tbl>
      <w:tblPr>
        <w:tblW w:w="5830" w:type="dxa"/>
        <w:jc w:val="left"/>
        <w:tblInd w:w="0" w:type="dxa"/>
        <w:tblLayout w:type="fixed"/>
        <w:tblCellMar>
          <w:top w:w="28" w:type="dxa"/>
          <w:left w:w="28" w:type="dxa"/>
          <w:bottom w:w="28" w:type="dxa"/>
          <w:right w:w="28" w:type="dxa"/>
        </w:tblCellMar>
      </w:tblPr>
      <w:tblGrid>
        <w:gridCol w:w="2926"/>
        <w:gridCol w:w="146"/>
        <w:gridCol w:w="228"/>
        <w:gridCol w:w="912"/>
        <w:gridCol w:w="166"/>
        <w:gridCol w:w="146"/>
        <w:gridCol w:w="219"/>
        <w:gridCol w:w="876"/>
        <w:gridCol w:w="211"/>
      </w:tblGrid>
      <w:t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Buildings and related structures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24,371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143,808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137,024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200,384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194,232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(137,112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(128,171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11,679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9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100,204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Aggregate depreciation expenses associated with continuing operations totaled $8,446 thousand and $9,368 thousand for the nine months ended September 30, 2026 and 2025, respectively. </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Pledge Agreement</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26, 2024, Magnachip Semiconductor, Ltd., a Korean limited liability company and indirect wholly owned subsidiary of the Company (“MSK”),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in favor of KDB.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On December 16, 2024, MSK executed a Standard Credit Agreement (as amended) (together with its General Terms and Conditions, the “Equipment Financing Credit Agreement”) with KDB. In connection with the Equipment Financing Credit Agreement, on December 8, 2024, MSK amended the 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in Gumi, Korea.</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See “Note 11. Borrowings” to these consolidated financial statements below for more information regarding the Loan Agreement and Equipment Financing Credit Agreement.</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5. Intangible Assets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Intangible assets as of September 30, 2026 and December 31, 2025 are comprised of the following (in thousands): </w:t>
      </w:r>
    </w:p>
    <w:p>
      <w:pPr>
        <w:pStyle w:val="TextBody"/>
        <w:bidi w:val="0"/>
        <w:spacing w:lineRule="auto" w:line="273"/>
        <w:ind w:left="0" w:right="0" w:firstLine="490"/>
        <w:jc w:val="left"/>
      </w:pPr>
      <w:r>
        <w:t> </w:t>
      </w:r>
    </w:p>
    <w:tbl>
      <w:tblPr>
        <w:tblW w:w="5731" w:type="dxa"/>
        <w:jc w:val="left"/>
        <w:tblInd w:w="0" w:type="dxa"/>
        <w:tblLayout w:type="fixed"/>
        <w:tblCellMar>
          <w:top w:w="28" w:type="dxa"/>
          <w:left w:w="28" w:type="dxa"/>
          <w:bottom w:w="28" w:type="dxa"/>
          <w:right w:w="28" w:type="dxa"/>
        </w:tblCellMar>
      </w:tblPr>
      <w:tblGrid>
        <w:gridCol w:w="2296"/>
        <w:gridCol w:w="146"/>
        <w:gridCol w:w="211"/>
        <w:gridCol w:w="571"/>
        <w:gridCol w:w="146"/>
        <w:gridCol w:w="146"/>
        <w:gridCol w:w="263"/>
        <w:gridCol w:w="788"/>
        <w:gridCol w:w="166"/>
        <w:gridCol w:w="146"/>
        <w:gridCol w:w="220"/>
        <w:gridCol w:w="441"/>
        <w:gridCol w:w="191"/>
      </w:tblGrid>
      <w:t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98"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2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Intellectual property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ind w:left="0" w:right="0" w:firstLine="490"/>
        <w:jc w:val="left"/>
      </w:pPr>
      <w:r>
        <w:t> </w:t>
      </w:r>
    </w:p>
    <w:tbl>
      <w:tblPr>
        <w:tblW w:w="5731" w:type="dxa"/>
        <w:jc w:val="left"/>
        <w:tblInd w:w="0" w:type="dxa"/>
        <w:tblLayout w:type="fixed"/>
        <w:tblCellMar>
          <w:top w:w="28" w:type="dxa"/>
          <w:left w:w="28" w:type="dxa"/>
          <w:bottom w:w="28" w:type="dxa"/>
          <w:right w:w="28" w:type="dxa"/>
        </w:tblCellMar>
      </w:tblPr>
      <w:tblGrid>
        <w:gridCol w:w="2296"/>
        <w:gridCol w:w="146"/>
        <w:gridCol w:w="211"/>
        <w:gridCol w:w="571"/>
        <w:gridCol w:w="146"/>
        <w:gridCol w:w="146"/>
        <w:gridCol w:w="263"/>
        <w:gridCol w:w="788"/>
        <w:gridCol w:w="166"/>
        <w:gridCol w:w="146"/>
        <w:gridCol w:w="220"/>
        <w:gridCol w:w="441"/>
        <w:gridCol w:w="191"/>
      </w:tblGrid>
      <w:t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98"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2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Intellectual property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ind w:left="0" w:right="0" w:firstLine="490"/>
        <w:jc w:val="left"/>
      </w:pPr>
      <w:r>
        <w:t> </w:t>
      </w:r>
    </w:p>
    <w:p>
      <w:pPr>
        <w:pStyle w:val="TextBody"/>
        <w:bidi w:val="0"/>
        <w:spacing w:lineRule="auto" w:line="273" w:before="40" w:after="283"/>
        <w:ind w:left="0" w:right="0" w:firstLine="490"/>
        <w:jc w:val="left"/>
        <w:rPr>
          <w:rFonts w:ascii="Times New Roman" w:hAnsi="Times New Roman"/>
          <w:sz w:val="2"/>
        </w:rPr>
      </w:pPr>
      <w:r>
        <w:rPr>
          <w:rFonts w:ascii="Times New Roman" w:hAnsi="Times New Roman"/>
          <w:color w:val="000000"/>
          <w:sz w:val="20"/>
        </w:rPr>
        <w:t>Aggregate amortization expenses associated with continuing operations totaled $124</w:t>
      </w:r>
      <w:r>
        <w:rPr>
          <w:rFonts w:ascii="Times New Roman" w:hAnsi="Times New Roman"/>
          <w:color w:val="000000"/>
          <w:sz w:val="2"/>
        </w:rPr>
        <w:t xml:space="preserve"> </w:t>
      </w:r>
      <w:r>
        <w:rPr>
          <w:rFonts w:ascii="Times New Roman" w:hAnsi="Times New Roman"/>
          <w:color w:val="000000"/>
          <w:sz w:val="20"/>
        </w:rPr>
        <w:t>thousand and $194</w:t>
      </w:r>
      <w:r>
        <w:rPr>
          <w:rFonts w:ascii="Times New Roman" w:hAnsi="Times New Roman"/>
          <w:color w:val="000000"/>
          <w:sz w:val="2"/>
        </w:rPr>
        <w:t xml:space="preserve"> </w:t>
      </w:r>
      <w:r>
        <w:rPr>
          <w:rFonts w:ascii="Times New Roman" w:hAnsi="Times New Roman"/>
          <w:color w:val="000000"/>
          <w:sz w:val="20"/>
        </w:rPr>
        <w:t>thousand for the nine months ended September 30, 2026 and 2025, respectively.</w:t>
      </w:r>
      <w:r>
        <w:rPr>
          <w:rFonts w:ascii="Times New Roman" w:hAnsi="Times New Roman"/>
          <w:color w:val="000000"/>
          <w:sz w:val="2"/>
        </w:rPr>
        <w:t xml:space="preserve">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operating and finance leases for buildings and other assets such as vehicles and office equipment. The Company’s leases have remaining lease terms ranging from one year to five years.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tables below present financial information related to the Company’s leases.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Supplemental balance sheets information related to leases as of September 30, 2026 and December 31, 2025 are as follows (in thousands): </w:t>
      </w:r>
    </w:p>
    <w:p>
      <w:pPr>
        <w:pStyle w:val="TextBody"/>
        <w:bidi w:val="0"/>
        <w:spacing w:lineRule="auto" w:line="273"/>
        <w:jc w:val="left"/>
      </w:pPr>
      <w:r>
        <w:t> </w:t>
      </w:r>
    </w:p>
    <w:tbl>
      <w:tblPr>
        <w:tblW w:w="8282" w:type="dxa"/>
        <w:jc w:val="left"/>
        <w:tblInd w:w="0" w:type="dxa"/>
        <w:tblLayout w:type="fixed"/>
        <w:tblCellMar>
          <w:top w:w="28" w:type="dxa"/>
          <w:left w:w="28" w:type="dxa"/>
          <w:bottom w:w="28" w:type="dxa"/>
          <w:right w:w="28" w:type="dxa"/>
        </w:tblCellMar>
      </w:tblPr>
      <w:tblGrid>
        <w:gridCol w:w="1891"/>
        <w:gridCol w:w="146"/>
        <w:gridCol w:w="3181"/>
        <w:gridCol w:w="146"/>
        <w:gridCol w:w="307"/>
        <w:gridCol w:w="833"/>
        <w:gridCol w:w="146"/>
        <w:gridCol w:w="146"/>
        <w:gridCol w:w="294"/>
        <w:gridCol w:w="801"/>
        <w:gridCol w:w="391"/>
      </w:tblGrid>
      <w:t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8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3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189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18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weighted average remaining lease term and discount rate: </w:t>
      </w:r>
    </w:p>
    <w:p>
      <w:pPr>
        <w:pStyle w:val="TextBody"/>
        <w:bidi w:val="0"/>
        <w:spacing w:lineRule="auto" w:line="273"/>
        <w:jc w:val="left"/>
      </w:pPr>
      <w:r>
        <w:t> </w:t>
      </w:r>
    </w:p>
    <w:tbl>
      <w:tblPr>
        <w:tblW w:w="6825" w:type="dxa"/>
        <w:jc w:val="left"/>
        <w:tblInd w:w="0" w:type="dxa"/>
        <w:tblLayout w:type="fixed"/>
        <w:tblCellMar>
          <w:top w:w="28" w:type="dxa"/>
          <w:left w:w="28" w:type="dxa"/>
          <w:bottom w:w="28" w:type="dxa"/>
          <w:right w:w="28" w:type="dxa"/>
        </w:tblCellMar>
      </w:tblPr>
      <w:tblGrid>
        <w:gridCol w:w="3511"/>
        <w:gridCol w:w="146"/>
        <w:gridCol w:w="327"/>
        <w:gridCol w:w="813"/>
        <w:gridCol w:w="271"/>
        <w:gridCol w:w="146"/>
        <w:gridCol w:w="314"/>
        <w:gridCol w:w="781"/>
        <w:gridCol w:w="516"/>
      </w:tblGrid>
      <w:t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 years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 years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 years</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 years</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components of lease cost from continuing operations included in the Company’s consolidated statements of operations, are as follows (in thousands): </w:t>
      </w:r>
    </w:p>
    <w:p>
      <w:pPr>
        <w:pStyle w:val="TextBody"/>
        <w:bidi w:val="0"/>
        <w:spacing w:lineRule="auto" w:line="273"/>
        <w:jc w:val="left"/>
      </w:pPr>
      <w:r>
        <w:t> </w:t>
      </w:r>
    </w:p>
    <w:tbl>
      <w:tblPr>
        <w:tblW w:w="9092" w:type="dxa"/>
        <w:jc w:val="left"/>
        <w:tblInd w:w="0" w:type="dxa"/>
        <w:tblLayout w:type="fixed"/>
        <w:tblCellMar>
          <w:top w:w="28" w:type="dxa"/>
          <w:left w:w="28" w:type="dxa"/>
          <w:bottom w:w="28" w:type="dxa"/>
          <w:right w:w="28" w:type="dxa"/>
        </w:tblCellMar>
      </w:tblPr>
      <w:tblGrid>
        <w:gridCol w:w="3111"/>
        <w:gridCol w:w="146"/>
        <w:gridCol w:w="379"/>
        <w:gridCol w:w="761"/>
        <w:gridCol w:w="150"/>
        <w:gridCol w:w="150"/>
        <w:gridCol w:w="379"/>
        <w:gridCol w:w="761"/>
        <w:gridCol w:w="146"/>
        <w:gridCol w:w="146"/>
        <w:gridCol w:w="307"/>
        <w:gridCol w:w="833"/>
        <w:gridCol w:w="146"/>
        <w:gridCol w:w="146"/>
        <w:gridCol w:w="307"/>
        <w:gridCol w:w="833"/>
        <w:gridCol w:w="391"/>
      </w:tblGrid>
      <w:t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1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402</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above table does not include an immaterial cost of short-term leases for the three and nine months ended September 30, 2026 and 2025.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Other lease information associated with continuing operations is as follows (in thousands): </w:t>
      </w:r>
    </w:p>
    <w:p>
      <w:pPr>
        <w:pStyle w:val="TextBody"/>
        <w:bidi w:val="0"/>
        <w:spacing w:lineRule="auto" w:line="273"/>
        <w:jc w:val="left"/>
      </w:pPr>
      <w:r>
        <w:t> </w:t>
      </w:r>
    </w:p>
    <w:tbl>
      <w:tblPr>
        <w:tblW w:w="9242" w:type="dxa"/>
        <w:jc w:val="left"/>
        <w:tblInd w:w="0" w:type="dxa"/>
        <w:tblLayout w:type="fixed"/>
        <w:tblCellMar>
          <w:top w:w="28" w:type="dxa"/>
          <w:left w:w="28" w:type="dxa"/>
          <w:bottom w:w="28" w:type="dxa"/>
          <w:right w:w="28" w:type="dxa"/>
        </w:tblCellMar>
      </w:tblPr>
      <w:tblGrid>
        <w:gridCol w:w="3261"/>
        <w:gridCol w:w="146"/>
        <w:gridCol w:w="379"/>
        <w:gridCol w:w="761"/>
        <w:gridCol w:w="150"/>
        <w:gridCol w:w="150"/>
        <w:gridCol w:w="379"/>
        <w:gridCol w:w="761"/>
        <w:gridCol w:w="146"/>
        <w:gridCol w:w="146"/>
        <w:gridCol w:w="307"/>
        <w:gridCol w:w="833"/>
        <w:gridCol w:w="146"/>
        <w:gridCol w:w="146"/>
        <w:gridCol w:w="307"/>
        <w:gridCol w:w="833"/>
        <w:gridCol w:w="391"/>
      </w:tblGrid>
      <w:t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Cash paid for amounts included in</w:t>
              <w:br/>
              <w:t>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26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w:t>
              <w:br/>
              <w:t>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1,495</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26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w:t>
              <w:br/>
              <w:t>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26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w:t>
              <w:br/>
              <w:t>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Non-cash transaction amounts of lease liabilities arising from obtaining right-of-use assets were $506 thousand and $1,170 thousand for the nine months ended September 30, 2026 and 2025, respectively.</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aggregate future lease payments for operating and finance leases as of September 30, 2026 are as follows (in thousands): </w:t>
      </w:r>
    </w:p>
    <w:p>
      <w:pPr>
        <w:pStyle w:val="TextBody"/>
        <w:bidi w:val="0"/>
        <w:spacing w:lineRule="auto" w:line="273" w:before="40" w:after="283"/>
        <w:jc w:val="left"/>
      </w:pPr>
      <w:r>
        <w:t> </w:t>
      </w:r>
    </w:p>
    <w:tbl>
      <w:tblPr>
        <w:tblW w:w="5362" w:type="dxa"/>
        <w:jc w:val="left"/>
        <w:tblInd w:w="0" w:type="dxa"/>
        <w:tblLayout w:type="fixed"/>
        <w:tblCellMar>
          <w:top w:w="28" w:type="dxa"/>
          <w:left w:w="28" w:type="dxa"/>
          <w:bottom w:w="28" w:type="dxa"/>
          <w:right w:w="28" w:type="dxa"/>
        </w:tblCellMar>
      </w:tblPr>
      <w:tblGrid>
        <w:gridCol w:w="2961"/>
        <w:gridCol w:w="146"/>
        <w:gridCol w:w="230"/>
        <w:gridCol w:w="626"/>
        <w:gridCol w:w="166"/>
        <w:gridCol w:w="146"/>
        <w:gridCol w:w="225"/>
        <w:gridCol w:w="451"/>
        <w:gridCol w:w="411"/>
      </w:tblGrid>
      <w:t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96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Present value of future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7. Accrued Expenses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Accrued expenses as of September 30, 2026 and December 31, 2025 are comprised of the following (in thousands): </w:t>
      </w:r>
    </w:p>
    <w:p>
      <w:pPr>
        <w:pStyle w:val="TextBody"/>
        <w:bidi w:val="0"/>
        <w:spacing w:lineRule="auto" w:line="273"/>
        <w:jc w:val="left"/>
      </w:pPr>
      <w:r>
        <w:t> </w:t>
      </w:r>
    </w:p>
    <w:tbl>
      <w:tblPr>
        <w:tblW w:w="6705" w:type="dxa"/>
        <w:jc w:val="left"/>
        <w:tblInd w:w="0" w:type="dxa"/>
        <w:tblLayout w:type="fixed"/>
        <w:tblCellMar>
          <w:top w:w="28" w:type="dxa"/>
          <w:left w:w="28" w:type="dxa"/>
          <w:bottom w:w="28" w:type="dxa"/>
          <w:right w:w="28" w:type="dxa"/>
        </w:tblCellMar>
      </w:tblPr>
      <w:tblGrid>
        <w:gridCol w:w="3841"/>
        <w:gridCol w:w="146"/>
        <w:gridCol w:w="307"/>
        <w:gridCol w:w="833"/>
        <w:gridCol w:w="146"/>
        <w:gridCol w:w="146"/>
        <w:gridCol w:w="294"/>
        <w:gridCol w:w="801"/>
        <w:gridCol w:w="191"/>
      </w:tblGrid>
      <w:t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8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Payroll, benefits and related taxes, excluding</w:t>
              <w:br/>
              <w:t>   severance benefits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8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Withholding tax attributable to intercompany</w:t>
              <w:br/>
              <w:t>   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8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Outside service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8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8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8. Derivative Financial Instruments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Korean subsidiary, Magnachip Semiconductor, Ltd., from time to time has entered into zero cost collar contracts to hedge the risk of changes in the functional-currency-equivalent cash flows attributable to currency rate changes on U.S. dollar denominated revenues.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Details of the zero cost collar contracts as of September 30, 2026 are as follows (in thousands): </w:t>
      </w:r>
    </w:p>
    <w:p>
      <w:pPr>
        <w:pStyle w:val="TextBody"/>
        <w:bidi w:val="0"/>
        <w:spacing w:lineRule="auto" w:line="273"/>
        <w:jc w:val="left"/>
      </w:pPr>
      <w:r>
        <w:t> </w:t>
      </w:r>
    </w:p>
    <w:tbl>
      <w:tblPr>
        <w:tblW w:w="6110" w:type="dxa"/>
        <w:jc w:val="left"/>
        <w:tblInd w:w="0" w:type="dxa"/>
        <w:tblLayout w:type="fixed"/>
        <w:tblCellMar>
          <w:top w:w="28" w:type="dxa"/>
          <w:left w:w="28" w:type="dxa"/>
          <w:bottom w:w="28" w:type="dxa"/>
          <w:right w:w="28" w:type="dxa"/>
        </w:tblCellMar>
      </w:tblPr>
      <w:tblGrid>
        <w:gridCol w:w="1741"/>
        <w:gridCol w:w="146"/>
        <w:gridCol w:w="271"/>
        <w:gridCol w:w="869"/>
        <w:gridCol w:w="146"/>
        <w:gridCol w:w="146"/>
        <w:gridCol w:w="2791"/>
      </w:tblGrid>
      <w:t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Date of 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Month of settlement</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October 2026 to December 2026</w:t>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November 07,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October 2026 to June 2027</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23,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2027 to September 2027</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Details of the zero cost collar contracts as of December 31, 2025 are as follows (in thousands): </w:t>
      </w:r>
    </w:p>
    <w:p>
      <w:pPr>
        <w:pStyle w:val="TextBody"/>
        <w:bidi w:val="0"/>
        <w:spacing w:lineRule="auto" w:line="273"/>
        <w:jc w:val="left"/>
      </w:pPr>
      <w:r>
        <w:t> </w:t>
      </w:r>
    </w:p>
    <w:tbl>
      <w:tblPr>
        <w:tblW w:w="6095" w:type="dxa"/>
        <w:jc w:val="left"/>
        <w:tblInd w:w="0" w:type="dxa"/>
        <w:tblLayout w:type="fixed"/>
        <w:tblCellMar>
          <w:top w:w="28" w:type="dxa"/>
          <w:left w:w="28" w:type="dxa"/>
          <w:bottom w:w="28" w:type="dxa"/>
          <w:right w:w="28" w:type="dxa"/>
        </w:tblCellMar>
      </w:tblPr>
      <w:tblGrid>
        <w:gridCol w:w="1741"/>
        <w:gridCol w:w="146"/>
        <w:gridCol w:w="271"/>
        <w:gridCol w:w="869"/>
        <w:gridCol w:w="146"/>
        <w:gridCol w:w="146"/>
        <w:gridCol w:w="2776"/>
      </w:tblGrid>
      <w:t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Date of 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Month of settlement</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February 03,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January 2026 to March 2026</w:t>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10,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2026 to June 2026</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17,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2026 to September 2026</w:t>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January 2026 to December 2026</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November 07,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April 2026 to June 2027</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fair values of the Company’s outstanding zero cost collar contracts recorded as assets and liabilities as of September 30, 2026 and December 31, 2025 are as follows (in thousands): </w:t>
      </w:r>
    </w:p>
    <w:p>
      <w:pPr>
        <w:pStyle w:val="TextBody"/>
        <w:bidi w:val="0"/>
        <w:spacing w:lineRule="auto" w:line="273"/>
        <w:jc w:val="left"/>
      </w:pPr>
      <w:r>
        <w:t> </w:t>
      </w:r>
    </w:p>
    <w:tbl>
      <w:tblPr>
        <w:tblW w:w="9092" w:type="dxa"/>
        <w:jc w:val="left"/>
        <w:tblInd w:w="0" w:type="dxa"/>
        <w:tblLayout w:type="fixed"/>
        <w:tblCellMar>
          <w:top w:w="28" w:type="dxa"/>
          <w:left w:w="28" w:type="dxa"/>
          <w:bottom w:w="28" w:type="dxa"/>
          <w:right w:w="28" w:type="dxa"/>
        </w:tblCellMar>
      </w:tblPr>
      <w:tblGrid>
        <w:gridCol w:w="3511"/>
        <w:gridCol w:w="146"/>
        <w:gridCol w:w="2371"/>
        <w:gridCol w:w="146"/>
        <w:gridCol w:w="307"/>
        <w:gridCol w:w="833"/>
        <w:gridCol w:w="146"/>
        <w:gridCol w:w="146"/>
        <w:gridCol w:w="294"/>
        <w:gridCol w:w="801"/>
        <w:gridCol w:w="391"/>
      </w:tblGrid>
      <w:t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Offsetting of derivative assets and liabilities as of September 30, 2026 is as follows (in thousands): </w:t>
      </w:r>
    </w:p>
    <w:p>
      <w:pPr>
        <w:pStyle w:val="TextBody"/>
        <w:bidi w:val="0"/>
        <w:spacing w:lineRule="auto" w:line="273"/>
        <w:jc w:val="left"/>
      </w:pPr>
      <w:r>
        <w:t> </w:t>
      </w:r>
    </w:p>
    <w:tbl>
      <w:tblPr>
        <w:tblW w:w="9744" w:type="dxa"/>
        <w:jc w:val="left"/>
        <w:tblInd w:w="0" w:type="dxa"/>
        <w:tblLayout w:type="fixed"/>
        <w:tblCellMar>
          <w:top w:w="28" w:type="dxa"/>
          <w:left w:w="28" w:type="dxa"/>
          <w:bottom w:w="28" w:type="dxa"/>
          <w:right w:w="28" w:type="dxa"/>
        </w:tblCellMar>
      </w:tblPr>
      <w:tblGrid>
        <w:gridCol w:w="1981"/>
        <w:gridCol w:w="146"/>
        <w:gridCol w:w="323"/>
        <w:gridCol w:w="877"/>
        <w:gridCol w:w="146"/>
        <w:gridCol w:w="146"/>
        <w:gridCol w:w="273"/>
        <w:gridCol w:w="448"/>
        <w:gridCol w:w="146"/>
        <w:gridCol w:w="146"/>
        <w:gridCol w:w="326"/>
        <w:gridCol w:w="889"/>
        <w:gridCol w:w="146"/>
        <w:gridCol w:w="146"/>
        <w:gridCol w:w="358"/>
        <w:gridCol w:w="588"/>
        <w:gridCol w:w="199"/>
        <w:gridCol w:w="199"/>
        <w:gridCol w:w="301"/>
        <w:gridCol w:w="495"/>
        <w:gridCol w:w="146"/>
        <w:gridCol w:w="146"/>
        <w:gridCol w:w="211"/>
        <w:gridCol w:w="571"/>
        <w:gridCol w:w="391"/>
      </w:tblGrid>
      <w:t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amounts</w:t>
              <w:br/>
              <w:t>offset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amounts of</w:t>
              <w:br/>
              <w:t>assets/liabilities</w:t>
              <w:br/>
              <w:t>presented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 amounts not offset</w:t>
              <w:br/>
              <w:t>in the 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9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As of 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amounts of </w:t>
              <w:br/>
              <w:t xml:space="preserve">recognized </w:t>
              <w:br/>
              <w:t>assets/liabilities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the</w:t>
              <w:br/>
              <w:t>balance</w:t>
              <w:br/>
              <w:t>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the</w:t>
              <w:br/>
              <w:t>balance</w:t>
              <w:br/>
              <w:t>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Financial</w:t>
              <w:br/>
              <w:t>instruments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Cash</w:t>
              <w:br/>
              <w:t>collateral</w:t>
              <w:br/>
              <w:t>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1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1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Offsetting of derivative assets and liabilities as of December 31, 2025 is as follows (in thousands): </w:t>
      </w:r>
    </w:p>
    <w:p>
      <w:pPr>
        <w:pStyle w:val="TextBody"/>
        <w:bidi w:val="0"/>
        <w:spacing w:lineRule="auto" w:line="273"/>
        <w:ind w:left="0" w:right="0" w:firstLine="490"/>
        <w:jc w:val="left"/>
      </w:pPr>
      <w:r>
        <w:t> </w:t>
      </w:r>
    </w:p>
    <w:tbl>
      <w:tblPr>
        <w:tblW w:w="9409" w:type="dxa"/>
        <w:jc w:val="left"/>
        <w:tblInd w:w="0" w:type="dxa"/>
        <w:tblLayout w:type="fixed"/>
        <w:tblCellMar>
          <w:top w:w="28" w:type="dxa"/>
          <w:left w:w="28" w:type="dxa"/>
          <w:bottom w:w="28" w:type="dxa"/>
          <w:right w:w="28" w:type="dxa"/>
        </w:tblCellMar>
      </w:tblPr>
      <w:tblGrid>
        <w:gridCol w:w="1936"/>
        <w:gridCol w:w="146"/>
        <w:gridCol w:w="247"/>
        <w:gridCol w:w="668"/>
        <w:gridCol w:w="146"/>
        <w:gridCol w:w="146"/>
        <w:gridCol w:w="273"/>
        <w:gridCol w:w="448"/>
        <w:gridCol w:w="146"/>
        <w:gridCol w:w="146"/>
        <w:gridCol w:w="274"/>
        <w:gridCol w:w="746"/>
        <w:gridCol w:w="146"/>
        <w:gridCol w:w="146"/>
        <w:gridCol w:w="358"/>
        <w:gridCol w:w="588"/>
        <w:gridCol w:w="165"/>
        <w:gridCol w:w="165"/>
        <w:gridCol w:w="239"/>
        <w:gridCol w:w="716"/>
        <w:gridCol w:w="166"/>
        <w:gridCol w:w="146"/>
        <w:gridCol w:w="220"/>
        <w:gridCol w:w="441"/>
        <w:gridCol w:w="591"/>
      </w:tblGrid>
      <w:t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amounts of</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amounts</w:t>
              <w:br/>
              <w:t>offset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amounts</w:t>
              <w:br/>
              <w:t>of assets/</w:t>
              <w:br/>
              <w:t>liabilities</w:t>
              <w:br/>
              <w:t>presented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 amounts not offset</w:t>
              <w:br/>
              <w:t>in the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9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recognized</w:t>
              <w:br/>
              <w:t>assets/</w:t>
              <w:b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the</w:t>
              <w:br/>
              <w:t>balance</w:t>
              <w:br/>
              <w:t>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the</w:t>
              <w:br/>
              <w:t>balance</w:t>
              <w:br/>
              <w:t>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Financial</w:t>
              <w:br/>
              <w:t>instruments</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Cash</w:t>
              <w:br/>
              <w:t>collateral</w:t>
              <w:br/>
              <w:t>pledged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6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193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Liability Derivatives: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6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193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impact of derivative instruments on the consolidated statements of operations for the three months ended September 30, 2026 and 2025 (in thousands): </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2619"/>
        <w:gridCol w:w="146"/>
        <w:gridCol w:w="196"/>
        <w:gridCol w:w="511"/>
        <w:gridCol w:w="146"/>
        <w:gridCol w:w="146"/>
        <w:gridCol w:w="196"/>
        <w:gridCol w:w="571"/>
        <w:gridCol w:w="166"/>
        <w:gridCol w:w="146"/>
        <w:gridCol w:w="557"/>
        <w:gridCol w:w="146"/>
        <w:gridCol w:w="203"/>
        <w:gridCol w:w="452"/>
        <w:gridCol w:w="172"/>
        <w:gridCol w:w="151"/>
        <w:gridCol w:w="203"/>
        <w:gridCol w:w="358"/>
        <w:gridCol w:w="146"/>
        <w:gridCol w:w="146"/>
        <w:gridCol w:w="991"/>
        <w:gridCol w:w="146"/>
        <w:gridCol w:w="209"/>
        <w:gridCol w:w="370"/>
        <w:gridCol w:w="177"/>
        <w:gridCol w:w="156"/>
        <w:gridCol w:w="209"/>
        <w:gridCol w:w="370"/>
        <w:gridCol w:w="200"/>
      </w:tblGrid>
      <w:tr>
        <w:tc>
          <w:tcPr>
            <w:tcW w:w="2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c>
          <w:tcPr>
            <w:tcW w:w="26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Derivatives in ASC 815 Cash Flow Hedging Relationships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 of Gain</w:t>
              <w:br/>
              <w:t>(Loss)</w:t>
              <w:br/>
              <w:t>Recognized in AOCI</w:t>
              <w:br/>
              <w:t>on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42"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Location/Amount of</w:t>
              <w:br/>
              <w:t>Loss</w:t>
              <w:br/>
              <w:t>Reclassified from AOCI Into</w:t>
              <w:br/>
              <w:t>Statement of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28"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Location/Amount of</w:t>
              <w:br/>
              <w:t>Loss</w:t>
              <w:br/>
              <w:t>Recognized in Statement of</w:t>
              <w:br/>
              <w:t>Operations on Derivatives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3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9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Zero cost collars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(444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6,839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(444</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impact of derivative instruments on the consolidated statements of operations for the nine months ended September 30, 2026 and 2025 (in thousands): </w:t>
      </w:r>
    </w:p>
    <w:p>
      <w:pPr>
        <w:pStyle w:val="TextBody"/>
        <w:bidi w:val="0"/>
        <w:spacing w:lineRule="auto" w:line="273" w:before="40" w:after="283"/>
        <w:ind w:left="0" w:right="0" w:firstLine="490"/>
        <w:jc w:val="left"/>
      </w:pPr>
      <w:r>
        <w:t> </w:t>
      </w:r>
    </w:p>
    <w:tbl>
      <w:tblPr>
        <w:tblW w:w="10205" w:type="dxa"/>
        <w:jc w:val="left"/>
        <w:tblInd w:w="0" w:type="dxa"/>
        <w:tblLayout w:type="fixed"/>
        <w:tblCellMar>
          <w:top w:w="28" w:type="dxa"/>
          <w:left w:w="28" w:type="dxa"/>
          <w:bottom w:w="28" w:type="dxa"/>
          <w:right w:w="28" w:type="dxa"/>
        </w:tblCellMar>
      </w:tblPr>
      <w:tblGrid>
        <w:gridCol w:w="2646"/>
        <w:gridCol w:w="146"/>
        <w:gridCol w:w="196"/>
        <w:gridCol w:w="513"/>
        <w:gridCol w:w="146"/>
        <w:gridCol w:w="146"/>
        <w:gridCol w:w="196"/>
        <w:gridCol w:w="377"/>
        <w:gridCol w:w="146"/>
        <w:gridCol w:w="146"/>
        <w:gridCol w:w="559"/>
        <w:gridCol w:w="146"/>
        <w:gridCol w:w="196"/>
        <w:gridCol w:w="571"/>
        <w:gridCol w:w="166"/>
        <w:gridCol w:w="146"/>
        <w:gridCol w:w="196"/>
        <w:gridCol w:w="436"/>
        <w:gridCol w:w="166"/>
        <w:gridCol w:w="146"/>
        <w:gridCol w:w="997"/>
        <w:gridCol w:w="146"/>
        <w:gridCol w:w="203"/>
        <w:gridCol w:w="390"/>
        <w:gridCol w:w="151"/>
        <w:gridCol w:w="151"/>
        <w:gridCol w:w="203"/>
        <w:gridCol w:w="359"/>
        <w:gridCol w:w="219"/>
      </w:tblGrid>
      <w:t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2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Derivatives in ASC 815 Cash Flow Hedging Relationships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7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 of Gain</w:t>
              <w:br/>
              <w:t>Recognized in AOCI</w:t>
              <w:br/>
              <w:t>on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416"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Location/Amount of</w:t>
              <w:br/>
              <w:t>Loss</w:t>
              <w:br/>
              <w:t>Reclassified from AOCI</w:t>
              <w:br/>
              <w:t>Into Statement of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600"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Location/Amount of Gain</w:t>
              <w:br/>
              <w:t>(Loss)</w:t>
              <w:br/>
              <w:t>Recognized in Statement of</w:t>
              <w:br/>
              <w:t>Operations on Derivatives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57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71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7"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5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7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7"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Zero cost collars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c>
          <w:tcPr>
            <w:tcW w:w="26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lineRule="auto" w:line="273" w:before="40" w:after="283"/>
        <w:ind w:left="0" w:right="0" w:firstLine="490"/>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As of September 30, 2026, the amount expected to be reclassified from accumulated other comprehensive income into earnings within the next 12 months is $2,930 thousand.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Company is required to deposit additional cash collateral with Nomura Financial Investment (Korea) Co., Ltd. (“NFIK”) for any exposure in excess of $500 thousand, but no such exposure existed as of September 30, 2026. As of December 31, 2025, $1,200 thousand of additional cash collateral were required by NFIK and recorded as hedge collateral on the consolidated balance sheet.</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9. Fair Value Measurements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September 30, 2026, the following table represents the Company’s assets and liabilities measured at fair value on a recurring basis and the basis for that measurement (in thousands): </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2364"/>
        <w:gridCol w:w="146"/>
        <w:gridCol w:w="402"/>
        <w:gridCol w:w="1089"/>
        <w:gridCol w:w="146"/>
        <w:gridCol w:w="146"/>
        <w:gridCol w:w="406"/>
        <w:gridCol w:w="1102"/>
        <w:gridCol w:w="146"/>
        <w:gridCol w:w="146"/>
        <w:gridCol w:w="327"/>
        <w:gridCol w:w="780"/>
        <w:gridCol w:w="146"/>
        <w:gridCol w:w="146"/>
        <w:gridCol w:w="251"/>
        <w:gridCol w:w="680"/>
        <w:gridCol w:w="146"/>
        <w:gridCol w:w="146"/>
        <w:gridCol w:w="325"/>
        <w:gridCol w:w="771"/>
        <w:gridCol w:w="394"/>
      </w:tblGrid>
      <w:tr>
        <w:tc>
          <w:tcPr>
            <w:tcW w:w="2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2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Carrying</w:t>
              <w:br/>
              <w:t xml:space="preserve">Value </w:t>
              <w:b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br/>
              <w:t>Measurement</w:t>
              <w:b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Asset/Liability</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0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364"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assets</w:t>
              <w:br/>
              <w:t>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3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0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364"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liabilities</w:t>
              <w:br/>
              <w:t>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the following table represents the Company’s assets and liabilities measured at fair value on a recurring basis and the basis for that measurement (in thousands): </w:t>
      </w:r>
    </w:p>
    <w:p>
      <w:pPr>
        <w:pStyle w:val="TextBody"/>
        <w:bidi w:val="0"/>
        <w:spacing w:lineRule="auto" w:line="273"/>
        <w:ind w:left="0" w:right="0" w:firstLine="490"/>
        <w:jc w:val="left"/>
      </w:pPr>
      <w:r>
        <w:t> </w:t>
      </w:r>
    </w:p>
    <w:tbl>
      <w:tblPr>
        <w:tblW w:w="10205" w:type="dxa"/>
        <w:jc w:val="left"/>
        <w:tblInd w:w="0" w:type="dxa"/>
        <w:tblLayout w:type="fixed"/>
        <w:tblCellMar>
          <w:top w:w="28" w:type="dxa"/>
          <w:left w:w="28" w:type="dxa"/>
          <w:bottom w:w="28" w:type="dxa"/>
          <w:right w:w="28" w:type="dxa"/>
        </w:tblCellMar>
      </w:tblPr>
      <w:tblGrid>
        <w:gridCol w:w="2406"/>
        <w:gridCol w:w="146"/>
        <w:gridCol w:w="394"/>
        <w:gridCol w:w="1072"/>
        <w:gridCol w:w="146"/>
        <w:gridCol w:w="146"/>
        <w:gridCol w:w="398"/>
        <w:gridCol w:w="1080"/>
        <w:gridCol w:w="146"/>
        <w:gridCol w:w="146"/>
        <w:gridCol w:w="331"/>
        <w:gridCol w:w="788"/>
        <w:gridCol w:w="146"/>
        <w:gridCol w:w="146"/>
        <w:gridCol w:w="251"/>
        <w:gridCol w:w="680"/>
        <w:gridCol w:w="146"/>
        <w:gridCol w:w="146"/>
        <w:gridCol w:w="325"/>
        <w:gridCol w:w="771"/>
        <w:gridCol w:w="395"/>
      </w:tblGrid>
      <w:t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Carrying</w:t>
              <w:br/>
              <w:t xml:space="preserve">Value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br/>
              <w:t>Measurement</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Asset/Liability</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7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40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assets</w:t>
              <w:br/>
              <w:t>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4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7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40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liabilities</w:t>
              <w:br/>
              <w:t>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240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Derivative liabilities</w:t>
              <w:br/>
              <w:t>   (Other non-current</w:t>
              <w:br/>
              <w: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before="40" w:after="283"/>
        <w:ind w:left="0" w:right="0" w:firstLine="490"/>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The carrying value of the Company’s outstanding Term Loan and CAPEX Loan approximates its fair value because its interest rate reflects the market rate for the respective periods. The fair value of this debt is categorized within Level 2 of the fair value hierarchy.</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10. Accrued Severance Benefits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2026, 97% of all employees of the Company were eligible for severance benefits.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Changes in accrued severance benefits are as follows (in thousands): </w:t>
      </w:r>
    </w:p>
    <w:p>
      <w:pPr>
        <w:pStyle w:val="TextBody"/>
        <w:bidi w:val="0"/>
        <w:spacing w:lineRule="auto" w:line="273"/>
        <w:jc w:val="left"/>
      </w:pPr>
      <w:r>
        <w:t> </w:t>
      </w:r>
    </w:p>
    <w:tbl>
      <w:tblPr>
        <w:tblW w:w="10089" w:type="dxa"/>
        <w:jc w:val="left"/>
        <w:tblInd w:w="0" w:type="dxa"/>
        <w:tblLayout w:type="fixed"/>
        <w:tblCellMar>
          <w:top w:w="28" w:type="dxa"/>
          <w:left w:w="28" w:type="dxa"/>
          <w:bottom w:w="28" w:type="dxa"/>
          <w:right w:w="28" w:type="dxa"/>
        </w:tblCellMar>
      </w:tblPr>
      <w:tblGrid>
        <w:gridCol w:w="2356"/>
        <w:gridCol w:w="146"/>
        <w:gridCol w:w="367"/>
        <w:gridCol w:w="1238"/>
        <w:gridCol w:w="166"/>
        <w:gridCol w:w="146"/>
        <w:gridCol w:w="346"/>
        <w:gridCol w:w="1169"/>
        <w:gridCol w:w="166"/>
        <w:gridCol w:w="146"/>
        <w:gridCol w:w="367"/>
        <w:gridCol w:w="1238"/>
        <w:gridCol w:w="166"/>
        <w:gridCol w:w="146"/>
        <w:gridCol w:w="346"/>
        <w:gridCol w:w="1169"/>
        <w:gridCol w:w="411"/>
      </w:tblGrid>
      <w:t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3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3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36,089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37,060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41,581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45,594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Provisions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2,868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Severance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(10,669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42,056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42,056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40,091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40,091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Less: Cumulative contributions</w:t>
              <w:br/>
              <w:t>   to severance insurance</w:t>
              <w:br/>
              <w:t>   deposit accounts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(27,610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(27,610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(25,859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(25,859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235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The National Pension Fund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2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Accrued severance benefits,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severance benefits funded through the Company’s National Pension Fund have been and will be used exclusively for payment of severance benefits to eligible employees. These amounts have been deducted from the accrued severance benefit balance.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Beginning in July 2018, the Company contributes to certain severance insurance deposit accounts a certain percentage of severance benefits that are accrued for eligible employees for their services from January 1, 2018 pursuant to the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liable to pay the following future benefits to its non-executive employees upon their normal retirement age (in thousands): </w:t>
      </w:r>
    </w:p>
    <w:p>
      <w:pPr>
        <w:pStyle w:val="TextBody"/>
        <w:bidi w:val="0"/>
        <w:spacing w:lineRule="auto" w:line="273"/>
        <w:jc w:val="left"/>
      </w:pPr>
      <w:r>
        <w:t> </w:t>
      </w:r>
    </w:p>
    <w:tbl>
      <w:tblPr>
        <w:tblW w:w="2380" w:type="dxa"/>
        <w:jc w:val="left"/>
        <w:tblInd w:w="0" w:type="dxa"/>
        <w:tblLayout w:type="fixed"/>
        <w:tblCellMar>
          <w:top w:w="28" w:type="dxa"/>
          <w:left w:w="28" w:type="dxa"/>
          <w:bottom w:w="28" w:type="dxa"/>
          <w:right w:w="28" w:type="dxa"/>
        </w:tblCellMar>
      </w:tblPr>
      <w:tblGrid>
        <w:gridCol w:w="1156"/>
        <w:gridCol w:w="146"/>
        <w:gridCol w:w="211"/>
        <w:gridCol w:w="676"/>
        <w:gridCol w:w="191"/>
      </w:tblGrid>
      <w:t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Severance</w:t>
              <w:br/>
              <w:t>benefit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2032 – 2037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18,391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Korea’s mandatory retirement age is 60 years of age or older under the Employment Promotion for the Aged Act. The Company sets the retirement age of employees at 60.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11. Borrowings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Borrowings as of September 30, 2026 and December 31, 2025 are as follows (in thousands):</w:t>
      </w:r>
    </w:p>
    <w:p>
      <w:pPr>
        <w:pStyle w:val="TextBody"/>
        <w:bidi w:val="0"/>
        <w:spacing w:lineRule="auto" w:line="273"/>
        <w:jc w:val="left"/>
      </w:pPr>
      <w:r>
        <w:t> </w:t>
      </w:r>
    </w:p>
    <w:tbl>
      <w:tblPr>
        <w:tblW w:w="6895" w:type="dxa"/>
        <w:jc w:val="left"/>
        <w:tblInd w:w="0" w:type="dxa"/>
        <w:tblLayout w:type="fixed"/>
        <w:tblCellMar>
          <w:top w:w="28" w:type="dxa"/>
          <w:left w:w="28" w:type="dxa"/>
          <w:bottom w:w="28" w:type="dxa"/>
          <w:right w:w="28" w:type="dxa"/>
        </w:tblCellMar>
      </w:tblPr>
      <w:tblGrid>
        <w:gridCol w:w="3811"/>
        <w:gridCol w:w="146"/>
        <w:gridCol w:w="254"/>
        <w:gridCol w:w="886"/>
        <w:gridCol w:w="166"/>
        <w:gridCol w:w="146"/>
        <w:gridCol w:w="260"/>
        <w:gridCol w:w="835"/>
        <w:gridCol w:w="391"/>
      </w:tblGrid>
      <w:t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Term Loan due March 2027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27,877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CAPEX Loans due June 2035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44,599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current portion of long-term borrowings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Long-term borrowings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64" w:before="160" w:after="283"/>
        <w:jc w:val="left"/>
        <w:rPr>
          <w:rFonts w:ascii="Times New Roman" w:hAnsi="Times New Roman"/>
          <w:b/>
          <w:i/>
          <w:color w:val="000000"/>
          <w:sz w:val="20"/>
        </w:rPr>
      </w:pPr>
      <w:r>
        <w:rPr>
          <w:rFonts w:ascii="Times New Roman" w:hAnsi="Times New Roman"/>
          <w:b/>
          <w:i/>
          <w:color w:val="000000"/>
          <w:sz w:val="20"/>
        </w:rPr>
        <w:t>Term Loan</w:t>
      </w:r>
    </w:p>
    <w:p>
      <w:pPr>
        <w:pStyle w:val="TextBody"/>
        <w:bidi w:val="0"/>
        <w:spacing w:lineRule="auto" w:line="264" w:before="120" w:after="283"/>
        <w:ind w:left="0" w:right="0" w:firstLine="490"/>
        <w:jc w:val="left"/>
        <w:rPr>
          <w:rFonts w:ascii="Times New Roman" w:hAnsi="Times New Roman"/>
          <w:color w:val="000000"/>
          <w:sz w:val="20"/>
        </w:rPr>
      </w:pPr>
      <w:r>
        <w:rPr>
          <w:rFonts w:ascii="Times New Roman" w:hAnsi="Times New Roman"/>
          <w:color w:val="000000"/>
          <w:sz w:val="20"/>
        </w:rPr>
        <w:t>On March 26, 2024, Magnachip Semiconductor, Ltd., a Korean limited liability company and indirect wholly owned subsidiary of the Company (“MSK”),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The Loan Agreement provides for a working capital term loan (the “Term Loan”) of KRW 40,000,000,000 ($29,835 thousand based on the KRW/USD exchange rate of 1,340.7:1 as of March 26, 2024 as quoted by KEB Hana Bank), which was funded in full to MSK on March 26, 2024.</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As of September 30, 2026, $29,446 thousand aggregate principal amount of the Term Loan was outstanding, bearing interest at a variable rate of 4.13% per annum as of that date.</w:t>
      </w:r>
    </w:p>
    <w:p>
      <w:pPr>
        <w:pStyle w:val="TextBody"/>
        <w:bidi w:val="0"/>
        <w:spacing w:lineRule="auto" w:line="264" w:before="360" w:after="283"/>
        <w:jc w:val="left"/>
        <w:rPr>
          <w:rFonts w:ascii="Times New Roman" w:hAnsi="Times New Roman"/>
          <w:sz w:val="20"/>
        </w:rPr>
      </w:pPr>
      <w:r>
        <w:rPr>
          <w:rFonts w:ascii="Times New Roman" w:hAnsi="Times New Roman"/>
          <w:b/>
          <w:i/>
          <w:color w:val="000000"/>
          <w:sz w:val="20"/>
        </w:rPr>
        <w:t>CAPEX Loans</w:t>
      </w:r>
      <w:r>
        <w:rPr>
          <w:rFonts w:ascii="Times New Roman" w:hAnsi="Times New Roman"/>
          <w:color w:val="000000"/>
          <w:sz w:val="20"/>
        </w:rPr>
        <w:t xml:space="preserve"> </w:t>
      </w:r>
    </w:p>
    <w:p>
      <w:pPr>
        <w:pStyle w:val="TextBody"/>
        <w:bidi w:val="0"/>
        <w:spacing w:lineRule="auto" w:line="264" w:before="120" w:after="283"/>
        <w:ind w:left="0" w:right="0" w:firstLine="490"/>
        <w:jc w:val="left"/>
        <w:rPr>
          <w:rFonts w:ascii="Times New Roman" w:hAnsi="Times New Roman"/>
          <w:color w:val="000000"/>
          <w:sz w:val="20"/>
        </w:rPr>
      </w:pPr>
      <w:r>
        <w:rPr>
          <w:rFonts w:ascii="Times New Roman" w:hAnsi="Times New Roman"/>
          <w:color w:val="000000"/>
          <w:sz w:val="20"/>
        </w:rPr>
        <w:t>On December 16, 2024, MSK executed a Standard Credit Agreement (as amended) (together with its General Terms and Conditions, the “Equipment Financing Credit Agreement”) with KDB. In connection with the Equipment Financing Credit Agreement, on December 8, 2024, MSK also amended the 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in Gumi, Korea (“Fab 3 machinery and equipment”).</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Equipment Financing Credit Agreement provides for loans for MSK’s capital expenditures (the “CAPEX Loans”) up to an aggregate of KRW 38,000,000,000 ($26,523 thousand based on the KRW/USD exchange rate of 1,432.7:1 as of December 16, 2024 as quoted by KEB Hana Bank), which have been and will be funded directly to capital expenditure supply vendors by KDB upon the submission of a request form by MSK with the necessary evidence such as purchase agreement, invoice and other documentation, as applicable.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CAPEX Loans bear interest at a fixed rate quoted by the treasury bond market yield (a six-year Korea treasury bill rate). The CAPEX Loans mature in ten years from the initial loan disbursement date (the “Maturity Date”), with an initial two-year (measured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the CAPEX Loans and customary terms and conditions for a secured equipment financing loan of this type in Korea. All obligations of MSK under the Equipment Financing Credit Agreement and the CAPEX Loans are secured by certain Fab 3 machinery and equipment pursuant to the Equipment Pledge Agreement.</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2025, under its existing Equipment Financing Credit Agreement with KDB, MSK entered into three CAPEX Loans in the aggregate principal amount of KRW 23,995,000,000, consisting of (i) KRW 9,520,000,000 on June 26, 2025, (ii) KRW 5,075,000,000 on September 26, 2025, and (iii) KRW 9,400,000,000 on December 30, 2025 ($17,664 thousand in the aggregate based on the KRW/USD exchange rate of 1,358.4:1 as of September 30, 2026, as quoted by KEB Hana Bank). The CAPEX Loans bear a weighted average interest rate of 2.91% per annum and mature on June 26, 2035.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As of September 30, 2026, the aggregate principal amount outstanding under the CAPEX Loans was $17,664 thousand, and the scheduled principal repayment amounts are as follows (in thousands):</w:t>
      </w:r>
    </w:p>
    <w:p>
      <w:pPr>
        <w:pStyle w:val="TextBody"/>
        <w:bidi w:val="0"/>
        <w:spacing w:lineRule="auto" w:line="273"/>
        <w:jc w:val="left"/>
      </w:pPr>
      <w:r>
        <w:t> </w:t>
      </w:r>
    </w:p>
    <w:tbl>
      <w:tblPr>
        <w:tblW w:w="3009" w:type="dxa"/>
        <w:jc w:val="left"/>
        <w:tblInd w:w="0" w:type="dxa"/>
        <w:tblLayout w:type="fixed"/>
        <w:tblCellMar>
          <w:top w:w="28" w:type="dxa"/>
          <w:left w:w="28" w:type="dxa"/>
          <w:bottom w:w="28" w:type="dxa"/>
          <w:right w:w="28" w:type="dxa"/>
        </w:tblCellMar>
      </w:tblPr>
      <w:tblGrid>
        <w:gridCol w:w="1681"/>
        <w:gridCol w:w="146"/>
        <w:gridCol w:w="267"/>
        <w:gridCol w:w="724"/>
        <w:gridCol w:w="191"/>
      </w:tblGrid>
      <w:t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Principal</w:t>
              <w:br/>
              <w:t>Repayments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6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6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6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2031 – 2035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160" w:after="283"/>
        <w:jc w:val="left"/>
        <w:rPr>
          <w:rFonts w:ascii="Times New Roman" w:hAnsi="Times New Roman"/>
          <w:b/>
          <w:color w:val="000000"/>
          <w:sz w:val="20"/>
        </w:rPr>
      </w:pPr>
      <w:r>
        <w:rPr>
          <w:rFonts w:ascii="Times New Roman" w:hAnsi="Times New Roman"/>
          <w:b/>
          <w:color w:val="000000"/>
          <w:sz w:val="20"/>
        </w:rPr>
        <w:t>12. Early Termination and Other Charges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the three months ended September 30, 2026, the Company recorded $1,921 thousand of other charges in its consolidated statement of operations, consisting of $601 thousand in tax-related charges and $1,320 thousand of costs associated with the electrical substation upgrade in its Gumi fabrication facility. For the nine months ended September 30, 2026, the Company recorded $3,902 thousand of other charges, which also included a $1,095 thousand customer goodwill payment related to a certain product, and $886 thousand of one-time employee incentives recorded in the first half of 2026.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the three months ended September 30, 2025, the Company recorded $2,599 thousand of termination-related charges in connection with the voluntary resignation program and $1,395 thousand of certain executive separation benefits in its consolidated statement of operations. For the nine months ended September 30, 2025, the Company recorded $4,840 thousand of other charges, which also included $350 thousand of certain executive separation benefits and $496 thousand of one-time employee incentives recorded in the first half of 2025.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13. Foreign Currency Gain, Net</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foreign currency gain or loss includes non-cash translation gain or loss associated with intercompany balances. A substantial portion of the Company’s net foreign currency gain or loss is non-cash translation gain or loss associated with intercompany long-term loans to MSK, the Company’s Korean subsidiary. The loans are denominated in U.S. dollars and are affected by changes in the exchange rate between the Korean won and the U.S. dollar. As of September 30, 2026 and December 31, 2025, the outstanding intercompany loan balances including accrued interest between MSK and the Dutch subsidiary were $77,906 thousand and $75,063 thousand, respectively. The Korean won to U.S. dollar exchange rates were 1,358.4:1 and 1,434.9:1 using the first base rate as of September 30, 2026 and December 31, 2025, respectively, as quoted by the KEB Hana Bank.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Company and its subsidiaries file income tax returns in Korea, Japan, Taiwan, the U.S. and in various other jurisdictions. The Company is subject to income or non-income tax examinations by tax authorities of these jurisdictions for all open tax years.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For the three and nine months ended September 30, 2026, the Company recorded an income tax expense of $4,871 thousand and $977 thousand, primarily related to the partial disallowance of prior-year net operating loss (“NOL”) carryforwards of its primary operating entity in Korea following a Korean tax audit, due to differences in the interpretation of applicable tax laws. This resulted in a $6,399 thousand reduction in deferred tax assets and a corresponding increase in income tax expense in the third quarter of 2026, which was partially offset by an income tax benefit associated with the estimated taxable loss of its Korean subsidiary for the nine-month period.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For the three and nine months ended September 30, 2025, the Company recorded an income tax benefit of $4,170 thousand and $8,709 thousand, primarily related to its primary operating entity in Korea based on the estimated taxable loss for the respective period, including loss recognized in connection with the shutdown of the discontinued Display business during the second quarter of 2025.</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15. Geographic and Other Information</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operates within a single operating segment, Power Solutions business, which consists of the Power Analog Solutions and Power IC businesses.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Chief Executive Officer, as the chief operating decision maker (“CODM”), organizes the Company and measures performance of two business lines of Power Analog Solutions and Power IC in the Power Solutions business at the level of revenue and gross profit margin by comparing actual results against previously forecasted targets.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The Company’s CODM does not evaluate the performance of each business line using any other information, such as asset or liability.</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sets forth information relating to the operating segment, Power Solutions business (in thousands). For financial information below gross profit, including operating income and expenses as well as other income and expenses, please refer to the Company’s consolidated statements of operations. </w:t>
      </w:r>
    </w:p>
    <w:p>
      <w:pPr>
        <w:pStyle w:val="TextBody"/>
        <w:bidi w:val="0"/>
        <w:spacing w:lineRule="auto" w:line="273"/>
        <w:jc w:val="left"/>
      </w:pPr>
      <w:r>
        <w:t> </w:t>
      </w:r>
    </w:p>
    <w:tbl>
      <w:tblPr>
        <w:tblW w:w="8659" w:type="dxa"/>
        <w:jc w:val="left"/>
        <w:tblInd w:w="0" w:type="dxa"/>
        <w:tblLayout w:type="fixed"/>
        <w:tblCellMar>
          <w:top w:w="28" w:type="dxa"/>
          <w:left w:w="28" w:type="dxa"/>
          <w:bottom w:w="28" w:type="dxa"/>
          <w:right w:w="28" w:type="dxa"/>
        </w:tblCellMar>
      </w:tblPr>
      <w:tblGrid>
        <w:gridCol w:w="2486"/>
        <w:gridCol w:w="146"/>
        <w:gridCol w:w="271"/>
        <w:gridCol w:w="869"/>
        <w:gridCol w:w="146"/>
        <w:gridCol w:w="146"/>
        <w:gridCol w:w="271"/>
        <w:gridCol w:w="869"/>
        <w:gridCol w:w="146"/>
        <w:gridCol w:w="146"/>
        <w:gridCol w:w="242"/>
        <w:gridCol w:w="898"/>
        <w:gridCol w:w="146"/>
        <w:gridCol w:w="146"/>
        <w:gridCol w:w="242"/>
        <w:gridCol w:w="898"/>
        <w:gridCol w:w="591"/>
      </w:tblGrid>
      <w:t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39,636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121,857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123,666</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138,290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tbl>
      <w:tblPr>
        <w:tblW w:w="8659" w:type="dxa"/>
        <w:jc w:val="left"/>
        <w:tblInd w:w="0" w:type="dxa"/>
        <w:tblLayout w:type="fixed"/>
        <w:tblCellMar>
          <w:top w:w="28" w:type="dxa"/>
          <w:left w:w="28" w:type="dxa"/>
          <w:bottom w:w="28" w:type="dxa"/>
          <w:right w:w="28" w:type="dxa"/>
        </w:tblCellMar>
      </w:tblPr>
      <w:tblGrid>
        <w:gridCol w:w="2486"/>
        <w:gridCol w:w="146"/>
        <w:gridCol w:w="271"/>
        <w:gridCol w:w="869"/>
        <w:gridCol w:w="146"/>
        <w:gridCol w:w="146"/>
        <w:gridCol w:w="271"/>
        <w:gridCol w:w="869"/>
        <w:gridCol w:w="146"/>
        <w:gridCol w:w="146"/>
        <w:gridCol w:w="242"/>
        <w:gridCol w:w="898"/>
        <w:gridCol w:w="146"/>
        <w:gridCol w:w="146"/>
        <w:gridCol w:w="242"/>
        <w:gridCol w:w="898"/>
        <w:gridCol w:w="591"/>
      </w:tblGrid>
      <w:t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35,412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105,323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102,215</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110,675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tbl>
      <w:tblPr>
        <w:tblW w:w="8659" w:type="dxa"/>
        <w:jc w:val="left"/>
        <w:tblInd w:w="0" w:type="dxa"/>
        <w:tblLayout w:type="fixed"/>
        <w:tblCellMar>
          <w:top w:w="28" w:type="dxa"/>
          <w:left w:w="28" w:type="dxa"/>
          <w:bottom w:w="28" w:type="dxa"/>
          <w:right w:w="28" w:type="dxa"/>
        </w:tblCellMar>
      </w:tblPr>
      <w:tblGrid>
        <w:gridCol w:w="2486"/>
        <w:gridCol w:w="146"/>
        <w:gridCol w:w="307"/>
        <w:gridCol w:w="833"/>
        <w:gridCol w:w="146"/>
        <w:gridCol w:w="146"/>
        <w:gridCol w:w="307"/>
        <w:gridCol w:w="833"/>
        <w:gridCol w:w="146"/>
        <w:gridCol w:w="146"/>
        <w:gridCol w:w="271"/>
        <w:gridCol w:w="869"/>
        <w:gridCol w:w="146"/>
        <w:gridCol w:w="146"/>
        <w:gridCol w:w="271"/>
        <w:gridCol w:w="869"/>
        <w:gridCol w:w="591"/>
      </w:tblGrid>
      <w:t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16,534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21,451</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is a summary of net sales by geographic region, based on the location to which the products are billed (in thousands): </w:t>
      </w:r>
    </w:p>
    <w:p>
      <w:pPr>
        <w:pStyle w:val="TextBody"/>
        <w:bidi w:val="0"/>
        <w:spacing w:lineRule="auto" w:line="273"/>
        <w:jc w:val="left"/>
      </w:pPr>
      <w:r>
        <w:t> </w:t>
      </w:r>
    </w:p>
    <w:tbl>
      <w:tblPr>
        <w:tblW w:w="8369" w:type="dxa"/>
        <w:jc w:val="left"/>
        <w:tblInd w:w="0" w:type="dxa"/>
        <w:tblLayout w:type="fixed"/>
        <w:tblCellMar>
          <w:top w:w="28" w:type="dxa"/>
          <w:left w:w="28" w:type="dxa"/>
          <w:bottom w:w="28" w:type="dxa"/>
          <w:right w:w="28" w:type="dxa"/>
        </w:tblCellMar>
      </w:tblPr>
      <w:tblGrid>
        <w:gridCol w:w="2596"/>
        <w:gridCol w:w="146"/>
        <w:gridCol w:w="271"/>
        <w:gridCol w:w="869"/>
        <w:gridCol w:w="146"/>
        <w:gridCol w:w="146"/>
        <w:gridCol w:w="271"/>
        <w:gridCol w:w="869"/>
        <w:gridCol w:w="146"/>
        <w:gridCol w:w="146"/>
        <w:gridCol w:w="242"/>
        <w:gridCol w:w="898"/>
        <w:gridCol w:w="146"/>
        <w:gridCol w:w="146"/>
        <w:gridCol w:w="242"/>
        <w:gridCol w:w="898"/>
        <w:gridCol w:w="191"/>
      </w:tblGrid>
      <w:t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57,659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67,706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Asia Pacific (other than Korea)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71,505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63,745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138,290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For the three months ended September 30, 2026 and 2025, of the Company’s net sales in Asia Pacific (other than Korea), net sales in China and Hong Kong together represented 81.3% and 74.6%, respectively, and net sales in Taiwan represented 8.9% and 15.5%, respectively. For the nine months ended September 30, 2026 and 2025, of the Company’s net sales in Asia Pacific (other than Korea), net sales in China and Hong Kong together represented 82.3% and 79.6%, respectively, and net sales in Taiwan represented 9.9% and 12.4%, respectively.</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sales from the Company’s top ten largest customers accounted for 69.7% and 75.2% for the three months ended September 30, 2026 and 2025, respectively, and 71.8% and 74.2% for the nine months ended September 30, 2026 and 2025, respectively.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For the three months ended September 30, 2026, the Company had one customer that represented 26.5% of net sales. For the nine months ended September 30, 2026, the Company had one customer that represented 28.0% of net sales. For the three months ended September 30, 2025, the Company had one customer that represented 32.6% of net sales. For the nine months ended September 30, 2025, the Company had one customer that represented 31.6% of net sales.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September 30, 2026, two customers accounted for 41.8% and 11.1% of the Company’s accounts receivable, respectively. As of December 31, 2025, two customers accounted for 35.4% and 15.7% of the Company’s accounts receivable, respectively.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16. Accumulated Other Comprehensive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Accumulated other comprehensive loss consists of the following as of September 30, 2026 and December 31, 2025, respectively (in thousands): </w:t>
      </w:r>
    </w:p>
    <w:p>
      <w:pPr>
        <w:pStyle w:val="TextBody"/>
        <w:bidi w:val="0"/>
        <w:spacing w:lineRule="auto" w:line="273"/>
        <w:jc w:val="left"/>
      </w:pPr>
      <w:r>
        <w:t> </w:t>
      </w:r>
    </w:p>
    <w:tbl>
      <w:tblPr>
        <w:tblW w:w="6340" w:type="dxa"/>
        <w:jc w:val="left"/>
        <w:tblInd w:w="0" w:type="dxa"/>
        <w:tblLayout w:type="fixed"/>
        <w:tblCellMar>
          <w:top w:w="28" w:type="dxa"/>
          <w:left w:w="28" w:type="dxa"/>
          <w:bottom w:w="28" w:type="dxa"/>
          <w:right w:w="28" w:type="dxa"/>
        </w:tblCellMar>
      </w:tblPr>
      <w:tblGrid>
        <w:gridCol w:w="3436"/>
        <w:gridCol w:w="146"/>
        <w:gridCol w:w="254"/>
        <w:gridCol w:w="886"/>
        <w:gridCol w:w="166"/>
        <w:gridCol w:w="146"/>
        <w:gridCol w:w="244"/>
        <w:gridCol w:w="851"/>
        <w:gridCol w:w="211"/>
      </w:tblGrid>
      <w:t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4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(18,093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Derivative 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4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Changes in accumulated other comprehensive loss for the three months ended September 30, 2026 and 2025 are as follows (in thousands): </w:t>
      </w:r>
    </w:p>
    <w:p>
      <w:pPr>
        <w:pStyle w:val="TextBody"/>
        <w:bidi w:val="0"/>
        <w:spacing w:lineRule="auto" w:line="273"/>
        <w:jc w:val="left"/>
      </w:pPr>
      <w:r>
        <w:t> </w:t>
      </w:r>
    </w:p>
    <w:tbl>
      <w:tblPr>
        <w:tblW w:w="8676" w:type="dxa"/>
        <w:jc w:val="left"/>
        <w:tblInd w:w="0" w:type="dxa"/>
        <w:tblLayout w:type="fixed"/>
        <w:tblCellMar>
          <w:top w:w="28" w:type="dxa"/>
          <w:left w:w="28" w:type="dxa"/>
          <w:bottom w:w="28" w:type="dxa"/>
          <w:right w:w="28" w:type="dxa"/>
        </w:tblCellMar>
      </w:tblPr>
      <w:tblGrid>
        <w:gridCol w:w="4596"/>
        <w:gridCol w:w="146"/>
        <w:gridCol w:w="217"/>
        <w:gridCol w:w="759"/>
        <w:gridCol w:w="166"/>
        <w:gridCol w:w="146"/>
        <w:gridCol w:w="244"/>
        <w:gridCol w:w="732"/>
        <w:gridCol w:w="166"/>
        <w:gridCol w:w="146"/>
        <w:gridCol w:w="211"/>
        <w:gridCol w:w="736"/>
        <w:gridCol w:w="411"/>
      </w:tblGrid>
      <w:t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Three Months Ended September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23,757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current-period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tbl>
      <w:tblPr>
        <w:tblW w:w="8391" w:type="dxa"/>
        <w:jc w:val="left"/>
        <w:tblInd w:w="0" w:type="dxa"/>
        <w:tblLayout w:type="fixed"/>
        <w:tblCellMar>
          <w:top w:w="28" w:type="dxa"/>
          <w:left w:w="28" w:type="dxa"/>
          <w:bottom w:w="28" w:type="dxa"/>
          <w:right w:w="28" w:type="dxa"/>
        </w:tblCellMar>
      </w:tblPr>
      <w:tblGrid>
        <w:gridCol w:w="4311"/>
        <w:gridCol w:w="146"/>
        <w:gridCol w:w="217"/>
        <w:gridCol w:w="759"/>
        <w:gridCol w:w="166"/>
        <w:gridCol w:w="146"/>
        <w:gridCol w:w="244"/>
        <w:gridCol w:w="732"/>
        <w:gridCol w:w="166"/>
        <w:gridCol w:w="146"/>
        <w:gridCol w:w="211"/>
        <w:gridCol w:w="736"/>
        <w:gridCol w:w="411"/>
      </w:tblGrid>
      <w:t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Three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current-period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ind w:left="0" w:right="0" w:firstLine="490"/>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 xml:space="preserve">Changes in accumulated other comprehensive loss for the nine months ended September 30, 2026 and 2025 are as follows (in thousands): </w:t>
      </w:r>
    </w:p>
    <w:p>
      <w:pPr>
        <w:pStyle w:val="TextBody"/>
        <w:bidi w:val="0"/>
        <w:spacing w:lineRule="auto" w:line="273"/>
        <w:jc w:val="left"/>
      </w:pPr>
      <w:r>
        <w:t> </w:t>
      </w:r>
    </w:p>
    <w:tbl>
      <w:tblPr>
        <w:tblW w:w="8676" w:type="dxa"/>
        <w:jc w:val="left"/>
        <w:tblInd w:w="0" w:type="dxa"/>
        <w:tblLayout w:type="fixed"/>
        <w:tblCellMar>
          <w:top w:w="28" w:type="dxa"/>
          <w:left w:w="28" w:type="dxa"/>
          <w:bottom w:w="28" w:type="dxa"/>
          <w:right w:w="28" w:type="dxa"/>
        </w:tblCellMar>
      </w:tblPr>
      <w:tblGrid>
        <w:gridCol w:w="4596"/>
        <w:gridCol w:w="146"/>
        <w:gridCol w:w="217"/>
        <w:gridCol w:w="759"/>
        <w:gridCol w:w="166"/>
        <w:gridCol w:w="146"/>
        <w:gridCol w:w="263"/>
        <w:gridCol w:w="713"/>
        <w:gridCol w:w="166"/>
        <w:gridCol w:w="146"/>
        <w:gridCol w:w="211"/>
        <w:gridCol w:w="736"/>
        <w:gridCol w:w="411"/>
      </w:tblGrid>
      <w:t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u w:val="single"/>
              </w:rPr>
            </w:pPr>
            <w:r>
              <w:rPr>
                <w:rFonts w:ascii="Times New Roman" w:hAnsi="Times New Roman"/>
                <w:b/>
                <w:color w:val="000000"/>
                <w:sz w:val="16"/>
                <w:u w:val="single"/>
              </w:rPr>
              <w:t>Nine Months Ended September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8,144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current-period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tbl>
      <w:tblPr>
        <w:tblW w:w="8676" w:type="dxa"/>
        <w:jc w:val="left"/>
        <w:tblInd w:w="0" w:type="dxa"/>
        <w:tblLayout w:type="fixed"/>
        <w:tblCellMar>
          <w:top w:w="28" w:type="dxa"/>
          <w:left w:w="28" w:type="dxa"/>
          <w:bottom w:w="28" w:type="dxa"/>
          <w:right w:w="28" w:type="dxa"/>
        </w:tblCellMar>
      </w:tblPr>
      <w:tblGrid>
        <w:gridCol w:w="4596"/>
        <w:gridCol w:w="146"/>
        <w:gridCol w:w="217"/>
        <w:gridCol w:w="759"/>
        <w:gridCol w:w="166"/>
        <w:gridCol w:w="146"/>
        <w:gridCol w:w="263"/>
        <w:gridCol w:w="713"/>
        <w:gridCol w:w="166"/>
        <w:gridCol w:w="146"/>
        <w:gridCol w:w="211"/>
        <w:gridCol w:w="736"/>
        <w:gridCol w:w="411"/>
      </w:tblGrid>
      <w:t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u w:val="single"/>
              </w:rPr>
            </w:pPr>
            <w:r>
              <w:rPr>
                <w:rFonts w:ascii="Times New Roman" w:hAnsi="Times New Roman"/>
                <w:b/>
                <w:color w:val="000000"/>
                <w:sz w:val="16"/>
                <w:u w:val="single"/>
              </w:rPr>
              <w:t>Nine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current-period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17. Loss Per Share</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illustrates the computation of basic and diluted loss per common share for the three and nine months ended September 30, 2026 and 2025: </w:t>
      </w:r>
    </w:p>
    <w:p>
      <w:pPr>
        <w:pStyle w:val="TextBody"/>
        <w:bidi w:val="0"/>
        <w:spacing w:lineRule="auto" w:line="273"/>
        <w:ind w:left="0" w:right="0" w:firstLine="490"/>
        <w:jc w:val="left"/>
      </w:pPr>
      <w:r>
        <w:t> </w:t>
      </w:r>
    </w:p>
    <w:tbl>
      <w:tblPr>
        <w:tblW w:w="9764" w:type="dxa"/>
        <w:jc w:val="left"/>
        <w:tblInd w:w="0" w:type="dxa"/>
        <w:tblLayout w:type="fixed"/>
        <w:tblCellMar>
          <w:top w:w="28" w:type="dxa"/>
          <w:left w:w="28" w:type="dxa"/>
          <w:bottom w:w="28" w:type="dxa"/>
          <w:right w:w="28" w:type="dxa"/>
        </w:tblCellMar>
      </w:tblPr>
      <w:tblGrid>
        <w:gridCol w:w="3511"/>
        <w:gridCol w:w="146"/>
        <w:gridCol w:w="201"/>
        <w:gridCol w:w="939"/>
        <w:gridCol w:w="166"/>
        <w:gridCol w:w="146"/>
        <w:gridCol w:w="201"/>
        <w:gridCol w:w="939"/>
        <w:gridCol w:w="166"/>
        <w:gridCol w:w="146"/>
        <w:gridCol w:w="201"/>
        <w:gridCol w:w="939"/>
        <w:gridCol w:w="166"/>
        <w:gridCol w:w="146"/>
        <w:gridCol w:w="201"/>
        <w:gridCol w:w="939"/>
        <w:gridCol w:w="611"/>
      </w:tblGrid>
      <w:t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496"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 thousands of U.S. dollars, except share data)</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Basic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(13,286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(10,609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(25,584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(5,457</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Income (Loss) from discontinued operations, net</w:t>
              <w:br/>
              <w: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(16,188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(22,005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(21,645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Basic weighted average common stock</w:t>
              <w:br/>
              <w:t>   outstanding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36,649,278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35,934,406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36,504,776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36,298,491</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Basic 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6"/>
              </w:rPr>
            </w:pPr>
            <w:r>
              <w:rPr>
                <w:rFonts w:ascii="Times New Roman" w:hAnsi="Times New Roman"/>
                <w:color w:val="000000"/>
                <w:sz w:val="16"/>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(0.70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(0.15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6"/>
              </w:rPr>
            </w:pPr>
            <w:r>
              <w:rPr>
                <w:rFonts w:ascii="Times New Roman" w:hAnsi="Times New Roman"/>
                <w:color w:val="000000"/>
                <w:sz w:val="16"/>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Diluted loss per common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(13,286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(10,609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(25,584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(5,457</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Income (Loss) from discontinued operations, net</w:t>
              <w:br/>
              <w: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(16,188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(22,005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(21,645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Basic weighted average common stock</w:t>
              <w:br/>
              <w:t>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36,649,278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35,934,406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36,504,776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36,298,491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Net effect of dilutive equity awards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Diluted weighted average common stock</w:t>
              <w:br/>
              <w:t>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36,649,278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35,934,406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36,504,776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36,298,491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Diluted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6"/>
              </w:rPr>
            </w:pPr>
            <w:r>
              <w:rPr>
                <w:rFonts w:ascii="Times New Roman" w:hAnsi="Times New Roman"/>
                <w:color w:val="000000"/>
                <w:sz w:val="16"/>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(0.15</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6"/>
              </w:rPr>
            </w:pPr>
            <w:r>
              <w:rPr>
                <w:rFonts w:ascii="Times New Roman" w:hAnsi="Times New Roman"/>
                <w:color w:val="000000"/>
                <w:sz w:val="16"/>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(0.60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lineRule="auto" w:line="273"/>
        <w:ind w:left="0" w:right="0" w:firstLine="490"/>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Diluted earnings (loss) per common share adjusts basic earnings (loss) per common share for the potentially dilutive impact of stock options and restricted stock units. As the Company has reported loss from continuing operations for the three and nine months ended September 30, 2026 and 2025, all potentially dilutive securities are antidilutive and accordingly not considered, therefore basic loss per common share equals diluted loss per common share.</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outstanding instruments were excluded from the computation of diluted loss per common share, as they have an anti-dilutive effect on the calculation: </w:t>
      </w:r>
    </w:p>
    <w:p>
      <w:pPr>
        <w:pStyle w:val="TextBody"/>
        <w:bidi w:val="0"/>
        <w:spacing w:lineRule="auto" w:line="273"/>
        <w:ind w:left="0" w:right="0" w:firstLine="490"/>
        <w:jc w:val="left"/>
      </w:pPr>
      <w:r>
        <w:t> </w:t>
      </w:r>
    </w:p>
    <w:tbl>
      <w:tblPr>
        <w:tblW w:w="7484" w:type="dxa"/>
        <w:jc w:val="left"/>
        <w:tblInd w:w="0" w:type="dxa"/>
        <w:tblLayout w:type="fixed"/>
        <w:tblCellMar>
          <w:top w:w="28" w:type="dxa"/>
          <w:left w:w="28" w:type="dxa"/>
          <w:bottom w:w="28" w:type="dxa"/>
          <w:right w:w="28" w:type="dxa"/>
        </w:tblCellMar>
      </w:tblPr>
      <w:tblGrid>
        <w:gridCol w:w="1711"/>
        <w:gridCol w:w="146"/>
        <w:gridCol w:w="171"/>
        <w:gridCol w:w="969"/>
        <w:gridCol w:w="146"/>
        <w:gridCol w:w="146"/>
        <w:gridCol w:w="171"/>
        <w:gridCol w:w="969"/>
        <w:gridCol w:w="146"/>
        <w:gridCol w:w="146"/>
        <w:gridCol w:w="171"/>
        <w:gridCol w:w="969"/>
        <w:gridCol w:w="146"/>
        <w:gridCol w:w="146"/>
        <w:gridCol w:w="171"/>
        <w:gridCol w:w="969"/>
        <w:gridCol w:w="191"/>
      </w:tblGrid>
      <w:t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7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184,249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404,027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184,249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404,027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7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2,659,027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2,172,090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2,659,027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2,172,090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ind w:left="0" w:right="0" w:firstLine="490"/>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color w:val="000000"/>
          <w:sz w:val="20"/>
        </w:rPr>
        <w:t>18. Commitments and Contingencies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Advances to Suppliers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from time to time, may make advances in form of prepayments or deposits to suppliers, including external foundries, to meet its planned production. The Company recorded advances of $604 thousand and $512 thousand as other current assets as of September 30, 2026 and December 31, 2025, respectively. </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19. Stockholders’ Equity</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At the Market Offering</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On June 17, 2026, the Company entered into an At Market Issuance Sales Agreement (the “ATM Program”) with B. Riley Securities, Inc., as sales agent, pursuant to which it may offer and sell, from time to time, shares of common stock having an aggregate offering price of up to $50.0 million under its shelf registration statement on Form S-3 (File No. 333-296756) and a related prospectus supplement dated June 17, 2026.</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Share Purchase Agreement</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On September 18, 2026, the Company entered into a Share Purchase Agreement (the “SPA”) with Navitas Semiconductor Corporation (“Navitas”), pursuant to which the Company agreed to issue and sell 1,461,988 shares of its common stock to Navitas at a purchase price of $3.42 per share, for aggregate proceeds of $5.0 million. The transaction was completed in September 2026.</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 xml:space="preserve">FORWARD LOOKING STATEMENTS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referenced in this section, in “Part II: Item 1A. Risk Factors” herein and in “Part I, Item 1A. Risk Factors” in our Annual Report on Form 10-K for our fiscal year ended December 31, 2025 filed on March 16, 2026 (“2025 Form 10-K”).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64"/>
        <w:jc w:val="left"/>
        <w:rPr>
          <w:rFonts w:ascii="Times New Roman" w:hAnsi="Times New Roman"/>
          <w:sz w:val="20"/>
        </w:rPr>
      </w:pPr>
      <w:bookmarkStart w:id="11" w:name="mda"/>
      <w:bookmarkEnd w:id="11"/>
      <w:r>
        <w:rPr>
          <w:rFonts w:ascii="Times New Roman" w:hAnsi="Times New Roman"/>
          <w:b/>
          <w:color w:val="000000"/>
          <w:sz w:val="20"/>
        </w:rPr>
        <w:t>Item 2. Management’s Discussion and Analysis</w:t>
      </w:r>
      <w:r>
        <w:rPr>
          <w:rFonts w:ascii="Times New Roman" w:hAnsi="Times New Roman"/>
          <w:color w:val="000000"/>
          <w:sz w:val="20"/>
        </w:rPr>
        <w:t xml:space="preserve"> </w:t>
      </w:r>
      <w:r>
        <w:rPr>
          <w:rFonts w:ascii="Times New Roman" w:hAnsi="Times New Roman"/>
          <w:b/>
          <w:color w:val="000000"/>
          <w:sz w:val="20"/>
        </w:rPr>
        <w:t>of Financial Condition and Results of Operations</w:t>
      </w:r>
    </w:p>
    <w:p>
      <w:pPr>
        <w:pStyle w:val="TextBody"/>
        <w:bidi w:val="0"/>
        <w:spacing w:lineRule="auto" w:line="264" w:before="120" w:after="283"/>
        <w:ind w:left="0" w:right="0" w:firstLine="490"/>
        <w:jc w:val="left"/>
        <w:rPr>
          <w:rFonts w:ascii="Times New Roman" w:hAnsi="Times New Roman"/>
          <w:sz w:val="20"/>
        </w:rPr>
      </w:pPr>
      <w:r>
        <w:rPr>
          <w:rFonts w:ascii="Times New Roman" w:hAnsi="Times New Roman"/>
          <w:i/>
          <w:color w:val="000000"/>
          <w:sz w:val="20"/>
        </w:rPr>
        <w:t>The following discussion and analysis should be read in conjunction with the unaudited consolidated financial statements and the related notes included elsewhere in this Report.</w:t>
      </w:r>
      <w:r>
        <w:rPr>
          <w:rFonts w:ascii="Times New Roman" w:hAnsi="Times New Roman"/>
          <w:color w:val="000000"/>
          <w:sz w:val="20"/>
        </w:rPr>
        <w:t xml:space="preserve"> </w:t>
      </w:r>
    </w:p>
    <w:p>
      <w:pPr>
        <w:pStyle w:val="TextBody"/>
        <w:bidi w:val="0"/>
        <w:spacing w:lineRule="auto" w:line="264"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lineRule="auto" w:line="264" w:before="120" w:after="283"/>
        <w:ind w:left="0" w:right="0" w:firstLine="490"/>
        <w:jc w:val="left"/>
        <w:rPr>
          <w:rFonts w:ascii="Times New Roman" w:hAnsi="Times New Roman"/>
          <w:color w:val="000000"/>
          <w:sz w:val="20"/>
        </w:rPr>
      </w:pPr>
      <w:r>
        <w:rPr>
          <w:rFonts w:ascii="Times New Roman" w:hAnsi="Times New Roman"/>
          <w:color w:val="000000"/>
          <w:sz w:val="20"/>
        </w:rPr>
        <w:t>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We develop and manufacture Power Analog Solutions products and develop Power integrated circuit (“IC”) products. Power Analog Solutions products include metal oxide semiconductor field effect transistors (“MOSFETs”) and insulated-gate bipolar transistors (“IGBTs”)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Our Power IC products provide Power IC solutions to major television suppliers and large panel display suppliers. These products include AC-DC/DC-DC converters, LED drivers, regulators, power management integrated circuits (“PMICs”) and level shifter for a range of devices, including televisions, wearable devices, notebooks, tablet PCs and other consumer electronics, as well as automotive applications.</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including trends and cyclicality in the semiconductor industry, which are influenced by broader macroeconomic conditions, including inflation, interest rates, geopolitical developments and global trade policies. For example, certain shipments to customers with operations in or exposure to the United States or China are subject to heightened risks and uncertainties arising from trade and export control policies, including the imposition of new tariffs, increases in existing tariffs, or other export control measures implemented by the United States, China, or other governmental authorities. Furthermore, ongoing geopolitical tensions, including conflicts and instability in the Middle East, such as the military conflict involving the United States, Israel, and Iran, among others, as well as tensions between China and Taiwan, may contribute to increased volatility in global markets and increased costs, as well as disruptions in supply chains and impacts to customer demand. We must also invest in relevant research and development activities and purchase necessary materials on a timely basis to meet our customers’ demand while maintaining our target margins and cash flow. </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lineRule="auto" w:line="264" w:before="240" w:after="283"/>
        <w:ind w:left="0" w:right="0" w:firstLine="490"/>
        <w:jc w:val="left"/>
        <w:rPr>
          <w:rFonts w:ascii="Times New Roman" w:hAnsi="Times New Roman"/>
          <w:color w:val="000000"/>
          <w:sz w:val="20"/>
        </w:rPr>
      </w:pPr>
      <w:r>
        <w:rPr>
          <w:rFonts w:ascii="Times New Roman" w:hAnsi="Times New Roman"/>
          <w:color w:val="000000"/>
          <w:sz w:val="20"/>
        </w:rPr>
        <w:t xml:space="preserve">Demand for our products and services is driven by overall demand for industrial, automotive, communication, consumer and computing products and can be adversely affected by, among others, periods of weak consumer and enterprise spending, changes in global trade conditions, export controls, tariffs, geopolitical uncertainty, or by market share losses by our customers. Macroeconomic conditions, including inflation, increased energy costs and supply chain constraints, have contributed to increased logistics and input costs across the supply chain, and such costs may remain elevated. We continue to monitor for potential disruptions or cost increases resulting from geopolitical tensions, including in the Middle East and Eastern Europe, as well as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64" w:before="240" w:after="283"/>
        <w:jc w:val="left"/>
        <w:rPr>
          <w:rFonts w:ascii="Times New Roman" w:hAnsi="Times New Roman"/>
          <w:color w:val="000000"/>
          <w:sz w:val="20"/>
        </w:rPr>
      </w:pPr>
      <w:r>
        <w:rPr>
          <w:rFonts w:ascii="Times New Roman" w:hAnsi="Times New Roman"/>
          <w:color w:val="000000"/>
          <w:sz w:val="20"/>
        </w:rPr>
        <w:t xml:space="preserve">evolving global trade policies.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sales for our Power Analog Solutions and Power IC products are driven by design wins in which we are selected by an electronics original equipment manufacturer (“OEM”) or other potential customers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Power Analog Solutions and Power IC businesses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Power IC products which do require advanced technology and 8-inch wafer capacity. We believe this balanced capital investment strategy enables us to optimize our capital investments and facilitates more diversified product and service offerings.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we expanded our design capabilities to products that require lower geometries unavailable at our existing manufacturing facilities, we have started outsourcing 8-inch wafer for Power IC products after the sale of our fabrication facility located in Cheongju, Korea in 2020. This additional source of manufacturing has been an important part of our supply chain management. By outsourcing manufacturing of Power IC products to an external foundry, we have been able to adapt dynamically to changing customer requirements and address growing markets without substantial capital investments by us. However, relying on the external foundry exposes us to the risk of being unable to secure manufacturing capacity, particularly during global shortages of foundry services. Although we work strategically with the external foundry to ensure long-term wafer capacity, if these efforts are at any time unsuccessful, our ability to deliver products to our customers may be negatively impacted, which would adversely affect our relationship with customers and opportunities to secure new design-wins.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Strategic Partnership for Silicon Carbide (SiC) Technologies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July 2026, we entered into a strategic partnership with Navitas to accelerate adoption of SiC technologies in high-voltage (“HV”) and ultra-high-voltage (“UHV”) power markets. Under the terms of the agreement, we will license certain Navitas technology to enter the HV and UHV SiC markets, enabling us to build on Navitas' proven SiC device platforms for next-generation power conversion applications.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We will also gain access to Navitas' SiC supply chain and materials ecosystem, supporting faster market entry. At the same time, we and Navitas will seek to port, qualify, and internalize the technology at our fabrication facility in order to help accelerate our entry into SiC technology. The licensed technologies are expected to support next-generation applications including energy and grid infrastructure, energy storage, industrial electrification, automotive and other high-power systems.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September 2026, we entered into a privately negotiated SPA with Navitas, pursuant to which we issued and sold 1,461,988 shares of our common stock to Navitas at a purchase price of $3.42 per share, for aggregate proceeds of $5.0 million. The transaction was completed in September 2026. This investment builds on our strategic partnership with Navitas to accelerate the adoption of SiC technologies in HV and UHV power markets.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Macroeconomic Industry Conditions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semiconductor industry continues to face a number of macroeconomic challenges, including rising inflation, higher interest rates, supply chain disruptions, inventory corrections, shifting customer and end-user demand, fluctuations in currency rates, and geopolitical tensions, including without limitation ongoing conflicts involving Russia and Ukraine, sustained military action and conflicts in the Middle East, and trade conflicts or trade wars (especially those between the United States and China) including those arising directly or indirectly from tariffs imposed by the United States, any one or more of which may cause (if they have not already caused) volatility and unpredictability in the supply chain or market for semiconductor products and end-user demand. In particular, the military conflict involving the United States, Israel, and Iran has created significant volatility in global energy and materials markets and may adversely affect our manufacturing costs, supply chain continuity, and customer demand. For example, the resulting disruptions to oil, gas, and critical raw material shipments could constrain availability and/or increase costs of key inputs used in semiconductor production and could lead to delays or reduced demand across end markets, which may materially and adversely impact our business, financial condition, and results of operations. The length and severity of these macroeconomic events and their overall impact on our business, results of operations and financial condition remain uncertain.</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Developments in Export Control Regulations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On January 16, 2025, BIS published amendments and clarifications of the U.S. Export Regulations which further tightened controls of advanced computing items. On September 30, 2025, BIS published an “Affiliates Rule” to expand end-user controls to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cover certain affiliates of entities designated on BIS Entity List or Military End User List or designated on the Specially Designated Nationals and Blocked Persons (SDN) List administered by the U.S. Department of the Treasury, Office of Foreign Assets Control. BIS subsequently suspended enforcement of the Affiliates Rule, with reinstatement scheduled under the published rule for November 10, 2026, absent an extension. Once the Affiliates Rule is reinstated, we expect to invest additional resources and efforts in the screening of prospects, customers, distributors, and end-users. In addition, the Affiliates Rule could subject transactions involving certain customers, distributors, or other counterparties to additional export licensing requirements based on their ownership, even if those counterparties are not themselves named on a restricted-party list. Where applicable to our transactions, these requirements could delay or prevent shipments and result in lost sales, in addition to increasing our compliance costs. BIS has recently altered aspects of its semiconductor licensing policies to a case-by-case review, taking into account requirements such as export volume thresholds and third party testing requirements. While we do not anticipate that the rest of the new or recently updated U.S. Export Regulations and related rules will have a material impact directly on our current business, we will continue reviewing and assessing these rules and regulations and their potential effect on our business. Additional changes to the U.S. Export Regulations are expected, such as recently proposed rule changes that may expand restrictions on export transactions involving end users or end uses with military connections. However, the scope or timing of such changes is uncertain. We will continue to monitor such developments, including potential additional trade restrictions, and other regulatory or policy changes by the U.S. and foreign governments. </w:t>
      </w:r>
    </w:p>
    <w:p>
      <w:pPr>
        <w:pStyle w:val="TextBody"/>
        <w:bidi w:val="0"/>
        <w:spacing w:lineRule="auto" w:line="261" w:before="360" w:after="283"/>
        <w:jc w:val="left"/>
        <w:rPr>
          <w:rFonts w:ascii="Times New Roman" w:hAnsi="Times New Roman"/>
          <w:sz w:val="20"/>
        </w:rPr>
      </w:pPr>
      <w:r>
        <w:rPr>
          <w:rFonts w:ascii="Times New Roman" w:hAnsi="Times New Roman"/>
          <w:b/>
          <w:color w:val="000000"/>
          <w:sz w:val="20"/>
        </w:rPr>
        <w:t>Explanation and Reconciliation of Non-U.S. GAAP Measures</w:t>
      </w:r>
      <w:r>
        <w:rPr>
          <w:rFonts w:ascii="Times New Roman" w:hAnsi="Times New Roman"/>
          <w:color w:val="000000"/>
          <w:sz w:val="20"/>
        </w:rPr>
        <w:t xml:space="preserve"> </w:t>
      </w:r>
    </w:p>
    <w:p>
      <w:pPr>
        <w:pStyle w:val="TextBody"/>
        <w:bidi w:val="0"/>
        <w:spacing w:lineRule="auto" w:line="261" w:before="120" w:after="283"/>
        <w:jc w:val="left"/>
        <w:rPr>
          <w:rFonts w:ascii="Times New Roman" w:hAnsi="Times New Roman"/>
          <w:b/>
          <w:i/>
          <w:color w:val="000000"/>
          <w:sz w:val="20"/>
        </w:rPr>
      </w:pPr>
      <w:r>
        <w:rPr>
          <w:rFonts w:ascii="Times New Roman" w:hAnsi="Times New Roman"/>
          <w:b/>
          <w:i/>
          <w:color w:val="000000"/>
          <w:sz w:val="20"/>
        </w:rPr>
        <w:t>Adjusted EBITDA, Adjusted Operating Income (Loss) and Adjusted Net Income (Loss)</w:t>
      </w:r>
    </w:p>
    <w:p>
      <w:pPr>
        <w:pStyle w:val="TextBody"/>
        <w:bidi w:val="0"/>
        <w:spacing w:lineRule="auto" w:line="261"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stock-based compensation expense, (ii) foreign currency loss (gain), net, (iii) derivative valuation loss (gain), net and (iv) early termination and other charges. EBITDA for the periods indicated is defined as income (loss) from continuing operations before interest income, interest expense, income tax expense (benefit), net and depreciation and amortization. </w:t>
      </w:r>
    </w:p>
    <w:p>
      <w:pPr>
        <w:pStyle w:val="TextBody"/>
        <w:bidi w:val="0"/>
        <w:spacing w:lineRule="auto" w:line="261" w:before="200" w:after="283"/>
        <w:ind w:left="0" w:right="0" w:firstLine="490"/>
        <w:jc w:val="left"/>
        <w:rPr>
          <w:rFonts w:ascii="Times New Roman" w:hAnsi="Times New Roman"/>
          <w:color w:val="000000"/>
          <w:sz w:val="20"/>
        </w:rPr>
      </w:pPr>
      <w:r>
        <w:rPr>
          <w:rFonts w:ascii="Times New Roman" w:hAnsi="Times New Roman"/>
          <w:color w:val="000000"/>
          <w:sz w:val="20"/>
        </w:rPr>
        <w:t xml:space="preserve">See the footnotes to the table below for further information regarding these items. We present Adjusted EBITDA as a supplemental measure of our performance because: </w:t>
      </w:r>
    </w:p>
    <w:p>
      <w:pPr>
        <w:pStyle w:val="TextBody"/>
        <w:bidi w:val="0"/>
        <w:spacing w:lineRule="auto" w:line="261" w:before="100" w:after="283"/>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p>
      <w:pPr>
        <w:pStyle w:val="TextBody"/>
        <w:bidi w:val="0"/>
        <w:spacing w:lineRule="auto" w:line="261" w:before="100" w:after="283"/>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p>
      <w:pPr>
        <w:pStyle w:val="TextBody"/>
        <w:bidi w:val="0"/>
        <w:spacing w:lineRule="auto" w:line="261" w:before="100" w:after="283"/>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we believe that Adjusted EBITDA is useful for investors, among other reasons, to assess a company’s period-to-period core operating performance and to understand and assess the manner in which management analyzes operating performance. </w:t>
      </w:r>
    </w:p>
    <w:p>
      <w:pPr>
        <w:pStyle w:val="TextBody"/>
        <w:bidi w:val="0"/>
        <w:spacing w:lineRule="auto" w:line="264" w:before="200" w:after="283"/>
        <w:ind w:left="0" w:right="0" w:firstLine="490"/>
        <w:jc w:val="left"/>
        <w:rPr>
          <w:rFonts w:ascii="Times New Roman" w:hAnsi="Times New Roman"/>
          <w:color w:val="000000"/>
          <w:sz w:val="20"/>
        </w:rPr>
      </w:pPr>
      <w:r>
        <w:rPr>
          <w:rFonts w:ascii="Times New Roman" w:hAnsi="Times New Roman"/>
          <w:color w:val="000000"/>
          <w:sz w:val="20"/>
        </w:rPr>
        <w:t xml:space="preserve">We use Adjusted EBITDA in a number of ways, including: </w:t>
      </w:r>
    </w:p>
    <w:p>
      <w:pPr>
        <w:pStyle w:val="TextBody"/>
        <w:bidi w:val="0"/>
        <w:spacing w:lineRule="auto" w:line="261" w:before="100" w:after="283"/>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for planning purposes, including the preparation of our annual operating budget; </w:t>
      </w:r>
    </w:p>
    <w:p>
      <w:pPr>
        <w:pStyle w:val="TextBody"/>
        <w:bidi w:val="0"/>
        <w:spacing w:lineRule="auto" w:line="261" w:before="100" w:after="283"/>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to evaluate the effectiveness of our enterprise level business strategies; </w:t>
      </w:r>
    </w:p>
    <w:p>
      <w:pPr>
        <w:pStyle w:val="TextBody"/>
        <w:bidi w:val="0"/>
        <w:spacing w:lineRule="auto" w:line="261" w:before="100" w:after="283"/>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in communications with our Board of Directors concerning our consolidated financial performance; and </w:t>
      </w:r>
    </w:p>
    <w:p>
      <w:pPr>
        <w:pStyle w:val="TextBody"/>
        <w:bidi w:val="0"/>
        <w:spacing w:lineRule="auto" w:line="261" w:before="100" w:after="283"/>
        <w:jc w:val="left"/>
        <w:rPr>
          <w:color w:val="000000"/>
        </w:rPr>
      </w:pPr>
      <w:r>
        <w:rPr>
          <w:color w:val="000000"/>
        </w:rPr>
        <w:t>•</w:t>
      </w:r>
    </w:p>
    <w:p>
      <w:pPr>
        <w:pStyle w:val="TextBody"/>
        <w:bidi w:val="0"/>
        <w:spacing w:lineRule="auto" w:line="261" w:before="100" w:after="283"/>
        <w:jc w:val="left"/>
        <w:rPr>
          <w:rFonts w:ascii="Times New Roman" w:hAnsi="Times New Roman"/>
          <w:color w:val="000000"/>
          <w:sz w:val="20"/>
        </w:rPr>
      </w:pPr>
      <w:r>
        <w:rPr>
          <w:rFonts w:ascii="Times New Roman" w:hAnsi="Times New Roman"/>
          <w:color w:val="000000"/>
          <w:sz w:val="20"/>
        </w:rPr>
        <w:t xml:space="preserve">in certain of our compensation plans as a performance measure for determining incentive compensation payments.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61" w:before="200" w:after="283"/>
        <w:ind w:left="0" w:right="0" w:firstLine="490"/>
        <w:jc w:val="left"/>
        <w:rPr>
          <w:rFonts w:ascii="Times New Roman" w:hAnsi="Times New Roman"/>
          <w:color w:val="000000"/>
          <w:sz w:val="20"/>
        </w:rPr>
      </w:pPr>
      <w:r>
        <w:rPr>
          <w:rFonts w:ascii="Times New Roman" w:hAnsi="Times New Roman"/>
          <w:color w:val="000000"/>
          <w:sz w:val="20"/>
        </w:rPr>
        <w:t xml:space="preserve">We encourage you to evaluate each adjustment and the reasons we consider them appropriate. In evaluating Adjusted EBITDA, you should be aware that in the future we may incur expenses (income) similar to the adjustments in this presentation. Adjusted EBITDA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A reconciliation of loss from continuing operations to Adjusted EBITDA from continuing operations is as follows: </w:t>
      </w:r>
    </w:p>
    <w:p>
      <w:pPr>
        <w:pStyle w:val="TextBody"/>
        <w:bidi w:val="0"/>
        <w:spacing w:lineRule="auto" w:line="264"/>
        <w:jc w:val="left"/>
      </w:pPr>
      <w:r>
        <w:t> </w:t>
      </w:r>
    </w:p>
    <w:tbl>
      <w:tblPr>
        <w:tblW w:w="10205" w:type="dxa"/>
        <w:jc w:val="left"/>
        <w:tblInd w:w="0" w:type="dxa"/>
        <w:tblLayout w:type="fixed"/>
        <w:tblCellMar>
          <w:top w:w="28" w:type="dxa"/>
          <w:left w:w="28" w:type="dxa"/>
          <w:bottom w:w="28" w:type="dxa"/>
          <w:right w:w="28" w:type="dxa"/>
        </w:tblCellMar>
      </w:tblPr>
      <w:tblGrid>
        <w:gridCol w:w="2617"/>
        <w:gridCol w:w="346"/>
        <w:gridCol w:w="371"/>
        <w:gridCol w:w="928"/>
        <w:gridCol w:w="366"/>
        <w:gridCol w:w="346"/>
        <w:gridCol w:w="356"/>
        <w:gridCol w:w="890"/>
        <w:gridCol w:w="366"/>
        <w:gridCol w:w="346"/>
        <w:gridCol w:w="371"/>
        <w:gridCol w:w="928"/>
        <w:gridCol w:w="166"/>
        <w:gridCol w:w="146"/>
        <w:gridCol w:w="415"/>
        <w:gridCol w:w="832"/>
        <w:gridCol w:w="415"/>
      </w:tblGrid>
      <w:tr>
        <w:tc>
          <w:tcPr>
            <w:tcW w:w="26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c>
          <w:tcPr>
            <w:tcW w:w="2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w:t>
              <w:b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827"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61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61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261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 net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61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6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EBITDA from continuing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6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9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9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61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expense(a)</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261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Foreign currency loss (gain), net(b)</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3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w:t>
            </w:r>
          </w:p>
        </w:tc>
        <w:tc>
          <w:tcPr>
            <w:tcW w:w="41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61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Derivative valuation loss (gain), net(c)</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3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41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261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Early termination and other charges(d)</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6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EBITDA from continuing</w:t>
              <w:br/>
              <w:t>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tLeast" w:line="142" w:before="0" w:after="60"/>
        <w:ind w:left="0" w:right="9360" w:hanging="0"/>
        <w:jc w:val="left"/>
      </w:pPr>
      <w:r>
        <w:t> </w:t>
      </w:r>
    </w:p>
    <w:p>
      <w:pPr>
        <w:pStyle w:val="TextBody"/>
        <w:bidi w:val="0"/>
        <w:spacing w:lineRule="auto" w:line="259"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59" w:before="0" w:after="0"/>
        <w:jc w:val="left"/>
        <w:rPr>
          <w:rFonts w:ascii="Times New Roman" w:hAnsi="Times New Roman"/>
          <w:color w:val="000000"/>
          <w:sz w:val="20"/>
        </w:rPr>
      </w:pPr>
      <w:r>
        <w:rPr>
          <w:rFonts w:ascii="Times New Roman" w:hAnsi="Times New Roman"/>
          <w:color w:val="000000"/>
          <w:sz w:val="20"/>
        </w:rPr>
        <w:t xml:space="preserve">This adjustment eliminates the impact of non-cash stock-based compensation expenses. Although we expect to incur non-cash stock-based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For the three months ended September 30, 2026, this adjustment eliminates $1.9 million of other charges, consisting of $0.6 million in tax-related charges and $1.3 million of costs associated with the electrical substation upgrade in our Gumi fabrication facility. For the nine months ended September 30, 2026, this adjustment eliminates $3.9 million of other charges, which also included a $1.1 million customer goodwill payment related to a certain product, and $0.9 million of one-time employee incentives recorded in the first half of 2026. For the three months ended September 30, 2025, this adjustment eliminates $2.6 million of termination-related charges in connection with the voluntary resignation program and $1.4 million of certain executive separation benefits. For the nine months ended September 30, 2025, this adjustment eliminates $2.6 million of termination-related charges, $1.7 million of certain executive separation benefits and $0.5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reflect our cash expenditures, or future requirements, for capital expenditures or contractual commitments;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reflect changes in, or cash requirements for, our working capital needs;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reflect the interest expense, or the cash requirements necessary to service interest or principal payments, on our debt;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although depreciation and amortization are non-cash charges, the assets being depreciated and amortized will often need to be replaced in the future, and Adjusted EBITDA does not reflect any cash requirements for such replacements;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consider the potentially dilutive impact of issuing stock-based compensation to our management team and employees;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EBITDA does not reflect the costs of holding certain assets and liabilities in foreign currencies; and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other companies in our industry may calculate Adjusted EBITDA differently than we do, limiting its usefulness as a comparative measure.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present Adjusted Operating Income (Loss) as a supplemental measure of our performance. We prepare Adjusted Operating Income (Loss) by adjusting operating income (loss) to eliminate the impact of stock-based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(income) similar to the adjustments in this presentation. We define Adjusted Operating Income (Loss) for the periods indicated as operating income (loss) adjusted to exclude (i) stock-based compensation expense and (ii) early termination and other charges.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adjustments to operating loss that we make in order to calculate Adjusted Operating Loss for the periods indicated: </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2801"/>
        <w:gridCol w:w="346"/>
        <w:gridCol w:w="391"/>
        <w:gridCol w:w="976"/>
        <w:gridCol w:w="166"/>
        <w:gridCol w:w="146"/>
        <w:gridCol w:w="373"/>
        <w:gridCol w:w="933"/>
        <w:gridCol w:w="346"/>
        <w:gridCol w:w="346"/>
        <w:gridCol w:w="391"/>
        <w:gridCol w:w="976"/>
        <w:gridCol w:w="166"/>
        <w:gridCol w:w="146"/>
        <w:gridCol w:w="373"/>
        <w:gridCol w:w="933"/>
        <w:gridCol w:w="396"/>
      </w:tblGrid>
      <w:tr>
        <w:tc>
          <w:tcPr>
            <w:tcW w:w="28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66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8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loss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8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8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expense(a)</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28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Early termination and other charges(b)</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8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Operating Loss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tLeast" w:line="142" w:before="0" w:after="60"/>
        <w:ind w:left="0" w:right="9360" w:hanging="0"/>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This adjustment eliminates the impact of non-cash stock-based compensation expenses. Although we expect to incur non-cash stock-based compensation expenses in the future, these expenses do not generally require cash settlement, and, therefore, are not used by us to assess the profitability of our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operations. We believe that analysts and investors will find it helpful to review our operating performance without the effects of these non-cash expenses as supplemental information.</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For the three months ended September 30, 2026, this adjustment eliminates $1.9 million of other charges, consisting of $0.6 million in tax-related charges and $1.3 million of costs associated with the electrical substation upgrade in our Gumi fabrication facility. For the nine months ended September 30, 2026, this adjustment eliminates $3.9 million of other charges, which also included a $1.1 million customer goodwill payment related to a certain product, and $0.9 million of one-time employee incentives recorded in the first half of 2026. For the three months ended September 30, 2025, this adjustment eliminates $2.6 million of termination-related charges in connection with the voluntary resignation program and $1.4 million of certain executive separation benefits. For the nine months ended September 30, 2025, this adjustment eliminates $2.6 million of termination-related charges, $1.7 million of certain executive separation benefits and $0.5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present Adjusted Net Income (Loss) (including on a per share basis) as a further supplemental measure of our performance. We prepare Adjusted Net Income (Loss) (including on a per share basis)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Net Income (Loss) (including on a per share basis)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(income) similar to the adjustments in this presentation. We define Adjusted Net Income (Loss) (including on a per share basis) for the periods indicated as income (loss) from continuing operations, adjusted to exclude (i) stock-based compensation expense, (ii) foreign currency loss (gain), net, (iii) derivative valuation loss (gain), net, (iv) early termination and other charges and (v) income tax effect on non-GAAP adjustments.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adjustments to loss from continuing operations that we make in order to calculate Adjusted Loss (including on a per share basis) from continuing operations for the periods indicated: </w:t>
      </w:r>
    </w:p>
    <w:p>
      <w:pPr>
        <w:pStyle w:val="TextBody"/>
        <w:bidi w:val="0"/>
        <w:spacing w:lineRule="auto" w:line="273"/>
        <w:jc w:val="left"/>
      </w:pPr>
      <w:r>
        <w:t> </w:t>
      </w:r>
    </w:p>
    <w:tbl>
      <w:tblPr>
        <w:tblW w:w="10029" w:type="dxa"/>
        <w:jc w:val="left"/>
        <w:tblInd w:w="0" w:type="dxa"/>
        <w:tblLayout w:type="fixed"/>
        <w:tblCellMar>
          <w:top w:w="28" w:type="dxa"/>
          <w:left w:w="28" w:type="dxa"/>
          <w:bottom w:w="28" w:type="dxa"/>
          <w:right w:w="28" w:type="dxa"/>
        </w:tblCellMar>
      </w:tblPr>
      <w:tblGrid>
        <w:gridCol w:w="2966"/>
        <w:gridCol w:w="306"/>
        <w:gridCol w:w="255"/>
        <w:gridCol w:w="1080"/>
        <w:gridCol w:w="151"/>
        <w:gridCol w:w="146"/>
        <w:gridCol w:w="241"/>
        <w:gridCol w:w="1019"/>
        <w:gridCol w:w="311"/>
        <w:gridCol w:w="306"/>
        <w:gridCol w:w="255"/>
        <w:gridCol w:w="1080"/>
        <w:gridCol w:w="151"/>
        <w:gridCol w:w="146"/>
        <w:gridCol w:w="241"/>
        <w:gridCol w:w="1019"/>
        <w:gridCol w:w="356"/>
      </w:tblGrid>
      <w:tr>
        <w:tc>
          <w:tcPr>
            <w:tcW w:w="29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Three Months Ended</w:t>
              <w:br/>
              <w:t>September 30,</w:t>
              <w:b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Nine Months Ended</w:t>
              <w:br/>
              <w:t>September 30,</w:t>
              <w:b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Three Months Ended</w:t>
              <w:br/>
              <w:t>September 30,</w:t>
              <w:b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Nine Months Ended</w:t>
              <w:br/>
              <w:t>September 30,</w:t>
              <w:b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401"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(Dollars in millions, except per share data)</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Loss from continuing operations</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(13.3</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(25.6</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(10.6</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(5.5</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Adjustments:</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pPr>
            <w:r>
              <w:t> </w:t>
            </w:r>
          </w:p>
        </w:tc>
      </w:tr>
      <w:t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expense(a)</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4.0</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2.0</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Foreign currency loss (gain), net(b)</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Derivative valuation loss (gain), net(c)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Early termination and other charges(d)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3.9</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4.0</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4.8</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pPr>
            <w:r>
              <w:t> </w:t>
            </w:r>
          </w:p>
        </w:tc>
      </w:tr>
      <w:t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Income tax effect on non-GAAP adjustments(e)</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ind w:left="160" w:right="0" w:firstLine="160"/>
              <w:jc w:val="left"/>
            </w:pPr>
            <w: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(0.4</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Adjusted Loss from continuing operations</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(19.7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(5.2</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Reported loss per share – basic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(0.36</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(0.70</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(0.29</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(0.15</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Reported loss per share –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(0.36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(0.70</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(0.29</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(0.15</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Weighted average number of shares – basic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36,649,278</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36,504,776</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35,934,406</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36,298,491</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Weighted average number of shares –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36,649,278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36,504,776</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35,934,406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36,298,491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Adjusted loss per share – basic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(0.29</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(0.54</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(0.14</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Adjusted loss per share –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(0.29</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(0.54</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(0.14</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r>
        <w:tc>
          <w:tcPr>
            <w:tcW w:w="29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Weighted average number of shares – basic</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36,649,278</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36,504,776</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35,934,406</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36,298,491</w:t>
            </w:r>
          </w:p>
        </w:tc>
        <w:tc>
          <w:tcPr>
            <w:tcW w:w="3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9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Weighted average number of shares –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36,649,278</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36,504,776</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35,934,406</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36,298,491</w:t>
            </w:r>
          </w:p>
        </w:tc>
        <w:tc>
          <w:tcPr>
            <w:tcW w:w="3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pBdr>
          <w:bottom w:val="single" w:sz="6" w:space="1" w:color="000000"/>
        </w:pBdr>
        <w:bidi w:val="0"/>
        <w:spacing w:lineRule="atLeast" w:line="142" w:before="0" w:after="60"/>
        <w:ind w:left="0" w:right="9360" w:hanging="0"/>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This adjustment eliminates the impact of non-cash stock-based compensation expenses. Although we expect to incur non-cash stock-based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For the three months ended September 30, 2026, this adjustment eliminates $1.9 million of other charges, consisting of $0.6 million in tax-related charges and $1.3 million of costs associated with the electrical substation upgrade in our Gumi fabrication facility. For the nine months ended September 30, 2026, this adjustment eliminates $3.9 million of other charges, which also included a $1.1 million customer goodwill payment related to a certain product, and $0.9 million of one-time employee incentives recorded in the first half of 2026. For the three months ended September 30, 2025, this adjustment eliminates $2.6 million of termination-related charges in connection with the voluntary resignation program and $1.4 million of certain executive separation benefits. For the nine months ended September 30, 2025, this adjustment eliminates $2.6 million of termination-related charges, $1.7 million of certain executive separation benefits and $0.5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(e)</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For the three and nine months ended September 30, 2026 and 2025, income tax effect on non-GAAP adjustments was calculated by comparing the tax expense of each jurisdiction with and without the non-GAAP adjustments.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all adjustments to income (loss) from continuing operations used to calculate Adjusted Net Income (Loss) from continuing operations were applied consistently to the periods presented.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Net Income (Loss) does not reflect changes in, or cash requirements for, our working capital needs;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Net Income (Loss) does not consider the potentially dilutive impact of issuing stock-based compensation to our management team and employees;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Adjusted Net Income (Loss) does not reflect the costs of holding certain assets and liabilities in foreign currencies; and </w:t>
      </w:r>
    </w:p>
    <w:p>
      <w:pPr>
        <w:pStyle w:val="TextBody"/>
        <w:bidi w:val="0"/>
        <w:spacing w:lineRule="auto" w:line="273" w:before="120" w:after="283"/>
        <w:ind w:left="489" w:right="0" w:hanging="0"/>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Other companies in our industry may calculate Adjusted Net Income (Loss) differently than we do, limiting its usefulness as a comparative measure.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Factors Affecting Our Results of Operations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Net</w:t>
      </w:r>
      <w:r>
        <w:rPr>
          <w:rFonts w:ascii="Times New Roman" w:hAnsi="Times New Roman"/>
          <w:color w:val="000000"/>
          <w:sz w:val="20"/>
        </w:rPr>
        <w:t xml:space="preserve"> </w:t>
      </w:r>
      <w:r>
        <w:rPr>
          <w:rFonts w:ascii="Times New Roman" w:hAnsi="Times New Roman"/>
          <w:b/>
          <w:i/>
          <w:color w:val="000000"/>
          <w:sz w:val="20"/>
        </w:rPr>
        <w:t>Sales.</w:t>
      </w:r>
      <w:r>
        <w:rPr>
          <w:rFonts w:ascii="Times New Roman" w:hAnsi="Times New Roman"/>
          <w:color w:val="000000"/>
          <w:sz w:val="20"/>
        </w:rPr>
        <w:t xml:space="preserve"> We derive all of our sales (net of sales returns and allowances) from our Power Solutions business, which consists of our Power Analog Solution and Power IC businesses.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revenue when a customer obtains control of the product, which is generally upon product shipment, delivery at the customer’s location or upon customer acceptance, depending on the terms of the arrangement. For the nine months ended September 30, 2026 and 2025, our products were sold to 166 and 173 end customers, respectively, and our net sales to our ten largest customers represented 71.8% and 74.2% of our net sales, respectively.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Average</w:t>
      </w:r>
      <w:r>
        <w:rPr>
          <w:rFonts w:ascii="Times New Roman" w:hAnsi="Times New Roman"/>
          <w:color w:val="000000"/>
          <w:sz w:val="20"/>
        </w:rPr>
        <w:t xml:space="preserve"> </w:t>
      </w:r>
      <w:r>
        <w:rPr>
          <w:rFonts w:ascii="Times New Roman" w:hAnsi="Times New Roman"/>
          <w:b/>
          <w:i/>
          <w:color w:val="000000"/>
          <w:sz w:val="20"/>
        </w:rPr>
        <w:t>Selling</w:t>
      </w:r>
      <w:r>
        <w:rPr>
          <w:rFonts w:ascii="Times New Roman" w:hAnsi="Times New Roman"/>
          <w:color w:val="000000"/>
          <w:sz w:val="20"/>
        </w:rPr>
        <w:t xml:space="preserve"> </w:t>
      </w:r>
      <w:r>
        <w:rPr>
          <w:rFonts w:ascii="Times New Roman" w:hAnsi="Times New Roman"/>
          <w:b/>
          <w:i/>
          <w:color w:val="000000"/>
          <w:sz w:val="20"/>
        </w:rPr>
        <w:t>Prices (“ASP”).</w:t>
      </w:r>
      <w:r>
        <w:rPr>
          <w:rFonts w:ascii="Times New Roman" w:hAnsi="Times New Roman"/>
          <w:color w:val="000000"/>
          <w:sz w:val="20"/>
        </w:rPr>
        <w:t xml:space="preserve"> Average selling prices for our products tend to be highest at the time of introduction of new products which utilize the latest technology and tend to decrease over time as such products mature in the market and are replaced by new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Material Costs.</w:t>
      </w:r>
      <w:r>
        <w:rPr>
          <w:rFonts w:ascii="Times New Roman" w:hAnsi="Times New Roman"/>
          <w:color w:val="000000"/>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Labor</w:t>
      </w:r>
      <w:r>
        <w:rPr>
          <w:rFonts w:ascii="Times New Roman" w:hAnsi="Times New Roman"/>
          <w:color w:val="000000"/>
          <w:sz w:val="20"/>
        </w:rPr>
        <w:t xml:space="preserve"> </w:t>
      </w:r>
      <w:r>
        <w:rPr>
          <w:rFonts w:ascii="Times New Roman" w:hAnsi="Times New Roman"/>
          <w:b/>
          <w:i/>
          <w:color w:val="000000"/>
          <w:sz w:val="20"/>
        </w:rPr>
        <w:t>Costs.</w:t>
      </w:r>
      <w:r>
        <w:rPr>
          <w:rFonts w:ascii="Times New Roman" w:hAnsi="Times New Roman"/>
          <w:color w:val="000000"/>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September 30, 2026, 97% of our employees were eligible for severance benefits.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Depreciation Expense.</w:t>
      </w:r>
      <w:r>
        <w:rPr>
          <w:rFonts w:ascii="Times New Roman" w:hAnsi="Times New Roman"/>
          <w:color w:val="000000"/>
          <w:sz w:val="20"/>
        </w:rPr>
        <w:t xml:space="preserve"> We periodically evaluate the carrying values of long-lived assets, including property, plant and equipment and intangible assets, as well as the related depreciation periods. We depreciate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Selling</w:t>
      </w:r>
      <w:r>
        <w:rPr>
          <w:rFonts w:ascii="Times New Roman" w:hAnsi="Times New Roman"/>
          <w:color w:val="000000"/>
          <w:sz w:val="20"/>
        </w:rPr>
        <w:t xml:space="preserve"> </w:t>
      </w:r>
      <w:r>
        <w:rPr>
          <w:rFonts w:ascii="Times New Roman" w:hAnsi="Times New Roman"/>
          <w:b/>
          <w:i/>
          <w:color w:val="000000"/>
          <w:sz w:val="20"/>
        </w:rPr>
        <w:t>Expenses.</w:t>
      </w:r>
      <w:r>
        <w:rPr>
          <w:rFonts w:ascii="Times New Roman" w:hAnsi="Times New Roman"/>
          <w:color w:val="000000"/>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r>
        <w:rPr>
          <w:rFonts w:ascii="Times New Roman" w:hAnsi="Times New Roman"/>
          <w:b/>
          <w:i/>
          <w:color w:val="000000"/>
          <w:sz w:val="20"/>
        </w:rPr>
        <w:t>and</w:t>
      </w:r>
      <w:r>
        <w:rPr>
          <w:rFonts w:ascii="Times New Roman" w:hAnsi="Times New Roman"/>
          <w:color w:val="000000"/>
          <w:sz w:val="20"/>
        </w:rPr>
        <w:t xml:space="preserve"> </w:t>
      </w:r>
      <w:r>
        <w:rPr>
          <w:rFonts w:ascii="Times New Roman" w:hAnsi="Times New Roman"/>
          <w:b/>
          <w:i/>
          <w:color w:val="000000"/>
          <w:sz w:val="20"/>
        </w:rPr>
        <w:t>Administrative</w:t>
      </w:r>
      <w:r>
        <w:rPr>
          <w:rFonts w:ascii="Times New Roman" w:hAnsi="Times New Roman"/>
          <w:color w:val="000000"/>
          <w:sz w:val="20"/>
        </w:rPr>
        <w:t xml:space="preserve"> </w:t>
      </w:r>
      <w:r>
        <w:rPr>
          <w:rFonts w:ascii="Times New Roman" w:hAnsi="Times New Roman"/>
          <w:b/>
          <w:i/>
          <w:color w:val="000000"/>
          <w:sz w:val="20"/>
        </w:rPr>
        <w:t>Expenses.</w:t>
      </w:r>
      <w:r>
        <w:rPr>
          <w:rFonts w:ascii="Times New Roman" w:hAnsi="Times New Roman"/>
          <w:color w:val="000000"/>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Research</w:t>
      </w:r>
      <w:r>
        <w:rPr>
          <w:rFonts w:ascii="Times New Roman" w:hAnsi="Times New Roman"/>
          <w:color w:val="000000"/>
          <w:sz w:val="20"/>
        </w:rPr>
        <w:t xml:space="preserve"> </w:t>
      </w:r>
      <w:r>
        <w:rPr>
          <w:rFonts w:ascii="Times New Roman" w:hAnsi="Times New Roman"/>
          <w:b/>
          <w:i/>
          <w:color w:val="000000"/>
          <w:sz w:val="20"/>
        </w:rPr>
        <w:t>and</w:t>
      </w:r>
      <w:r>
        <w:rPr>
          <w:rFonts w:ascii="Times New Roman" w:hAnsi="Times New Roman"/>
          <w:color w:val="000000"/>
          <w:sz w:val="20"/>
        </w:rPr>
        <w:t xml:space="preserve"> </w:t>
      </w:r>
      <w:r>
        <w:rPr>
          <w:rFonts w:ascii="Times New Roman" w:hAnsi="Times New Roman"/>
          <w:b/>
          <w:i/>
          <w:color w:val="000000"/>
          <w:sz w:val="20"/>
        </w:rPr>
        <w:t>Development.</w:t>
      </w:r>
      <w:r>
        <w:rPr>
          <w:rFonts w:ascii="Times New Roman" w:hAnsi="Times New Roman"/>
          <w:color w:val="000000"/>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Analog Solutions business are certain equipment, material and design-related costs for Power Analog Solutions products.</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Impact of Foreign Currency Exchange Rates on Reported Results of Operations.</w:t>
      </w:r>
      <w:r>
        <w:rPr>
          <w:rFonts w:ascii="Times New Roman" w:hAnsi="Times New Roman"/>
          <w:color w:val="000000"/>
          <w:sz w:val="20"/>
        </w:rPr>
        <w:t xml:space="preserve"> Historically, a portion of our revenues and greater than the majority of our operating expenses and cost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may be affected by changes in the exchange rate between the Korean won and the U.S. dollar, including those related to the intercompany long-term loans to our Korean subsidiary, Magnachip Semiconductor, Ltd. or MSK, which is denominated in U.S. dollars. As of September 30, 2026, the outstanding intercompany loan balance including accrued interest between MSK and our Dutch subsidiary was $77.9 million. While the intercompany loan balance including accrued interest has decreased compared to prior periods, changes in exchange rates could continue to affect our reported foreign currency gain or loss.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Foreign Currency Gain or Loss.</w:t>
      </w:r>
      <w:r>
        <w:rPr>
          <w:rFonts w:ascii="Times New Roman" w:hAnsi="Times New Roman"/>
          <w:color w:val="000000"/>
          <w:sz w:val="20"/>
        </w:rPr>
        <w:t xml:space="preserve"> Foreign currency translation gains or losses on transactions by us or our subsidiaries in a currency other than our or our subsidiaries’ functional currency are included in foreign currency gain (loss), net in our consolidated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Capital</w:t>
      </w:r>
      <w:r>
        <w:rPr>
          <w:rFonts w:ascii="Times New Roman" w:hAnsi="Times New Roman"/>
          <w:color w:val="000000"/>
          <w:sz w:val="20"/>
        </w:rPr>
        <w:t xml:space="preserve"> </w:t>
      </w:r>
      <w:r>
        <w:rPr>
          <w:rFonts w:ascii="Times New Roman" w:hAnsi="Times New Roman"/>
          <w:b/>
          <w:i/>
          <w:color w:val="000000"/>
          <w:sz w:val="20"/>
        </w:rPr>
        <w:t>Expenditures.</w:t>
      </w:r>
      <w:r>
        <w:rPr>
          <w:rFonts w:ascii="Times New Roman" w:hAnsi="Times New Roman"/>
          <w:color w:val="000000"/>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Results of Operations – Comparison of Three Months Ended September 30, 2026 and 2025</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consolidated results of operations for the three months ended September 30, 2026 and 2025: </w:t>
      </w:r>
    </w:p>
    <w:p>
      <w:pPr>
        <w:pStyle w:val="TextBody"/>
        <w:bidi w:val="0"/>
        <w:spacing w:lineRule="auto" w:line="273"/>
        <w:jc w:val="left"/>
      </w:pPr>
      <w:r>
        <w:t> </w:t>
      </w:r>
    </w:p>
    <w:tbl>
      <w:tblPr>
        <w:tblW w:w="10166" w:type="dxa"/>
        <w:jc w:val="left"/>
        <w:tblInd w:w="0" w:type="dxa"/>
        <w:tblLayout w:type="fixed"/>
        <w:tblCellMar>
          <w:top w:w="28" w:type="dxa"/>
          <w:left w:w="28" w:type="dxa"/>
          <w:bottom w:w="28" w:type="dxa"/>
          <w:right w:w="28" w:type="dxa"/>
        </w:tblCellMar>
      </w:tblPr>
      <w:tblGrid>
        <w:gridCol w:w="3736"/>
        <w:gridCol w:w="546"/>
        <w:gridCol w:w="211"/>
        <w:gridCol w:w="526"/>
        <w:gridCol w:w="166"/>
        <w:gridCol w:w="146"/>
        <w:gridCol w:w="155"/>
        <w:gridCol w:w="610"/>
        <w:gridCol w:w="331"/>
        <w:gridCol w:w="146"/>
        <w:gridCol w:w="211"/>
        <w:gridCol w:w="526"/>
        <w:gridCol w:w="166"/>
        <w:gridCol w:w="146"/>
        <w:gridCol w:w="155"/>
        <w:gridCol w:w="610"/>
        <w:gridCol w:w="331"/>
        <w:gridCol w:w="146"/>
        <w:gridCol w:w="230"/>
        <w:gridCol w:w="461"/>
        <w:gridCol w:w="611"/>
      </w:tblGrid>
      <w:tr>
        <w:tc>
          <w:tcPr>
            <w:tcW w:w="3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81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81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273"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sales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 of sales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86.0</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81.4</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profit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br/>
              <w:t>   expenses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Early termination and other charges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43.3</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loss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(29.3</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Foreign currency gain (loss), net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continuing operations</w:t>
              <w:br/>
              <w:t>   before income tax expense (benefit), net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 (benefit), net</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(23.1</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7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(Loss) from discontinued operations,</w:t>
              <w:br/>
              <w:t>   net of tax</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w:t>
            </w:r>
          </w:p>
        </w:tc>
        <w:tc>
          <w:tcPr>
            <w:tcW w:w="3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7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w:t>
            </w:r>
          </w:p>
        </w:tc>
        <w:tc>
          <w:tcPr>
            <w:tcW w:w="3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i/>
          <w:color w:val="000000"/>
          <w:sz w:val="20"/>
        </w:rPr>
        <w:t>Results by business line</w:t>
      </w:r>
      <w:r>
        <w:rPr>
          <w:rFonts w:ascii="Times New Roman" w:hAnsi="Times New Roman"/>
          <w:color w:val="000000"/>
          <w:sz w:val="20"/>
        </w:rPr>
        <w:t xml:space="preserve"> </w:t>
      </w:r>
    </w:p>
    <w:p>
      <w:pPr>
        <w:pStyle w:val="TextBody"/>
        <w:bidi w:val="0"/>
        <w:spacing w:lineRule="auto" w:line="273"/>
        <w:jc w:val="left"/>
      </w:pPr>
      <w:r>
        <w:t> </w:t>
      </w:r>
    </w:p>
    <w:tbl>
      <w:tblPr>
        <w:tblW w:w="8464" w:type="dxa"/>
        <w:jc w:val="left"/>
        <w:tblInd w:w="0" w:type="dxa"/>
        <w:tblLayout w:type="fixed"/>
        <w:tblCellMar>
          <w:top w:w="28" w:type="dxa"/>
          <w:left w:w="28" w:type="dxa"/>
          <w:bottom w:w="28" w:type="dxa"/>
          <w:right w:w="28" w:type="dxa"/>
        </w:tblCellMar>
      </w:tblPr>
      <w:tblGrid>
        <w:gridCol w:w="2486"/>
        <w:gridCol w:w="346"/>
        <w:gridCol w:w="215"/>
        <w:gridCol w:w="476"/>
        <w:gridCol w:w="146"/>
        <w:gridCol w:w="146"/>
        <w:gridCol w:w="155"/>
        <w:gridCol w:w="610"/>
        <w:gridCol w:w="271"/>
        <w:gridCol w:w="146"/>
        <w:gridCol w:w="215"/>
        <w:gridCol w:w="476"/>
        <w:gridCol w:w="146"/>
        <w:gridCol w:w="146"/>
        <w:gridCol w:w="155"/>
        <w:gridCol w:w="610"/>
        <w:gridCol w:w="271"/>
        <w:gridCol w:w="146"/>
        <w:gridCol w:w="230"/>
        <w:gridCol w:w="461"/>
        <w:gridCol w:w="611"/>
      </w:tblGrid>
      <w:tr>
        <w:tc>
          <w:tcPr>
            <w:tcW w:w="24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502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i/>
                <w:color w:val="000000"/>
                <w:sz w:val="20"/>
              </w:rPr>
            </w:pPr>
            <w:r>
              <w:rPr>
                <w:rFonts w:ascii="Times New Roman" w:hAnsi="Times New Roman"/>
                <w:b/>
                <w:i/>
                <w:color w:val="000000"/>
                <w:sz w:val="20"/>
              </w:rPr>
              <w:t>Net Sales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tbl>
      <w:tblPr>
        <w:tblW w:w="8712" w:type="dxa"/>
        <w:jc w:val="left"/>
        <w:tblInd w:w="0" w:type="dxa"/>
        <w:tblLayout w:type="fixed"/>
        <w:tblCellMar>
          <w:top w:w="28" w:type="dxa"/>
          <w:left w:w="28" w:type="dxa"/>
          <w:bottom w:w="28" w:type="dxa"/>
          <w:right w:w="28" w:type="dxa"/>
        </w:tblCellMar>
      </w:tblPr>
      <w:tblGrid>
        <w:gridCol w:w="2486"/>
        <w:gridCol w:w="546"/>
        <w:gridCol w:w="254"/>
        <w:gridCol w:w="437"/>
        <w:gridCol w:w="158"/>
        <w:gridCol w:w="158"/>
        <w:gridCol w:w="181"/>
        <w:gridCol w:w="584"/>
        <w:gridCol w:w="271"/>
        <w:gridCol w:w="146"/>
        <w:gridCol w:w="254"/>
        <w:gridCol w:w="437"/>
        <w:gridCol w:w="158"/>
        <w:gridCol w:w="158"/>
        <w:gridCol w:w="181"/>
        <w:gridCol w:w="584"/>
        <w:gridCol w:w="271"/>
        <w:gridCol w:w="146"/>
        <w:gridCol w:w="230"/>
        <w:gridCol w:w="461"/>
        <w:gridCol w:w="611"/>
      </w:tblGrid>
      <w:tr>
        <w:tc>
          <w:tcPr>
            <w:tcW w:w="24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7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77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069"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Gross Profit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Power IC</w:t>
            </w:r>
          </w:p>
        </w:tc>
        <w:tc>
          <w:tcPr>
            <w:tcW w:w="54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gross profit</w:t>
            </w:r>
          </w:p>
        </w:tc>
        <w:tc>
          <w:tcPr>
            <w:tcW w:w="5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pPr>
            <w: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i/>
          <w:color w:val="000000"/>
          <w:sz w:val="20"/>
        </w:rPr>
        <w:t>Net Sales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operate within a single operating segment, Power Solutions business, which consists of our Power Analog Solutions and Power IC businesses.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The Power Solutions business.</w:t>
      </w:r>
      <w:r>
        <w:rPr>
          <w:rFonts w:ascii="Times New Roman" w:hAnsi="Times New Roman"/>
          <w:color w:val="000000"/>
          <w:sz w:val="20"/>
        </w:rPr>
        <w:t xml:space="preserve"> Net Sales from Power Solutions business were $44.0 million for the three months ended September 30, 2026, a $2.0 million, or 4.3%, decrease compared to $45.9 million for the three months ended September 30, 2025. This decrease was primarily due to a decrease in revenue from our Power Analog Solutions business, as described below.</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from Power Analog Solutions business were $39.6 million for the three months ended September 30, 2026, a $1.9 million, or 4.6%, decrease compared to $41.5 million for the three months ended September 30, 2025. The decrease in net sales from our Power Analog Solutions business line was primarily attributable to weaker demand for our older generation products resulting from intensified pricing competition, which was offset in part by a higher demand for high-end MOSFETs used in industrial applications and IGBTs used primarily in solar inverters.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from Power IC business were relatively flat at $4.3 million for the three months ended September 30, 2026, compared to $4.4 million for the three months ended September 30, 2025.</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 xml:space="preserve">The Power Solutions business. </w:t>
      </w:r>
      <w:r>
        <w:rPr>
          <w:rFonts w:ascii="Times New Roman" w:hAnsi="Times New Roman"/>
          <w:color w:val="000000"/>
          <w:sz w:val="20"/>
        </w:rPr>
        <w:t>Gross profit from our Power Solutions business was $6.2 million for the three months ended September 30, 2026, which represented a $2.4 million, or 27.7%, decrease from gross profit of $8.5 million for the three months ended September 30, 2025. Gross profit as a percentage of net sales for the three months ended September 30, 2026 decreased to 14.0% compared to 18.6% for the three months ended September 30, 2025. The year-over-year decrease in gross profit and gross profit as a percentage of net sales was primarily attributable to an unfavorable product mix, driven by ASP erosion resulting from increased competitive pricing pressure on our older generation products, particularly from Chinese competitors.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Net Sales by Geographic Region</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report net sales by geographic region based on the location to which the products are billed. The following table sets forth our net sales by geographic region and the percentage of total net sales represented by each geographic region for the three months ended September 30, 2026 and 2025: </w:t>
      </w:r>
    </w:p>
    <w:p>
      <w:pPr>
        <w:pStyle w:val="TextBody"/>
        <w:bidi w:val="0"/>
        <w:spacing w:lineRule="auto" w:line="273"/>
        <w:jc w:val="left"/>
      </w:pPr>
      <w:r>
        <w:t> </w:t>
      </w:r>
    </w:p>
    <w:tbl>
      <w:tblPr>
        <w:tblW w:w="7974" w:type="dxa"/>
        <w:jc w:val="left"/>
        <w:tblInd w:w="0" w:type="dxa"/>
        <w:tblLayout w:type="fixed"/>
        <w:tblCellMar>
          <w:top w:w="28" w:type="dxa"/>
          <w:left w:w="28" w:type="dxa"/>
          <w:bottom w:w="28" w:type="dxa"/>
          <w:right w:w="28" w:type="dxa"/>
        </w:tblCellMar>
      </w:tblPr>
      <w:tblGrid>
        <w:gridCol w:w="2596"/>
        <w:gridCol w:w="146"/>
        <w:gridCol w:w="215"/>
        <w:gridCol w:w="476"/>
        <w:gridCol w:w="146"/>
        <w:gridCol w:w="146"/>
        <w:gridCol w:w="155"/>
        <w:gridCol w:w="610"/>
        <w:gridCol w:w="271"/>
        <w:gridCol w:w="146"/>
        <w:gridCol w:w="215"/>
        <w:gridCol w:w="476"/>
        <w:gridCol w:w="146"/>
        <w:gridCol w:w="146"/>
        <w:gridCol w:w="155"/>
        <w:gridCol w:w="610"/>
        <w:gridCol w:w="271"/>
        <w:gridCol w:w="146"/>
        <w:gridCol w:w="230"/>
        <w:gridCol w:w="461"/>
        <w:gridCol w:w="211"/>
      </w:tblGrid>
      <w:t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b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02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Asia Pacific (other than Korea)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before="40" w:after="283"/>
        <w:ind w:left="0" w:right="0" w:firstLine="490"/>
        <w:jc w:val="left"/>
        <w:rPr>
          <w:rFonts w:ascii="Times New Roman" w:hAnsi="Times New Roman"/>
          <w:color w:val="000000"/>
          <w:sz w:val="20"/>
        </w:rPr>
      </w:pPr>
      <w:r>
        <w:rPr>
          <w:rFonts w:ascii="Times New Roman" w:hAnsi="Times New Roman"/>
          <w:color w:val="000000"/>
          <w:sz w:val="20"/>
        </w:rPr>
        <w:t>Net sales in Korea decreased from $23.3 million for the three months ended September 30, 2025 to $18.2 million for the three months ended September 30, 2026, or by $5.1 million, or 21.9%, primarily due to a decrease in revenue resulting from the competitive pricing pressure on our older generation products in consumer applications.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in the Asia Pacific (other than Korea) increased from $20.3 million for the three months ended September 30, 2025 to $23.9 million for the three months ended September 30, 2026, or by $3.6 million, or 17.6%, primarily due to a higher demand for high-end MOSFETs used in industrial applications, and IGBTs used primarily in solar inverters.</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Selling, general and administrative expenses were $8.8 million, or 20.0% of net sales, for the three months ended September 30, 2026, compared to $8.3 million, or 18.1% of net sales, for the three months ended September 30, 2025. The increase of $0.5 million, or 5.6%, was primarily attributable to an increase in employee compensation, driven mainly by the timing of stock-based compensation grant, which was offset in part by a decrease in professional fees mainly comprised of legal and consulting fees.</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Research and development expenses were $8.4 million, or 19.0% of net sales, for the three months ended September 30, 2026, compared to $7.8 million, or 16.9% of net sales, for the three months ended September 30, 2025. The increase of $0.6 million, or 7.5%, was primarily attributable to higher personnel costs resulting from the increased headcount in research and development, as well as differences in the timing of stock-based compensation grant.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Early termination and other charges.</w:t>
      </w:r>
      <w:r>
        <w:rPr>
          <w:rFonts w:ascii="Times New Roman" w:hAnsi="Times New Roman"/>
          <w:color w:val="000000"/>
          <w:sz w:val="20"/>
        </w:rPr>
        <w:t xml:space="preserve"> For the three months ended September 30, 2026, we recorded $1.9 million of other charges, consisting of $0.6 million in tax-related charges and $1.3 million of costs associated with the electrical substation upgrade in our Gumi fabrication facility. For the three months ended September 30, 2025, we recorded $2.6 million of termination-related charges in connection with the voluntary resignation program and $1.4 million of certain executive separation benefits.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Operating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color w:val="000000"/>
          <w:sz w:val="20"/>
        </w:rPr>
        <w:t xml:space="preserve">As a result of the foregoing, operating loss of $12.9 million was recorded for the three months ended September 30, 2026 compared to an operating loss of $11.5 million for the three months ended September 30, 2025. As discussed above, the increase in operating loss of $1.3 million resulted primarily from a $2.4 million decrease in gross profit, a $0.6 million increase in research and development expenses and a $0.5 million increase in </w:t>
      </w:r>
      <w:r>
        <w:rPr>
          <w:rFonts w:ascii="Times New Roman" w:hAnsi="Times New Roman"/>
          <w:color w:val="000000"/>
          <w:sz w:val="24"/>
        </w:rPr>
        <w:t>s</w:t>
      </w:r>
      <w:r>
        <w:rPr>
          <w:rFonts w:ascii="Times New Roman" w:hAnsi="Times New Roman"/>
          <w:color w:val="000000"/>
          <w:sz w:val="20"/>
        </w:rPr>
        <w:t xml:space="preserve">elling, general and administrative expenses, which was offset in part by a $2.1 million decrease in early termination and other charges.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Interest income was $0.9 million and $1.3 million for the three months ended September 30, 2026 and 2025, respectively.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was $0.3 million and $0.5 million for the three months ended September 30, 2026 and 2025, respectively.</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 xml:space="preserve">Foreign Currency Gain (Loss), Net. </w:t>
      </w:r>
      <w:r>
        <w:rPr>
          <w:rFonts w:ascii="Times New Roman" w:hAnsi="Times New Roman"/>
          <w:color w:val="000000"/>
          <w:sz w:val="20"/>
        </w:rPr>
        <w:t>Net foreign currency gain for the three months ended September 30, 2026 was $1.8 million compared to a net foreign currency loss of $4.3 million for the three months ended September 30, 2025. The net foreign currency gain for the three months ended September 30, 2026 was due to the appreciation in value of the Korean won relative to the U.S. dollar during the period. The net foreign currency loss for the three months ended September 30, 2025 was due to the depreciation in value of the Korean won relative to the U.S. dollar during the period.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substantial portion of our net foreign currency gain or loss is a non-cash translation gain or loss associated with the intercompany long-term loans to our Korean subsidiary, which is denominated in U.S. dollars, and is affected by changes in the exchange rate between the Korean won and the U.S. dollar. As of September 30, 2026 and September 30, 2025, the outstanding intercompany loan balances including accrued interest between our Korean subsidiary, Magnachip Semiconductor, Ltd., and our Dutch subsidiary were $77.9 million and $244.7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 </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Tax Expense (Benefit), Net</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income taxes in the United States and many foreign jurisdictions and our effective tax rate is affected by changes in the mix of earnings between countries with differing tax rates.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Income tax expense was $4.9 million for the three months ended September 30, 2026, primarily attributable to the partial disallowance of prior-year net operating loss (“NOL”) carryforwards of our primary operating entity in Korea following a Korean tax audit, due to differences in the interpretation of applicable tax laws. This resulted in a $6.4 million reduction in deferred tax assets and a corresponding increase in income tax expense in the third quarter of 2026.</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Income tax benefit was $4.2 million for the three months ended September 30, 2025, which was primarily attributable to the estimated taxable loss in our Korean subsidiary for the respective period, including loss recognized in connection with the shutdown of the discontinued Display business during the second quarter of 2025.</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Loss from Continuing Operations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Loss from continuing operations for the three months ended September 30, 2026 was $13.3 million compared to loss from continuing operations of $10.6 million for the three months ended September 30, 2025. The $2.7 million increase in loss from continuing operations was primarily attributable to a $9.0 million decrease in income tax benefit and a $1.3 million increase in operating loss, which was offset in part by a $6.1 million improvement in net foreign currency loss.</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(Loss) from Discontinued Operations, Net of Tax</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Income from discontinued operations, net of tax for the three months ended September 30, 2026 was $0.7 million compared to a loss from discontinued operations, net of tax of $2.5 million for the three months ended September 30, 2025. The $3.2 million improvement in loss from discontinued operations, net of tax primarily resulted from the absence of $5.1 million of impairment charges, primarily related to certain design tool software contracts, which was offset in part by a $2.3 million decrease in gross profit.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Net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As a result of the foregoing, a net loss of $12.5 million was recorded for the three months ended September 30, 2026 compared to a net loss of $13.1 million for the three months ended September 30, 2025. As discussed above, the improvement in net loss of $0.5 million resulted from a $3.2 million improvement in loss from discontinued operations, net of tax, which was offset in part by a $2.7 million increase in loss from continuing operations.</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Results of Operations – Comparison of Nine Months Ended September 30, 2026 and 2025</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consolidated results of operations for the nine months ended September 30, 2026 and 2025: </w:t>
      </w:r>
    </w:p>
    <w:p>
      <w:pPr>
        <w:pStyle w:val="TextBody"/>
        <w:bidi w:val="0"/>
        <w:spacing w:lineRule="auto" w:line="273"/>
        <w:jc w:val="left"/>
      </w:pPr>
      <w:r>
        <w:t> </w:t>
      </w:r>
    </w:p>
    <w:tbl>
      <w:tblPr>
        <w:tblW w:w="9381" w:type="dxa"/>
        <w:jc w:val="left"/>
        <w:tblInd w:w="0" w:type="dxa"/>
        <w:tblLayout w:type="fixed"/>
        <w:tblCellMar>
          <w:top w:w="28" w:type="dxa"/>
          <w:left w:w="28" w:type="dxa"/>
          <w:bottom w:w="28" w:type="dxa"/>
          <w:right w:w="28" w:type="dxa"/>
        </w:tblCellMar>
      </w:tblPr>
      <w:tblGrid>
        <w:gridCol w:w="3441"/>
        <w:gridCol w:w="146"/>
        <w:gridCol w:w="196"/>
        <w:gridCol w:w="511"/>
        <w:gridCol w:w="166"/>
        <w:gridCol w:w="146"/>
        <w:gridCol w:w="170"/>
        <w:gridCol w:w="595"/>
        <w:gridCol w:w="316"/>
        <w:gridCol w:w="146"/>
        <w:gridCol w:w="196"/>
        <w:gridCol w:w="511"/>
        <w:gridCol w:w="166"/>
        <w:gridCol w:w="146"/>
        <w:gridCol w:w="170"/>
        <w:gridCol w:w="595"/>
        <w:gridCol w:w="316"/>
        <w:gridCol w:w="146"/>
        <w:gridCol w:w="200"/>
        <w:gridCol w:w="491"/>
        <w:gridCol w:w="611"/>
      </w:tblGrid>
      <w:tr>
        <w:tc>
          <w:tcPr>
            <w:tcW w:w="3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83"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83.7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(5.6</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Early termination and other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38.6</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36.9</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(6.6</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0.3</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Foreign currency gain,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0.9</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Loss from continuing operations</w:t>
              <w:br/>
              <w:t>   before income tax expense (benefit),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tax expense (benefit),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(20.1</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3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Income (Loss) from discontinued operations,</w:t>
              <w:br/>
              <w:t>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i/>
          <w:color w:val="000000"/>
          <w:sz w:val="20"/>
        </w:rPr>
        <w:t>Results by business line</w:t>
      </w:r>
      <w:r>
        <w:rPr>
          <w:rFonts w:ascii="Times New Roman" w:hAnsi="Times New Roman"/>
          <w:color w:val="000000"/>
          <w:sz w:val="20"/>
        </w:rPr>
        <w:t xml:space="preserve"> </w:t>
      </w:r>
    </w:p>
    <w:p>
      <w:pPr>
        <w:pStyle w:val="TextBody"/>
        <w:bidi w:val="0"/>
        <w:spacing w:lineRule="auto" w:line="273"/>
        <w:jc w:val="left"/>
      </w:pPr>
      <w:r>
        <w:t> </w:t>
      </w:r>
    </w:p>
    <w:tbl>
      <w:tblPr>
        <w:tblW w:w="8846" w:type="dxa"/>
        <w:jc w:val="left"/>
        <w:tblInd w:w="0" w:type="dxa"/>
        <w:tblLayout w:type="fixed"/>
        <w:tblCellMar>
          <w:top w:w="28" w:type="dxa"/>
          <w:left w:w="28" w:type="dxa"/>
          <w:bottom w:w="28" w:type="dxa"/>
          <w:right w:w="28" w:type="dxa"/>
        </w:tblCellMar>
      </w:tblPr>
      <w:tblGrid>
        <w:gridCol w:w="2686"/>
        <w:gridCol w:w="146"/>
        <w:gridCol w:w="211"/>
        <w:gridCol w:w="571"/>
        <w:gridCol w:w="146"/>
        <w:gridCol w:w="146"/>
        <w:gridCol w:w="155"/>
        <w:gridCol w:w="610"/>
        <w:gridCol w:w="271"/>
        <w:gridCol w:w="146"/>
        <w:gridCol w:w="211"/>
        <w:gridCol w:w="571"/>
        <w:gridCol w:w="146"/>
        <w:gridCol w:w="146"/>
        <w:gridCol w:w="155"/>
        <w:gridCol w:w="610"/>
        <w:gridCol w:w="271"/>
        <w:gridCol w:w="146"/>
        <w:gridCol w:w="230"/>
        <w:gridCol w:w="461"/>
        <w:gridCol w:w="811"/>
      </w:tblGrid>
      <w:t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3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3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03"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i/>
                <w:color w:val="000000"/>
                <w:sz w:val="20"/>
              </w:rPr>
            </w:pPr>
            <w:r>
              <w:rPr>
                <w:rFonts w:ascii="Times New Roman" w:hAnsi="Times New Roman"/>
                <w:b/>
                <w:i/>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right"/>
            </w:pPr>
            <w:r>
              <w:t> </w:t>
            </w:r>
          </w:p>
        </w:tc>
      </w:tr>
      <w:tr>
        <w:tc>
          <w:tcPr>
            <w:tcW w:w="2686" w:type="dxa"/>
            <w:tcBorders/>
            <w:shd w:fill="CFF0FC" w:val="clear"/>
            <w:tcMar>
              <w:top w:w="0" w:type="dxa"/>
              <w:left w:w="0" w:type="dxa"/>
              <w:bottom w:w="0" w:type="dxa"/>
              <w:right w:w="0" w:type="dxa"/>
            </w:tcMar>
            <w:vAlign w:val="center"/>
          </w:tcPr>
          <w:p>
            <w:pPr>
              <w:pStyle w:val="TableContents"/>
              <w:bidi w:val="0"/>
              <w:spacing w:lineRule="auto" w:line="252" w:before="0" w:after="283"/>
              <w:ind w:left="600" w:right="0" w:firstLine="6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ind w:left="600" w:right="0" w:firstLine="6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68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tbl>
      <w:tblPr>
        <w:tblW w:w="8264" w:type="dxa"/>
        <w:jc w:val="left"/>
        <w:tblInd w:w="0" w:type="dxa"/>
        <w:tblLayout w:type="fixed"/>
        <w:tblCellMar>
          <w:top w:w="28" w:type="dxa"/>
          <w:left w:w="28" w:type="dxa"/>
          <w:bottom w:w="28" w:type="dxa"/>
          <w:right w:w="28" w:type="dxa"/>
        </w:tblCellMar>
      </w:tblPr>
      <w:tblGrid>
        <w:gridCol w:w="2486"/>
        <w:gridCol w:w="146"/>
        <w:gridCol w:w="215"/>
        <w:gridCol w:w="476"/>
        <w:gridCol w:w="146"/>
        <w:gridCol w:w="146"/>
        <w:gridCol w:w="182"/>
        <w:gridCol w:w="583"/>
        <w:gridCol w:w="271"/>
        <w:gridCol w:w="146"/>
        <w:gridCol w:w="215"/>
        <w:gridCol w:w="476"/>
        <w:gridCol w:w="146"/>
        <w:gridCol w:w="146"/>
        <w:gridCol w:w="182"/>
        <w:gridCol w:w="583"/>
        <w:gridCol w:w="271"/>
        <w:gridCol w:w="146"/>
        <w:gridCol w:w="230"/>
        <w:gridCol w:w="461"/>
        <w:gridCol w:w="611"/>
      </w:tblGrid>
      <w:t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4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021"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486"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48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160" w:after="283"/>
        <w:jc w:val="left"/>
        <w:rPr>
          <w:rFonts w:ascii="Times New Roman" w:hAnsi="Times New Roman"/>
          <w:sz w:val="20"/>
        </w:rPr>
      </w:pPr>
      <w:r>
        <w:rPr>
          <w:rFonts w:ascii="Times New Roman" w:hAnsi="Times New Roman"/>
          <w:b/>
          <w:i/>
          <w:color w:val="000000"/>
          <w:sz w:val="20"/>
        </w:rPr>
        <w:t>Net Sales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operate within a single operating segment, Power Solutions business, which consists of our Power Analog Solutions and Power IC businesses.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The Power Solutions business.</w:t>
      </w:r>
      <w:r>
        <w:rPr>
          <w:rFonts w:ascii="Times New Roman" w:hAnsi="Times New Roman"/>
          <w:color w:val="000000"/>
          <w:sz w:val="20"/>
        </w:rPr>
        <w:t xml:space="preserve"> Net Sales from Power Solutions business were $134.9 million for the nine months ended September 30, 2026, a $3.4 million, or 2.5%, decrease compared to $138.3 million for the nine months ended September 30, 2025. This decrease was primarily due to a decrease in revenue related to both our Power Analog Solutions and Power IC businesses, as described below.</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sales from Power Analog Solutions business were $121.9 million for the nine months ended September 30, 2026, a $1.8 million, or 1.5%, decrease compared to $123.7 million for the nine months ended September 30, 2025. The decrease in net sales from our Power Analog Solutions business line was primarily attributable to weaker demand for our older generation products resulting from intensified pricing competition, which was offset in part by a higher demand for IGBTs used primarily in solar inverters.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Net sales from Power IC business were $13.0 million for the nine months ended September 30, 2026, a $1.6 million, or 10.9%, decrease compared to $14.6 million for the nine months ended September 30, 2025. The decrease in net sales from our Power IC business line was primarily attributable to lower demand for OLED IT devices and LED televisions.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Power Solutions business. Gross profit from our Power Solutions business was $22.0 million for the nine months ended September 30, 2026, which represented a $5.6 million, or 20.3%, decrease from gross profit of $27.6 million for the nine months ended September 30, 2025. Gross profit as a percentage of net sales for the nine months ended September 30, 2026 decreased to 16.3% compared to 20.0% for the nine months ended September 30, 2025. The year-over-year decrease in gross profit and gross profit as a percentage of net sales was primarily attributable to an unfavorable product mix, driven by ASP erosion resulting from increased pricing pressure on our older generation products, particularly from Chinese competitors.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Net Sales by Geographic Region</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report net sales by geographic region based on the location to which the products are billed. The following table sets forth our net sales by geographic region and the percentage of total net sales represented by each geographic region for the nine months ended September 30, 2026 and 2025: </w:t>
      </w:r>
    </w:p>
    <w:p>
      <w:pPr>
        <w:pStyle w:val="TextBody"/>
        <w:bidi w:val="0"/>
        <w:spacing w:lineRule="auto" w:line="273"/>
        <w:jc w:val="left"/>
      </w:pPr>
      <w:r>
        <w:t> </w:t>
      </w:r>
    </w:p>
    <w:tbl>
      <w:tblPr>
        <w:tblW w:w="8202"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155"/>
        <w:gridCol w:w="610"/>
        <w:gridCol w:w="271"/>
        <w:gridCol w:w="146"/>
        <w:gridCol w:w="211"/>
        <w:gridCol w:w="571"/>
        <w:gridCol w:w="146"/>
        <w:gridCol w:w="146"/>
        <w:gridCol w:w="155"/>
        <w:gridCol w:w="610"/>
        <w:gridCol w:w="271"/>
        <w:gridCol w:w="146"/>
        <w:gridCol w:w="211"/>
        <w:gridCol w:w="526"/>
        <w:gridCol w:w="211"/>
      </w:tblGrid>
      <w:t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3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3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Nine Months Ended</w:t>
              <w:b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49"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Asia Pacific (other than Korea)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 xml:space="preserve">Net sales in Korea decreased from $67.7 million for the nine months ended September 30, 2025 to $57.7 million for the nine months ended September 30, 2026, or by $10.0 million, or 14.8%, primarily due to a decrease in revenue resulting from the competitive pricing pressure on our older generation products in consumer applications. A lower demand for our Power IC products, primarily for LED televisions and OLED IT devices also had an unfavorable impact on net sales.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sales in the Asia Pacific (other than Korea) increased from $63.7 million for the nine months ended September 30, 2025 to $71.5 million for the nine months ended September 30, 2026, or by $7.8 million, or 12.2%, primarily due to a higher demand for power products such as MOSFETs and high-end MOSFETs used in computing and industrial applications, and IGBTs used primarily in solar inverters.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Selling, general and administrative expenses were $25.2 million, or 18.7% of net sales, for the nine months ended September 30, 2026, compared to $26.5 million, or 19.2% of net sales, for the nine months ended September 30, 2025. The decrease of $1.3 million, or 4.9%, was primarily attributable to a decrease in professional fees mainly comprised of legal and consulting fees, which was offset in part by an increase in employee compensation, driven mainly by the timing of stock-based compensation grant.</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Research and development expenses were $23.0 million, or 17.0% of net sales, for the nine months ended September 30, 2026, compared to $19.7 million, or 14.2% of net sales, for the nine months ended September 30, 2025. The increase of $3.3 million, or 16.5%, was primarily attributable to higher personnel costs resulting from the increased headcount in research and development, as well as differences in the timing of stock-based compensation grant.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Early termination and other charges.</w:t>
      </w:r>
      <w:r>
        <w:rPr>
          <w:rFonts w:ascii="Times New Roman" w:hAnsi="Times New Roman"/>
          <w:color w:val="000000"/>
          <w:sz w:val="20"/>
        </w:rPr>
        <w:t xml:space="preserve"> For the nine months ended September 30, 2026, we recorded $3.9 million of other charges, consisting of $0.6 million in tax-related charges, $1.3 million of costs associated with the electrical substation upgrade in our Gumi fabrication facility, a $1.1 million customer goodwill payment related to a certain product, and $0.9 million of one-time employee incentives. For the nine months ended September 30, 2025, we recorded $2.6 million of termination-related charges in connection with the voluntary resignation program, $1.7 million of certain executive separation benefits and $0.5 million of one-time employee incentives.</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Operating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the foregoing, operating loss of $30.0 million was recorded for the nine months ended September 30, 2026 compared to an operating loss of $23.4 million for the nine months ended September 30, 2025. As discussed above, the increase in operating loss of $6.6 million resulted primarily from a $5.6 million decrease in gross profit and a $3.3 million increase in research and development expenses, which was offset in part by a $1.3 million decrease in selling, general and administrative expenses and a $0.9 million decrease in early termination and other charges.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Interest income was $2.9 million and $4.1 million for the nine months ended September 30, 2026 and 2025, respectively.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was $1.0 million and $1.3 million for the nine months ended September 30, 2026 and 2025, respectively.</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b/>
          <w:i/>
          <w:color w:val="000000"/>
          <w:sz w:val="20"/>
        </w:rPr>
        <w:t>Foreign Currency Gain, Net.</w:t>
      </w:r>
      <w:r>
        <w:rPr>
          <w:rFonts w:ascii="Times New Roman" w:hAnsi="Times New Roman"/>
          <w:color w:val="000000"/>
          <w:sz w:val="20"/>
        </w:rPr>
        <w:t xml:space="preserve"> Net foreign currency gain for the nine months ended September 30, 2026 was $1.2 million compared to a net foreign currency gain of $6.1 million for the nine months ended September 30, 2025. The net foreign currency gain for the nine months ended September 30, 2026 and September 30, 2025 was due to the appreciation in value of the Korean won relative to the U.S. dollar during the period.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substantial portion of our net foreign currency gain or loss is a non-cash translation gain or loss associated with the intercompany long-term loans to our Korean subsidiary, which is denominated in U.S. dollars, and is affected by changes in the exchange rate between the Korean won and the U.S. dollar. As of September 30, 2026 and September 30, 2025, the outstanding intercompany loan balances including accrued interest between our Korean subsidiary, Magnachip Semiconductor, Ltd., and our Dutch subsidiary were $77.9 million and $244.7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 </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Tax Expense (Benefit), Net</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income taxes in the United States and many foreign jurisdictions and our effective tax rate is affected by changes in the mix of earnings between countries with differing tax rates.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Income tax expense was $1.0 million for the nine months ended September 30, 2026, primarily attributable to the partial disallowance of prior-year net operating loss (“NOL”) carryforwards of our primary operating entity in Korea following a Korean tax audit, due to differences in the interpretation of applicable tax laws. This resulted in a $6.4 million reduction in deferred tax assets and a corresponding increase in income tax expense in the third quarter of 2026, which was partially offset by an income tax benefit associated with the estimated taxable loss of our Korean subsidiary for the nine-month period.</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Income tax benefit was $8.7 million for the nine months ended September 30, 2025, which was primarily attributable to the estimated taxable loss in our Korean subsidiary for the respective period, including loss recognized in connection with the shutdown of the discontinued Display business during the second quarter of 2025.</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Loss from Continuing Operations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Loss from continuing operations for the nine months ended September 30, 2026 was $25.6 million compared to loss from continuing operations of $5.5 million for the nine months ended September 30, 2025. The $20.1 million increase in loss from continuing operations was primarily attributable to a $9.7 million decrease in income tax benefit, a $6.6 million increase in operating loss and a $4.9 million decrease in net foreign currency gain.</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Income (Loss) from Discontinued Operations, Net of Tax</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Income from discontinued operations, net of tax for the nine months ended September 30, 2026 was $3.6 million compared to a loss from discontinued operations, net of tax of $16.2 million for the nine months ended September 30, 2025. The $19.8 million improvement in loss from discontinued operations, net of tax, primarily resulted from a $9.2 million decrease in research and development expense, a $1.2 million decrease in selling, general and administrative expenses, and the absence of $12.4 million of impairment charges, primarily related to certain design tool software contracts, and $1.6 million of early termination charges incurred in the prior-year period, which was offset in part by a $5.0 million decrease in gross profit.</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Net Loss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As a result of the foregoing, a net loss of $22.0 million was recorded for the nine months ended September 30, 2026 compared to a net loss of $21.6 million for the nine months ended September 30, 2025. As discussed above, the increase in net loss of $0.4 million resulted from a $20.1 million increase in loss from continuing operations, partially offset by a $19.8 million reduction in loss from discontinued operations, net of tax.</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principal capital requirements are to fund sales and marketing, invest in research and development and capital equipment, to make debt service payments and to fund working capital needs. We calculate working capital as current assets less current liabilities.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principal sources of liquidity are our cash, cash equivalents, cash flows from operating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September 30, 2026, we did not have any accounts payable on extended terms or payment deferment with our vendors.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29, 2018, Magnachip Semiconductor, Ltd., a Korean limited liability company and indirect wholly owned subsidiary of the Company (“MSK”),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Effective November 1, 2025, the service term was adjusted, extending the remaining service period through 2038. As of September 30, 2026, the outstanding obligation of this arrangement is approximately $48.8 million for remaining service term through 2038.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March 26, 2024, MSK executed a Standard Credit Agreement (together with its General Terms and Conditions, the “Loan Agreement”) with Korea Development Bank (“KDB”). The Loan Agreement provides for a working capital term loan (the “Term Loan”) of KRW 40,000,000,000 ($29.4 million based on the KRW/USD exchange rate of 1,358.4:1 as of September 30, 2026 as quoted by KEB Hana Bank). The Term Loan requires monthly interest-only payments and matures on March 26, 2027, at which time the full principal balance will be due and payable. We expect to be able to extend the maturity date beyond March 2027 and intend to address the extension in the ordinary course of business, consistent with typical market practice in Korea.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During 2025, under its existing Equipment Financing Credit Agreement with KDB, MSK entered into three CAPEX Loans in the aggregate principal amount of KRW 23,995,000,000, consisting of (i) KRW 9,520,000,000 on June 26, 2025, (ii) KRW 5,075,000,000 on September 26, 2025, and (iii) KRW 9,400,000,000 on December 30, 2025 ($17.7 million in the aggregate based on the KRW/USD exchange rate of 1,358.4:1 as of September 30, 2026, as quoted by KEB Hana Bank). The CAPEX Loans require monthly interest-only payments, with principal repayments deferred for an initial two-year period and amortized over the subsequent eight years, and mature on June 26, 2035.</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On June 17, 2026, we entered into an At Market Issuance Sales Agreement with B. Riley Securities, Inc., as sales agent, pursuant to which we may offer and sell, from time to time, shares of our common stock having an aggregate offering price of up to $50.0 million under our shelf registration statement on Form S-3 (File No. 333-296756) and a related prospectus supplement dated June 17, 2026. During the nine months ended September 30, 2026, we sold 10,809 shares of common stock under the program for net proceeds of $0.1 million, and $49.9 million remained available for future sales under the program as of September 30, 2026. We intend to use any net proceeds from sales under the program for general corporate purposes, which may include investments in strategic growth initiatives and technologies that support AI data centers and robotics.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September 2026, we received a strategic investment of $5.0 million from Navitas Semiconductor Corporation (“Navitas”) through the issuance of 1,461,988 shares of our common stock at a purchase price of $3.42 per share. This investment was made in connection with our strategic partnership with Navitas to accelerate the adoption of silicon carbide (SiC) technologies in high-voltage and ultra-high-voltage power markets.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September 30, 2026, cash and cash equivalents held by MSK were $77.8 million, which represents 90% of our total cash and cash equivalents on a consolidated basis. We currently believe that we will have sufficient cash reserves from cash on hand and expected cash from operations to fund our operations as well as debt service and capital expenditures for the next 12 months and the foreseeable future.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Working Capital</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Our working capital balance as of September 30, 2026 was $105.4 million, compared to $133.4 million as of December 31, 2025. The decrease in working capital balance was mainly attributable to the reclassification of $29.4 million of our Term Loan and $0.6 million of our CAPEX Loans to the current portion of long-term borrowings, reflecting their respective maturities within one year.</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outflow used in operating activities totaled $21.2 million for the nine months ended September 30, 2026, compared to $29.6 million of cash outflow used in operating activities for the nine months ended September 30, 2025. The net operating cash outflow for the nine months ended September 30, 2026 reflects our net loss of $22.0 million, as adjusted favorably by $14.0 million, which mainly consisted of depreciation and amortization, provision for severance benefits, reversal for inventory reserves, net foreign currency gain or loss and stock-based compensation, and net unfavorable impact of $13.1 million from changes in operating assets and liabilities.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outflow used in investing activities totaled $2.7 million for the nine months ended September 30, 2026, compared to $13.0 million of cash outflow used in investing activities for the nine months ended September 30, 2025. The $10.3 million decrease in cash outflow was primarily attributable to a $12.2 million decrease in the purchase of property, plant and equipment, which was offset in part by a $2.3 million decrease in net collections of guarantee deposits.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Cash Flows from Financing Activities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inflow provided by financing activities totaled $4.3 million for the nine months ended September 30, 2026, compared to $5.8 million of cash inflow provided by financing activities for the nine months ended September 30, 2025. The financing cash inflow for the nine months ended September 30, 2026 was primarily attributable to $4.9 million in proceeds from the issuance of our common stock (net of issuance costs and including $0.1 million of sales under the ATM program), which was offset in part by a payment of $0.2 million for the repurchase of our common stock to satisfy tax withholding obligations in connection with the vesting of restricted stock units. The financing cash inflow for the nine months ended September 30, 2025 was primarily attributable to the $10.6 million of proceeds received from the CAPEX Loans with KDB, which was offset in part by a payment of $3.7 million for the repurchases of our common stock pursuant to our stock repurchase program and a payment of $0.6 million for the repurchase of our common stock to satisfy tax withholding obligations in connection with the vesting of restricted stock units.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For additional cash flow information associated with our discontinued operation, please see “Item 1. Interim Consolidated Financial Statements – Notes to Consolidated Financial Statements – Note 2 – Discontinued Operations” included elsewhere in this Report.</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routinely make capital expenditures for fabrication facility maintenance, enhancement of our existing facility and reinforcement of our global research and development capability. For the nine months ended September 30, 2026, capital expenditures for property, plant and equipment were $7.6 million, a $12.2 million decrease from $19.7 million for the nine months ended September 30, 2025. Of the $7.6 million incurred through the third quarter of 2026, $4.8 million was related to investments in equipment at our fabrication facility located in Gumi, Korea. These investments are expected to support the development of new generation products and the installation of new tools to optimize product mix and improvement in gross profit margins for the future periods.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our significant accounting policies, which are described further in Note 1 to our consolidated financial statements in our Annual Report on Form 10-K for our fiscal year ended December 31, 2025, or our 2025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A description of our critical accounting policies that involve significant management judgement appears in our 2025 Form 10-K, under “Management’s Discussion and Analysis of Financial Condition and Results of Operations—Critical Accounting Policies and Estimates.” There have been no other material changes to our critical accounting policies and estimates as compared to our critical accounting policies and estimates included in our 2025 Form 10-K.</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360" w:after="283"/>
        <w:jc w:val="left"/>
        <w:rPr>
          <w:rFonts w:ascii="Times New Roman" w:hAnsi="Times New Roman"/>
          <w:b/>
          <w:color w:val="000000"/>
          <w:sz w:val="20"/>
        </w:rPr>
      </w:pPr>
      <w:bookmarkStart w:id="12" w:name="item_3_quantitative_and_qualitative"/>
      <w:bookmarkEnd w:id="12"/>
      <w:r>
        <w:rPr>
          <w:rFonts w:ascii="Times New Roman" w:hAnsi="Times New Roman"/>
          <w:b/>
          <w:color w:val="000000"/>
          <w:sz w:val="20"/>
        </w:rPr>
        <w:t>Item 3. Quantitative and Qualitative Disclosures About Market Risk</w:t>
      </w:r>
    </w:p>
    <w:p>
      <w:pPr>
        <w:pStyle w:val="TextBody"/>
        <w:bidi w:val="0"/>
        <w:spacing w:lineRule="auto" w:line="273" w:before="120" w:after="283"/>
        <w:jc w:val="left"/>
        <w:rPr>
          <w:rFonts w:ascii="Times New Roman" w:hAnsi="Times New Roman"/>
          <w:sz w:val="2"/>
        </w:rPr>
      </w:pPr>
      <w:r>
        <w:rPr>
          <w:rFonts w:ascii="Times New Roman" w:hAnsi="Times New Roman"/>
          <w:color w:val="000000"/>
          <w:sz w:val="20"/>
        </w:rPr>
        <w:t>[Reserved</w:t>
      </w:r>
      <w:r>
        <w:rPr>
          <w:rFonts w:ascii="Times New Roman" w:hAnsi="Times New Roman"/>
          <w:b/>
          <w:color w:val="000000"/>
          <w:sz w:val="20"/>
        </w:rPr>
        <w:t>]</w:t>
      </w:r>
      <w:r>
        <w:rPr>
          <w:rFonts w:ascii="Times New Roman" w:hAnsi="Times New Roman"/>
          <w:color w:val="000000"/>
          <w:sz w:val="2"/>
        </w:rPr>
        <w:t xml:space="preserve"> </w:t>
      </w:r>
    </w:p>
    <w:p>
      <w:pPr>
        <w:pStyle w:val="TextBody"/>
        <w:bidi w:val="0"/>
        <w:spacing w:lineRule="auto" w:line="273" w:before="360" w:after="283"/>
        <w:jc w:val="left"/>
        <w:rPr>
          <w:rFonts w:ascii="Times New Roman" w:hAnsi="Times New Roman"/>
          <w:sz w:val="20"/>
        </w:rPr>
      </w:pPr>
      <w:bookmarkStart w:id="13" w:name="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preparation of this Report, we carried out an evaluation under the supervision of and with the participation of our management, including our Chief Executive Officer and Chief Financial Officer, as of September 30, 2026,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2026. </w:t>
      </w:r>
    </w:p>
    <w:p>
      <w:pPr>
        <w:pStyle w:val="TextBody"/>
        <w:bidi w:val="0"/>
        <w:spacing w:lineRule="auto" w:line="273"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September 30, 2026 that have materially affected, or are reasonably likely to materially affect, our internal control over financial reporting.</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40" w:after="283"/>
        <w:jc w:val="center"/>
        <w:rPr>
          <w:rFonts w:ascii="Times New Roman" w:hAnsi="Times New Roman"/>
          <w:sz w:val="20"/>
        </w:rPr>
      </w:pPr>
      <w:bookmarkStart w:id="14" w:name="part_ii_other_information"/>
      <w:bookmarkEnd w:id="14"/>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lineRule="auto" w:line="273"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a discussion of legal proceedings, see “Part I, Item 3. Legal Proceedings” of our 2025 Form 10-K.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See also “Item 1A. Risk Factors” in this Report and “Part I, Item 1A. Risk Factors” of our 2025 Form 10-K for additional information. </w:t>
      </w:r>
    </w:p>
    <w:p>
      <w:pPr>
        <w:pStyle w:val="TextBody"/>
        <w:bidi w:val="0"/>
        <w:spacing w:lineRule="auto" w:line="273" w:before="360" w:after="283"/>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The Company is subject to risks and uncertainties, any of which could have a significant or material adverse effect on our business, financial condition, liquidity or consolidated financial statements.</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In addition to the other information contained in this Report and the other reports and materials the Company files with the Securities and Exchange Commission, investors should carefully consider the risk factors disclosed in Part I, Item 1A of our 2025 Form 10-K, Part II, Item 1A of our Quarterly Report on Form 10-Q for the fiscal quarter ended March 31, 2026, as well as in our subsequent filings with the Securities and Exchange Commission. The risks described herein and therein are not the only ones we face.</w:t>
      </w:r>
    </w:p>
    <w:p>
      <w:pPr>
        <w:pStyle w:val="TextBody"/>
        <w:bidi w:val="0"/>
        <w:spacing w:lineRule="auto" w:line="273" w:before="360" w:after="283"/>
        <w:jc w:val="left"/>
        <w:rPr>
          <w:rFonts w:ascii="Times New Roman" w:hAnsi="Times New Roman"/>
          <w:sz w:val="20"/>
        </w:rPr>
      </w:pPr>
      <w:bookmarkStart w:id="17" w:name="unreg_sale_of_equity_sec_and_use_of_proc"/>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the monthly activity related to our repurchases of common stock for the quarter ended September 30, 2026. </w:t>
      </w:r>
    </w:p>
    <w:p>
      <w:pPr>
        <w:pStyle w:val="TextBody"/>
        <w:bidi w:val="0"/>
        <w:spacing w:lineRule="auto" w:line="273"/>
        <w:jc w:val="left"/>
      </w:pPr>
      <w:r>
        <w:t> </w:t>
      </w:r>
    </w:p>
    <w:tbl>
      <w:tblPr>
        <w:tblW w:w="7319" w:type="dxa"/>
        <w:jc w:val="left"/>
        <w:tblInd w:w="0" w:type="dxa"/>
        <w:tblLayout w:type="fixed"/>
        <w:tblCellMar>
          <w:top w:w="28" w:type="dxa"/>
          <w:left w:w="28" w:type="dxa"/>
          <w:bottom w:w="28" w:type="dxa"/>
          <w:right w:w="28" w:type="dxa"/>
        </w:tblCellMar>
      </w:tblPr>
      <w:tblGrid>
        <w:gridCol w:w="1441"/>
        <w:gridCol w:w="146"/>
        <w:gridCol w:w="334"/>
        <w:gridCol w:w="791"/>
        <w:gridCol w:w="146"/>
        <w:gridCol w:w="146"/>
        <w:gridCol w:w="252"/>
        <w:gridCol w:w="603"/>
        <w:gridCol w:w="146"/>
        <w:gridCol w:w="146"/>
        <w:gridCol w:w="399"/>
        <w:gridCol w:w="951"/>
        <w:gridCol w:w="146"/>
        <w:gridCol w:w="146"/>
        <w:gridCol w:w="317"/>
        <w:gridCol w:w="1018"/>
        <w:gridCol w:w="191"/>
      </w:tblGrid>
      <w:t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u w:val="single"/>
              </w:rPr>
            </w:pPr>
            <w:r>
              <w:rPr>
                <w:rFonts w:ascii="Times New Roman" w:hAnsi="Times New Roman"/>
                <w:b/>
                <w:color w:val="000000"/>
                <w:sz w:val="16"/>
                <w:u w:val="single"/>
              </w:rPr>
              <w:t>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as</w:t>
              <w:br/>
              <w:t>Part</w:t>
              <w:br/>
              <w:t>of Publicly</w:t>
              <w:br/>
              <w:t>Announced Plans</w:t>
              <w:br/>
              <w:t>or Programs(1)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Approximate</w:t>
              <w:br/>
              <w:t>dollar</w:t>
              <w:br/>
              <w:t>value of Shares</w:t>
              <w:br/>
              <w:t>that</w:t>
              <w:br/>
              <w:t>may yet be</w:t>
              <w:br/>
              <w:t>Purchased under</w:t>
              <w:br/>
              <w:t>the</w:t>
              <w:br/>
              <w:t>Plans or</w:t>
              <w:br/>
              <w:t>Programs</w:t>
              <w:br/>
              <w:t>(in thousands)(1)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0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August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0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4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September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14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pBdr>
          <w:bottom w:val="single" w:sz="6" w:space="1" w:color="000000"/>
        </w:pBdr>
        <w:bidi w:val="0"/>
        <w:spacing w:lineRule="atLeast" w:line="142" w:before="0" w:after="60"/>
        <w:ind w:left="0" w:right="9360" w:hanging="0"/>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July 19, 2023, the Company’s Board of Directors authorized a $50 million stock buyback program (the "Repurchase Plan"). Purchases under the Repurchase Plan have been and will be made in the open market or through privately negotiated transactions, depending upon market conditions and other factors. No purchases under the Repurchase Plan were made during the quarter ended September 30, 2026.</w:t>
      </w:r>
    </w:p>
    <w:p>
      <w:pPr>
        <w:pStyle w:val="TextBody"/>
        <w:pBdr/>
        <w:bidi w:val="0"/>
        <w:spacing w:lineRule="auto" w:line="273" w:before="360" w:after="283"/>
        <w:ind w:left="0" w:right="0" w:hanging="1109"/>
        <w:jc w:val="left"/>
        <w:rPr>
          <w:rFonts w:ascii="Times New Roman" w:hAnsi="Times New Roman"/>
          <w:sz w:val="20"/>
        </w:rPr>
      </w:pPr>
      <w:bookmarkStart w:id="18" w:name="defaults_upon_senior_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pBdr/>
        <w:bidi w:val="0"/>
        <w:spacing w:lineRule="auto" w:line="273" w:before="360" w:after="283"/>
        <w:ind w:left="0" w:right="0" w:hanging="1109"/>
        <w:jc w:val="left"/>
        <w:rPr>
          <w:rFonts w:ascii="Times New Roman" w:hAnsi="Times New Roman"/>
          <w:sz w:val="20"/>
        </w:rPr>
      </w:pPr>
      <w:bookmarkStart w:id="19" w:name="mine_safety_disclosures"/>
      <w:bookmarkEnd w:id="19"/>
      <w:r>
        <w:rPr>
          <w:rFonts w:ascii="Times New Roman" w:hAnsi="Times New Roman"/>
          <w:b/>
          <w:color w:val="000000"/>
          <w:sz w:val="20"/>
        </w:rPr>
        <w:t>Item 4. Mine Safety</w:t>
      </w:r>
      <w:r>
        <w:rPr>
          <w:rFonts w:ascii="Times New Roman" w:hAnsi="Times New Roman"/>
          <w:color w:val="000000"/>
          <w:sz w:val="20"/>
        </w:rPr>
        <w:t xml:space="preserve"> </w:t>
      </w:r>
      <w:r>
        <w:rPr>
          <w:rFonts w:ascii="Times New Roman" w:hAnsi="Times New Roman"/>
          <w:b/>
          <w:color w:val="000000"/>
          <w:sz w:val="20"/>
        </w:rPr>
        <w:t>Disclosures</w:t>
      </w:r>
      <w:r>
        <w:rPr>
          <w:rFonts w:ascii="Times New Roman" w:hAnsi="Times New Roman"/>
          <w:color w:val="000000"/>
          <w:sz w:val="20"/>
        </w:rPr>
        <w:t xml:space="preserve"> </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pBdr/>
        <w:bidi w:val="0"/>
        <w:spacing w:lineRule="auto" w:line="273" w:before="360" w:after="283"/>
        <w:ind w:left="0" w:right="0" w:hanging="1109"/>
        <w:jc w:val="left"/>
        <w:rPr>
          <w:rFonts w:ascii="Times New Roman" w:hAnsi="Times New Roman"/>
          <w:sz w:val="20"/>
        </w:rPr>
      </w:pPr>
      <w:bookmarkStart w:id="20" w:name="othe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lineRule="auto" w:line="273" w:before="120" w:after="283"/>
        <w:ind w:left="0" w:right="0" w:firstLine="490"/>
        <w:jc w:val="left"/>
        <w:rPr>
          <w:rFonts w:ascii="Times New Roman" w:hAnsi="Times New Roman"/>
          <w:color w:val="000000"/>
          <w:sz w:val="20"/>
        </w:rPr>
      </w:pPr>
      <w:r>
        <w:rPr>
          <w:rFonts w:ascii="Times New Roman" w:hAnsi="Times New Roman"/>
          <w:color w:val="000000"/>
          <w:sz w:val="20"/>
        </w:rPr>
        <w:t>During our last fiscal quarter, no director or officer, as defined in Rule 16a-1(f), adopted or terminated a “Rule 10b5-1 trading arrangement” or a “non-Rule 10b5-1 trading arrangement,” each as defined in Regulation S-K Item 408.</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pBdr/>
        <w:bidi w:val="0"/>
        <w:spacing w:lineRule="auto" w:line="273"/>
        <w:ind w:left="0" w:right="0" w:hanging="1109"/>
        <w:jc w:val="left"/>
        <w:rPr>
          <w:rFonts w:ascii="Times New Roman" w:hAnsi="Times New Roman"/>
          <w:sz w:val="20"/>
        </w:rPr>
      </w:pPr>
      <w:bookmarkStart w:id="21" w:name="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859"/>
        <w:gridCol w:w="9346"/>
      </w:tblGrid>
      <w:tr>
        <w:tc>
          <w:tcPr>
            <w:tcW w:w="859" w:type="dxa"/>
            <w:tcBorders/>
            <w:shd w:fill="FFFFFF" w:val="clear"/>
            <w:vAlign w:val="center"/>
          </w:tcPr>
          <w:p>
            <w:pPr>
              <w:pStyle w:val="TableContents"/>
              <w:bidi w:val="0"/>
              <w:spacing w:before="0" w:after="283"/>
              <w:jc w:val="left"/>
              <w:rPr>
                <w:sz w:val="4"/>
                <w:szCs w:val="4"/>
              </w:rPr>
            </w:pPr>
            <w:r>
              <w:rPr>
                <w:sz w:val="4"/>
                <w:szCs w:val="4"/>
              </w:rPr>
            </w:r>
          </w:p>
        </w:tc>
        <w:tc>
          <w:tcPr>
            <w:tcW w:w="9346" w:type="dxa"/>
            <w:tcBorders/>
            <w:shd w:fill="FFFFFF" w:val="clear"/>
            <w:vAlign w:val="center"/>
          </w:tcPr>
          <w:p>
            <w:pPr>
              <w:pStyle w:val="TableContents"/>
              <w:bidi w:val="0"/>
              <w:spacing w:before="0" w:after="283"/>
              <w:jc w:val="left"/>
              <w:rPr>
                <w:sz w:val="4"/>
                <w:szCs w:val="4"/>
              </w:rPr>
            </w:pPr>
            <w:r>
              <w:rPr>
                <w:sz w:val="4"/>
                <w:szCs w:val="4"/>
              </w:rPr>
            </w:r>
          </w:p>
        </w:tc>
      </w:tr>
      <w:tr>
        <w:tc>
          <w:tcPr>
            <w:tcW w:w="859"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Number</w:t>
            </w:r>
          </w:p>
        </w:tc>
        <w:tc>
          <w:tcPr>
            <w:tcW w:w="93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Description</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hyperlink r:id="rId3">
              <w:r>
                <w:rPr>
                  <w:rStyle w:val="InternetLink"/>
                  <w:rFonts w:ascii="Times New Roman" w:hAnsi="Times New Roman"/>
                  <w:color w:val="0000FF"/>
                  <w:sz w:val="20"/>
                  <w:u w:val="single"/>
                </w:rPr>
                <w:t>Share Purchase Agreement, dated as of September 18, 2026, by and between Magnachip Semiconductor Corporation and Navitas Semiconductor Corporation (Incorporated by reference to Exhibit 10.1 to our Current Report on Form 8-K filed with the Commission on September 21, 2026).</w:t>
              </w:r>
            </w:hyperlink>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31.1</w:t>
            </w:r>
            <w:r>
              <w:rPr>
                <w:rFonts w:ascii="Times New Roman" w:hAnsi="Times New Roman"/>
                <w:color w:val="000000"/>
                <w:sz w:val="13"/>
              </w:rPr>
              <w:t>#</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hyperlink w:anchor="mx-ex31_1.htm">
              <w:r>
                <w:rPr>
                  <w:rStyle w:val="InternetLink"/>
                  <w:rFonts w:ascii="Times New Roman" w:hAnsi="Times New Roman"/>
                  <w:color w:val="0000FF"/>
                  <w:sz w:val="20"/>
                  <w:u w:val="single"/>
                </w:rPr>
                <w:t>Certification pursuant to Rule 13a-14(a) or Rule 15d-14(a) of the Securities Exchange Act of 1934 of the Principal Executive Officer.</w:t>
              </w:r>
            </w:hyperlink>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31.2</w:t>
            </w:r>
            <w:r>
              <w:rPr>
                <w:rFonts w:ascii="Times New Roman" w:hAnsi="Times New Roman"/>
                <w:color w:val="000000"/>
                <w:sz w:val="13"/>
              </w:rPr>
              <w:t>#</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hyperlink w:anchor="mx-ex31_2.htm">
              <w:r>
                <w:rPr>
                  <w:rStyle w:val="InternetLink"/>
                  <w:rFonts w:ascii="Times New Roman" w:hAnsi="Times New Roman"/>
                  <w:color w:val="0000FF"/>
                  <w:sz w:val="20"/>
                  <w:u w:val="single"/>
                </w:rPr>
                <w:t>Certification pursuant to Rule 13a-14(a) or Rule 15d-14(a) of the Securities Exchange Act of 1934 of the Principal Financial Officer.</w:t>
              </w:r>
            </w:hyperlink>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hyperlink w:anchor="mx-ex32_1.htm">
              <w:r>
                <w:rPr>
                  <w:rStyle w:val="InternetLink"/>
                  <w:rFonts w:ascii="Times New Roman" w:hAnsi="Times New Roman"/>
                  <w:color w:val="0000FF"/>
                  <w:sz w:val="20"/>
                  <w:u w:val="single"/>
                </w:rPr>
                <w:t>Certification pursuant to 18 U.S.C. Section 1350, as adopted pursuant to Section 906 of the Sarbanes-Oxley Act of 2002, of the Principal Executive Officer.</w:t>
              </w:r>
            </w:hyperlink>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32.2</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hyperlink w:anchor="mx-ex32_2.htm">
              <w:r>
                <w:rPr>
                  <w:rStyle w:val="InternetLink"/>
                  <w:rFonts w:ascii="Times New Roman" w:hAnsi="Times New Roman"/>
                  <w:color w:val="0000FF"/>
                  <w:sz w:val="20"/>
                  <w:u w:val="single"/>
                </w:rPr>
                <w:t>Certification pursuant to 18 U.S.C. Section 1350, as adopted pursuant to Section 906 of the Sarbanes-Oxley Act of 2002, of the Principal Financial Officer.</w:t>
              </w:r>
            </w:hyperlink>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101.INS</w:t>
            </w:r>
            <w:r>
              <w:rPr>
                <w:rFonts w:ascii="Times New Roman" w:hAnsi="Times New Roman"/>
                <w:color w:val="000000"/>
                <w:sz w:val="13"/>
              </w:rPr>
              <w:t>#</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101.SCH</w:t>
            </w:r>
            <w:r>
              <w:rPr>
                <w:rFonts w:ascii="Times New Roman" w:hAnsi="Times New Roman"/>
                <w:color w:val="000000"/>
                <w:sz w:val="13"/>
              </w:rPr>
              <w:t>#</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101.CAL</w:t>
            </w:r>
            <w:r>
              <w:rPr>
                <w:rFonts w:ascii="Times New Roman" w:hAnsi="Times New Roman"/>
                <w:color w:val="000000"/>
                <w:sz w:val="13"/>
              </w:rPr>
              <w:t>#</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101.DEF</w:t>
            </w:r>
            <w:r>
              <w:rPr>
                <w:rFonts w:ascii="Times New Roman" w:hAnsi="Times New Roman"/>
                <w:color w:val="000000"/>
                <w:sz w:val="13"/>
              </w:rPr>
              <w:t>#</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101.LAB</w:t>
            </w:r>
            <w:r>
              <w:rPr>
                <w:rFonts w:ascii="Times New Roman" w:hAnsi="Times New Roman"/>
                <w:color w:val="000000"/>
                <w:sz w:val="13"/>
              </w:rPr>
              <w:t>#</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101.PRE</w:t>
            </w:r>
            <w:r>
              <w:rPr>
                <w:rFonts w:ascii="Times New Roman" w:hAnsi="Times New Roman"/>
                <w:color w:val="000000"/>
                <w:sz w:val="13"/>
              </w:rPr>
              <w:t>#</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85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93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Footnotes: </w:t>
      </w:r>
    </w:p>
    <w:p>
      <w:pPr>
        <w:pStyle w:val="TextBody"/>
        <w:pBdr/>
        <w:bidi w:val="0"/>
        <w:spacing w:lineRule="auto" w:line="360" w:before="120" w:after="283"/>
        <w:ind w:left="0" w:right="0" w:hanging="490"/>
        <w:jc w:val="left"/>
        <w:rPr>
          <w:rFonts w:ascii="Times New Roman" w:hAnsi="Times New Roman"/>
          <w:sz w:val="13"/>
        </w:rPr>
      </w:pPr>
      <w:r>
        <w:rPr>
          <w:rFonts w:ascii="Times New Roman" w:hAnsi="Times New Roman"/>
          <w:color w:val="000000"/>
          <w:sz w:val="13"/>
        </w:rPr>
        <w:t xml:space="preserve"># </w:t>
      </w:r>
      <w:r>
        <w:rPr>
          <w:rFonts w:ascii="Times New Roman" w:hAnsi="Times New Roman"/>
          <w:color w:val="000000"/>
          <w:sz w:val="20"/>
        </w:rPr>
        <w:t>Filed herewith</w:t>
      </w:r>
      <w:r>
        <w:rPr>
          <w:rFonts w:ascii="Times New Roman" w:hAnsi="Times New Roman"/>
          <w:color w:val="000000"/>
          <w:sz w:val="13"/>
        </w:rPr>
        <w:t xml:space="preserve"> </w:t>
      </w:r>
    </w:p>
    <w:p>
      <w:pPr>
        <w:pStyle w:val="TextBody"/>
        <w:pBdr/>
        <w:bidi w:val="0"/>
        <w:spacing w:lineRule="auto" w:line="273"/>
        <w:ind w:left="0" w:right="0" w:hanging="490"/>
        <w:jc w:val="left"/>
        <w:rPr>
          <w:rFonts w:ascii="Times New Roman" w:hAnsi="Times New Roman"/>
          <w:color w:val="000000"/>
          <w:sz w:val="20"/>
        </w:rPr>
      </w:pPr>
      <w:r>
        <w:rPr>
          <w:rFonts w:ascii="Times New Roman" w:hAnsi="Times New Roman"/>
          <w:color w:val="000000"/>
          <w:sz w:val="20"/>
        </w:rPr>
        <w:t xml:space="preserve"> Furnished herewith </w:t>
      </w:r>
    </w:p>
    <w:p>
      <w:pPr>
        <w:pStyle w:val="TextBody"/>
        <w:pBdr/>
        <w:bidi w:val="0"/>
        <w:spacing w:lineRule="auto" w:line="273"/>
        <w:ind w:left="0" w:right="0" w:hanging="490"/>
        <w:jc w:val="left"/>
        <w:rPr>
          <w:rFonts w:ascii="Times New Roman" w:hAnsi="Times New Roman"/>
          <w:color w:val="000000"/>
          <w:sz w:val="20"/>
        </w:rPr>
      </w:pPr>
      <w:r>
        <w:rPr>
          <w:rFonts w:ascii="Times New Roman" w:hAnsi="Times New Roman"/>
          <w:color w:val="000000"/>
          <w:sz w:val="20"/>
        </w:rPr>
        <w:t>* Management contract, compensatory plan or arrangement</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73"/>
        <w:jc w:val="left"/>
      </w:pPr>
      <w:r>
        <w:t> </w:t>
      </w:r>
    </w:p>
    <w:tbl>
      <w:tblPr>
        <w:tblW w:w="7758" w:type="dxa"/>
        <w:jc w:val="left"/>
        <w:tblInd w:w="0" w:type="dxa"/>
        <w:tblLayout w:type="fixed"/>
        <w:tblCellMar>
          <w:top w:w="28" w:type="dxa"/>
          <w:left w:w="28" w:type="dxa"/>
          <w:bottom w:w="28" w:type="dxa"/>
          <w:right w:w="28" w:type="dxa"/>
        </w:tblCellMar>
      </w:tblPr>
      <w:tblGrid>
        <w:gridCol w:w="2206"/>
        <w:gridCol w:w="406"/>
        <w:gridCol w:w="5146"/>
      </w:tblGrid>
      <w:t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552" w:type="dxa"/>
            <w:gridSpan w:val="2"/>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MAGNACHIP SEMICONDUCTOR CORPORATION</w:t>
            </w:r>
          </w:p>
          <w:p>
            <w:pPr>
              <w:pStyle w:val="TableContents"/>
              <w:bidi w:val="0"/>
              <w:spacing w:lineRule="auto" w:line="252" w:before="0" w:after="20"/>
              <w:jc w:val="left"/>
              <w:rPr>
                <w:rFonts w:ascii="Times New Roman" w:hAnsi="Times New Roman"/>
                <w:color w:val="000000"/>
                <w:sz w:val="20"/>
              </w:rPr>
            </w:pPr>
            <w:r>
              <w:rPr>
                <w:rFonts w:ascii="Times New Roman" w:hAnsi="Times New Roman"/>
                <w:color w:val="000000"/>
                <w:sz w:val="20"/>
              </w:rPr>
              <w:t>(Registrant)</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November 5,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Chae Lee</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Chae Lee</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lineRule="auto" w:line="252" w:before="0" w:after="20"/>
              <w:jc w:val="left"/>
              <w:rPr>
                <w:rFonts w:ascii="Times New Roman" w:hAnsi="Times New Roman"/>
                <w:color w:val="000000"/>
                <w:sz w:val="20"/>
              </w:rPr>
            </w:pPr>
            <w:r>
              <w:rPr>
                <w:rFonts w:ascii="Times New Roman" w:hAnsi="Times New Roman"/>
                <w:color w:val="000000"/>
                <w:sz w:val="20"/>
              </w:rPr>
              <w:t>(Principal Executive Officer)</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November 5,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Shinyoung Park</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Shinyoung Park</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lineRule="auto" w:line="252" w:before="0" w:after="20"/>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lineRule="auto" w:line="273"/>
        <w:jc w:val="left"/>
      </w:pPr>
      <w:r>
        <w:t> </w:t>
      </w:r>
    </w:p>
    <w:p>
      <w:pPr>
        <w:pStyle w:val="TextBody"/>
        <w:bidi w:val="0"/>
        <w:spacing w:lineRule="atLeast" w:line="200"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spacing w:lineRule="auto" w:line="273"/>
        <w:jc w:val="left"/>
      </w:pPr>
      <w:bookmarkStart w:id="23" w:name="mx-ex31_1.htm"/>
      <w:bookmarkStart w:id="24" w:name="ksmxex31_1"/>
      <w:bookmarkEnd w:id="23"/>
      <w:bookmarkEnd w:id="24"/>
      <w: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lineRule="auto" w:line="273"/>
        <w:jc w:val="righ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SECTION 302 OF THE</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 Chae Lee, certify that: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Magnachip Semiconductor Corporation;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273"/>
        <w:jc w:val="left"/>
      </w:pPr>
      <w:r>
        <w:t> </w:t>
      </w:r>
    </w:p>
    <w:tbl>
      <w:tblPr>
        <w:tblW w:w="2491" w:type="dxa"/>
        <w:jc w:val="left"/>
        <w:tblInd w:w="0" w:type="dxa"/>
        <w:tblLayout w:type="fixed"/>
        <w:tblCellMar>
          <w:top w:w="28" w:type="dxa"/>
          <w:left w:w="28" w:type="dxa"/>
          <w:bottom w:w="28" w:type="dxa"/>
          <w:right w:w="28" w:type="dxa"/>
        </w:tblCellMar>
      </w:tblPr>
      <w:tblGrid>
        <w:gridCol w:w="2491"/>
      </w:tblGrid>
      <w:tr>
        <w:tc>
          <w:tcPr>
            <w:tcW w:w="2491" w:type="dxa"/>
            <w:tcBorders/>
            <w:vAlign w:val="center"/>
          </w:tcPr>
          <w:p>
            <w:pPr>
              <w:pStyle w:val="TableContents"/>
              <w:bidi w:val="0"/>
              <w:spacing w:before="0" w:after="283"/>
              <w:jc w:val="left"/>
              <w:rPr>
                <w:sz w:val="4"/>
                <w:szCs w:val="4"/>
              </w:rPr>
            </w:pPr>
            <w:r>
              <w:rPr>
                <w:sz w:val="4"/>
                <w:szCs w:val="4"/>
              </w:rPr>
            </w:r>
          </w:p>
        </w:tc>
      </w:tr>
      <w:tr>
        <w:tc>
          <w:tcPr>
            <w:tcW w:w="24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November 5, 2026</w:t>
            </w:r>
          </w:p>
        </w:tc>
      </w:tr>
      <w:tr>
        <w:tc>
          <w:tcPr>
            <w:tcW w:w="2491"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24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Chae Lee</w:t>
            </w:r>
          </w:p>
        </w:tc>
      </w:tr>
      <w:tr>
        <w:tc>
          <w:tcPr>
            <w:tcW w:w="24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Chae Lee</w:t>
            </w:r>
          </w:p>
        </w:tc>
      </w:tr>
      <w:tr>
        <w:tc>
          <w:tcPr>
            <w:tcW w:w="2491"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lineRule="auto" w:line="273"/>
        <w:jc w:val="left"/>
      </w:pPr>
      <w:r>
        <w:t> </w:t>
      </w:r>
    </w:p>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left"/>
      </w:pPr>
      <w:bookmarkStart w:id="25" w:name="mx-ex31_2.htm"/>
      <w:bookmarkStart w:id="26" w:name="ksmxex31_2"/>
      <w:bookmarkEnd w:id="25"/>
      <w:bookmarkEnd w:id="26"/>
      <w:r>
        <w:t> </w:t>
      </w:r>
      <w:r>
        <w:br w:type="page"/>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lineRule="auto" w:line="273"/>
        <w:jc w:val="righ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SECTION 302 OF THE</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 Shinyoung Park, certify that: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Magnachip Semiconductor Corporation;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3" w:before="20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273"/>
        <w:jc w:val="left"/>
      </w:pPr>
      <w:r>
        <w:t> </w:t>
      </w:r>
    </w:p>
    <w:tbl>
      <w:tblPr>
        <w:tblW w:w="5161" w:type="dxa"/>
        <w:jc w:val="left"/>
        <w:tblInd w:w="0" w:type="dxa"/>
        <w:tblLayout w:type="fixed"/>
        <w:tblCellMar>
          <w:top w:w="28" w:type="dxa"/>
          <w:left w:w="28" w:type="dxa"/>
          <w:bottom w:w="28" w:type="dxa"/>
          <w:right w:w="28" w:type="dxa"/>
        </w:tblCellMar>
      </w:tblPr>
      <w:tblGrid>
        <w:gridCol w:w="5161"/>
      </w:tblGrid>
      <w:tr>
        <w:tc>
          <w:tcPr>
            <w:tcW w:w="5161" w:type="dxa"/>
            <w:tcBorders/>
            <w:vAlign w:val="center"/>
          </w:tcPr>
          <w:p>
            <w:pPr>
              <w:pStyle w:val="TableContents"/>
              <w:bidi w:val="0"/>
              <w:spacing w:before="0" w:after="283"/>
              <w:jc w:val="left"/>
              <w:rPr>
                <w:sz w:val="4"/>
                <w:szCs w:val="4"/>
              </w:rPr>
            </w:pPr>
            <w:r>
              <w:rPr>
                <w:sz w:val="4"/>
                <w:szCs w:val="4"/>
              </w:rPr>
            </w:r>
          </w:p>
        </w:tc>
      </w:tr>
      <w:tr>
        <w:tc>
          <w:tcPr>
            <w:tcW w:w="51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November 5, 2026</w:t>
            </w:r>
          </w:p>
        </w:tc>
      </w:tr>
      <w:tr>
        <w:tc>
          <w:tcPr>
            <w:tcW w:w="5161"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516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Shinyoung Park</w:t>
            </w:r>
          </w:p>
        </w:tc>
      </w:tr>
      <w:tr>
        <w:tc>
          <w:tcPr>
            <w:tcW w:w="51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Shinyoung Park</w:t>
            </w:r>
          </w:p>
        </w:tc>
      </w:tr>
      <w:tr>
        <w:tc>
          <w:tcPr>
            <w:tcW w:w="5161"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lineRule="auto" w:line="273"/>
        <w:jc w:val="left"/>
      </w:pPr>
      <w:r>
        <w:t> </w:t>
      </w:r>
    </w:p>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left"/>
      </w:pPr>
      <w:bookmarkStart w:id="27" w:name="mx-ex32_1.htm"/>
      <w:bookmarkStart w:id="28" w:name="ksmxex32_1"/>
      <w:bookmarkEnd w:id="27"/>
      <w:bookmarkEnd w:id="28"/>
      <w:r>
        <w:t> </w:t>
      </w:r>
      <w:r>
        <w:br w:type="page"/>
      </w:r>
    </w:p>
    <w:p>
      <w:pPr>
        <w:pStyle w:val="TextBody"/>
        <w:bidi w:val="0"/>
        <w:spacing w:lineRule="auto" w:line="273"/>
        <w:jc w:val="right"/>
        <w:rPr>
          <w:rFonts w:ascii="Times New Roman" w:hAnsi="Times New Roman"/>
          <w:sz w:val="2"/>
        </w:rPr>
      </w:pPr>
      <w:r>
        <w:rPr>
          <w:rFonts w:ascii="Times New Roman" w:hAnsi="Times New Roman"/>
          <w:b/>
          <w:color w:val="000000"/>
          <w:sz w:val="20"/>
        </w:rPr>
        <w:t>Exhibit 32.1</w:t>
      </w:r>
      <w:r>
        <w:rPr>
          <w:rFonts w:ascii="Times New Roman" w:hAnsi="Times New Roman"/>
          <w:color w:val="000000"/>
          <w:sz w:val="2"/>
        </w:rPr>
        <w:t xml:space="preserve"> </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color w:val="000000"/>
          <w:sz w:val="20"/>
        </w:rPr>
        <w:t>Pursuant to 18 U.S.C. § 1350, as adopted pursuant to Section 906 of the Sarbanes-Oxley Act of 2002, the undersigned officer of Magnachip Semiconductor Corporation (the “</w:t>
      </w:r>
      <w:r>
        <w:rPr>
          <w:rFonts w:ascii="Times New Roman" w:hAnsi="Times New Roman"/>
          <w:b/>
          <w:color w:val="000000"/>
          <w:sz w:val="20"/>
        </w:rPr>
        <w:t>Company</w:t>
      </w:r>
      <w:r>
        <w:rPr>
          <w:rFonts w:ascii="Times New Roman" w:hAnsi="Times New Roman"/>
          <w:color w:val="000000"/>
          <w:sz w:val="20"/>
        </w:rPr>
        <w:t xml:space="preserve">”) hereby certifies, to such officer’s knowledge, that: </w:t>
      </w:r>
    </w:p>
    <w:p>
      <w:pPr>
        <w:pStyle w:val="TextBody"/>
        <w:bidi w:val="0"/>
        <w:spacing w:lineRule="auto" w:line="273"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the Quarterly Report on Form 10-Q of the Company for the quarterly period ended September 30, 2026 as filed with the Securities and Exchange Commission on the date hereof (the “</w:t>
      </w:r>
      <w:r>
        <w:rPr>
          <w:rFonts w:ascii="Times New Roman" w:hAnsi="Times New Roman"/>
          <w:b/>
          <w:color w:val="000000"/>
          <w:sz w:val="20"/>
        </w:rPr>
        <w:t>Report</w:t>
      </w:r>
      <w:r>
        <w:rPr>
          <w:rFonts w:ascii="Times New Roman" w:hAnsi="Times New Roman"/>
          <w:color w:val="000000"/>
          <w:sz w:val="20"/>
        </w:rPr>
        <w:t xml:space="preserve">”) fully complies with the requirements of Section 13(a) or Section 15(d), as applicable, of the Securities Exchange Act of 1934, as amended; and </w:t>
      </w:r>
    </w:p>
    <w:p>
      <w:pPr>
        <w:pStyle w:val="TextBody"/>
        <w:bidi w:val="0"/>
        <w:spacing w:lineRule="auto" w:line="273" w:before="120" w:after="283"/>
        <w:ind w:left="489"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as of the dates and for the periods expressed in the Report. </w:t>
      </w:r>
    </w:p>
    <w:p>
      <w:pPr>
        <w:pStyle w:val="TextBody"/>
        <w:bidi w:val="0"/>
        <w:spacing w:lineRule="auto" w:line="273"/>
        <w:jc w:val="left"/>
      </w:pPr>
      <w:r>
        <w:t> </w:t>
      </w:r>
    </w:p>
    <w:tbl>
      <w:tblPr>
        <w:tblW w:w="4828" w:type="dxa"/>
        <w:jc w:val="left"/>
        <w:tblInd w:w="0" w:type="dxa"/>
        <w:tblLayout w:type="fixed"/>
        <w:tblCellMar>
          <w:top w:w="28" w:type="dxa"/>
          <w:left w:w="28" w:type="dxa"/>
          <w:bottom w:w="28" w:type="dxa"/>
          <w:right w:w="28" w:type="dxa"/>
        </w:tblCellMar>
      </w:tblPr>
      <w:tblGrid>
        <w:gridCol w:w="2206"/>
        <w:gridCol w:w="146"/>
        <w:gridCol w:w="2476"/>
      </w:tblGrid>
      <w:t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November 5,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247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Chae Lee</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Chae Lee</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lineRule="auto" w:line="273"/>
        <w:jc w:val="left"/>
      </w:pPr>
      <w: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lineRule="auto" w:line="273"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lineRule="auto" w:line="273" w:before="120" w:after="283"/>
        <w:jc w:val="center"/>
      </w:pPr>
      <w:r>
        <w:t> </w:t>
      </w:r>
    </w:p>
    <w:p>
      <w:pPr>
        <w:pStyle w:val="HorizontalLine"/>
        <w:pBdr>
          <w:bottom w:val="double" w:sz="2" w:space="0" w:color="808080"/>
        </w:pBdr>
        <w:bidi w:val="0"/>
        <w:spacing w:before="0" w:after="283"/>
        <w:jc w:val="left"/>
      </w:pPr>
      <w:r/>
    </w:p>
    <w:p>
      <w:pPr>
        <w:pStyle w:val="TextBody"/>
        <w:bidi w:val="0"/>
        <w:spacing w:lineRule="auto" w:line="273"/>
        <w:jc w:val="left"/>
      </w:pPr>
      <w:bookmarkStart w:id="29" w:name="mx-ex32_2.htm"/>
      <w:bookmarkStart w:id="30" w:name="ksmxex32_2"/>
      <w:bookmarkEnd w:id="29"/>
      <w:bookmarkEnd w:id="30"/>
      <w:r>
        <w:t> </w:t>
      </w:r>
      <w:r>
        <w:br w:type="page"/>
      </w:r>
    </w:p>
    <w:p>
      <w:pPr>
        <w:pStyle w:val="TextBody"/>
        <w:bidi w:val="0"/>
        <w:spacing w:lineRule="auto" w:line="273"/>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lineRule="auto" w:line="273" w:before="240" w:after="283"/>
        <w:ind w:left="0" w:right="0" w:firstLine="490"/>
        <w:jc w:val="left"/>
        <w:rPr>
          <w:rFonts w:ascii="Times New Roman" w:hAnsi="Times New Roman"/>
          <w:sz w:val="20"/>
        </w:rPr>
      </w:pPr>
      <w:r>
        <w:rPr>
          <w:rFonts w:ascii="Times New Roman" w:hAnsi="Times New Roman"/>
          <w:color w:val="000000"/>
          <w:sz w:val="20"/>
        </w:rPr>
        <w:t>Pursuant to 18 U.S.C. § 1350, as adopted pursuant to Section 906 of the Sarbanes-Oxley Act of 2002, the undersigned officer of Magnachip Semiconductor Corporation (the “</w:t>
      </w:r>
      <w:r>
        <w:rPr>
          <w:rFonts w:ascii="Times New Roman" w:hAnsi="Times New Roman"/>
          <w:b/>
          <w:color w:val="000000"/>
          <w:sz w:val="20"/>
        </w:rPr>
        <w:t>Company</w:t>
      </w:r>
      <w:r>
        <w:rPr>
          <w:rFonts w:ascii="Times New Roman" w:hAnsi="Times New Roman"/>
          <w:color w:val="000000"/>
          <w:sz w:val="20"/>
        </w:rPr>
        <w:t xml:space="preserve">”) hereby certifies, to such officer’s knowledge, that: </w:t>
      </w:r>
    </w:p>
    <w:p>
      <w:pPr>
        <w:pStyle w:val="TextBody"/>
        <w:bidi w:val="0"/>
        <w:spacing w:lineRule="auto" w:line="273"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the Quarterly Report on Form 10-Q of the Company for the quarterly period ended September 30, 2026 as filed with the Securities and Exchange Commission on the date hereof (the “</w:t>
      </w:r>
      <w:r>
        <w:rPr>
          <w:rFonts w:ascii="Times New Roman" w:hAnsi="Times New Roman"/>
          <w:b/>
          <w:color w:val="000000"/>
          <w:sz w:val="20"/>
        </w:rPr>
        <w:t>Report</w:t>
      </w:r>
      <w:r>
        <w:rPr>
          <w:rFonts w:ascii="Times New Roman" w:hAnsi="Times New Roman"/>
          <w:color w:val="000000"/>
          <w:sz w:val="20"/>
        </w:rPr>
        <w:t xml:space="preserve">”) fully complies with the requirements of Section 13(a) or Section 15(d), as applicable, of the Securities Exchange Act of 1934, as amended; and </w:t>
      </w:r>
    </w:p>
    <w:p>
      <w:pPr>
        <w:pStyle w:val="TextBody"/>
        <w:bidi w:val="0"/>
        <w:spacing w:lineRule="auto" w:line="273" w:before="120" w:after="283"/>
        <w:ind w:left="489"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as of the dates and for the periods expressed in the Report. </w:t>
      </w:r>
    </w:p>
    <w:p>
      <w:pPr>
        <w:pStyle w:val="TextBody"/>
        <w:bidi w:val="0"/>
        <w:spacing w:lineRule="auto" w:line="273"/>
        <w:jc w:val="left"/>
      </w:pPr>
      <w:r>
        <w:t> </w:t>
      </w:r>
    </w:p>
    <w:tbl>
      <w:tblPr>
        <w:tblW w:w="7498" w:type="dxa"/>
        <w:jc w:val="left"/>
        <w:tblInd w:w="0" w:type="dxa"/>
        <w:tblLayout w:type="fixed"/>
        <w:tblCellMar>
          <w:top w:w="28" w:type="dxa"/>
          <w:left w:w="28" w:type="dxa"/>
          <w:bottom w:w="28" w:type="dxa"/>
          <w:right w:w="28" w:type="dxa"/>
        </w:tblCellMar>
      </w:tblPr>
      <w:tblGrid>
        <w:gridCol w:w="2206"/>
        <w:gridCol w:w="146"/>
        <w:gridCol w:w="5146"/>
      </w:tblGrid>
      <w:t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November 5,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Shinyoung Park</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Shinyoung Park</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22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1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lineRule="auto" w:line="273"/>
        <w:jc w:val="left"/>
      </w:pPr>
      <w:r>
        <w:t> </w:t>
      </w:r>
    </w:p>
    <w:p>
      <w:pPr>
        <w:pStyle w:val="TextBody"/>
        <w:bidi w:val="0"/>
        <w:spacing w:lineRule="auto" w:line="273"/>
        <w:ind w:left="0" w:right="0" w:firstLine="49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lineRule="auto" w:line="273" w:before="240" w:after="283"/>
        <w:ind w:left="0" w:right="0" w:firstLine="490"/>
        <w:jc w:val="left"/>
        <w:rPr>
          <w:rFonts w:ascii="Times New Roman" w:hAnsi="Times New Roman"/>
          <w:color w:val="000000"/>
          <w:sz w:val="20"/>
        </w:rPr>
      </w:pPr>
      <w:bookmarkStart w:id="31" w:name="txb425515_3"/>
      <w:bookmarkEnd w:id="31"/>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bookmarkStart w:id="32" w:name="txb425515_2"/>
      <w:bookmarkStart w:id="33" w:name="toc425515_23"/>
      <w:bookmarkStart w:id="34" w:name="txb425515_7"/>
      <w:bookmarkStart w:id="35" w:name="txb425515_5"/>
      <w:bookmarkStart w:id="36" w:name="toc425515_24"/>
      <w:bookmarkStart w:id="37" w:name="txb425515_6"/>
      <w:bookmarkStart w:id="38" w:name="toc425515_15"/>
      <w:bookmarkStart w:id="39" w:name="toc425515_13"/>
      <w:bookmarkStart w:id="40" w:name="toc425515_12"/>
      <w:bookmarkStart w:id="41" w:name="toc425515_14"/>
      <w:bookmarkStart w:id="42" w:name="toc425515_21"/>
      <w:bookmarkStart w:id="43" w:name="toc425515_27"/>
      <w:bookmarkStart w:id="44" w:name="toc425515_20"/>
      <w:bookmarkStart w:id="45" w:name="txb425515_1"/>
      <w:bookmarkStart w:id="46" w:name="toc425515_18"/>
      <w:bookmarkStart w:id="47" w:name="txb425515_4"/>
      <w:bookmarkStart w:id="48" w:name="toc425515_16"/>
      <w:bookmarkStart w:id="49" w:name="toc425515_25"/>
      <w:bookmarkStart w:id="50" w:name="toc425515_19"/>
      <w:bookmarkStart w:id="51" w:name="toc425515_17"/>
      <w:bookmarkStart w:id="52" w:name="toc425515_22"/>
      <w:bookmarkStart w:id="53" w:name="toc920621_1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pPr>
        <w:pStyle w:val="TextBody"/>
        <w:bidi w:val="0"/>
        <w:spacing w:lineRule="auto" w:line="273" w:before="120" w:after="283"/>
        <w:jc w:val="center"/>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25702/000119312526396059/mx-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25694</Words>
  <Characters>140451</Characters>
  <CharactersWithSpaces>168042</CharactersWithSpaces>
  <Paragraphs>9234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