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220" w:type="dxa"/>
            <w:vAlign w:val="bottom"/>
          </w:tcPr>
          <w:p>
            <w:pPr>
              <w:jc w:val="center"/>
              <w:ind w:right="245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40"/>
              <w:spacing w:after="0"/>
              <w:rPr>
                <w:sz w:val="20"/>
                <w:szCs w:val="20"/>
                <w:color w:val="auto"/>
              </w:rPr>
            </w:pPr>
            <w:r>
              <w:rPr>
                <w:rFonts w:ascii="Arial" w:cs="Arial" w:eastAsia="Arial" w:hAnsi="Arial"/>
                <w:sz w:val="18"/>
                <w:szCs w:val="18"/>
                <w:b w:val="1"/>
                <w:bCs w:val="1"/>
                <w:color w:val="auto"/>
              </w:rPr>
              <w:t>001-34791</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220" w:type="dxa"/>
            <w:vAlign w:val="bottom"/>
          </w:tcPr>
          <w:p>
            <w:pPr>
              <w:jc w:val="center"/>
              <w:ind w:right="24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43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c/o MagnaChip Semiconductor S.A.</w:t>
            </w:r>
          </w:p>
        </w:tc>
        <w:tc>
          <w:tcPr>
            <w:tcW w:w="2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1, Allée Scheffer, L-2520</w:t>
            </w:r>
          </w:p>
        </w:tc>
        <w:tc>
          <w:tcPr>
            <w:tcW w:w="23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5"/>
        </w:trPr>
        <w:tc>
          <w:tcPr>
            <w:tcW w:w="654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220" w:type="dxa"/>
            <w:vAlign w:val="bottom"/>
          </w:tcPr>
          <w:p>
            <w:pPr>
              <w:jc w:val="center"/>
              <w:ind w:left="11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6"/>
                <w:szCs w:val="16"/>
                <w:color w:val="auto"/>
              </w:rPr>
            </w:pP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Corporation and its consolidated subsidiaries for the third quarter ended September 30, 2017, as presented in a press release dated November 1, 2017.</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100" w:type="dxa"/>
            <w:vAlign w:val="bottom"/>
            <w:gridSpan w:val="3"/>
          </w:tcPr>
          <w:p>
            <w:pPr>
              <w:ind w:left="3340"/>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auto"/>
              </w:rPr>
              <w:t>99.1</w:t>
            </w: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20"/>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2017, announcing the results for the third quarter ended</w:t>
              </w:r>
            </w:hyperlink>
          </w:p>
        </w:tc>
        <w:tc>
          <w:tcPr>
            <w:tcW w:w="0" w:type="dxa"/>
            <w:vAlign w:val="bottom"/>
          </w:tcPr>
          <w:p>
            <w:pPr>
              <w:spacing w:after="0" w:line="20" w:lineRule="exact"/>
              <w:rPr>
                <w:sz w:val="1"/>
                <w:szCs w:val="1"/>
                <w:color w:val="auto"/>
              </w:rPr>
            </w:pPr>
          </w:p>
        </w:tc>
      </w:tr>
      <w:tr>
        <w:trPr>
          <w:trHeight w:val="156"/>
        </w:trPr>
        <w:tc>
          <w:tcPr>
            <w:tcW w:w="4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5560" w:type="dxa"/>
            <w:vAlign w:val="bottom"/>
            <w:tcBorders>
              <w:bottom w:val="single" w:sz="8" w:color="0000EE"/>
            </w:tcBorders>
            <w:gridSpan w:val="3"/>
          </w:tcPr>
          <w:p>
            <w:pPr>
              <w:spacing w:after="0" w:line="15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for MagnaChip Semiconductor Corporation dated November 1,</w:t>
              </w:r>
            </w:hyperlink>
          </w:p>
        </w:tc>
        <w:tc>
          <w:tcPr>
            <w:tcW w:w="4040" w:type="dxa"/>
            <w:vAlign w:val="bottom"/>
            <w:tcBorders>
              <w:bottom w:val="single" w:sz="8" w:color="0000E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September 30, 2017.</w:t>
              </w:r>
            </w:hyperlink>
          </w:p>
        </w:tc>
        <w:tc>
          <w:tcPr>
            <w:tcW w:w="8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November 1, 2017</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360"/>
          </w:cols>
          <w:pgMar w:left="240" w:top="27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21234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23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Third Quarter 2017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News Summary</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of $176.7 million at the higher end of guidance range despite power outage in August</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28.5% gross profit margin at highest level in more than 4 years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Foundry gross profit margin increases to 30.3%; fab utilization remains above 90%</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Power Standard Products revenue of $39.0 million at highest level since Q4 2013</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OLED Display Driver IC business resumed growth; OLED revenue increased 15.6% sequentially</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SEOUL, South Korea and SAN JOSE, Calif., Nov. 1, 2017 </w:t>
      </w:r>
      <w:r>
        <w:rPr>
          <w:rFonts w:ascii="Arial" w:cs="Arial" w:eastAsia="Arial" w:hAnsi="Arial"/>
          <w:sz w:val="18"/>
          <w:szCs w:val="18"/>
          <w:color w:val="auto"/>
        </w:rPr>
        <w:t>— MagnaChip Semiconductor Corporation, (NYSE: MX), today announced revenue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$176.7 million, gross profit margin of 28.5%, net income of $5.6 million and Adjusted EBITDA of $24.7 million or 14.0% of revenue. Gross profit margin and Adjusted EBITDA both were at the highest quarterly levels in more than four years.</w:t>
      </w:r>
    </w:p>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CEO Commentary</w:t>
      </w:r>
      <w:r>
        <w:rPr>
          <w:rFonts w:ascii="Arial" w:cs="Arial" w:eastAsia="Arial" w:hAnsi="Arial"/>
          <w:sz w:val="18"/>
          <w:szCs w:val="18"/>
          <w:color w:val="auto"/>
        </w:rPr>
        <w:t>: “Revenue in the third quarter came in at the higher end of the previous guidance range despite a power outage in August that</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temporarily halted production at our larger fab and caused wafers-in-process to be scrapped,” said YJ Kim, Chief Executive Officer. “We recovered from that incident in a timely manner, and our standard product business lines recorded double digit-sequential revenue growth in the third quarter. Foundry revenue was generally flattish quarter over quarter, but gross profit margin for the Foundry business increased 1.6 percentage points to 30.3%. The Company continued to benefit from an improving product mix and a strong product pipeline.”</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OLED: “We had forecasted earlier in the year that our OLED business would likely bottom in the second quarter of 2017 and resume revenue growth in the third quarter. I’m pleased to report that revenue from OLED display driver ICs increased 15.6% sequentially in the third quarter. Based on our current visibility and insight about multiple new smartphone introductions, we currently anticipate that we have the potential to generate OLED revenue that will exceed 50% growth or clearly exceed $100 million in 2018.”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2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CFO Commentary</w:t>
      </w:r>
      <w:r>
        <w:rPr>
          <w:rFonts w:ascii="Arial" w:cs="Arial" w:eastAsia="Arial" w:hAnsi="Arial"/>
          <w:sz w:val="16"/>
          <w:szCs w:val="16"/>
          <w:color w:val="auto"/>
        </w:rPr>
        <w:t>: “Our improved financial results demonstrate the success of business strategies and initiatives we’ve implemented, and reflect the</w:t>
      </w:r>
      <w:r>
        <w:rPr>
          <w:rFonts w:ascii="Arial" w:cs="Arial" w:eastAsia="Arial" w:hAnsi="Arial"/>
          <w:sz w:val="16"/>
          <w:szCs w:val="16"/>
          <w:b w:val="1"/>
          <w:bCs w:val="1"/>
          <w:color w:val="auto"/>
        </w:rPr>
        <w:t xml:space="preserve"> </w:t>
      </w:r>
      <w:r>
        <w:rPr>
          <w:rFonts w:ascii="Arial" w:cs="Arial" w:eastAsia="Arial" w:hAnsi="Arial"/>
          <w:sz w:val="16"/>
          <w:szCs w:val="16"/>
          <w:color w:val="auto"/>
        </w:rPr>
        <w:t>decisive steps we’ve taken to reduce our cost structure, streamline operations and strengthen the balance sheet,” said Jonathan Kim, Chief Financial Officer. “We remain fully committed to focus on the overall profitability of MagnaChip and to invest in future initiatives to fuel profitable revenue growth.”</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Total revenue for the third quarter of 2017 was $176.7 million, down 8.1% from the third quarter a year ago, and up 6.0% as compared to $166.7 million for the second quarter of 2017. Total revenue in the third quarter was at the higher end of our previous guidance range of $172-178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Foundry revenue in the third quarter was $80.4 million, up 8.9% year-over year and down 1.4% from $81.5 million in the prior quarter. Standard Products Group revenue in the third quarter was $96.2 million, down 18.7% year-over- year, and an increase of 13.1% sequentially, which primarily reflected changes in the mobile OLED business in both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Total gross profit in the third quarter of 2017 was $50.3 million or 28.5% million as compared with gross profit of $39.1 million or 20.4% in the third quarter of 2016 and $46.7 million or 28.0% gross profit margin for the second quarter of 2017. Gross profit margin in the third quarter was at the highest level in more than four years and primarily reflected improved product mix, reduction in manufacturing headcount and high fab utilization.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Foundry Services Group gross profit margin was 30.3% in the third quarter of 2017 as compared with 23.5% in the third quarter of 2016 and 28.7% in the second quarter of 2017. The Standard Products Group gross profit margin was 26.9% in the third quarter of 2017 as compared with 18.3% in the third quarter of 2016 and 27.2% in the second quarter of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Adjusted Net Income, 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income, on a GAAP basis, for the third quarter was $5.6 million or $0.16 per basic share and $0.15 per diluted share, as compared with net income of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$29.9 million or $0.86 per basic share and $0.85 per diluted share in the third quarter of 2016, and compared with a net loss of $8.1 million or $0.24 per basic share in the second quarter of 2017.</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Net Income, a non-GAAP financial measure, for the third quarter of 2017, totaled $11.4 million or $0.33 per basic share and $0.28 per diluted share, as compared with Adjusted Net Loss of $1.3 million or $0.04 per basic share in the third quarter of 2016, and compared with Adjusted Net Income of $7.8 million or $0.23 per basic share and $0.21 per diluted share in the second quarter of 2017.</w:t>
      </w:r>
    </w:p>
    <w:p>
      <w:pPr>
        <w:spacing w:after="0" w:line="1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Adjusted EBITDA, a non-GAAP financial measure, in the third quarter was $24.7 million or 14.0% of revenue, as compared with Adjusted EBITDA of $10.0 million or 5.2% of revenue in the third quarter of 2016, and compared with Adjusted EBITDA of $20.3 million or 12.2% of revenue in the second quarter of 2017.</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5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and cash equivalents totaled $128.4 million at the end of the third quarter, a decrease of $3.1 million from $131.5 million at the end of the second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sets forth information relating to our operating segments: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600" w:type="dxa"/>
            <w:vAlign w:val="bottom"/>
          </w:tcPr>
          <w:p>
            <w:pPr>
              <w:spacing w:after="0"/>
              <w:rPr>
                <w:sz w:val="10"/>
                <w:szCs w:val="10"/>
                <w:color w:val="auto"/>
              </w:rPr>
            </w:pPr>
          </w:p>
        </w:tc>
        <w:tc>
          <w:tcPr>
            <w:tcW w:w="11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160" w:type="dxa"/>
            <w:vAlign w:val="bottom"/>
            <w:tcBorders>
              <w:top w:val="single" w:sz="8" w:color="auto"/>
            </w:tcBorders>
            <w:gridSpan w:val="2"/>
          </w:tcPr>
          <w:p>
            <w:pPr>
              <w:ind w:left="2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80,404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73,863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239,460</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196,152</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57,236</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84,706</w:t>
            </w:r>
          </w:p>
        </w:tc>
        <w:tc>
          <w:tcPr>
            <w:tcW w:w="18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155,868</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217,171</w:t>
            </w:r>
          </w:p>
        </w:tc>
      </w:tr>
      <w:tr>
        <w:trPr>
          <w:trHeight w:val="216"/>
        </w:trPr>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39,001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33,619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109,595</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93,750</w:t>
            </w:r>
          </w:p>
        </w:tc>
      </w:tr>
      <w:tr>
        <w:trPr>
          <w:trHeight w:val="216"/>
        </w:trPr>
        <w:tc>
          <w:tcPr>
            <w:tcW w:w="4080" w:type="dxa"/>
            <w:vAlign w:val="bottom"/>
          </w:tcPr>
          <w:p>
            <w:pPr>
              <w:ind w:left="720"/>
              <w:spacing w:after="0"/>
              <w:rPr>
                <w:sz w:val="20"/>
                <w:szCs w:val="20"/>
                <w:color w:val="auto"/>
              </w:rPr>
            </w:pPr>
            <w:r>
              <w:rPr>
                <w:rFonts w:ascii="Arial" w:cs="Arial" w:eastAsia="Arial" w:hAnsi="Arial"/>
                <w:sz w:val="18"/>
                <w:szCs w:val="18"/>
                <w:color w:val="auto"/>
              </w:rPr>
              <w:t>Total Standard Products Group</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96,237</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118,325</w:t>
            </w:r>
          </w:p>
        </w:tc>
        <w:tc>
          <w:tcPr>
            <w:tcW w:w="18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265,463</w:t>
            </w: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310,921</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r>
      <w:tr>
        <w:trPr>
          <w:trHeight w:val="230"/>
        </w:trPr>
        <w:tc>
          <w:tcPr>
            <w:tcW w:w="408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176,697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192,296</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505,092</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507,507</w:t>
            </w:r>
          </w:p>
        </w:tc>
      </w:tr>
    </w:tbl>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 2017</w:t>
            </w:r>
          </w:p>
        </w:tc>
        <w:tc>
          <w:tcPr>
            <w:tcW w:w="1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Pr>
          <w:p>
            <w:pPr>
              <w:spacing w:after="0"/>
              <w:rPr>
                <w:sz w:val="10"/>
                <w:szCs w:val="10"/>
                <w:color w:val="auto"/>
              </w:rPr>
            </w:pPr>
          </w:p>
        </w:tc>
        <w:tc>
          <w:tcPr>
            <w:tcW w:w="820" w:type="dxa"/>
            <w:vAlign w:val="bottom"/>
            <w:tcBorders>
              <w:top w:val="single" w:sz="8" w:color="auto"/>
            </w:tcBorders>
            <w:vMerge w:val="restart"/>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Net Sales</w:t>
            </w:r>
          </w:p>
        </w:tc>
        <w:tc>
          <w:tcPr>
            <w:tcW w:w="820" w:type="dxa"/>
            <w:vAlign w:val="bottom"/>
            <w:vMerge w:val="continue"/>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3880" w:type="dxa"/>
            <w:vAlign w:val="bottom"/>
            <w:gridSpan w:val="3"/>
          </w:tcPr>
          <w:p>
            <w:pPr>
              <w:jc w:val="right"/>
              <w:ind w:right="440"/>
              <w:spacing w:after="0"/>
              <w:rPr>
                <w:sz w:val="20"/>
                <w:szCs w:val="20"/>
                <w:color w:val="auto"/>
              </w:rPr>
            </w:pPr>
            <w:r>
              <w:rPr>
                <w:rFonts w:ascii="Arial" w:cs="Arial" w:eastAsia="Arial" w:hAnsi="Arial"/>
                <w:sz w:val="18"/>
                <w:szCs w:val="18"/>
                <w:color w:val="auto"/>
              </w:rPr>
              <w:t>$24,374</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30.3%</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w w:val="89"/>
              </w:rPr>
              <w:t>$17,340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3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25,880</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26.9</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21,691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3880" w:type="dxa"/>
            <w:vAlign w:val="bottom"/>
            <w:gridSpan w:val="3"/>
          </w:tcPr>
          <w:p>
            <w:pPr>
              <w:jc w:val="right"/>
              <w:ind w:right="44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108</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3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$50,310</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89"/>
              </w:rPr>
              <w:t>$39,139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2840" w:type="dxa"/>
            <w:vAlign w:val="bottom"/>
          </w:tcPr>
          <w:p>
            <w:pPr>
              <w:jc w:val="right"/>
              <w:ind w:right="115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Nine Months Ended</w:t>
            </w:r>
          </w:p>
        </w:tc>
        <w:tc>
          <w:tcPr>
            <w:tcW w:w="80" w:type="dxa"/>
            <w:vAlign w:val="bottom"/>
          </w:tcPr>
          <w:p>
            <w:pPr>
              <w:spacing w:after="0"/>
              <w:rPr>
                <w:sz w:val="14"/>
                <w:szCs w:val="14"/>
                <w:color w:val="auto"/>
              </w:rPr>
            </w:pPr>
          </w:p>
        </w:tc>
        <w:tc>
          <w:tcPr>
            <w:tcW w:w="21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September 30, 2017</w:t>
            </w:r>
          </w:p>
        </w:tc>
        <w:tc>
          <w:tcPr>
            <w:tcW w:w="80" w:type="dxa"/>
            <w:vAlign w:val="bottom"/>
          </w:tcPr>
          <w:p>
            <w:pPr>
              <w:spacing w:after="0"/>
              <w:rPr>
                <w:sz w:val="14"/>
                <w:szCs w:val="14"/>
                <w:color w:val="auto"/>
              </w:rPr>
            </w:pPr>
          </w:p>
        </w:tc>
        <w:tc>
          <w:tcPr>
            <w:tcW w:w="21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Net Sales</w:t>
            </w:r>
          </w:p>
        </w:tc>
        <w:tc>
          <w:tcPr>
            <w:tcW w:w="900" w:type="dxa"/>
            <w:vAlign w:val="bottom"/>
            <w:gridSpan w:val="2"/>
            <w:vMerge w:val="continue"/>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69,894</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45,820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68,479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64,836</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169</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(519)</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138,542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6"/>
              </w:rPr>
              <w:t>110,137</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6908800</wp:posOffset>
            </wp:positionH>
            <wp:positionV relativeFrom="paragraph">
              <wp:posOffset>-891540</wp:posOffset>
            </wp:positionV>
            <wp:extent cx="26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-694055</wp:posOffset>
            </wp:positionV>
            <wp:extent cx="26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Company Highlights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900" w:right="1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selected as the foundry partner by ELAN Microelectronics to manufacture the world’s first fingerprint sensor IC-based smartcards. The smartcard will be manufactured utilizing MagnaChip’s 0.35um mixed-signal thick IMD manufacturing process.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Had its 6V slim mixed signal process qualified for various consumer-related applications such as home audio systems, cameras and electronic chargers.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Developed 150fs RonCoff in 0.13um RFSOI technology.</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Hosted the second Foundry Technology Symposium in Hsinchu, Taiwan. More than 120 fabless, IDMs and other semiconductor companies attended.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2017, MagnaChip anticipates:</w:t>
      </w:r>
    </w:p>
    <w:p>
      <w:pPr>
        <w:spacing w:after="0" w:line="131" w:lineRule="exact"/>
        <w:rPr>
          <w:sz w:val="20"/>
          <w:szCs w:val="20"/>
          <w:color w:val="auto"/>
        </w:rPr>
      </w:pPr>
    </w:p>
    <w:p>
      <w:pPr>
        <w:ind w:left="900" w:right="10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$171million to $177 million, flattish or down sequentially 0.6% at the mid-point of the projected range, due to typical seasonal factors. The guidance for the fourth quarter compares with revenue of $176.7 million in the third quarter of 2017 and $180.5 million in the fourth quarter of 2016.</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27% to 29%, despite an increase in silicon wafer prices, as compared to 28.5% in the third quarter of 2017, and 25.5% in the fourth quarter of 2016.</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253"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Quarter Conference Call</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MagnaChip will hold a conference call on Nov. 1 at 5 p.m. EDT to discuss the third quarter 2017 financial results. The conference call will be webcast live and is also available by dialing toll-free at 1-844-536-5472. International call-in participants can dial at 1-614-999-9318. The conference ID number is 98596895. Participants are encouraged to initiate their calls at least 10 minutes in advance of the 5 p.m. EDT start time to ensure a timely connection. The webcast and earnings release will be accessible at www.magnachip.com.</w:t>
      </w:r>
    </w:p>
    <w:p>
      <w:pPr>
        <w:spacing w:after="0" w:line="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replay of the conference call will be available the same day and will run for 72 hours. The replay dial-in numbers are 1-404-537-3406 or toll-free at 1-855-859-2056. The access code is 98596895.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approximately 3,300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fourth quarter 2017 revenue and gross profit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and international trade and export laws and regulations by us and our distributors, and other risks detailed from time to time in MagnaChip’s filings with the SEC, including our Form 10-K filed on February 21, 2017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9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0"/>
        </w:trPr>
        <w:tc>
          <w:tcPr>
            <w:tcW w:w="408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198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Bruce Entin</w:t>
            </w:r>
          </w:p>
        </w:tc>
        <w:tc>
          <w:tcPr>
            <w:tcW w:w="1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Investor Relations</w:t>
            </w:r>
          </w:p>
        </w:tc>
        <w:tc>
          <w:tcPr>
            <w:tcW w:w="1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Tel. +1-408-625-1262</w:t>
            </w:r>
          </w:p>
        </w:tc>
        <w:tc>
          <w:tcPr>
            <w:tcW w:w="1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Tel. +82-43-718-2100</w:t>
            </w:r>
          </w:p>
        </w:tc>
      </w:tr>
      <w:tr>
        <w:trPr>
          <w:trHeight w:val="190"/>
        </w:trPr>
        <w:tc>
          <w:tcPr>
            <w:tcW w:w="4080" w:type="dxa"/>
            <w:vAlign w:val="bottom"/>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1980" w:type="dxa"/>
            <w:vAlign w:val="bottom"/>
          </w:tcPr>
          <w:p>
            <w:pPr>
              <w:spacing w:after="0"/>
              <w:rPr>
                <w:sz w:val="16"/>
                <w:szCs w:val="16"/>
                <w:color w:val="auto"/>
              </w:rPr>
            </w:pPr>
          </w:p>
        </w:tc>
        <w:tc>
          <w:tcPr>
            <w:tcW w:w="23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466"/>
        </w:trPr>
        <w:tc>
          <w:tcPr>
            <w:tcW w:w="4080" w:type="dxa"/>
            <w:vAlign w:val="bottom"/>
          </w:tcPr>
          <w:p>
            <w:pPr>
              <w:spacing w:after="0"/>
              <w:rPr>
                <w:sz w:val="24"/>
                <w:szCs w:val="24"/>
                <w:color w:val="auto"/>
              </w:rPr>
            </w:pP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24"/>
                <w:szCs w:val="24"/>
                <w:color w:val="auto"/>
              </w:rPr>
            </w:pPr>
          </w:p>
        </w:tc>
      </w:tr>
      <w:tr>
        <w:trPr>
          <w:trHeight w:val="365"/>
        </w:trPr>
        <w:tc>
          <w:tcPr>
            <w:tcW w:w="4080" w:type="dxa"/>
            <w:vAlign w:val="bottom"/>
          </w:tcPr>
          <w:p>
            <w:pPr>
              <w:spacing w:after="0"/>
              <w:rPr>
                <w:sz w:val="24"/>
                <w:szCs w:val="24"/>
                <w:color w:val="auto"/>
              </w:rPr>
            </w:pP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23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9" w:name="page10"/>
    <w:bookmarkEnd w:id="9"/>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6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June 30,</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0"/>
                <w:szCs w:val="10"/>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192,296</w:t>
            </w: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126,387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120,023</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153,157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46,662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39,139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profit %</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17,266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17,730</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20,082</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16,928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18,439</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Early termination charges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36,920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38,521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income</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15,490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9,742</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(5,441)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(4,055)</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Foreign currency gain (loss), net</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(3,662)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(11,905)</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33,174</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(loss) before income tax expenses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6,541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(7,521)</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30,624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5,604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(8,059)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29,866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 Basic</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0.86</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34,103,029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33,952,574</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34,849,805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45,542,418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33,952,574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35,302,706</w:t>
            </w:r>
          </w:p>
        </w:tc>
      </w:tr>
      <w:tr>
        <w:trPr>
          <w:trHeight w:val="365"/>
        </w:trPr>
        <w:tc>
          <w:tcPr>
            <w:tcW w:w="4620" w:type="dxa"/>
            <w:vAlign w:val="bottom"/>
          </w:tcPr>
          <w:p>
            <w:pPr>
              <w:spacing w:after="0"/>
              <w:rPr>
                <w:sz w:val="24"/>
                <w:szCs w:val="24"/>
                <w:color w:val="auto"/>
              </w:rPr>
            </w:pPr>
          </w:p>
        </w:tc>
        <w:tc>
          <w:tcPr>
            <w:tcW w:w="2540" w:type="dxa"/>
            <w:vAlign w:val="bottom"/>
          </w:tcPr>
          <w:p>
            <w:pPr>
              <w:jc w:val="right"/>
              <w:ind w:right="13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June 30,</w:t>
            </w:r>
          </w:p>
        </w:tc>
        <w:tc>
          <w:tcPr>
            <w:tcW w:w="18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54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Adjustments: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Income tax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EBITDA</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18,892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41,159</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charges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(33,174)</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Derivative valuation loss,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Restatement related expenses and other</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Adjusted EBITDA</w:t>
            </w:r>
          </w:p>
        </w:tc>
        <w:tc>
          <w:tcPr>
            <w:tcW w:w="2080" w:type="dxa"/>
            <w:vAlign w:val="bottom"/>
            <w:gridSpan w:val="2"/>
          </w:tcPr>
          <w:p>
            <w:pPr>
              <w:ind w:left="19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24,702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20,322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9,955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Adjustments: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charges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(33,174)</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Derivative valuation loss,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Restatement related expenses and other</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2080" w:type="dxa"/>
            <w:vAlign w:val="bottom"/>
            <w:gridSpan w:val="2"/>
          </w:tcPr>
          <w:p>
            <w:pPr>
              <w:ind w:left="19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11,414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7,824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(1,338)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 Basic</w:t>
            </w:r>
          </w:p>
        </w:tc>
        <w:tc>
          <w:tcPr>
            <w:tcW w:w="2080" w:type="dxa"/>
            <w:vAlign w:val="bottom"/>
            <w:gridSpan w:val="2"/>
          </w:tcPr>
          <w:p>
            <w:pPr>
              <w:ind w:left="19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34,103,029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33,952,574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34,849,805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45,542,418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44,974,577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34,849,805</w:t>
            </w:r>
          </w:p>
        </w:tc>
      </w:tr>
    </w:tbl>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present Adjusted EBITDA and Adjusted Net Income (Loss) as supplemental measures of our performance. We define Adjusted EBITDA for the periods indicated as EBITDA (as defined below), adjusted to exclude (i) early termination charges, (ii) equity-based compensation expense, (iii) foreign currency loss (gain), net, (iv) derivative valuation loss, net, (v) restatement related expenses and other. EBITDA for the periods indicated is defined as net income (loss) before interest expense, net, income tax expenses and depreciation and amortization. 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 (i) early termination charges, (ii) equity-based compensation expense, (iii) foreign currency loss (gain), net, (iv) derivative valuation loss, net, (v) restatement related expenses and other.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128,425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18,251</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86,046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57,162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57,048</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12,654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8,137</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 collateral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3,641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300,392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242,693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186,390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179,793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13,074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9,556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4,805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6,632</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508,683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441,952</w:t>
            </w: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54,304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51,509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45,324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60,365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Deposits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16,549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123,997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153,441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302,894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221,082</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132,288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129,225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10,318</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569,811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514,066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7"/>
              </w:rPr>
              <w:t>Common stock, $0.01 par value, 150,000,000 shares authorized, 42,512,498 shares issued and 34,138,289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80" w:type="dxa"/>
            <w:vAlign w:val="bottom"/>
          </w:tcPr>
          <w:p>
            <w:pPr>
              <w:ind w:left="540"/>
              <w:spacing w:after="0"/>
              <w:rPr>
                <w:sz w:val="20"/>
                <w:szCs w:val="20"/>
                <w:color w:val="auto"/>
              </w:rPr>
            </w:pPr>
            <w:r>
              <w:rPr>
                <w:rFonts w:ascii="Arial" w:cs="Arial" w:eastAsia="Arial" w:hAnsi="Arial"/>
                <w:sz w:val="18"/>
                <w:szCs w:val="18"/>
                <w:color w:val="auto"/>
                <w:w w:val="91"/>
              </w:rPr>
              <w:t>outstanding at September 30, 2017 and 41,627,103 shares issued and 35,048,338 outstanding at 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135,185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130,189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(84,542)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(125,825)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8,374,209 shares at September 30, 2017 and 6,578,765 shares at December 31, 2016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(102,319)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(90,918)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(9,877)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14,024</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(61,128)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(72,114)</w:t>
            </w:r>
          </w:p>
        </w:tc>
      </w:tr>
      <w:tr>
        <w:trPr>
          <w:trHeight w:val="230"/>
        </w:trPr>
        <w:tc>
          <w:tcPr>
            <w:tcW w:w="8780" w:type="dxa"/>
            <w:vAlign w:val="bottom"/>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508,683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441,952</w:t>
            </w:r>
          </w:p>
        </w:tc>
      </w:tr>
      <w:tr>
        <w:trPr>
          <w:trHeight w:val="350"/>
        </w:trPr>
        <w:tc>
          <w:tcPr>
            <w:tcW w:w="8780" w:type="dxa"/>
            <w:vAlign w:val="bottom"/>
          </w:tcPr>
          <w:p>
            <w:pPr>
              <w:ind w:left="566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jc w:val="center"/>
              <w:ind w:left="412"/>
              <w:spacing w:after="0"/>
              <w:rPr>
                <w:sz w:val="20"/>
                <w:szCs w:val="20"/>
                <w:color w:val="auto"/>
              </w:rPr>
            </w:pPr>
            <w:r>
              <w:rPr>
                <w:rFonts w:ascii="Arial" w:cs="Arial" w:eastAsia="Arial" w:hAnsi="Arial"/>
                <w:sz w:val="14"/>
                <w:szCs w:val="14"/>
                <w:b w:val="1"/>
                <w:bCs w:val="1"/>
                <w:color w:val="auto"/>
                <w:w w:val="95"/>
              </w:rPr>
              <w:t>Nine Months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93"/>
              <w:spacing w:after="0"/>
              <w:rPr>
                <w:sz w:val="20"/>
                <w:szCs w:val="20"/>
                <w:color w:val="auto"/>
              </w:rPr>
            </w:pPr>
            <w:r>
              <w:rPr>
                <w:rFonts w:ascii="Arial" w:cs="Arial" w:eastAsia="Arial" w:hAnsi="Arial"/>
                <w:sz w:val="14"/>
                <w:szCs w:val="14"/>
                <w:b w:val="1"/>
                <w:bCs w:val="1"/>
                <w:color w:val="auto"/>
                <w:w w:val="93"/>
              </w:rPr>
              <w:t>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4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7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5,604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41,283</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20,175</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7,158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20,689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18,791</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13,609</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1,464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(38,182)</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Restructuring gain and other</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(17,010)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(7,785)</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(10,511)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(20,241)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(9,412)</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5,304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20,214</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7,088</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(4,764)</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(5,683)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(16,459)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(22,087)</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(3,869)</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(2,243)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2,662</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(19,578)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(14,178)</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9,168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(22,505)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(13,931)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65"/>
        </w:trPr>
        <w:tc>
          <w:tcPr>
            <w:tcW w:w="7480" w:type="dxa"/>
            <w:vAlign w:val="bottom"/>
          </w:tcPr>
          <w:p>
            <w:pPr>
              <w:ind w:left="56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plant, property and equipment</w:t>
            </w:r>
          </w:p>
        </w:tc>
        <w:tc>
          <w:tcPr>
            <w:tcW w:w="4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18,753</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Purchase of plant, property and equipment</w:t>
            </w:r>
          </w:p>
        </w:tc>
        <w:tc>
          <w:tcPr>
            <w:tcW w:w="4460" w:type="dxa"/>
            <w:vAlign w:val="bottom"/>
          </w:tcPr>
          <w:p>
            <w:pPr>
              <w:jc w:val="right"/>
              <w:ind w:right="30"/>
              <w:spacing w:after="0"/>
              <w:rPr>
                <w:sz w:val="20"/>
                <w:szCs w:val="20"/>
                <w:color w:val="auto"/>
              </w:rPr>
            </w:pPr>
            <w:r>
              <w:rPr>
                <w:rFonts w:ascii="Arial" w:cs="Arial" w:eastAsia="Arial" w:hAnsi="Arial"/>
                <w:sz w:val="18"/>
                <w:szCs w:val="18"/>
                <w:color w:val="auto"/>
              </w:rPr>
              <w:t>(8,462)</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(19,269)</w:t>
            </w:r>
          </w:p>
        </w:tc>
        <w:tc>
          <w:tcPr>
            <w:tcW w:w="900" w:type="dxa"/>
            <w:vAlign w:val="bottom"/>
          </w:tcPr>
          <w:p>
            <w:pPr>
              <w:jc w:val="right"/>
              <w:spacing w:after="0"/>
              <w:rPr>
                <w:sz w:val="20"/>
                <w:szCs w:val="20"/>
                <w:color w:val="auto"/>
              </w:rPr>
            </w:pPr>
            <w:r>
              <w:rPr>
                <w:rFonts w:ascii="Arial" w:cs="Arial" w:eastAsia="Arial" w:hAnsi="Arial"/>
                <w:sz w:val="18"/>
                <w:szCs w:val="18"/>
                <w:color w:val="auto"/>
              </w:rPr>
              <w:t>(11,345)</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4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446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1,426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4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1,775</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8,556</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6,317</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4460" w:type="dxa"/>
            <w:vAlign w:val="bottom"/>
          </w:tcPr>
          <w:p>
            <w:pPr>
              <w:jc w:val="right"/>
              <w:ind w:right="30"/>
              <w:spacing w:after="0"/>
              <w:rPr>
                <w:sz w:val="20"/>
                <w:szCs w:val="20"/>
                <w:color w:val="auto"/>
              </w:rPr>
            </w:pPr>
            <w:r>
              <w:rPr>
                <w:rFonts w:ascii="Arial" w:cs="Arial" w:eastAsia="Arial" w:hAnsi="Arial"/>
                <w:sz w:val="18"/>
                <w:szCs w:val="18"/>
                <w:color w:val="auto"/>
              </w:rPr>
              <w:t>(4,803)</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(14,839)</w:t>
            </w:r>
          </w:p>
        </w:tc>
        <w:tc>
          <w:tcPr>
            <w:tcW w:w="900" w:type="dxa"/>
            <w:vAlign w:val="bottom"/>
          </w:tcPr>
          <w:p>
            <w:pPr>
              <w:jc w:val="right"/>
              <w:spacing w:after="0"/>
              <w:rPr>
                <w:sz w:val="20"/>
                <w:szCs w:val="20"/>
                <w:color w:val="auto"/>
              </w:rPr>
            </w:pPr>
            <w:r>
              <w:rPr>
                <w:rFonts w:ascii="Arial" w:cs="Arial" w:eastAsia="Arial" w:hAnsi="Arial"/>
                <w:sz w:val="18"/>
                <w:szCs w:val="18"/>
                <w:color w:val="auto"/>
              </w:rPr>
              <w:t>(2,494)</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4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Other</w:t>
            </w:r>
          </w:p>
        </w:tc>
        <w:tc>
          <w:tcPr>
            <w:tcW w:w="44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(11,870)</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senior notes</w:t>
            </w:r>
          </w:p>
        </w:tc>
        <w:tc>
          <w:tcPr>
            <w:tcW w:w="4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86,250</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4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(5,902)</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4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866</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3,391</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4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(11,401)</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866</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72,338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446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1,604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4,766</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(3,098)</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45,070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(15,454)</w:t>
            </w: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4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4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131,523</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83,355</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90,882</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End of the period</w:t>
            </w:r>
          </w:p>
        </w:tc>
        <w:tc>
          <w:tcPr>
            <w:tcW w:w="4460" w:type="dxa"/>
            <w:vAlign w:val="bottom"/>
          </w:tcPr>
          <w:p>
            <w:pPr>
              <w:jc w:val="right"/>
              <w:ind w:right="90"/>
              <w:spacing w:after="0"/>
              <w:rPr>
                <w:sz w:val="20"/>
                <w:szCs w:val="20"/>
                <w:color w:val="auto"/>
              </w:rPr>
            </w:pPr>
            <w:r>
              <w:rPr>
                <w:rFonts w:ascii="Arial" w:cs="Arial" w:eastAsia="Arial" w:hAnsi="Arial"/>
                <w:sz w:val="18"/>
                <w:szCs w:val="18"/>
                <w:color w:val="auto"/>
              </w:rPr>
              <w:t>$128,425</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$128,425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$ 75,428</w:t>
            </w:r>
          </w:p>
        </w:tc>
      </w:tr>
      <w:tr>
        <w:trPr>
          <w:trHeight w:val="350"/>
        </w:trPr>
        <w:tc>
          <w:tcPr>
            <w:tcW w:w="5040" w:type="dxa"/>
            <w:vAlign w:val="bottom"/>
          </w:tcPr>
          <w:p>
            <w:pPr>
              <w:spacing w:after="0"/>
              <w:rPr>
                <w:sz w:val="24"/>
                <w:szCs w:val="24"/>
                <w:color w:val="auto"/>
              </w:rPr>
            </w:pPr>
          </w:p>
        </w:tc>
        <w:tc>
          <w:tcPr>
            <w:tcW w:w="4460" w:type="dxa"/>
            <w:vAlign w:val="bottom"/>
          </w:tcPr>
          <w:p>
            <w:pPr>
              <w:jc w:val="right"/>
              <w:ind w:right="361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2019-12-29T03:51:16Z</dcterms:created>
  <dcterms:modified xsi:type="dcterms:W3CDTF">2019-12-29T03:51:16Z</dcterms:modified>
</cp:coreProperties>
</file>