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80" w:after="283"/>
        <w:jc w:val="center"/>
        <w:rPr>
          <w:rFonts w:ascii="Times New Roman" w:hAnsi="Times New Roman"/>
          <w:sz w:val="36"/>
        </w:rPr>
      </w:pPr>
      <w:bookmarkStart w:id="0" w:name="mx-20260729.htm"/>
      <w:bookmarkStart w:id="1" w:name="ksmx20260729"/>
      <w:bookmarkEnd w:id="0"/>
      <w:bookmarkEnd w:id="1"/>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40" w:after="283"/>
        <w:ind w:left="4320" w:right="4320" w:hanging="0"/>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240" w:after="283"/>
        <w:ind w:left="4320" w:right="4320" w:hanging="0"/>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 of the</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Securities Exchange Act of 1934</w:t>
      </w:r>
      <w:r>
        <w:rPr>
          <w:rFonts w:ascii="Times New Roman" w:hAnsi="Times New Roman"/>
          <w:color w:val="000000"/>
          <w:sz w:val="24"/>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Date of report (Date of earliest event reported): September 21, 2026</w:t>
      </w:r>
    </w:p>
    <w:p>
      <w:pPr>
        <w:pStyle w:val="TextBody"/>
        <w:bidi w:val="0"/>
        <w:spacing w:before="240" w:after="283"/>
        <w:ind w:left="4320" w:right="4320" w:hanging="0"/>
        <w:jc w:val="center"/>
        <w:rPr>
          <w:rFonts w:ascii="Times New Roman" w:hAnsi="Times New Roman"/>
          <w:sz w:val="48"/>
        </w:rPr>
      </w:pPr>
      <w:r>
        <w:rPr>
          <w:rFonts w:ascii="Times New Roman" w:hAnsi="Times New Roman"/>
          <w:b/>
          <w:color w:val="000000"/>
          <w:sz w:val="48"/>
        </w:rPr>
        <w:t>Magnachip Semiconductor Corporation</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6031" w:type="dxa"/>
        <w:jc w:val="left"/>
        <w:tblInd w:w="0" w:type="dxa"/>
        <w:tblLayout w:type="fixed"/>
        <w:tblCellMar>
          <w:top w:w="28" w:type="dxa"/>
          <w:left w:w="28" w:type="dxa"/>
          <w:bottom w:w="28" w:type="dxa"/>
          <w:right w:w="28" w:type="dxa"/>
        </w:tblCellMar>
      </w:tblPr>
      <w:tblGrid>
        <w:gridCol w:w="3037"/>
        <w:gridCol w:w="1508"/>
        <w:gridCol w:w="1486"/>
      </w:tblGrid>
      <w:tr>
        <w:trPr/>
        <w:tc>
          <w:tcPr>
            <w:tcW w:w="303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37" w:type="dxa"/>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3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50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001-34791</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83-0406195</w:t>
            </w:r>
          </w:p>
        </w:tc>
      </w:tr>
      <w:tr>
        <w:trPr/>
        <w:tc>
          <w:tcPr>
            <w:tcW w:w="3037"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50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45" w:type="dxa"/>
            <w:gridSpan w:val="2"/>
            <w:tcBorders/>
            <w:tcMar>
              <w:top w:w="0" w:type="dxa"/>
              <w:left w:w="0" w:type="dxa"/>
              <w:bottom w:w="0" w:type="dxa"/>
              <w:right w:w="0" w:type="dxa"/>
            </w:tcMar>
            <w:vAlign w:val="center"/>
          </w:tcPr>
          <w:p>
            <w:pPr>
              <w:pStyle w:val="TableContents"/>
              <w:bidi w:val="0"/>
              <w:spacing w:before="40" w:after="283"/>
              <w:jc w:val="center"/>
              <w:rPr>
                <w:rFonts w:ascii="Times New Roman" w:hAnsi="Times New Roman"/>
                <w:sz w:val="16"/>
              </w:rPr>
            </w:pPr>
            <w:r>
              <w:rPr>
                <w:rFonts w:ascii="Times New Roman" w:hAnsi="Times New Roman"/>
                <w:b/>
                <w:color w:val="000000"/>
                <w:sz w:val="16"/>
              </w:rPr>
              <w:t>c/o Magnachip Semiconductor, Ltd.</w:t>
            </w:r>
            <w:r>
              <w:rPr>
                <w:rFonts w:ascii="Times New Roman" w:hAnsi="Times New Roman"/>
                <w:color w:val="000000"/>
                <w:sz w:val="16"/>
              </w:rPr>
              <w:t xml:space="preserve"> </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15F, 76 Jikji-daero 436beon-gil, Heungdeok-gu</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Cheongju-si, Chungcheongbuk-do, 28581, Republic of Korea</w:t>
            </w:r>
          </w:p>
        </w:tc>
        <w:tc>
          <w:tcPr>
            <w:tcW w:w="14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4545"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+82</w:t>
      </w:r>
      <w:r>
        <w:rPr>
          <w:rFonts w:ascii="Times New Roman" w:hAnsi="Times New Roman"/>
          <w:color w:val="000000"/>
          <w:sz w:val="20"/>
        </w:rPr>
        <w:t xml:space="preserve"> </w:t>
      </w:r>
      <w:r>
        <w:rPr>
          <w:rFonts w:ascii="Times New Roman" w:hAnsi="Times New Roman"/>
          <w:b/>
          <w:color w:val="000000"/>
          <w:sz w:val="20"/>
        </w:rPr>
        <w:t>(2) 6903-3000</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Written communications pursuant to Rule 425 under the Securities Act (17 CFR 230.425)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Soliciting material pursuant to Rule 14a-12 under the Exchange Act (17 CFR 240.14a-12)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14d-2(b) under the Exchange Act (17 CFR 240.14d-2(b)) </w:t>
      </w:r>
    </w:p>
    <w:p>
      <w:pPr>
        <w:pStyle w:val="TextBody"/>
        <w:pBdr/>
        <w:bidi w:val="0"/>
        <w:spacing w:before="120" w:after="283"/>
        <w:ind w:left="0" w:right="0" w:hanging="490"/>
        <w:jc w:val="left"/>
        <w:rPr/>
      </w:pPr>
      <w:r>
        <w:rPr>
          <w:color w:val="000000"/>
        </w:rPr>
        <w:t xml:space="preserve">☐ </w:t>
      </w:r>
      <w:r>
        <w:rPr>
          <w:rFonts w:ascii="Times New Roman" w:hAnsi="Times New Roman"/>
          <w:color w:val="000000"/>
          <w:sz w:val="20"/>
        </w:rPr>
        <w:t xml:space="preserve">Pre-commencement communications pursuant to Rule 13e-4(c) under the Exchange Act (17 CFR 240.13e-4(c))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788" w:type="dxa"/>
        <w:jc w:val="left"/>
        <w:tblInd w:w="0" w:type="dxa"/>
        <w:tblLayout w:type="fixed"/>
        <w:tblCellMar>
          <w:top w:w="28" w:type="dxa"/>
          <w:left w:w="28" w:type="dxa"/>
          <w:bottom w:w="28" w:type="dxa"/>
          <w:right w:w="28" w:type="dxa"/>
        </w:tblCellMar>
      </w:tblPr>
      <w:tblGrid>
        <w:gridCol w:w="3661"/>
        <w:gridCol w:w="1186"/>
        <w:gridCol w:w="2941"/>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Title of each class</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Trading Symbol</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MX</w:t>
            </w:r>
          </w:p>
        </w:tc>
        <w:tc>
          <w:tcPr>
            <w:tcW w:w="29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idi w:val="0"/>
        <w:spacing w:before="120" w:after="283"/>
        <w:ind w:left="0" w:right="0" w:hanging="49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18, 2026, Magnachip Semiconductor Corporation (the “Company”) entered into a privately negotiated Stock Purchase Agreement (the “Purchase Agreement”) with Navitas Semiconductor Corporation (the “Purchaser”), pursuant to which the Company agreed to issue and sell to the Purchaser 1,461,988 shares of the Company’s common stock, par value $0.01 per share (the “Common Stock”), at a purchase price of $3.42 per share, for an aggregate purchase price of $5,000,000.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closing of the transactions contemplated by the Purchase Agreement is expected to occur on or about September 24, 2026 subject to the satisfaction or waiver of the applicable closing conditions. The closing of the transactions contemplated by the Purchase Agreement is subject to the satisfaction or waiver of customary closing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Agreement also provides that the Company will file with the U.S. Securities and Exchange Commission (the “SEC”), no later than 30 days after the closing, a registration statement on Form S-3 covering the resale of the shares of Common Stock issued in the transaction. The Company agreed to use commercially reasonable efforts to cause the registration statement to become effective within 60 days following the closing or 90 days following closing if the SEC reviews the registration statement, or, if earlier, by the fifth (5th) business day after the SEC notifies the Company that the registration statement will not be reviewed or is no longer subject to further review and comments.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shares of Common Stock issuable pursuant to the Purchase Agreement will not be registered under the Securities Act of 1933, as amended (the “Securities Act”), and will be issued in reliance on the exemption from registration requirements thereof provided by Section 4(a)(2) of the Securities Act or Rule 506 of Regulation D promulgated thereunder. The Company relied on these exemptions from registration based in part on representations made by the Purchaser.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summary is qualified in its entirety by reference to the full text of the Purchase Agreement, a copy of which is filed as Exhibit 10.1 to this Form 8-K. The Purchase Agreement contains customary representations, warranties and covenants, which were made only for purposes of the Purchase Agreement and as of specific dates, were solely for the benefit of the parties to the Purchase Agreement, and may be subject to limitations agreed upon by the contracting parties.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3.02. Unregistered Sales of Equity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information set forth in Item 1.01 of this Current Report on Form 8-K is incorporated herein by reference. The shares of the Company’s common stock to be issued and sold pursuant to the Purchase Agreement will not be registered under the Securities Act of 1933, as amended (the “Securities Act”), and will be issued and sold in reliance upon the exemption from registration provided by Section 4(a)(2) of the Securities Act.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Neither this Current Report on Form 8-K nor the exhibits attached hereto is an offer to sell or the solicitation of an offer to buy shares of Common Stock of the Company.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21, 2026, the Company issued a press release announcing the closing of a private placement for $5,000,000. A copy of the press release is attached to this Current Report on Form 8-K as Exhibit 99.1 and is incorporated herein by reference.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 99.1, is being furnished and shall not be deemed to be “filed” for the purpose of the Securities Exchange Act of 1934, as amended (the “Exchange Act”), nor shall it be deemed incorporated by reference in any filing under the Exchange Act or the Securities Act of 1933, as amended, unless specifically identified therein as being incorporated by reference.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pBdr/>
        <w:bidi w:val="0"/>
        <w:spacing w:before="120" w:after="283"/>
        <w:ind w:left="0" w:right="0" w:hanging="490"/>
        <w:jc w:val="left"/>
        <w:rPr>
          <w:rFonts w:ascii="Times New Roman" w:hAnsi="Times New Roman"/>
          <w:sz w:val="20"/>
        </w:rPr>
      </w:pPr>
      <w:r>
        <w:rPr>
          <w:rFonts w:ascii="Times New Roman" w:hAnsi="Times New Roman"/>
          <w:b/>
          <w:color w:val="000000"/>
          <w:sz w:val="20"/>
        </w:rPr>
        <w:t>(d) Exhibits.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exhibit is furnished as part of this report: </w:t>
      </w:r>
    </w:p>
    <w:tbl>
      <w:tblPr>
        <w:tblW w:w="10205" w:type="dxa"/>
        <w:jc w:val="left"/>
        <w:tblInd w:w="0" w:type="dxa"/>
        <w:tblLayout w:type="fixed"/>
        <w:tblCellMar>
          <w:top w:w="28" w:type="dxa"/>
          <w:left w:w="28" w:type="dxa"/>
          <w:bottom w:w="28" w:type="dxa"/>
          <w:right w:w="28" w:type="dxa"/>
        </w:tblCellMar>
      </w:tblPr>
      <w:tblGrid>
        <w:gridCol w:w="161"/>
        <w:gridCol w:w="631"/>
        <w:gridCol w:w="254"/>
        <w:gridCol w:w="9159"/>
      </w:tblGrid>
      <w:tr>
        <w:trPr/>
        <w:tc>
          <w:tcPr>
            <w:tcW w:w="161"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254" w:type="dxa"/>
            <w:tcBorders/>
            <w:shd w:fill="FFFFFF" w:val="clear"/>
            <w:vAlign w:val="center"/>
          </w:tcPr>
          <w:p>
            <w:pPr>
              <w:pStyle w:val="TableContents"/>
              <w:bidi w:val="0"/>
              <w:spacing w:before="0" w:after="283"/>
              <w:jc w:val="left"/>
              <w:rPr>
                <w:sz w:val="4"/>
                <w:szCs w:val="4"/>
              </w:rPr>
            </w:pPr>
            <w:r>
              <w:rPr>
                <w:sz w:val="4"/>
                <w:szCs w:val="4"/>
              </w:rPr>
            </w:r>
          </w:p>
        </w:tc>
        <w:tc>
          <w:tcPr>
            <w:tcW w:w="9159" w:type="dxa"/>
            <w:tcBorders/>
            <w:shd w:fill="FFFFFF" w:val="cle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tcMar>
              <w:top w:w="0" w:type="dxa"/>
              <w:left w:w="0" w:type="dxa"/>
              <w:bottom w:w="0" w:type="dxa"/>
              <w:right w:w="0" w:type="dxa"/>
            </w:tcMar>
            <w:vAlign w:val="center"/>
          </w:tcPr>
          <w:p>
            <w:pPr>
              <w:pStyle w:val="TableContents"/>
              <w:bidi w:val="0"/>
              <w:spacing w:before="0" w:after="283"/>
              <w:jc w:val="left"/>
              <w:rPr/>
            </w:pPr>
            <w:r>
              <w:rPr/>
              <w:t> </w:t>
            </w:r>
          </w:p>
        </w:tc>
        <w:tc>
          <w:tcPr>
            <w:tcW w:w="91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9159" w:type="dxa"/>
            <w:tcBorders/>
            <w:tcMar>
              <w:top w:w="0" w:type="dxa"/>
              <w:left w:w="0" w:type="dxa"/>
              <w:bottom w:w="0" w:type="dxa"/>
              <w:right w:w="0" w:type="dxa"/>
            </w:tcMar>
            <w:vAlign w:val="center"/>
          </w:tcPr>
          <w:p>
            <w:pPr>
              <w:pStyle w:val="TableContents"/>
              <w:bidi w:val="0"/>
              <w:spacing w:before="0" w:after="283"/>
              <w:ind w:left="108" w:right="0" w:firstLine="108"/>
              <w:jc w:val="left"/>
              <w:rPr/>
            </w:pPr>
            <w:hyperlink w:anchor="mx-ex10_1.htm">
              <w:r>
                <w:rPr>
                  <w:rStyle w:val="InternetLink"/>
                  <w:rFonts w:ascii="Times New Roman" w:hAnsi="Times New Roman"/>
                  <w:color w:val="0000FF"/>
                  <w:sz w:val="20"/>
                  <w:u w:val="single"/>
                </w:rPr>
                <w:t>Share Purchase Agreement dated September 18, 2026, by and between Magnachip Semiconductor Corporation and Navitas Semiconductor Corporation.</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9159" w:type="dxa"/>
            <w:tcBorders/>
            <w:tcMar>
              <w:top w:w="0" w:type="dxa"/>
              <w:left w:w="0" w:type="dxa"/>
              <w:bottom w:w="0" w:type="dxa"/>
              <w:right w:w="0" w:type="dxa"/>
            </w:tcMar>
            <w:vAlign w:val="center"/>
          </w:tcPr>
          <w:p>
            <w:pPr>
              <w:pStyle w:val="TableContents"/>
              <w:bidi w:val="0"/>
              <w:spacing w:before="0" w:after="283"/>
              <w:ind w:left="108" w:right="0" w:firstLine="108"/>
              <w:jc w:val="left"/>
              <w:rPr/>
            </w:pPr>
            <w:hyperlink w:anchor="mx-ex99_1.htm">
              <w:r>
                <w:rPr>
                  <w:rStyle w:val="InternetLink"/>
                  <w:rFonts w:ascii="Times New Roman" w:hAnsi="Times New Roman"/>
                  <w:color w:val="0000FF"/>
                  <w:sz w:val="20"/>
                  <w:u w:val="single"/>
                </w:rPr>
                <w:t>Press Release issued September 21, 2026.</w:t>
              </w:r>
            </w:hyperlink>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254" w:type="dxa"/>
            <w:tcBorders/>
            <w:tcMar>
              <w:top w:w="0" w:type="dxa"/>
              <w:left w:w="0" w:type="dxa"/>
              <w:bottom w:w="0" w:type="dxa"/>
              <w:right w:w="0" w:type="dxa"/>
            </w:tcMar>
            <w:vAlign w:val="center"/>
          </w:tcPr>
          <w:p>
            <w:pPr>
              <w:pStyle w:val="TableContents"/>
              <w:bidi w:val="0"/>
              <w:spacing w:before="0" w:after="283"/>
              <w:ind w:left="0" w:right="0" w:firstLine="108"/>
              <w:jc w:val="center"/>
              <w:rPr/>
            </w:pPr>
            <w:r>
              <w:rPr/>
              <w:t> </w:t>
            </w:r>
          </w:p>
        </w:tc>
        <w:tc>
          <w:tcPr>
            <w:tcW w:w="9159" w:type="dxa"/>
            <w:tcBorders/>
            <w:tcMar>
              <w:top w:w="0" w:type="dxa"/>
              <w:left w:w="0" w:type="dxa"/>
              <w:bottom w:w="0" w:type="dxa"/>
              <w:right w:w="0" w:type="dxa"/>
            </w:tcMar>
            <w:vAlign w:val="center"/>
          </w:tcPr>
          <w:p>
            <w:pPr>
              <w:pStyle w:val="TableContents"/>
              <w:bidi w:val="0"/>
              <w:spacing w:before="0" w:after="283"/>
              <w:ind w:left="108" w:right="0" w:firstLine="10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36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ind w:left="0" w:right="0" w:firstLine="49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8209" w:type="dxa"/>
        <w:jc w:val="left"/>
        <w:tblInd w:w="0" w:type="dxa"/>
        <w:tblLayout w:type="fixed"/>
        <w:tblCellMar>
          <w:top w:w="28" w:type="dxa"/>
          <w:left w:w="28" w:type="dxa"/>
          <w:bottom w:w="28" w:type="dxa"/>
          <w:right w:w="28" w:type="dxa"/>
        </w:tblCellMar>
      </w:tblPr>
      <w:tblGrid>
        <w:gridCol w:w="161"/>
        <w:gridCol w:w="2311"/>
        <w:gridCol w:w="146"/>
        <w:gridCol w:w="2417"/>
        <w:gridCol w:w="1018"/>
        <w:gridCol w:w="838"/>
        <w:gridCol w:w="1127"/>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7"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73"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4"/>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MAGNACHIP SEMICONDUCTOR CORPORATION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7" w:type="dxa"/>
            <w:tcBorders/>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September 21,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By: </w:t>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Shinyoung Park</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Shinyoung Park</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tcBorders/>
            <w:tcMar>
              <w:top w:w="0" w:type="dxa"/>
              <w:left w:w="0" w:type="dxa"/>
              <w:bottom w:w="0" w:type="dxa"/>
              <w:right w:w="0" w:type="dxa"/>
            </w:tcMar>
            <w:vAlign w:val="center"/>
          </w:tcPr>
          <w:p>
            <w:pPr>
              <w:pStyle w:val="TableContents"/>
              <w:bidi w:val="0"/>
              <w:spacing w:before="0" w:after="283"/>
              <w:jc w:val="left"/>
              <w:rPr/>
            </w:pPr>
            <w:r>
              <w:rPr/>
              <w:t> </w:t>
            </w:r>
          </w:p>
        </w:tc>
        <w:tc>
          <w:tcPr>
            <w:tcW w:w="196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pPr>
      <w:r>
        <w:rPr/>
        <w:t> </w:t>
      </w:r>
    </w:p>
    <w:p>
      <w:pPr>
        <w:pStyle w:val="TextBody"/>
        <w:bidi w:val="0"/>
        <w:ind w:left="0" w:right="482"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 w:name="mx-ex10_1.htm"/>
      <w:bookmarkStart w:id="3" w:name="ksmxex10_1"/>
      <w:bookmarkEnd w:id="2"/>
      <w:bookmarkEnd w:id="3"/>
      <w:r>
        <w:rPr>
          <w:rFonts w:ascii="Times New Roman" w:hAnsi="Times New Roman"/>
          <w:b/>
          <w:color w:val="000000"/>
          <w:sz w:val="22"/>
        </w:rPr>
        <w:t>Exhibit 10.1</w:t>
      </w:r>
      <w:r>
        <w:br w:type="page"/>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SHARE PURCHASE AGREEMENT</w:t>
      </w:r>
    </w:p>
    <w:p>
      <w:pPr>
        <w:pStyle w:val="TextBody"/>
        <w:bidi w:val="0"/>
        <w:spacing w:before="0" w:after="240"/>
        <w:jc w:val="center"/>
        <w:rPr/>
      </w:pPr>
      <w:r>
        <w:rPr/>
        <w:t> </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This Share Purchase Agreement (this “</w:t>
      </w:r>
      <w:r>
        <w:rPr>
          <w:rFonts w:ascii="Times New Roman" w:hAnsi="Times New Roman"/>
          <w:color w:val="000000"/>
          <w:sz w:val="22"/>
          <w:u w:val="single"/>
        </w:rPr>
        <w:t>Agreement</w:t>
      </w:r>
      <w:r>
        <w:rPr>
          <w:rFonts w:ascii="Times New Roman" w:hAnsi="Times New Roman"/>
          <w:color w:val="000000"/>
          <w:sz w:val="22"/>
        </w:rPr>
        <w:t>”) is dated as of September 18, 2026 (the “</w:t>
      </w:r>
      <w:r>
        <w:rPr>
          <w:rFonts w:ascii="Times New Roman" w:hAnsi="Times New Roman"/>
          <w:color w:val="000000"/>
          <w:sz w:val="22"/>
          <w:u w:val="single"/>
        </w:rPr>
        <w:t>Execution Date</w:t>
      </w:r>
      <w:r>
        <w:rPr>
          <w:rFonts w:ascii="Times New Roman" w:hAnsi="Times New Roman"/>
          <w:color w:val="000000"/>
          <w:sz w:val="22"/>
        </w:rPr>
        <w:t>”), by and between Magnachip Semiconductor Corporation, a Delaware corporation (the “</w:t>
      </w:r>
      <w:r>
        <w:rPr>
          <w:rFonts w:ascii="Times New Roman" w:hAnsi="Times New Roman"/>
          <w:color w:val="000000"/>
          <w:sz w:val="22"/>
          <w:u w:val="single"/>
        </w:rPr>
        <w:t>Company</w:t>
      </w:r>
      <w:r>
        <w:rPr>
          <w:rFonts w:ascii="Times New Roman" w:hAnsi="Times New Roman"/>
          <w:color w:val="000000"/>
          <w:sz w:val="22"/>
        </w:rPr>
        <w:t>”), and Navitas Semiconductor Corporation, a Delaware corporation (the “</w:t>
      </w:r>
      <w:r>
        <w:rPr>
          <w:rFonts w:ascii="Times New Roman" w:hAnsi="Times New Roman"/>
          <w:color w:val="000000"/>
          <w:sz w:val="22"/>
          <w:u w:val="single"/>
        </w:rPr>
        <w:t>Purchaser</w:t>
      </w:r>
      <w:r>
        <w:rPr>
          <w:rFonts w:ascii="Times New Roman" w:hAnsi="Times New Roman"/>
          <w:color w:val="000000"/>
          <w:sz w:val="22"/>
        </w:rPr>
        <w:t>”). The Company and the Purchaser are each hereafter referred to individually as a “</w:t>
      </w:r>
      <w:r>
        <w:rPr>
          <w:rFonts w:ascii="Times New Roman" w:hAnsi="Times New Roman"/>
          <w:color w:val="000000"/>
          <w:sz w:val="22"/>
          <w:u w:val="single"/>
        </w:rPr>
        <w:t>Party</w:t>
      </w:r>
      <w:r>
        <w:rPr>
          <w:rFonts w:ascii="Times New Roman" w:hAnsi="Times New Roman"/>
          <w:color w:val="000000"/>
          <w:sz w:val="22"/>
        </w:rPr>
        <w:t>” and together as the “</w:t>
      </w:r>
      <w:r>
        <w:rPr>
          <w:rFonts w:ascii="Times New Roman" w:hAnsi="Times New Roman"/>
          <w:color w:val="000000"/>
          <w:sz w:val="22"/>
          <w:u w:val="single"/>
        </w:rPr>
        <w:t>Parties</w:t>
      </w:r>
      <w:r>
        <w:rPr>
          <w:rFonts w:ascii="Times New Roman" w:hAnsi="Times New Roman"/>
          <w:color w:val="000000"/>
          <w:sz w:val="22"/>
        </w:rPr>
        <w:t>.”</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RECITALS</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WHEREAS, subject to the terms and conditions set forth in this Agreement, the Company desires to issue and sell to the Purchaser, and the Purchaser desires to purchase from the Company, shares of the Company’s Common Stock (as defined below) at the Per Share Purchase Price (as defined below).</w:t>
      </w:r>
    </w:p>
    <w:p>
      <w:pPr>
        <w:pStyle w:val="TextBody"/>
        <w:bidi w:val="0"/>
        <w:spacing w:before="0" w:after="240"/>
        <w:ind w:left="0" w:right="0" w:firstLine="720"/>
        <w:jc w:val="left"/>
        <w:rPr>
          <w:rFonts w:ascii="Times New Roman" w:hAnsi="Times New Roman"/>
          <w:color w:val="000000"/>
          <w:sz w:val="22"/>
        </w:rPr>
      </w:pPr>
      <w:r>
        <w:rPr>
          <w:rFonts w:ascii="Times New Roman" w:hAnsi="Times New Roman"/>
          <w:color w:val="000000"/>
          <w:sz w:val="22"/>
        </w:rPr>
        <w:t>NOW, THEREFORE, IN CONSIDERATION of the mutual covenants contained in this Agreement, and for other good and valuable consideration, the receipt and adequacy of which are hereby acknowledged, the Company and the Purchaser agree as follows:</w:t>
      </w:r>
    </w:p>
    <w:p>
      <w:pPr>
        <w:pStyle w:val="TextBody"/>
        <w:bidi w:val="0"/>
        <w:jc w:val="center"/>
        <w:rPr>
          <w:rFonts w:ascii="Times New Roman" w:hAnsi="Times New Roman"/>
          <w:b/>
          <w:color w:val="000000"/>
          <w:sz w:val="24"/>
        </w:rPr>
      </w:pPr>
      <w:r>
        <w:rPr>
          <w:rFonts w:ascii="Times New Roman" w:hAnsi="Times New Roman"/>
          <w:b/>
          <w:color w:val="000000"/>
          <w:sz w:val="24"/>
        </w:rPr>
        <w:t>ARTICLE 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DEFINITIONS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1.1 </w:t>
      </w:r>
      <w:r>
        <w:rPr>
          <w:rFonts w:ascii="Times New Roman" w:hAnsi="Times New Roman"/>
          <w:color w:val="000000"/>
          <w:sz w:val="22"/>
          <w:u w:val="single"/>
        </w:rPr>
        <w:t>Definitions</w:t>
      </w:r>
      <w:r>
        <w:rPr>
          <w:rFonts w:ascii="Times New Roman" w:hAnsi="Times New Roman"/>
          <w:color w:val="000000"/>
          <w:sz w:val="22"/>
        </w:rPr>
        <w:t>. In addition to the terms defined elsewhere in this Agreement, for all purposes of this Agreement, the following terms have the meanings set forth in this Section 1.1:</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Affiliate</w:t>
      </w:r>
      <w:r>
        <w:rPr>
          <w:rFonts w:ascii="Times New Roman" w:hAnsi="Times New Roman"/>
          <w:color w:val="000000"/>
          <w:sz w:val="22"/>
        </w:rPr>
        <w:t>” means, with respect to any Person, any entity that, at the relevant time (whether as of the Execution Date or thereafter), directly or indirectly through one or more intermediaries, controls, is controlled by, or is under common control with such Person, for so long as such control exists. For purposes of this definition, “control” means (a) to possess, directly or indirectly, the power to direct or cause the direction of the management or policies of an entity, whether through ownership of voting securities or by contract relating to voting rights or corporate governance, or (b) direct or indirect ownership of fifty percent (50%) (or such lesser percentage that is the maximum allowed to be owned by a foreign entity in a particular jurisdiction) or more of the voting share capital or other equity interest in such entity.</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Board of Directors</w:t>
      </w:r>
      <w:r>
        <w:rPr>
          <w:rFonts w:ascii="Times New Roman" w:hAnsi="Times New Roman"/>
          <w:color w:val="000000"/>
          <w:sz w:val="22"/>
        </w:rPr>
        <w:t>” means the board of directors of the Company.</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Business Day</w:t>
      </w:r>
      <w:r>
        <w:rPr>
          <w:rFonts w:ascii="Times New Roman" w:hAnsi="Times New Roman"/>
          <w:color w:val="000000"/>
          <w:sz w:val="22"/>
        </w:rPr>
        <w:t>” means any day other than Saturday, Sunday or other day on which commercial banks in The City of New York are authorized or required by law to remain closed.</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Closing</w:t>
      </w:r>
      <w:r>
        <w:rPr>
          <w:rFonts w:ascii="Times New Roman" w:hAnsi="Times New Roman"/>
          <w:color w:val="000000"/>
          <w:sz w:val="22"/>
        </w:rPr>
        <w:t>” means the consummation of the purchase and sale of the Shares and the other transactions contemplated under this Agreement.</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Closing Date</w:t>
      </w:r>
      <w:r>
        <w:rPr>
          <w:rFonts w:ascii="Times New Roman" w:hAnsi="Times New Roman"/>
          <w:color w:val="000000"/>
          <w:sz w:val="22"/>
        </w:rPr>
        <w:t>” means the date of the Closing, on which all conditions precedent to (i) the Purchaser’s obligations to pay the Purchase Amount at the Closing and (ii) the Company’s obligations to deliver the Shares at the Closing, in each case, have been satisfied or waived, but in no event later than the second (2nd) Business Day following the date thereof.</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Commission</w:t>
      </w:r>
      <w:r>
        <w:rPr>
          <w:rFonts w:ascii="Times New Roman" w:hAnsi="Times New Roman"/>
          <w:color w:val="000000"/>
          <w:sz w:val="22"/>
        </w:rPr>
        <w:t>” means the United States Securities and Exchange Commission.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Common Stock</w:t>
      </w:r>
      <w:r>
        <w:rPr>
          <w:rFonts w:ascii="Times New Roman" w:hAnsi="Times New Roman"/>
          <w:color w:val="000000"/>
          <w:sz w:val="22"/>
        </w:rPr>
        <w:t xml:space="preserve">” means the common stock of the Company, par value $0.01 per share, and any other class of securities into which such securities may hereafter be reclassified or changed. </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Common Stock Equivalents</w:t>
      </w:r>
      <w:r>
        <w:rPr>
          <w:rFonts w:ascii="Times New Roman" w:hAnsi="Times New Roman"/>
          <w:color w:val="000000"/>
          <w:sz w:val="22"/>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Disposition</w:t>
      </w:r>
      <w:r>
        <w:rPr>
          <w:rFonts w:ascii="Times New Roman" w:hAnsi="Times New Roman"/>
          <w:color w:val="000000"/>
          <w:sz w:val="22"/>
        </w:rPr>
        <w:t>” or “</w:t>
      </w:r>
      <w:r>
        <w:rPr>
          <w:rFonts w:ascii="Times New Roman" w:hAnsi="Times New Roman"/>
          <w:color w:val="000000"/>
          <w:sz w:val="22"/>
          <w:u w:val="single"/>
        </w:rPr>
        <w:t>Dispose of</w:t>
      </w:r>
      <w:r>
        <w:rPr>
          <w:rFonts w:ascii="Times New Roman" w:hAnsi="Times New Roman"/>
          <w:color w:val="000000"/>
          <w:sz w:val="22"/>
        </w:rPr>
        <w:t>” means (a) pledge, sale, contract to sell, sale of any option or contract to purchase, purchase of any option or contract to sell, grant of any option, right or warrant for the sale of, or other disposition of or transfer of any Common Stock, or any options, warrants or other securities or rights convertible into or exercisable or exchangeable for Common Stock, including, without limitation, any “short sale” or similar arrangement, or (b) swap, hedge, derivative instrument or any other agreement or any transaction that transfers, in whole or in part, directly or indirectly, the economic consequence of ownership of the Common Stock, whether any such swap or transaction is to be settled by delivery of securities, in cash or otherwise.</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Exchange Act</w:t>
      </w:r>
      <w:r>
        <w:rPr>
          <w:rFonts w:ascii="Times New Roman" w:hAnsi="Times New Roman"/>
          <w:color w:val="000000"/>
          <w:sz w:val="22"/>
        </w:rPr>
        <w:t>” means the Securities Exchange Act of 1934, as amended, and the rules and regulations promulgated thereunder.</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Governmental Authority</w:t>
      </w:r>
      <w:r>
        <w:rPr>
          <w:rFonts w:ascii="Times New Roman" w:hAnsi="Times New Roman"/>
          <w:color w:val="000000"/>
          <w:sz w:val="22"/>
        </w:rPr>
        <w:t>” 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and any court or tribunal (or any department, bureau or division thereof, or any governmental arbitrator or arbitral body).</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Liens</w:t>
      </w:r>
      <w:r>
        <w:rPr>
          <w:rFonts w:ascii="Times New Roman" w:hAnsi="Times New Roman"/>
          <w:color w:val="000000"/>
          <w:sz w:val="22"/>
        </w:rPr>
        <w:t>” means a lien, charge, pledge, security interest, encumbrance, right of first refusal, preemptive right or other restriction.</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Material Adverse Effect</w:t>
      </w:r>
      <w:r>
        <w:rPr>
          <w:rFonts w:ascii="Times New Roman" w:hAnsi="Times New Roman"/>
          <w:color w:val="000000"/>
          <w:sz w:val="22"/>
        </w:rPr>
        <w:t xml:space="preserve">” means any change, event or occurrence that, individually or in the aggregate with any other changes, events or circumstances, has had or would reasonably be expected to have (a) a material adverse effect on the business, financial condition, assets or results of operations of the Company or its subsidiaries, taken as a whole, or (b) a material adverse effect on the Company’s ability to perform its obligations hereunder or consummate the transactions contemplated hereby; </w:t>
      </w:r>
      <w:r>
        <w:rPr>
          <w:rFonts w:ascii="Times New Roman" w:hAnsi="Times New Roman"/>
          <w:color w:val="000000"/>
          <w:sz w:val="22"/>
          <w:u w:val="single"/>
        </w:rPr>
        <w:t>provided, however</w:t>
      </w:r>
      <w:r>
        <w:rPr>
          <w:rFonts w:ascii="Times New Roman" w:hAnsi="Times New Roman"/>
          <w:color w:val="000000"/>
          <w:sz w:val="22"/>
        </w:rPr>
        <w:t xml:space="preserve">, that in no event shall any of the following occurring after the Execution Date, alone or in combination, be deemed to constitute, or be taken into account in determining whether a Material Adverse Effect has occurred: (i) changes in the Company’s industry generally or in conditions in the United States, Republic of Korea or global economy or capital or financial markets generally, including changes in interest or exchange rates, (ii) any change, event or occurrence caused by the announcement or pendency of the transactions contemplated hereby, (iii) the performance of this Agreement and the transactions contemplated hereby, or any action taken or omitted to be taken by the Company at the request or with the prior consent of the Purchaser, (iv) changes in general legal, regulatory, political, economic or business conditions occurring after the Execution Date that, in each case, generally affect the semiconductor industry, (v) acts of war, sabotage or terrorism occurring after the Execution Date, or any escalation or worsening of any such acts of war, sabotage or terrorism, or (vi) earthquakes, hurricanes, floods or other natural disasters occurring after the Execution Date; provided, however, that with respect to clauses (i), (iv), (v) and (vi), such effects, alone or in combination, may be deemed to constitute, or be taken into account in determining whether a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Material Adverse Effect has occurred, but only to the extent such effects disproportionately affect the Company compared to other companies in the semiconductor industry.</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Material Contract</w:t>
      </w:r>
      <w:r>
        <w:rPr>
          <w:rFonts w:ascii="Times New Roman" w:hAnsi="Times New Roman"/>
          <w:color w:val="000000"/>
          <w:sz w:val="22"/>
        </w:rPr>
        <w:t>” means all contracts, agreements, indentures, bonds, loans, leases, subleases, licenses, sublicenses, instruments, notes and arrangements in effect as of the Execution Date that are required to be filed as exhibits to the Company’s annual report on Form 10-K filed with the Commission.</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NYSE</w:t>
      </w:r>
      <w:r>
        <w:rPr>
          <w:rFonts w:ascii="Times New Roman" w:hAnsi="Times New Roman"/>
          <w:color w:val="000000"/>
          <w:sz w:val="22"/>
        </w:rPr>
        <w:t>” means the New York Stock Exchange.</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Permitted Transferee</w:t>
      </w:r>
      <w:r>
        <w:rPr>
          <w:rFonts w:ascii="Times New Roman" w:hAnsi="Times New Roman"/>
          <w:color w:val="000000"/>
          <w:sz w:val="22"/>
        </w:rPr>
        <w:t xml:space="preserve">” means an Affiliate of the Purchaser;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that no such Person shall be deemed a Permitted Transferee for any purpose under this Agreement unless: (a) the Permitted Transferee shall have agreed in writing to be subject to and bound by the terms of this Agreement as though it were “the Purchaser” hereunder, and (b) the Purchaser acknowledges that it continues to be bound by the terms of this Agreement.</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Per Share Purchase Price</w:t>
      </w:r>
      <w:r>
        <w:rPr>
          <w:rFonts w:ascii="Times New Roman" w:hAnsi="Times New Roman"/>
          <w:color w:val="000000"/>
          <w:sz w:val="22"/>
        </w:rPr>
        <w:t>” means $3.42.</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Purchase Amount</w:t>
      </w:r>
      <w:r>
        <w:rPr>
          <w:rFonts w:ascii="Times New Roman" w:hAnsi="Times New Roman"/>
          <w:color w:val="000000"/>
          <w:sz w:val="22"/>
        </w:rPr>
        <w:t>” means, as to the Purchaser, the amount to be paid for Shares purchased hereunder in United States dollars and in immediately available funds.</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Person</w:t>
      </w:r>
      <w:r>
        <w:rPr>
          <w:rFonts w:ascii="Times New Roman" w:hAnsi="Times New Roman"/>
          <w:color w:val="000000"/>
          <w:sz w:val="22"/>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Proceeding</w:t>
      </w:r>
      <w:r>
        <w:rPr>
          <w:rFonts w:ascii="Times New Roman" w:hAnsi="Times New Roman"/>
          <w:color w:val="000000"/>
          <w:sz w:val="22"/>
        </w:rPr>
        <w:t>” means an action, claim, suit, investigation or proceeding (including, without limitation, an informal investigation or partial proceeding, such as a deposition), whether commenced or threatened.</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Rule 144</w:t>
      </w:r>
      <w:r>
        <w:rPr>
          <w:rFonts w:ascii="Times New Roman" w:hAnsi="Times New Roman"/>
          <w:color w:val="000000"/>
          <w:sz w:val="22"/>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Securities Act</w:t>
      </w:r>
      <w:r>
        <w:rPr>
          <w:rFonts w:ascii="Times New Roman" w:hAnsi="Times New Roman"/>
          <w:color w:val="000000"/>
          <w:sz w:val="22"/>
        </w:rPr>
        <w:t>” means the Securities Act of 1933, as amended, and the rules and regulations promulgated thereunder.</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Shares</w:t>
      </w:r>
      <w:r>
        <w:rPr>
          <w:rFonts w:ascii="Times New Roman" w:hAnsi="Times New Roman"/>
          <w:color w:val="000000"/>
          <w:sz w:val="22"/>
        </w:rPr>
        <w:t>” means the shares of Common Stock issued or issuable to the Purchaser pursuant to this Agreement.</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Short Sales</w:t>
      </w:r>
      <w:r>
        <w:rPr>
          <w:rFonts w:ascii="Times New Roman" w:hAnsi="Times New Roman"/>
          <w:color w:val="000000"/>
          <w:sz w:val="22"/>
        </w:rPr>
        <w:t>” means all “short sales” as defined in Rule 200 of Regulation SHO under the Exchange Act (but shall not be deemed to include locating and/or borrowing shares of Common Stock).</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Subsidiary</w:t>
      </w:r>
      <w:r>
        <w:rPr>
          <w:rFonts w:ascii="Times New Roman" w:hAnsi="Times New Roman"/>
          <w:color w:val="000000"/>
          <w:sz w:val="22"/>
        </w:rPr>
        <w:t>” means any subsidiary of the Company which shall include any direct or indirect subsidiary of the Company formed or acquired after the Execution Date.</w:t>
      </w:r>
    </w:p>
    <w:p>
      <w:pPr>
        <w:pStyle w:val="TextBody"/>
        <w:bidi w:val="0"/>
        <w:spacing w:before="0" w:after="240"/>
        <w:ind w:left="720" w:right="0" w:firstLine="720"/>
        <w:jc w:val="left"/>
        <w:rPr/>
      </w:pPr>
      <w:r>
        <w:rPr>
          <w:color w:val="000000"/>
        </w:rPr>
        <w:t>“</w:t>
      </w:r>
      <w:r>
        <w:rPr>
          <w:rFonts w:ascii="Times New Roman" w:hAnsi="Times New Roman"/>
          <w:color w:val="000000"/>
          <w:sz w:val="22"/>
          <w:u w:val="single"/>
        </w:rPr>
        <w:t>Transfer Agent</w:t>
      </w:r>
      <w:r>
        <w:rPr>
          <w:rFonts w:ascii="Times New Roman" w:hAnsi="Times New Roman"/>
          <w:color w:val="000000"/>
          <w:sz w:val="22"/>
        </w:rPr>
        <w:t>” means Equiniti Trust Company, LLC the current transfer agent of the Company, with a mailing address of 28 Liberty Street, Floor 53, New York, NY 10005, and any successor transfer agent of the Company.</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PURCHASE AND SALE OF SHARES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2.1 </w:t>
      </w:r>
      <w:r>
        <w:rPr>
          <w:rFonts w:ascii="Times New Roman" w:hAnsi="Times New Roman"/>
          <w:color w:val="000000"/>
          <w:sz w:val="22"/>
          <w:u w:val="single"/>
        </w:rPr>
        <w:t>Purchase of Shares</w:t>
      </w:r>
      <w:r>
        <w:rPr>
          <w:rFonts w:ascii="Times New Roman" w:hAnsi="Times New Roman"/>
          <w:color w:val="000000"/>
          <w:sz w:val="22"/>
        </w:rPr>
        <w:t>. Subject to the terms and conditions of this Agreement, at the Closing, the Company will issue and sell to the Purchaser and the Purchaser will purchase from the Company, 1,461,988 Shares, at the Per Share Purchase Price. The Closing and the purchase and sale of the Shares shall occur on the Closing Date, subject to the satisfaction or waiver of the conditions set forth herein.</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2.2 </w:t>
      </w:r>
      <w:r>
        <w:rPr>
          <w:rFonts w:ascii="Times New Roman" w:hAnsi="Times New Roman"/>
          <w:color w:val="000000"/>
          <w:sz w:val="22"/>
          <w:u w:val="single"/>
        </w:rPr>
        <w:t>Payment</w:t>
      </w:r>
      <w:r>
        <w:rPr>
          <w:rFonts w:ascii="Times New Roman" w:hAnsi="Times New Roman"/>
          <w:color w:val="000000"/>
          <w:sz w:val="22"/>
        </w:rPr>
        <w:t xml:space="preserve">. At the Closing, the Purchaser will pay the total Purchase Amount as set forth in </w:t>
      </w:r>
      <w:r>
        <w:rPr>
          <w:rFonts w:ascii="Times New Roman" w:hAnsi="Times New Roman"/>
          <w:color w:val="000000"/>
          <w:sz w:val="22"/>
          <w:u w:val="single"/>
        </w:rPr>
        <w:t>Schedule I</w:t>
      </w:r>
      <w:r>
        <w:rPr>
          <w:rFonts w:ascii="Times New Roman" w:hAnsi="Times New Roman"/>
          <w:color w:val="000000"/>
          <w:sz w:val="22"/>
        </w:rPr>
        <w:t xml:space="preserve"> by wire transfer or electronic funds transfer of immediately available funds to an account designated by the Company, which account the Company shall designate to the Purchaser no less than one (1) Business Day prior to the Closing Date (or on such later date as may be permitted by the Purchaser). </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2.3 </w:t>
      </w:r>
      <w:r>
        <w:rPr>
          <w:rFonts w:ascii="Times New Roman" w:hAnsi="Times New Roman"/>
          <w:color w:val="000000"/>
          <w:sz w:val="22"/>
          <w:u w:val="single"/>
        </w:rPr>
        <w:t>Closing</w:t>
      </w:r>
      <w:r>
        <w:rPr>
          <w:rFonts w:ascii="Times New Roman" w:hAnsi="Times New Roman"/>
          <w:color w:val="000000"/>
          <w:sz w:val="22"/>
        </w:rPr>
        <w:t xml:space="preserve">. On the Closing Date, subject to the satisfaction or waiver of the conditions set forth herein, the Closing shall occur, at such time as is mutually agreed by the Parties, remotely via the exchange of documents and signatures by the Parties. At the Closing, subject to receipt by the Company of the Purchase Amount from the Purchaser as contemplated by Section 2.2, the Company shall instruct the Transfer Agent to register the Shares purchased at the Closing in book-entry in the name of the Purchaser, and the Company shall cause the Transfer Agent to deliver written confirmation of the book-entry delivery of the Shares to the Purchaser. </w:t>
      </w:r>
    </w:p>
    <w:p>
      <w:pPr>
        <w:pStyle w:val="TextBody"/>
        <w:bidi w:val="0"/>
        <w:jc w:val="center"/>
        <w:rPr>
          <w:rFonts w:ascii="Times New Roman" w:hAnsi="Times New Roman"/>
          <w:b/>
          <w:color w:val="000000"/>
          <w:sz w:val="24"/>
        </w:rPr>
      </w:pPr>
      <w:r>
        <w:rPr>
          <w:rFonts w:ascii="Times New Roman" w:hAnsi="Times New Roman"/>
          <w:b/>
          <w:color w:val="000000"/>
          <w:sz w:val="24"/>
        </w:rPr>
        <w:t>ARTICLE III.</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REPRESENTATIONS AND WARRANTIES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3.1 </w:t>
      </w:r>
      <w:r>
        <w:rPr>
          <w:rFonts w:ascii="Times New Roman" w:hAnsi="Times New Roman"/>
          <w:color w:val="000000"/>
          <w:sz w:val="22"/>
          <w:u w:val="single"/>
        </w:rPr>
        <w:t>Representations and Warranties of the Company</w:t>
      </w:r>
      <w:r>
        <w:rPr>
          <w:rFonts w:ascii="Times New Roman" w:hAnsi="Times New Roman"/>
          <w:color w:val="000000"/>
          <w:sz w:val="22"/>
        </w:rPr>
        <w:t>. The Company hereby represents and warrants to the Purchaser that, except as set forth in the SEC Reports (as defined below):</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Private Sale</w:t>
      </w:r>
      <w:r>
        <w:rPr>
          <w:rFonts w:ascii="Times New Roman" w:hAnsi="Times New Roman"/>
          <w:color w:val="000000"/>
          <w:sz w:val="22"/>
        </w:rPr>
        <w:t>. Subject to the accuracy of the representations and warranties made by the Purchaser in Section 3.2, the Shares will be issued and sold to the Purchaser in compliance with applicable exemptions from the registration and prospectus delivery requirements of the Securities Act and the registration and qualification requirements of all applicable securities laws of the states of the United States.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Subsidiaries</w:t>
      </w:r>
      <w:r>
        <w:rPr>
          <w:rFonts w:ascii="Times New Roman" w:hAnsi="Times New Roman"/>
          <w:color w:val="000000"/>
          <w:sz w:val="22"/>
        </w:rPr>
        <w:t xml:space="preserve">. All of the direct and indirect subsidiaries of the Company are set forth on the Company’s filings with the Commission. Except as may be set forth in the SEC Reports (defined below),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Organization and Qualification</w:t>
      </w:r>
      <w:r>
        <w:rPr>
          <w:rFonts w:ascii="Times New Roman" w:hAnsi="Times New Roman"/>
          <w:color w:val="000000"/>
          <w:sz w:val="22"/>
        </w:rPr>
        <w:t>. The Company and each of the Subsidiaries is an entity duly incorporated or otherwise organized, validly existing and in good standing under the laws of the jurisdiction of its incorporation or organization, with the requisite corporate power and authority to own or lease and use its properties and assets, to execute and deliver this Agreement, to carry out the provisions of this Agreement and to issue and sell the Shares. True and correct copies of the Company’s organizational documents, as amended and in effect on the Execution Date, are filed or incorporated by reference as exhibits to the SEC Reports (defined below).</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Authorization; Enforcement</w:t>
      </w:r>
      <w:r>
        <w:rPr>
          <w:rFonts w:ascii="Times New Roman" w:hAnsi="Times New Roman"/>
          <w:color w:val="000000"/>
          <w:sz w:val="22"/>
        </w:rPr>
        <w:t>. The Company has the requisite corporate power and authority and has taken all requisite corporate action necessary for, and no further action on the part of the Company, its officers, directors or shareholders is necessary for, (a) the authorization, execution and delivery of this Agreement, (b) the authorization of the performance of all obligations of the Company hereunder or thereunder, and (c) the sale, issuance and delivery of the Shares. This Agreement, upon execution and delivery by the Company, assuming due authorization, execution and delivery by the Purchaser, constitutes valid and binding obligations of the Company, enforceable in accordance with their terms, except (i) as limited by applicable bankruptcy, insolvency, reorganization, moratorium or other laws of general application affecting enforcement of creditors’ rights and (ii) general principles of equity that restrict the availability of equitable remedies.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No Conflicts; Government Consents and Permits</w:t>
      </w:r>
      <w:r>
        <w:rPr>
          <w:rFonts w:ascii="Times New Roman" w:hAnsi="Times New Roman"/>
          <w:color w:val="000000"/>
          <w:sz w:val="22"/>
        </w:rPr>
        <w:t>. (a) The execution, delivery and performance of this Agreement by the Company and the consummation by the Company of the transactions contemplated thereby (including the issuance of the Shares) will not (i) conflict with or result in a violation of any provision of the Company’s organizational documents, (ii) result in any encumbrance upon any of the Shares, other than restrictions on resale pursuant to securities laws or as set forth in this Agreement, (iii) materially violate or conflict with, or result in a material breach, default, modification, acceleration of payment or termination under of any provision of, or constitute a default under, any Material Contract, or (iv) result in a material violation of any law, rule, regulation, order, judgment or decree (including United States federal and state securities laws and regulations and regulations of any self-regulatory organizations) applicable to the Company as of the Execution Date.</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Issuance of the Shares</w:t>
      </w:r>
      <w:r>
        <w:rPr>
          <w:rFonts w:ascii="Times New Roman" w:hAnsi="Times New Roman"/>
          <w:color w:val="000000"/>
          <w:sz w:val="22"/>
        </w:rPr>
        <w:t xml:space="preserve">. When issued, the Shares will be duly and validly issued and, when paid for in accordance with this Agreement, will be fully paid and non-assessable, and, when delivered to the Purchaser at the Closing, shall be free and clear of all encumbrances and restrictions including, but not limited to, Liens, encumbrances or restrictions on transfer, including preemptive rights, rights of first refusal, purchase options, call options, subscription rights or other similar rights of shareholders of the Company, except for restrictions on transfer set forth in this Agreement or imposed by applicable securities laws. Assuming the accuracy of the representations and warranties of the Purchaser in this Agreement, the Shares will be issued in compliance with all applicable federal and state securities laws of California, the state in which the Purchaser is located. No stop order or suspension of trading of the Common Stock has been imposed by the NYSE or the Commission and remains in effect.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Capitalization</w:t>
      </w:r>
      <w:r>
        <w:rPr>
          <w:rFonts w:ascii="Times New Roman" w:hAnsi="Times New Roman"/>
          <w:color w:val="000000"/>
          <w:sz w:val="22"/>
        </w:rPr>
        <w:t xml:space="preserve">. The Company has not issued any capital stock since its most recently filed periodic report under the Exchange Act, other than (i)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or (ii) pursuant to the Company’s “at the market” common stock offering under its Registration Statement on Form S-3 (Registration Statement No. 333-296756) and the prospectus and prospectus supplement filed with the Commission thereunder. No Person has any right of first refusal, preemptive right, right of participation, or any similar right to participate in the transactions contemplated by this Agreement. Except as a result of the purchase and sale of the Shares and set forth on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SEC Reports; Financial Statements</w:t>
      </w:r>
      <w:r>
        <w:rPr>
          <w:rFonts w:ascii="Times New Roman" w:hAnsi="Times New Roman"/>
          <w:color w:val="000000"/>
          <w:sz w:val="22"/>
        </w:rPr>
        <w:t>. The Company has filed all reports, schedules, forms, statements and other documents required to be filed by the Company under the Securities Act and the Exchange Act, including pursuant to Section 13(a) or 15(d) thereof, for the two years preceding the Execution Date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hAnsi="Times New Roman"/>
          <w:color w:val="000000"/>
          <w:sz w:val="22"/>
          <w:u w:val="single"/>
        </w:rPr>
        <w:t>SEC Reports</w:t>
      </w:r>
      <w:r>
        <w:rPr>
          <w:rFonts w:ascii="Times New Roman" w:hAnsi="Times New Roman"/>
          <w:color w:val="000000"/>
          <w:sz w:val="22"/>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hAnsi="Times New Roman"/>
          <w:color w:val="000000"/>
          <w:sz w:val="22"/>
          <w:u w:val="single"/>
        </w:rPr>
        <w:t>GAAP</w:t>
      </w:r>
      <w:r>
        <w:rPr>
          <w:rFonts w:ascii="Times New Roman" w:hAnsi="Times New Roman"/>
          <w:color w:val="000000"/>
          <w:sz w:val="22"/>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Material Changes; Undisclosed Events, Liabilities or Developments</w:t>
      </w:r>
      <w:r>
        <w:rPr>
          <w:rFonts w:ascii="Times New Roman" w:hAnsi="Times New Roman"/>
          <w:color w:val="000000"/>
          <w:sz w:val="22"/>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incentive plans. Except for the issuance of the Shares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prior to the date that this representation is made.</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(j) </w:t>
      </w:r>
      <w:r>
        <w:rPr>
          <w:rFonts w:ascii="Times New Roman" w:hAnsi="Times New Roman"/>
          <w:color w:val="000000"/>
          <w:sz w:val="22"/>
          <w:u w:val="single"/>
        </w:rPr>
        <w:t>Litigation</w:t>
      </w:r>
      <w:r>
        <w:rPr>
          <w:rFonts w:ascii="Times New Roman" w:hAnsi="Times New Roman"/>
          <w:color w:val="000000"/>
          <w:sz w:val="22"/>
        </w:rPr>
        <w:t>. Other than as set forth in the SEC Reports, there is no action, suit, Proceeding or investigation pending (of which the Company has received written notice or otherwise has knowledge) or, to the Company’s knowledge, threatened, against the Company that has had or would reasonably be expected to have a Material Adverse Effect.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(k) </w:t>
      </w:r>
      <w:r>
        <w:rPr>
          <w:rFonts w:ascii="Times New Roman" w:hAnsi="Times New Roman"/>
          <w:color w:val="000000"/>
          <w:sz w:val="22"/>
          <w:u w:val="single"/>
        </w:rPr>
        <w:t>Compliance</w:t>
      </w:r>
      <w:r>
        <w:rPr>
          <w:rFonts w:ascii="Times New Roman" w:hAnsi="Times New Roman"/>
          <w:color w:val="000000"/>
          <w:sz w:val="22"/>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(l) </w:t>
      </w:r>
      <w:r>
        <w:rPr>
          <w:rFonts w:ascii="Times New Roman" w:hAnsi="Times New Roman"/>
          <w:color w:val="000000"/>
          <w:sz w:val="22"/>
          <w:u w:val="single"/>
        </w:rPr>
        <w:t>Regulatory Permits</w:t>
      </w:r>
      <w:r>
        <w:rPr>
          <w:rFonts w:ascii="Times New Roman" w:hAnsi="Times New Roman"/>
          <w:color w:val="000000"/>
          <w:sz w:val="22"/>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hAnsi="Times New Roman"/>
          <w:color w:val="000000"/>
          <w:sz w:val="22"/>
          <w:u w:val="single"/>
        </w:rPr>
        <w:t>Material Permits</w:t>
      </w:r>
      <w:r>
        <w:rPr>
          <w:rFonts w:ascii="Times New Roman" w:hAnsi="Times New Roman"/>
          <w:color w:val="000000"/>
          <w:sz w:val="22"/>
        </w:rPr>
        <w:t>”), and neither the Company nor any Subsidiary has received any notice of proceedings relating to the revocation or modification of any Material Permit.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(m) </w:t>
      </w:r>
      <w:r>
        <w:rPr>
          <w:rFonts w:ascii="Times New Roman" w:hAnsi="Times New Roman"/>
          <w:color w:val="000000"/>
          <w:sz w:val="22"/>
          <w:u w:val="single"/>
        </w:rPr>
        <w:t>Title to Assets</w:t>
      </w:r>
      <w:r>
        <w:rPr>
          <w:rFonts w:ascii="Times New Roman" w:hAnsi="Times New Roman"/>
          <w:color w:val="000000"/>
          <w:sz w:val="22"/>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(iii) in each case as could not have or reasonably be expected to result in a Material Adverse Effect.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(n) </w:t>
      </w:r>
      <w:r>
        <w:rPr>
          <w:rFonts w:ascii="Times New Roman" w:hAnsi="Times New Roman"/>
          <w:color w:val="000000"/>
          <w:sz w:val="22"/>
          <w:u w:val="single"/>
        </w:rPr>
        <w:t>Intellectual Property</w:t>
      </w:r>
      <w:r>
        <w:rPr>
          <w:rFonts w:ascii="Times New Roman" w:hAnsi="Times New Roman"/>
          <w:color w:val="000000"/>
          <w:sz w:val="22"/>
        </w:rPr>
        <w:t xml:space="preserve">. The Company and the Subsidiaries have, or have rights to use, all patents, patent applications, trademarks, trademark applications, service marks, trade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sz w:val="22"/>
        </w:rPr>
      </w:pPr>
      <w:r>
        <w:rPr>
          <w:rFonts w:ascii="Times New Roman" w:hAnsi="Times New Roman"/>
          <w:color w:val="000000"/>
          <w:sz w:val="22"/>
        </w:rPr>
        <w:t>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hAnsi="Times New Roman"/>
          <w:color w:val="000000"/>
          <w:sz w:val="22"/>
          <w:u w:val="single"/>
        </w:rPr>
        <w:t>Intellectual Property Rights</w:t>
      </w:r>
      <w:r>
        <w:rPr>
          <w:rFonts w:ascii="Times New Roman" w:hAnsi="Times New Roman"/>
          <w:color w:val="000000"/>
          <w:sz w:val="22"/>
        </w:rPr>
        <w: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result in a Material Adverse Effect.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(o) </w:t>
      </w:r>
      <w:r>
        <w:rPr>
          <w:rFonts w:ascii="Times New Roman" w:hAnsi="Times New Roman"/>
          <w:color w:val="000000"/>
          <w:sz w:val="22"/>
          <w:u w:val="single"/>
        </w:rPr>
        <w:t>Investment Company</w:t>
      </w:r>
      <w:r>
        <w:rPr>
          <w:rFonts w:ascii="Times New Roman" w:hAnsi="Times New Roman"/>
          <w:color w:val="000000"/>
          <w:sz w:val="22"/>
        </w:rPr>
        <w:t>. The Company is not, and immediately after receipt of payment for the Shares, will not be, an “investment company” within the meaning of the Investment Company Act of 1940, as amended.</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(p) </w:t>
      </w:r>
      <w:r>
        <w:rPr>
          <w:rFonts w:ascii="Times New Roman" w:hAnsi="Times New Roman"/>
          <w:color w:val="000000"/>
          <w:sz w:val="22"/>
          <w:u w:val="single"/>
        </w:rPr>
        <w:t>Tax Status</w:t>
      </w:r>
      <w:r>
        <w:rPr>
          <w:rFonts w:ascii="Times New Roman" w:hAnsi="Times New Roman"/>
          <w:color w:val="000000"/>
          <w:sz w:val="22"/>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(q) </w:t>
      </w:r>
      <w:r>
        <w:rPr>
          <w:rFonts w:ascii="Times New Roman" w:hAnsi="Times New Roman"/>
          <w:color w:val="000000"/>
          <w:sz w:val="22"/>
          <w:u w:val="single"/>
        </w:rPr>
        <w:t>Foreign Corrupt Practices</w:t>
      </w:r>
      <w:r>
        <w:rPr>
          <w:rFonts w:ascii="Times New Roman" w:hAnsi="Times New Roman"/>
          <w:color w:val="000000"/>
          <w:sz w:val="22"/>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(r) </w:t>
      </w:r>
      <w:r>
        <w:rPr>
          <w:rFonts w:ascii="Times New Roman" w:hAnsi="Times New Roman"/>
          <w:color w:val="000000"/>
          <w:sz w:val="22"/>
          <w:u w:val="single"/>
        </w:rPr>
        <w:t>Regulation M Compliance</w:t>
      </w:r>
      <w:r>
        <w:rPr>
          <w:rFonts w:ascii="Times New Roman" w:hAnsi="Times New Roman"/>
          <w:color w:val="000000"/>
          <w:sz w:val="22"/>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3.2 </w:t>
      </w:r>
      <w:r>
        <w:rPr>
          <w:rFonts w:ascii="Times New Roman" w:hAnsi="Times New Roman"/>
          <w:color w:val="000000"/>
          <w:sz w:val="22"/>
          <w:u w:val="single"/>
        </w:rPr>
        <w:t>Representations and Warranties of the Purchaser</w:t>
      </w:r>
      <w:r>
        <w:rPr>
          <w:rFonts w:ascii="Times New Roman" w:hAnsi="Times New Roman"/>
          <w:color w:val="000000"/>
          <w:sz w:val="22"/>
        </w:rPr>
        <w:t>. The Purchaser hereby represents and warrants as of the Execution Date and as of the date of the Closing to the Company as follows (unless as of a specific date therein, in which case they shall be accurate as of such date):</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Organization; Authority</w:t>
      </w:r>
      <w:r>
        <w:rPr>
          <w:rFonts w:ascii="Times New Roman" w:hAnsi="Times New Roman"/>
          <w:color w:val="000000"/>
          <w:sz w:val="22"/>
        </w:rPr>
        <w:t xml:space="preserve">. The Purchaser is an entity duly incorporated, validly existing and in good standing under the laws of the jurisdiction of its incorporation or formation with full corporate power and authority to enter into and to consummate the transactions contemplated by this Agreement and otherwise to carry out its obligations hereunder and thereunder. The execution and delivery of this Agreement and performance by the Purchaser of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the transactions contemplated by this Agreement have been duly authorized by all necessary corporate action on the part of the Purchaser. This Agreement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Understandings or Arrangements</w:t>
      </w:r>
      <w:r>
        <w:rPr>
          <w:rFonts w:ascii="Times New Roman" w:hAnsi="Times New Roman"/>
          <w:color w:val="000000"/>
          <w:sz w:val="22"/>
        </w:rPr>
        <w:t xml:space="preserve">. The Purchaser is acquiring the Shares as principal for its own account and has no direct or indirect arrangement or understandings with any other persons to distribute or regarding the distribution of such Shares. The Purchaser is acquiring the Shares hereunder in the ordinary course of its business. The Purchaser was made aware of the offering of Shares by this Agreement solely by means of private communications directly with officers and directors of the Company and not by way of advertising or any other public filing or other communication of the Company or by general solicitation.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Purchaser Status</w:t>
      </w:r>
      <w:r>
        <w:rPr>
          <w:rFonts w:ascii="Times New Roman" w:hAnsi="Times New Roman"/>
          <w:color w:val="000000"/>
          <w:sz w:val="22"/>
        </w:rPr>
        <w:t>. At the time the Purchaser was offered the Shares, it was, and as of the Execution Date it is, it will be an “accredited investor” as defined in Rule 501(a)(1), (a)(2), (a)(3), (a)(7), (a)(8), (a)(9), (a)(12), or (a)(13) under the Securities Act.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Experience of the Purchaser</w:t>
      </w:r>
      <w:r>
        <w:rPr>
          <w:rFonts w:ascii="Times New Roman" w:hAnsi="Times New Roman"/>
          <w:color w:val="000000"/>
          <w:sz w:val="22"/>
        </w:rPr>
        <w:t>. The Purchaser has such knowledge, sophistication and experience in business and financial matters so as to be capable of evaluating the merits and risks of the prospective investment in the Shares, and has so evaluated the merits and risks of such investment. The Purchaser is able to bear the economic risk of an investment in the Shares and, at the present time, is able to afford a complete loss of such investment.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(e) </w:t>
      </w:r>
      <w:r>
        <w:rPr>
          <w:rFonts w:ascii="Times New Roman" w:hAnsi="Times New Roman"/>
          <w:color w:val="000000"/>
          <w:sz w:val="22"/>
          <w:u w:val="single"/>
        </w:rPr>
        <w:t>Access to Information</w:t>
      </w:r>
      <w:r>
        <w:rPr>
          <w:rFonts w:ascii="Times New Roman" w:hAnsi="Times New Roman"/>
          <w:color w:val="000000"/>
          <w:sz w:val="22"/>
        </w:rPr>
        <w:t xml:space="preserve">. The Purchaser acknowledges that it has had the opportunity to review this Agreement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(f) </w:t>
      </w:r>
      <w:r>
        <w:rPr>
          <w:rFonts w:ascii="Times New Roman" w:hAnsi="Times New Roman"/>
          <w:color w:val="000000"/>
          <w:sz w:val="22"/>
          <w:u w:val="single"/>
        </w:rPr>
        <w:t>Certain Transactions and Confidentiality</w:t>
      </w:r>
      <w:r>
        <w:rPr>
          <w:rFonts w:ascii="Times New Roman" w:hAnsi="Times New Roman"/>
          <w:color w:val="000000"/>
          <w:sz w:val="22"/>
        </w:rPr>
        <w:t xml:space="preserve">. Other than consummating the transactions contemplated hereunder, the Purchaser has not, nor has any Person acting on behalf of or pursuant to any understanding with the Purchaser, directly or indirectly executed any purchases or sales, including Short Sales, of the securities of the Company during the period commencing as of the time that the Purchaser first received (written or oral), from the Company or any other Person representing the Company, the material terms of the transactions contemplated hereunder and ending immediately prior to the execution hereof. Other than to other Persons party to this Agreement or to the Purchaser’s representatives, including, without limitation, its officers, directors, partners, legal and other advisors, employees, agents and Affiliates, the Purchaser has maintained the confidentiality of all disclosures made to it in connection with this transaction (including the existence and terms of this transaction).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(g) </w:t>
      </w:r>
      <w:r>
        <w:rPr>
          <w:rFonts w:ascii="Times New Roman" w:hAnsi="Times New Roman"/>
          <w:color w:val="000000"/>
          <w:sz w:val="22"/>
          <w:u w:val="single"/>
        </w:rPr>
        <w:t>Non-Public Information</w:t>
      </w:r>
      <w:r>
        <w:rPr>
          <w:rFonts w:ascii="Times New Roman" w:hAnsi="Times New Roman"/>
          <w:color w:val="000000"/>
          <w:sz w:val="22"/>
        </w:rPr>
        <w:t>. The Purchaser hereby represents that neither it, nor any other Person acting on its behalf has received or had access to information that constitutes, or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(h) </w:t>
      </w:r>
      <w:r>
        <w:rPr>
          <w:rFonts w:ascii="Times New Roman" w:hAnsi="Times New Roman"/>
          <w:color w:val="000000"/>
          <w:sz w:val="22"/>
          <w:u w:val="single"/>
        </w:rPr>
        <w:t>Investment Purpose; Investment Experience</w:t>
      </w:r>
      <w:r>
        <w:rPr>
          <w:rFonts w:ascii="Times New Roman" w:hAnsi="Times New Roman"/>
          <w:color w:val="000000"/>
          <w:sz w:val="22"/>
        </w:rPr>
        <w:t>. The Purchaser is purchasing the Shares for its own account and not with a present view toward the public distribution thereof and has no arrangement or understanding with any other Persons regarding the distribution of the Shares. The Purchaser will not, directly or indirectly, offer, sell, pledge, transfer or otherwise dispose of (or solicit any offers to buy, purchase or otherwise acquire or take a pledge of) any of the Shares except in accordance with the Securities Act and to the extent permitted by this Agreement. The Purchaser has conducted its own due diligence on the Company to its satisfaction and has such knowledge and experience in financial or business matters that it is capable of evaluating the merits and risks of the investment in the Shares to be purchased hereunder.</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(i) </w:t>
      </w:r>
      <w:r>
        <w:rPr>
          <w:rFonts w:ascii="Times New Roman" w:hAnsi="Times New Roman"/>
          <w:color w:val="000000"/>
          <w:sz w:val="22"/>
          <w:u w:val="single"/>
        </w:rPr>
        <w:t>Reliance on Exemptions</w:t>
      </w:r>
      <w:r>
        <w:rPr>
          <w:rFonts w:ascii="Times New Roman" w:hAnsi="Times New Roman"/>
          <w:color w:val="000000"/>
          <w:sz w:val="22"/>
        </w:rPr>
        <w:t>. The Purchaser has not taken any of the actions set forth in, and is not subject to, the disqualification provisions of Rule 506(d)(1) under the Securities Act and did not learn of the investment in the Shares as a result of any public offering, general solicitation or advertising. The Purchaser understands that the Company intends for the Shares to be offered and sold to it in reliance upon specific exemptions from the registration requirements of United States federal and state securities laws and that the Company is relying upon the truth and accuracy of, and the Purchaser’s compliance with, the representations, warranties, agreements, acknowledgments and understandings of the Purchaser set forth herein (including in this Section 3.2(i)) in order to determine the availability of such exemptions and the eligibility of the Purchaser to acquire the Shares.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(j) </w:t>
      </w:r>
      <w:r>
        <w:rPr>
          <w:rFonts w:ascii="Times New Roman" w:hAnsi="Times New Roman"/>
          <w:color w:val="000000"/>
          <w:sz w:val="22"/>
          <w:u w:val="single"/>
        </w:rPr>
        <w:t>Governmental Review</w:t>
      </w:r>
      <w:r>
        <w:rPr>
          <w:rFonts w:ascii="Times New Roman" w:hAnsi="Times New Roman"/>
          <w:color w:val="000000"/>
          <w:sz w:val="22"/>
        </w:rPr>
        <w:t>. The Purchaser understands that no United States federal or state agency or any other Governmental Authority has passed upon or made any recommendation or endorsement of the Shares or an investment therein.</w:t>
      </w:r>
    </w:p>
    <w:p>
      <w:pPr>
        <w:pStyle w:val="TextBody"/>
        <w:bidi w:val="0"/>
        <w:jc w:val="center"/>
        <w:rPr>
          <w:rFonts w:ascii="Times New Roman" w:hAnsi="Times New Roman"/>
          <w:b/>
          <w:color w:val="000000"/>
          <w:sz w:val="24"/>
        </w:rPr>
      </w:pPr>
      <w:r>
        <w:rPr>
          <w:rFonts w:ascii="Times New Roman" w:hAnsi="Times New Roman"/>
          <w:b/>
          <w:color w:val="000000"/>
          <w:sz w:val="24"/>
        </w:rPr>
        <w:t>ARTICLE IV.</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COVENANTS AND AGREEMENTS OF THE PARTIES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4.1 </w:t>
      </w:r>
      <w:r>
        <w:rPr>
          <w:rFonts w:ascii="Times New Roman" w:hAnsi="Times New Roman"/>
          <w:color w:val="000000"/>
          <w:sz w:val="22"/>
          <w:u w:val="single"/>
        </w:rPr>
        <w:t>Market Listing</w:t>
      </w:r>
      <w:r>
        <w:rPr>
          <w:rFonts w:ascii="Times New Roman" w:hAnsi="Times New Roman"/>
          <w:color w:val="000000"/>
          <w:sz w:val="22"/>
        </w:rPr>
        <w:t>. From the Execution Date through the Closing, the Company shall use commercially reasonable efforts to (a) maintain the listing and trading of the Common Stock on the NYSE and (b) effect the listing of the Shares on the NYSE.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4.2 </w:t>
      </w:r>
      <w:r>
        <w:rPr>
          <w:rFonts w:ascii="Times New Roman" w:hAnsi="Times New Roman"/>
          <w:color w:val="000000"/>
          <w:sz w:val="22"/>
          <w:u w:val="single"/>
        </w:rPr>
        <w:t>Reservation of Common Stock</w:t>
      </w:r>
      <w:r>
        <w:rPr>
          <w:rFonts w:ascii="Times New Roman" w:hAnsi="Times New Roman"/>
          <w:color w:val="000000"/>
          <w:sz w:val="22"/>
        </w:rPr>
        <w:t>. As of the Execution Date, the Company has reserved and the Company shall continue to reserve and keep available at all times, free of preemptive rights, a sufficient number of shares of Common Stock for the purpose of enabling the Company to issue Shares pursuant to this Agreement.</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4.3 </w:t>
      </w:r>
      <w:r>
        <w:rPr>
          <w:rFonts w:ascii="Times New Roman" w:hAnsi="Times New Roman"/>
          <w:color w:val="000000"/>
          <w:sz w:val="22"/>
          <w:u w:val="single"/>
        </w:rPr>
        <w:t>Transfer or Resale</w:t>
      </w:r>
      <w:r>
        <w:rPr>
          <w:rFonts w:ascii="Times New Roman" w:hAnsi="Times New Roman"/>
          <w:color w:val="000000"/>
          <w:sz w:val="22"/>
        </w:rPr>
        <w:t>. The Purchaser understands that:</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 xml:space="preserve">(a) the Shares have not been registered under the Securities Act or any applicable state securities laws and, consequently, the Purchaser may have to bear the risk of owning the Shares for an indefinite period of time because the Shares may not be transferred unless (i) the resale of the Shares is registered pursuant to an effective registration statement under the Securities Act; (ii) the Purchaser has delivered to the Company an opinion of counsel (in form,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sz w:val="22"/>
        </w:rPr>
      </w:pPr>
      <w:r>
        <w:rPr>
          <w:rFonts w:ascii="Times New Roman" w:hAnsi="Times New Roman"/>
          <w:color w:val="000000"/>
          <w:sz w:val="22"/>
        </w:rPr>
        <w:t>substance and scope customary for opinions of counsel in comparable transactions) to the effect that the Shares to be sold or transferred may be sold or transferred pursuant to an exemption from such registration; or (iii) the Shares are sold or transferred pursuant to Rule 144 (</w:t>
      </w:r>
      <w:r>
        <w:rPr>
          <w:rFonts w:ascii="Times New Roman" w:hAnsi="Times New Roman"/>
          <w:color w:val="000000"/>
          <w:sz w:val="22"/>
          <w:u w:val="single"/>
        </w:rPr>
        <w:t>provided</w:t>
      </w:r>
      <w:r>
        <w:rPr>
          <w:rFonts w:ascii="Times New Roman" w:hAnsi="Times New Roman"/>
          <w:color w:val="000000"/>
          <w:sz w:val="22"/>
        </w:rPr>
        <w:t>, that the Purchaser provides the Company with reasonable assurances (including in the form of seller and broker representation letters) that the Shares may be sold pursuant to such rule).</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(b) any sale of the Shares made in reliance on Rule 144 may be made only in accordance with the terms of Rule 144 and, if Rule 144 is not applicable, any resale of the Shares under circumstances in which the seller (or the Person through whom the sale is made) may be deemed to be an underwriter (as that term is defined in the Securities Act) may require compliance with some other exemption under the Securities Act.</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 xml:space="preserve">(c) For as long as the Purchaser or any of its Affiliates beneficially owns any Shares, to the extent it shall be required to do so under the Exchange Act, the Company shall use reasonable best efforts to timely file the reports required to be filed by it under the Exchange Act or the Securities Act (including reports under Sections 13 and 15(d) of the Exchange Act referred to in subparagraph (c)(1) of Rule 144), and shall use reasonable efforts to take such further necessary action as the Purchaser may reasonably request in connection with the removal of any restrictive legend on the Shares being sold, all to the extent required from time to time to enable the Purchaser to sell the Shares without registration under the Securities Act within the limitations of the exemption provided by Rule 144, subject in all cases to compliance with the Securities Act and other applicable laws and upon receipt of customary seller and broker representation letters as the Company and its counsel may reasonably request. </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4.4 </w:t>
      </w:r>
      <w:r>
        <w:rPr>
          <w:rFonts w:ascii="Times New Roman" w:hAnsi="Times New Roman"/>
          <w:color w:val="000000"/>
          <w:sz w:val="22"/>
          <w:u w:val="single"/>
        </w:rPr>
        <w:t>Legends</w:t>
      </w:r>
      <w:r>
        <w:rPr>
          <w:rFonts w:ascii="Times New Roman" w:hAnsi="Times New Roman"/>
          <w:color w:val="000000"/>
          <w:sz w:val="22"/>
        </w:rPr>
        <w:t>. The Purchaser understands that the Shares will bear restrictive legends in substantially the following form (and a stop-transfer order may be placed against transfer of the Shares):</w:t>
      </w:r>
    </w:p>
    <w:p>
      <w:pPr>
        <w:pStyle w:val="TextBody"/>
        <w:bidi w:val="0"/>
        <w:spacing w:before="0" w:after="240"/>
        <w:ind w:left="720" w:right="720" w:hanging="0"/>
        <w:jc w:val="both"/>
        <w:rPr>
          <w:rFonts w:ascii="Times New Roman" w:hAnsi="Times New Roman"/>
          <w:sz w:val="22"/>
        </w:rPr>
      </w:pPr>
      <w:r>
        <w:rPr>
          <w:rFonts w:ascii="Times New Roman" w:hAnsi="Times New Roman"/>
          <w:color w:val="000000"/>
          <w:sz w:val="22"/>
        </w:rPr>
        <w:t>THESE SECURITIES HAVE NOT BEEN REGISTERED UNDER THE SECURITIES ACT OF 1933, AS AMENDED (THE “</w:t>
      </w:r>
      <w:r>
        <w:rPr>
          <w:rFonts w:ascii="Times New Roman" w:hAnsi="Times New Roman"/>
          <w:color w:val="000000"/>
          <w:sz w:val="22"/>
          <w:u w:val="single"/>
        </w:rPr>
        <w:t>SECURITIES ACT</w:t>
      </w:r>
      <w:r>
        <w:rPr>
          <w:rFonts w:ascii="Times New Roman" w:hAnsi="Times New Roman"/>
          <w:color w:val="000000"/>
          <w:sz w:val="22"/>
        </w:rPr>
        <w:t>”), AND MAY NOT BE SOLD, OFFERED FOR SALE, PLEDGED OR HYPOTHECATED IN THE ABSENCE OF A REGISTRATION STATEMENT IN EFFECT WITH RESPECT TO THE SECURITIES UNDER THE SECURITIES ACT OR AN OPINION OF COUNSEL (WHICH COUNSEL SHALL BE REASONABLY SATISFACTORY TO MAGNACHIP SEMICONDUCTOR CORPORATION) THAT SUCH REGISTRATION IS NOT REQUIRED OR UNLESS SOLD PURSUANT TO RULE 144 OF THE SECURITIES ACT.</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If such Shares are transferred pursuant to Section 4.3 of this Agreement, or are to be sold pursuant to an effective registration statement covering the resale of such Shares (including pursuant to Section 4.6), the Purchaser may request that the Company remove, and if so requested, the Company shall agree to authorize and instruct (including by causing any required legal opinion to be provided) the removal of any legend from the Shares upon a sale or other Disposition, if permitted by applicable securities law, within three (3) Business Days of any such request;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each Party will be responsible for any fees it incurs in connection with such request and removal;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that such legends may only be removed in connection with a sale pursuant to Rule 144 or (y) a sale pursuant to an effective registration statement covering the resale of such Shares, subject to customary Purchaser and/or broker representations that the Shares have been sold pursuant to such registration statement.</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4.5 </w:t>
      </w:r>
      <w:r>
        <w:rPr>
          <w:rFonts w:ascii="Times New Roman" w:hAnsi="Times New Roman"/>
          <w:color w:val="000000"/>
          <w:sz w:val="22"/>
          <w:u w:val="single"/>
        </w:rPr>
        <w:t>Securities Law Disclosure; Publicity</w:t>
      </w:r>
      <w:r>
        <w:rPr>
          <w:rFonts w:ascii="Times New Roman" w:hAnsi="Times New Roman"/>
          <w:color w:val="000000"/>
          <w:sz w:val="22"/>
        </w:rPr>
        <w:t xml:space="preserve">. No public release, public disclosure or announcement concerning the transactions contemplated hereby shall be made by either Party without the consent of the other Party (which consent shall not be unreasonably withheld, conditioned or delayed);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provided, however, that no such consent shall be required for any disclosure that is required by applicable law or regulation, or by the rules or requirements of the Commission or the NYSE.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4.6 </w:t>
      </w:r>
      <w:r>
        <w:rPr>
          <w:rFonts w:ascii="Times New Roman" w:hAnsi="Times New Roman"/>
          <w:color w:val="000000"/>
          <w:sz w:val="22"/>
          <w:u w:val="single"/>
        </w:rPr>
        <w:t>Registration Rights</w:t>
      </w:r>
      <w:r>
        <w:rPr>
          <w:rFonts w:ascii="Times New Roman" w:hAnsi="Times New Roman"/>
          <w:color w:val="000000"/>
          <w:sz w:val="22"/>
        </w:rPr>
        <w: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(a) The Company shall prepare and file with the SEC, within thirty (30) days following the Closing Date, a registration statement on Form S-3 (or if Form S</w:t>
        <w:noBreakHyphen/>
        <w:t>3 is not available for purposes of registering the resale of the Shares, then on another appropriate form) covering the resale of the Shares by the Purchaser (the “</w:t>
      </w:r>
      <w:r>
        <w:rPr>
          <w:rFonts w:ascii="Times New Roman" w:hAnsi="Times New Roman"/>
          <w:color w:val="000000"/>
          <w:sz w:val="22"/>
          <w:u w:val="single"/>
        </w:rPr>
        <w:t>Registration Statement</w:t>
      </w:r>
      <w:r>
        <w:rPr>
          <w:rFonts w:ascii="Times New Roman" w:hAnsi="Times New Roman"/>
          <w:color w:val="000000"/>
          <w:sz w:val="22"/>
        </w:rPr>
        <w:t>”). The Company shall use commercially reasonable efforts to cause the Registration Statement to become effective within sixty (60) days following the Closing Date, provided, however, that if the Registration Statement is reviewed by the SEC, such period shall be extended to ninety (90) days following the Closing Date; provided, however, that in the event the Company is notified by the SEC that the Registration Statement will not be reviewed or is no longer subject to further review and comments, the Company shall request effectiveness of the Registration Statement no later than the fifth (5th) Business Day following the date on which the Company is so notified. The Company’s obligations to include the Shares in the Registration Statement are contingent on the Purchaser furnishing in writing to the Company such information regarding the Purchaser, the securities of the Company held by the Purchaser, the intended method of disposition of the Shares (which shall be limited to non-underwritten public offerings) and such other information as shall be reasonably requested by the Company to effect the registration of the Shares, and the Purchaser shall execute such documents in connection with such registration as the Company may reasonably request that are customary of a selling stockholder in similar situations. The Company shall use commercially reasonable efforts to keep the Registration Statement effective until the earlier of (i) the date on which all of the Shares have been sold pursuant to the Registration Statement and (ii) the date on which all of the Shares may be sold by the Purchaser without restriction pursuant to Rule 144 under the Securities Act.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(b) The Company may postpone the filing or effectiveness of the Registration Statement or suspend the use of a prospectus that is part of the Registration Statement for up to 45 consecutive days from the date of the Suspension Notice (as defined below), and no more than 90 days total in any twelve month period, and therefore suspend sales of the Shares thereunder (such period, the “</w:t>
      </w:r>
      <w:r>
        <w:rPr>
          <w:rFonts w:ascii="Times New Roman" w:hAnsi="Times New Roman"/>
          <w:color w:val="000000"/>
          <w:sz w:val="22"/>
          <w:u w:val="single"/>
        </w:rPr>
        <w:t>Suspension Period</w:t>
      </w:r>
      <w:r>
        <w:rPr>
          <w:rFonts w:ascii="Times New Roman" w:hAnsi="Times New Roman"/>
          <w:color w:val="000000"/>
          <w:sz w:val="22"/>
        </w:rPr>
        <w:t>”) by providing written notice to the Purchaser if (A) the Company’s Chief Executive Officer determines in his reasonable good faith judgment that the offer or sale of Shares would reasonably be expected to have a material adverse effect on any proposal or plan by the Company or any subsidiary to engage in any material acquisition of assets or stock or any material merger, consolidation, tender offer, recapitalization, reorganization, investment, joint venture or other transaction involving the Company or any of its subsidiaries, (B) the sale of Shares pursuant to the Registration Statement would require disclosure of material non-public information not otherwise required to be disclosed under applicable law, and (C) either (x) the Company has a bona fide business purpose for preserving the confidentiality of such transaction or (y) disclosure of such material non-public information would have a material adverse effect on the Company or the Company’s ability to consummate such transaction. In the case of an event that causes the Company to suspend the use of the Registration Statement as set forth in this paragraph (b) (a “</w:t>
      </w:r>
      <w:r>
        <w:rPr>
          <w:rFonts w:ascii="Times New Roman" w:hAnsi="Times New Roman"/>
          <w:color w:val="000000"/>
          <w:sz w:val="22"/>
          <w:u w:val="single"/>
        </w:rPr>
        <w:t>Suspension Event</w:t>
      </w:r>
      <w:r>
        <w:rPr>
          <w:rFonts w:ascii="Times New Roman" w:hAnsi="Times New Roman"/>
          <w:color w:val="000000"/>
          <w:sz w:val="22"/>
        </w:rPr>
        <w:t>”), the Company shall give notice to the Purchaser (a “</w:t>
      </w:r>
      <w:r>
        <w:rPr>
          <w:rFonts w:ascii="Times New Roman" w:hAnsi="Times New Roman"/>
          <w:color w:val="000000"/>
          <w:sz w:val="22"/>
          <w:u w:val="single"/>
        </w:rPr>
        <w:t>Suspension Notice</w:t>
      </w:r>
      <w:r>
        <w:rPr>
          <w:rFonts w:ascii="Times New Roman" w:hAnsi="Times New Roman"/>
          <w:color w:val="000000"/>
          <w:sz w:val="22"/>
        </w:rPr>
        <w:t xml:space="preserve">”) to suspend sales of the Shares and such notice shall state generally the basis for the notice and that such suspension shall continue only for so long as the Suspension Event or its effect is continuing. If the basis of such suspension is nondisclosure of material non-public information, the Company shall not be required to disclose the subject matter of such material non-public information to the Purchaser. The Purchaser shall not effect any sales of the Shares pursuant to such Registration Statement at any time after the Purchaser has received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sz w:val="22"/>
        </w:rPr>
      </w:pPr>
      <w:r>
        <w:rPr>
          <w:rFonts w:ascii="Times New Roman" w:hAnsi="Times New Roman"/>
          <w:color w:val="000000"/>
          <w:sz w:val="22"/>
        </w:rPr>
        <w:t>a Suspension Notice from the Company and prior to receipt of an End of Suspension Notice (as defined below). The Purchaser agrees to treat as confidential the receipt of the Suspension Notice and shall not disclose or use the information contained in such Suspension Notice without the prior written consent of the Company or until such time as the information contained therein is or becomes available to the public generally, other than as a result of disclosure by the Purchaser in breach of the terms of this Agreement. The Purchaser may recommence effecting sales of the Shares pursuant to the Registration Statement following further written notice to such effect (an “</w:t>
      </w:r>
      <w:r>
        <w:rPr>
          <w:rFonts w:ascii="Times New Roman" w:hAnsi="Times New Roman"/>
          <w:color w:val="000000"/>
          <w:sz w:val="22"/>
          <w:u w:val="single"/>
        </w:rPr>
        <w:t>End of Suspension Notice</w:t>
      </w:r>
      <w:r>
        <w:rPr>
          <w:rFonts w:ascii="Times New Roman" w:hAnsi="Times New Roman"/>
          <w:color w:val="000000"/>
          <w:sz w:val="22"/>
        </w:rPr>
        <w:t>”) from the Company, which End of Suspension Notice shall be given by the Company to the Purchaser promptly following the conclusion of any Suspension Event.</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(c) If: (i) the Registration Statement is not filed within thirty (30) days following the Closing Date or the Company subsequently withdraws the filing of the Registration Statement and does not re-file a Registration Statement within thirty (30) days following the Closing Date, (ii) the Company fails to file with the SEC a request for acceleration of the Registration Statement in accordance with Rule 461 promulgated by the SEC pursuant to the Securities Act, within five (5) Business Days of the date that the Company is notified (orally or in writing, whichever is earlier) by the SEC that such Registration Statement will not be “reviewed” or will not be subject to further review, (iii) prior to the effective date of the Registration Statement, the Company fails to file a pre-effective amendment and otherwise respond in writing to comments made by the SEC in respect of the Registration Statement within ten (10) calendar days after the receipt of comments by or notice from the SEC that such amendment is required in order for the Registration Statement to be declared effective, (iv) the Registration Statement is not declared effective by the SEC within 120 calendar days after the Closing Date, or (v) after the effective date of the Registration Statement, the Registration Statement ceases for any reason to remain continuously effective as to the Shares included in such Registration Statement, or the Purchaser is otherwise not permitted to utilize the prospectus therein to resell the Shares, for more than forty-five (45) consecutive calendar days or more than an aggregate of ninety (90) calendar days (which need not be consecutive calendar days) during any 12-month period (any such failure or breach being referred to as an “</w:t>
      </w:r>
      <w:r>
        <w:rPr>
          <w:rFonts w:ascii="Times New Roman" w:hAnsi="Times New Roman"/>
          <w:color w:val="000000"/>
          <w:sz w:val="22"/>
          <w:u w:val="single"/>
        </w:rPr>
        <w:t>Event</w:t>
      </w:r>
      <w:r>
        <w:rPr>
          <w:rFonts w:ascii="Times New Roman" w:hAnsi="Times New Roman"/>
          <w:color w:val="000000"/>
          <w:sz w:val="22"/>
        </w:rPr>
        <w:t>”, and for purposes of clause (i) the date on which such Event occurs, and for purpose of clause (ii) the date on which such five (5) Business Day period is exceeded, and for purpose of clause (iii) the date which such ten (10) calendar day period is exceeded, and for purpose of clause (iv) the date on which such 120 calendar day period is exceeded, and for purpose of clause (v) fifteen (15) calendar days after the date on which such forty-five (45) or ninety (90) calendar day period, as applicable, is exceeded being referred to as “</w:t>
      </w:r>
      <w:r>
        <w:rPr>
          <w:rFonts w:ascii="Times New Roman" w:hAnsi="Times New Roman"/>
          <w:color w:val="000000"/>
          <w:sz w:val="22"/>
          <w:u w:val="single"/>
        </w:rPr>
        <w:t>Event Date</w:t>
      </w:r>
      <w:r>
        <w:rPr>
          <w:rFonts w:ascii="Times New Roman" w:hAnsi="Times New Roman"/>
          <w:color w:val="000000"/>
          <w:sz w:val="22"/>
        </w:rPr>
        <w:t xml:space="preserve">”), then, in addition to any other rights the Purchaser may have hereunder or under applicable law, on each such Event Date and on each monthly anniversary of each such Event Date (if the applicable Event shall not have been cured by such date) until the applicable Event is cured, the Company shall pay to the Purchaser an amount in cash, as partial liquidated damages and not as a penalty, equal to the product of 1.0% multiplied by the aggregate Purchase Amount paid by the Purchaser pursuant to this Agreement. The Parties agree that the maximum aggregate liquidated damages payable to the Purchaser under this Agreement shall be 10% of the aggregate Purchase Amount paid by the Purchaser pursuant to this Agreement. If the Company fails to pay any partial liquidated damages pursuant to this Section in full within seven days after the date payable, the Company will pay interest thereon at a rate of 10% per annum (or such lesser maximum amount that is permitted to be paid by applicable law) to the Purchaser,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 Notwithstanding anything herein to the contrary, the Company will not be liable for any liquidated damages (A) set forth in this Section 4.6(c) unless the applicable Event was the result of acts or omissions of the Company within its reasonable control or (B) set forth in Section 4.6(c)(v) during such time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hanging="0"/>
        <w:jc w:val="left"/>
        <w:rPr>
          <w:rFonts w:ascii="Times New Roman" w:hAnsi="Times New Roman"/>
          <w:color w:val="000000"/>
          <w:sz w:val="22"/>
        </w:rPr>
      </w:pPr>
      <w:r>
        <w:rPr>
          <w:rFonts w:ascii="Times New Roman" w:hAnsi="Times New Roman"/>
          <w:color w:val="000000"/>
          <w:sz w:val="22"/>
        </w:rPr>
        <w:t xml:space="preserve">as the Company is actively negotiating a material transaction in good faith unless the applicable Event related thereto was the result of negligence or willful misconduct of the Company. </w:t>
      </w:r>
    </w:p>
    <w:p>
      <w:pPr>
        <w:pStyle w:val="TextBody"/>
        <w:bidi w:val="0"/>
        <w:jc w:val="center"/>
        <w:rPr>
          <w:rFonts w:ascii="Times New Roman" w:hAnsi="Times New Roman"/>
          <w:b/>
          <w:color w:val="000000"/>
          <w:sz w:val="24"/>
        </w:rPr>
      </w:pPr>
      <w:r>
        <w:rPr>
          <w:rFonts w:ascii="Times New Roman" w:hAnsi="Times New Roman"/>
          <w:b/>
          <w:color w:val="000000"/>
          <w:sz w:val="24"/>
        </w:rPr>
        <w:t>ARTICLE V.</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CONDITIONS TO CLOSING</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5.1 </w:t>
      </w:r>
      <w:r>
        <w:rPr>
          <w:rFonts w:ascii="Times New Roman" w:hAnsi="Times New Roman"/>
          <w:color w:val="000000"/>
          <w:sz w:val="22"/>
          <w:u w:val="single"/>
        </w:rPr>
        <w:t>Mutual Conditions to Closing</w:t>
      </w:r>
      <w:r>
        <w:rPr>
          <w:rFonts w:ascii="Times New Roman" w:hAnsi="Times New Roman"/>
          <w:color w:val="000000"/>
          <w:sz w:val="22"/>
        </w:rPr>
        <w:t>. The obligations of the Parties to consummate the Closing are subject to the satisfaction or waiver of the following conditions at or prior to the Closing:</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Absence of Litigation</w:t>
      </w:r>
      <w:r>
        <w:rPr>
          <w:rFonts w:ascii="Times New Roman" w:hAnsi="Times New Roman"/>
          <w:color w:val="000000"/>
          <w:sz w:val="22"/>
        </w:rPr>
        <w:t>. No Proceeding challenging this Agreement or the transactions contemplated hereby, or seeking to prohibit, alter, prevent or materially delay the Closing, will have been instituted or be pending before any Governmental Authority.</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No Governmental Prohibition</w:t>
      </w:r>
      <w:r>
        <w:rPr>
          <w:rFonts w:ascii="Times New Roman" w:hAnsi="Times New Roman"/>
          <w:color w:val="000000"/>
          <w:sz w:val="22"/>
        </w:rPr>
        <w:t>. The sale of the Shares by the Company and the purchase of the Shares by the Purchaser will not be prohibited by any applicable law or Governmental Authority.</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5.2 </w:t>
      </w:r>
      <w:r>
        <w:rPr>
          <w:rFonts w:ascii="Times New Roman" w:hAnsi="Times New Roman"/>
          <w:color w:val="000000"/>
          <w:sz w:val="22"/>
          <w:u w:val="single"/>
        </w:rPr>
        <w:t>Conditions to Obligations of the Company to Close</w:t>
      </w:r>
      <w:r>
        <w:rPr>
          <w:rFonts w:ascii="Times New Roman" w:hAnsi="Times New Roman"/>
          <w:color w:val="000000"/>
          <w:sz w:val="22"/>
        </w:rPr>
        <w:t>. The Company’s obligation to complete the purchase and sale of the Shares and deliver the Shares to the Purchaser at the Closing is subject to the satisfaction or waiver of the following conditions at or prior to the Closing:</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Receipt of Funds</w:t>
      </w:r>
      <w:r>
        <w:rPr>
          <w:rFonts w:ascii="Times New Roman" w:hAnsi="Times New Roman"/>
          <w:color w:val="000000"/>
          <w:sz w:val="22"/>
        </w:rPr>
        <w:t>. The Company will have received immediately available funds in the full amount of the Purchase Amount for the Shares purchased at the Closing.</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Representations and Warranties</w:t>
      </w:r>
      <w:r>
        <w:rPr>
          <w:rFonts w:ascii="Times New Roman" w:hAnsi="Times New Roman"/>
          <w:color w:val="000000"/>
          <w:sz w:val="22"/>
        </w:rPr>
        <w:t xml:space="preserve">. The representations and warranties made by the Purchaser in </w:t>
      </w:r>
      <w:r>
        <w:rPr>
          <w:rFonts w:ascii="Times New Roman" w:hAnsi="Times New Roman"/>
          <w:color w:val="000000"/>
          <w:sz w:val="22"/>
          <w:u w:val="single"/>
        </w:rPr>
        <w:t>Section 3.2</w:t>
      </w:r>
      <w:r>
        <w:rPr>
          <w:rFonts w:ascii="Times New Roman" w:hAnsi="Times New Roman"/>
          <w:color w:val="000000"/>
          <w:sz w:val="22"/>
        </w:rPr>
        <w:t xml:space="preserve">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Purchaser’s ability to perform its obligations hereunder or consummate the transactions contemplated hereby.</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Covenants</w:t>
      </w:r>
      <w:r>
        <w:rPr>
          <w:rFonts w:ascii="Times New Roman" w:hAnsi="Times New Roman"/>
          <w:color w:val="000000"/>
          <w:sz w:val="22"/>
        </w:rPr>
        <w:t>. All covenants and agreements contained in this Agreement to be performed or complied with by the Purchaser on or prior to the Closing Date shall have been performed or complied with in all material respects.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5.3 </w:t>
      </w:r>
      <w:r>
        <w:rPr>
          <w:rFonts w:ascii="Times New Roman" w:hAnsi="Times New Roman"/>
          <w:color w:val="000000"/>
          <w:sz w:val="22"/>
          <w:u w:val="single"/>
        </w:rPr>
        <w:t>Conditions to the Purchaser’s Obligations to Close</w:t>
      </w:r>
      <w:r>
        <w:rPr>
          <w:rFonts w:ascii="Times New Roman" w:hAnsi="Times New Roman"/>
          <w:color w:val="000000"/>
          <w:sz w:val="22"/>
        </w:rPr>
        <w:t>. The Purchaser’s obligation to complete the purchase and sale of the Shares at the Closing is subject to the satisfaction or waiver of the following conditions at or prior to the Closing:</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(a) </w:t>
      </w:r>
      <w:r>
        <w:rPr>
          <w:rFonts w:ascii="Times New Roman" w:hAnsi="Times New Roman"/>
          <w:color w:val="000000"/>
          <w:sz w:val="22"/>
          <w:u w:val="single"/>
        </w:rPr>
        <w:t>Representations and Warranties</w:t>
      </w:r>
      <w:r>
        <w:rPr>
          <w:rFonts w:ascii="Times New Roman" w:hAnsi="Times New Roman"/>
          <w:color w:val="000000"/>
          <w:sz w:val="22"/>
        </w:rPr>
        <w:t xml:space="preserve">. The representations and warranties made by the Company in </w:t>
      </w:r>
      <w:r>
        <w:rPr>
          <w:rFonts w:ascii="Times New Roman" w:hAnsi="Times New Roman"/>
          <w:color w:val="000000"/>
          <w:sz w:val="22"/>
          <w:u w:val="single"/>
        </w:rPr>
        <w:t>Section 3.1</w:t>
      </w:r>
      <w:r>
        <w:rPr>
          <w:rFonts w:ascii="Times New Roman" w:hAnsi="Times New Roman"/>
          <w:color w:val="000000"/>
          <w:sz w:val="22"/>
        </w:rPr>
        <w:t xml:space="preserve"> of this Agreement will be true and correct as of the Closing Date, except to the extent such representations and warranties are specifically made as of a particular date, in which case such representations and warranties will be true and correct as of such other date, except in each case where the failure of such representations and warranties to be so true and correct (without giving effect to any limitation as to “materiality” set forth therein) would not reasonably be expected to have a Material Adverse Effect on the Company’s ability to perform its obligations hereunder or consummate the transactions contemplated hereby.</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(b) </w:t>
      </w:r>
      <w:r>
        <w:rPr>
          <w:rFonts w:ascii="Times New Roman" w:hAnsi="Times New Roman"/>
          <w:color w:val="000000"/>
          <w:sz w:val="22"/>
          <w:u w:val="single"/>
        </w:rPr>
        <w:t>Covenants</w:t>
      </w:r>
      <w:r>
        <w:rPr>
          <w:rFonts w:ascii="Times New Roman" w:hAnsi="Times New Roman"/>
          <w:color w:val="000000"/>
          <w:sz w:val="22"/>
        </w:rPr>
        <w:t>. All covenants and agreements contained in this Agreement to be performed or complied with by the Company on or prior to the Closing Date shall have been performed or complied with in all material respects.</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(c) </w:t>
      </w:r>
      <w:r>
        <w:rPr>
          <w:rFonts w:ascii="Times New Roman" w:hAnsi="Times New Roman"/>
          <w:color w:val="000000"/>
          <w:sz w:val="22"/>
          <w:u w:val="single"/>
        </w:rPr>
        <w:t>NYSE Matters</w:t>
      </w:r>
      <w:r>
        <w:rPr>
          <w:rFonts w:ascii="Times New Roman" w:hAnsi="Times New Roman"/>
          <w:color w:val="000000"/>
          <w:sz w:val="22"/>
        </w:rPr>
        <w:t>.</w:t>
      </w:r>
    </w:p>
    <w:p>
      <w:pPr>
        <w:pStyle w:val="TextBody"/>
        <w:bidi w:val="0"/>
        <w:spacing w:before="0" w:after="240"/>
        <w:ind w:left="1440" w:right="0" w:firstLine="720"/>
        <w:jc w:val="left"/>
        <w:rPr>
          <w:rFonts w:ascii="Times New Roman" w:hAnsi="Times New Roman"/>
          <w:color w:val="000000"/>
          <w:sz w:val="22"/>
        </w:rPr>
      </w:pPr>
      <w:r>
        <w:rPr>
          <w:rFonts w:ascii="Times New Roman" w:hAnsi="Times New Roman"/>
          <w:color w:val="000000"/>
          <w:sz w:val="22"/>
        </w:rPr>
        <w:t>(i) Prior to the Closing, the Company shall have taken all actions that are reasonably necessary, including providing appropriate notice to the NYSE of the transactions contemplated by this Agreement, for the Shares purchased at the Closing to be listed on the NYSE and shall have complied with all listing, reporting, filing and other obligations under the rules of the NYSE and of the Commission with respect to the matters contemplated by this Agreement.</w:t>
      </w:r>
    </w:p>
    <w:p>
      <w:pPr>
        <w:pStyle w:val="TextBody"/>
        <w:bidi w:val="0"/>
        <w:spacing w:before="0" w:after="240"/>
        <w:ind w:left="1440" w:right="0" w:firstLine="720"/>
        <w:jc w:val="left"/>
        <w:rPr>
          <w:rFonts w:ascii="Times New Roman" w:hAnsi="Times New Roman"/>
          <w:color w:val="000000"/>
          <w:sz w:val="22"/>
        </w:rPr>
      </w:pPr>
      <w:r>
        <w:rPr>
          <w:rFonts w:ascii="Times New Roman" w:hAnsi="Times New Roman"/>
          <w:color w:val="000000"/>
          <w:sz w:val="22"/>
        </w:rPr>
        <w:t>(ii) The Common Stock shall not have been suspended, as of the Closing Date, by the Commission or the NYSE from trading on the NYSE nor shall any such suspension by the Commission or the NYSE have been threatened, as the Closing Date, in writing by the Commission or the NYSE.</w:t>
      </w:r>
    </w:p>
    <w:p>
      <w:pPr>
        <w:pStyle w:val="TextBody"/>
        <w:bidi w:val="0"/>
        <w:spacing w:before="0" w:after="240"/>
        <w:ind w:left="720" w:right="0" w:firstLine="720"/>
        <w:jc w:val="left"/>
        <w:rPr>
          <w:rFonts w:ascii="Times New Roman" w:hAnsi="Times New Roman"/>
          <w:sz w:val="22"/>
        </w:rPr>
      </w:pPr>
      <w:r>
        <w:rPr>
          <w:rFonts w:ascii="Times New Roman" w:hAnsi="Times New Roman"/>
          <w:color w:val="000000"/>
          <w:sz w:val="22"/>
        </w:rPr>
        <w:t xml:space="preserve">(d) </w:t>
      </w:r>
      <w:r>
        <w:rPr>
          <w:rFonts w:ascii="Times New Roman" w:hAnsi="Times New Roman"/>
          <w:color w:val="000000"/>
          <w:sz w:val="22"/>
          <w:u w:val="single"/>
        </w:rPr>
        <w:t>No Material Adverse Effect</w:t>
      </w:r>
      <w:r>
        <w:rPr>
          <w:rFonts w:ascii="Times New Roman" w:hAnsi="Times New Roman"/>
          <w:color w:val="000000"/>
          <w:sz w:val="22"/>
        </w:rPr>
        <w:t>. Since the Execution Date, there shall not have been any change, development, occurrence or event that has had or would reasonably be expected to have a Material Adverse Effect on the Company.</w:t>
      </w:r>
    </w:p>
    <w:p>
      <w:pPr>
        <w:pStyle w:val="TextBody"/>
        <w:bidi w:val="0"/>
        <w:spacing w:before="0" w:after="240"/>
        <w:jc w:val="center"/>
        <w:rPr>
          <w:rFonts w:ascii="Times New Roman" w:hAnsi="Times New Roman"/>
          <w:sz w:val="22"/>
        </w:rPr>
      </w:pPr>
      <w:r>
        <w:rPr>
          <w:rFonts w:ascii="Times New Roman" w:hAnsi="Times New Roman"/>
          <w:b/>
          <w:color w:val="000000"/>
          <w:sz w:val="24"/>
        </w:rPr>
        <w:t>ARTICLE VI.</w:t>
      </w:r>
      <w:r>
        <w:rPr>
          <w:rFonts w:ascii="Times New Roman" w:hAnsi="Times New Roman"/>
          <w:color w:val="000000"/>
          <w:sz w:val="22"/>
        </w:rPr>
        <w:br/>
        <w:t>MISCELLANEOUS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 </w:t>
      </w:r>
      <w:r>
        <w:rPr>
          <w:rFonts w:ascii="Times New Roman" w:hAnsi="Times New Roman"/>
          <w:color w:val="000000"/>
          <w:sz w:val="22"/>
          <w:u w:val="single"/>
        </w:rPr>
        <w:t>Termination</w:t>
      </w:r>
      <w:r>
        <w:rPr>
          <w:rFonts w:ascii="Times New Roman" w:hAnsi="Times New Roman"/>
          <w:color w:val="000000"/>
          <w:sz w:val="22"/>
        </w:rPr>
        <w:t>. This Agreement may be terminated prior to the Closing by:</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(a) the mutual written consent of the Parties;</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(b) the Company, upon written notice to the Purchaser, so long as the Company is not then in breach of its representations, warranties, covenants or agreements under this Agreement in a manner that would cause any of the conditions set forth in Section 5.3(a) or (b), as applicable, to fail to be satisfied by the Closing Date, (i) upon a breach of any covenant or agreement on the part of the Purchaser set forth in this Agreement or (ii) if any representation or warranty of the Purchaser shall have been or become untrue, in each case such that any of the conditions set forth in Section 5.2(b) or (c), as applicable, could not be satisfied by the Closing Date; or</w:t>
      </w:r>
    </w:p>
    <w:p>
      <w:pPr>
        <w:pStyle w:val="TextBody"/>
        <w:bidi w:val="0"/>
        <w:spacing w:before="0" w:after="240"/>
        <w:ind w:left="720" w:right="0" w:firstLine="720"/>
        <w:jc w:val="left"/>
        <w:rPr>
          <w:rFonts w:ascii="Times New Roman" w:hAnsi="Times New Roman"/>
          <w:color w:val="000000"/>
          <w:sz w:val="22"/>
        </w:rPr>
      </w:pPr>
      <w:r>
        <w:rPr>
          <w:rFonts w:ascii="Times New Roman" w:hAnsi="Times New Roman"/>
          <w:color w:val="000000"/>
          <w:sz w:val="22"/>
        </w:rPr>
        <w:t>(c) the Purchaser, upon written notice to the Company, so long as the Purchaser is not then in breach of its representations, warranties, covenants or agreements under this Agreement in a manner that would cause any of the conditions set forth in Section 5.2(b) or (c), as applicable, to fail to be satisfied by the Closing Date, (i) upon a breach of any covenant or agreement on the part of the Company set forth in this Agreement or (ii) if any representation or warranty of the Company shall have been or become untrue, in each case such that any of the conditions set forth in Section 5.3(a) or (b), as applicable, could not be satisfied by the Closing Date.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6.2 </w:t>
      </w:r>
      <w:r>
        <w:rPr>
          <w:rFonts w:ascii="Times New Roman" w:hAnsi="Times New Roman"/>
          <w:color w:val="000000"/>
          <w:sz w:val="22"/>
          <w:u w:val="single"/>
        </w:rPr>
        <w:t>Fees and Expenses</w:t>
      </w:r>
      <w:r>
        <w:rPr>
          <w:rFonts w:ascii="Times New Roman" w:hAnsi="Times New Roman"/>
          <w:color w:val="000000"/>
          <w:sz w:val="22"/>
        </w:rPr>
        <w:t xml:space="preserve">. Except as expressly set forth in this Agreement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limitation, any fees required for same-day processing of any instruction letter delivered by the Company), and stamp taxes and other duties levied in connection with the delivery of any Shares to the Purchaser, if any.</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6.3 </w:t>
      </w:r>
      <w:r>
        <w:rPr>
          <w:rFonts w:ascii="Times New Roman" w:hAnsi="Times New Roman"/>
          <w:color w:val="000000"/>
          <w:sz w:val="22"/>
          <w:u w:val="single"/>
        </w:rPr>
        <w:t>Entire Agreement</w:t>
      </w:r>
      <w:r>
        <w:rPr>
          <w:rFonts w:ascii="Times New Roman" w:hAnsi="Times New Roman"/>
          <w:color w:val="000000"/>
          <w:sz w:val="22"/>
        </w:rPr>
        <w:t>. This Agreement,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6.4 </w:t>
      </w:r>
      <w:r>
        <w:rPr>
          <w:rFonts w:ascii="Times New Roman" w:hAnsi="Times New Roman"/>
          <w:color w:val="000000"/>
          <w:sz w:val="22"/>
          <w:u w:val="single"/>
        </w:rPr>
        <w:t>Notices</w:t>
      </w:r>
      <w:r>
        <w:rPr>
          <w:rFonts w:ascii="Times New Roman" w:hAnsi="Times New Roman"/>
          <w:color w:val="000000"/>
          <w:sz w:val="22"/>
        </w:rPr>
        <w:t>. Any notice required or permitted to be given by this Agreement must be in writing, in English. Any and all notices or other communications or deliveries required or permitted to be provided hereunder must be in writing and will be deemed given and effective if (a) delivered by hand or by overnight courier with tracking capabilities; (b) mailed postage prepaid by first class, registered or certified mail; or (c) delivered by electronic mail, in each case, addressed as set forth on the signature pages attached hereto.</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6.5 </w:t>
      </w:r>
      <w:r>
        <w:rPr>
          <w:rFonts w:ascii="Times New Roman" w:hAnsi="Times New Roman"/>
          <w:color w:val="000000"/>
          <w:sz w:val="22"/>
          <w:u w:val="single"/>
        </w:rPr>
        <w:t>Amendments; Waivers</w:t>
      </w:r>
      <w:r>
        <w:rPr>
          <w:rFonts w:ascii="Times New Roman" w:hAnsi="Times New Roman"/>
          <w:color w:val="000000"/>
          <w:sz w:val="22"/>
        </w:rPr>
        <w:t xml:space="preserve">. No provision of this Agreement may be waived, modified, supplemented or amended except in a written instrument signed by the Company and the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6.6 </w:t>
      </w:r>
      <w:r>
        <w:rPr>
          <w:rFonts w:ascii="Times New Roman" w:hAnsi="Times New Roman"/>
          <w:color w:val="000000"/>
          <w:sz w:val="22"/>
          <w:u w:val="single"/>
        </w:rPr>
        <w:t>Headings</w:t>
      </w:r>
      <w:r>
        <w:rPr>
          <w:rFonts w:ascii="Times New Roman" w:hAnsi="Times New Roman"/>
          <w:color w:val="000000"/>
          <w:sz w:val="22"/>
        </w:rPr>
        <w:t>. The headings herein are for convenience only, do not constitute a part of this Agreement and shall not be deemed to limit or affect any of the provisions hereof.</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6.7 </w:t>
      </w:r>
      <w:r>
        <w:rPr>
          <w:rFonts w:ascii="Times New Roman" w:hAnsi="Times New Roman"/>
          <w:color w:val="000000"/>
          <w:sz w:val="22"/>
          <w:u w:val="single"/>
        </w:rPr>
        <w:t>Successors and Assigns</w:t>
      </w:r>
      <w:r>
        <w:rPr>
          <w:rFonts w:ascii="Times New Roman" w:hAnsi="Times New Roman"/>
          <w:color w:val="000000"/>
          <w:sz w:val="22"/>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Permitted Transferee to whom the Purchaser assigns or transfers any Shares in accordance with the terms of this Agreement, provided that such transferee agrees in writing to be bound, with respect to the transferred Shares, by the provisions of this Agreement that apply to the “Purchaser.”</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6.8 </w:t>
      </w:r>
      <w:r>
        <w:rPr>
          <w:rFonts w:ascii="Times New Roman" w:hAnsi="Times New Roman"/>
          <w:color w:val="000000"/>
          <w:sz w:val="22"/>
          <w:u w:val="single"/>
        </w:rPr>
        <w:t>No Third-Party Beneficiaries</w:t>
      </w:r>
      <w:r>
        <w:rPr>
          <w:rFonts w:ascii="Times New Roman" w:hAnsi="Times New Roman"/>
          <w:color w:val="000000"/>
          <w:sz w:val="22"/>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6.9 </w:t>
      </w:r>
      <w:r>
        <w:rPr>
          <w:rFonts w:ascii="Times New Roman" w:hAnsi="Times New Roman"/>
          <w:color w:val="000000"/>
          <w:sz w:val="22"/>
          <w:u w:val="single"/>
        </w:rPr>
        <w:t>Governing Law</w:t>
      </w:r>
      <w:r>
        <w:rPr>
          <w:rFonts w:ascii="Times New Roman" w:hAnsi="Times New Roman"/>
          <w:color w:val="000000"/>
          <w:sz w:val="22"/>
        </w:rPr>
        <w:t xml:space="preserve">. All questions concerning the construction, validity, enforcement and interpretation of this Agreement shall be governed by and construed and enforced in accordance with the internal laws of the State of Delaware, without regard to the principles of conflicts of law thereof. </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6.10 </w:t>
      </w:r>
      <w:r>
        <w:rPr>
          <w:rFonts w:ascii="Times New Roman" w:hAnsi="Times New Roman"/>
          <w:color w:val="000000"/>
          <w:sz w:val="22"/>
          <w:u w:val="single"/>
        </w:rPr>
        <w:t>Survival</w:t>
      </w:r>
      <w:r>
        <w:rPr>
          <w:rFonts w:ascii="Times New Roman" w:hAnsi="Times New Roman"/>
          <w:color w:val="000000"/>
          <w:sz w:val="22"/>
        </w:rPr>
        <w:t>. The representations and warranties contained herein shall survive the Closing and the delivery of the Shares at the Closing until the first anniversary following the Execution Date.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6.11 </w:t>
      </w:r>
      <w:r>
        <w:rPr>
          <w:rFonts w:ascii="Times New Roman" w:hAnsi="Times New Roman"/>
          <w:color w:val="000000"/>
          <w:sz w:val="22"/>
          <w:u w:val="single"/>
        </w:rPr>
        <w:t>Execution</w:t>
      </w:r>
      <w:r>
        <w:rPr>
          <w:rFonts w:ascii="Times New Roman" w:hAnsi="Times New Roman"/>
          <w:color w:val="000000"/>
          <w:sz w:val="22"/>
        </w:rPr>
        <w:t xml:space="preserve">.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executing (or on whose behalf such signature is executed) with the same force and effect as if such “.pdf” signature page were an original thereof.</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6.12 </w:t>
      </w:r>
      <w:r>
        <w:rPr>
          <w:rFonts w:ascii="Times New Roman" w:hAnsi="Times New Roman"/>
          <w:color w:val="000000"/>
          <w:sz w:val="22"/>
          <w:u w:val="single"/>
        </w:rPr>
        <w:t>Severability</w:t>
      </w:r>
      <w:r>
        <w:rPr>
          <w:rFonts w:ascii="Times New Roman" w:hAnsi="Times New Roman"/>
          <w:color w:val="000000"/>
          <w:sz w:val="22"/>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6.13 </w:t>
      </w:r>
      <w:r>
        <w:rPr>
          <w:rFonts w:ascii="Times New Roman" w:hAnsi="Times New Roman"/>
          <w:color w:val="000000"/>
          <w:sz w:val="22"/>
          <w:u w:val="single"/>
        </w:rPr>
        <w:t>Remedies</w:t>
      </w:r>
      <w:r>
        <w:rPr>
          <w:rFonts w:ascii="Times New Roman" w:hAnsi="Times New Roman"/>
          <w:color w:val="000000"/>
          <w:sz w:val="22"/>
        </w:rPr>
        <w:t>. In addition to being entitled to exercise all rights provided herein or granted by law, including recovery of damages, each of the Purchaser and the Company will be entitled to specific performance under this Agreement. The parties agree that monetary damages may not be adequate compensation for any loss incurred by reason of any breach of obligations contained in this Agreement and hereby agree to waive and not to assert in any action for specific performance of any such obligation the defense that a remedy at law would be adequate.</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6.14 </w:t>
      </w:r>
      <w:r>
        <w:rPr>
          <w:rFonts w:ascii="Times New Roman" w:hAnsi="Times New Roman"/>
          <w:color w:val="000000"/>
          <w:sz w:val="22"/>
          <w:u w:val="single"/>
        </w:rPr>
        <w:t>Construction</w:t>
      </w:r>
      <w:r>
        <w:rPr>
          <w:rFonts w:ascii="Times New Roman" w:hAnsi="Times New Roman"/>
          <w:color w:val="000000"/>
          <w:sz w:val="22"/>
        </w:rPr>
        <w:t>. The parties agree that each of them and/or their respective counsel have reviewed and had an opportunity to revise this Agreement and, therefore, the normal rule of construction to the effect that any ambiguities are to be resolved against the drafting party shall not be employed in the interpretation of this Agreement or any amendments thereto. In addition, each and every reference to share prices and shares of Common Stock in this Agreement shall be subject to adjustment for reverse and forward stock splits, stock dividends, stock combinations and other similar transactions of the Common Stock that occur after the Execution Date.</w:t>
      </w:r>
    </w:p>
    <w:p>
      <w:pPr>
        <w:pStyle w:val="TextBody"/>
        <w:bidi w:val="0"/>
        <w:spacing w:before="0" w:after="240"/>
        <w:ind w:left="0" w:right="0" w:firstLine="720"/>
        <w:jc w:val="left"/>
        <w:rPr>
          <w:rFonts w:ascii="Times New Roman" w:hAnsi="Times New Roman"/>
          <w:sz w:val="22"/>
        </w:rPr>
      </w:pPr>
      <w:bookmarkStart w:id="4" w:name="ole_link1"/>
      <w:bookmarkEnd w:id="4"/>
      <w:r>
        <w:rPr>
          <w:rFonts w:ascii="Times New Roman" w:hAnsi="Times New Roman"/>
          <w:color w:val="000000"/>
          <w:sz w:val="22"/>
        </w:rPr>
        <w:t xml:space="preserve">6.15 </w:t>
      </w:r>
      <w:r>
        <w:rPr>
          <w:rFonts w:ascii="Times New Roman" w:hAnsi="Times New Roman"/>
          <w:color w:val="000000"/>
          <w:sz w:val="22"/>
          <w:u w:val="single"/>
        </w:rPr>
        <w:t>Indemnification</w:t>
      </w:r>
      <w:r>
        <w:rPr>
          <w:rFonts w:ascii="Times New Roman" w:hAnsi="Times New Roman"/>
          <w:color w:val="000000"/>
          <w:sz w:val="22"/>
        </w:rPr>
        <w:t xml:space="preserve">. </w:t>
      </w:r>
      <w:bookmarkStart w:id="5" w:name="ole_link2"/>
      <w:bookmarkEnd w:id="5"/>
      <w:r>
        <w:rPr>
          <w:rFonts w:ascii="Times New Roman" w:hAnsi="Times New Roman"/>
          <w:color w:val="000000"/>
          <w:sz w:val="22"/>
        </w:rPr>
        <w:t>Subject to the provisions of this Section 6.15, the Company will indemnify and hold the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hAnsi="Times New Roman"/>
          <w:color w:val="000000"/>
          <w:sz w:val="22"/>
          <w:u w:val="single"/>
        </w:rPr>
        <w:t>Purchaser Party</w:t>
      </w:r>
      <w:r>
        <w:rPr>
          <w:rFonts w:ascii="Times New Roman" w:hAnsi="Times New Roman"/>
          <w:color w:val="000000"/>
          <w:sz w:val="22"/>
        </w:rPr>
        <w:t>”) harmless from any and all losses, liabilities, obligations, claims, contingencies, damages, costs and expenses, including all judgments, amounts paid in settlements, court costs and reasonable attorneys’ fees and costs of investigation (collectively, “</w:t>
      </w:r>
      <w:r>
        <w:rPr>
          <w:rFonts w:ascii="Times New Roman" w:hAnsi="Times New Roman"/>
          <w:color w:val="000000"/>
          <w:sz w:val="22"/>
          <w:u w:val="single"/>
        </w:rPr>
        <w:t>Losses</w:t>
      </w:r>
      <w:r>
        <w:rPr>
          <w:rFonts w:ascii="Times New Roman" w:hAnsi="Times New Roman"/>
          <w:color w:val="000000"/>
          <w:sz w:val="22"/>
        </w:rPr>
        <w:t xml:space="preserve">”) that any such Purchaser Party may suffer or incur as a result of or caused by: (a) any action instituted against the Purchaser Parties in any capacity, or any of them or their respective Affiliates, by any stockholder of the Company who is not an Affiliate of such Purchaser Party, with respect to any of the transactions contemplated by this Agreement (unless such action is solely based upon a material breach of such Purchaser Party’s representations, warranties or covenants under this Agreement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(b) (i) any untrue or alleged untrue statement of a material fact contained in such registration statement, any prospectus included therein or in any amendment or supplement thereto, or , (ii)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 or omission or alleged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sz w:val="22"/>
        </w:rPr>
      </w:pPr>
      <w:r>
        <w:rPr>
          <w:rFonts w:ascii="Times New Roman" w:hAnsi="Times New Roman"/>
          <w:color w:val="000000"/>
          <w:sz w:val="22"/>
        </w:rPr>
        <w:t xml:space="preserve">untrue statement or omission is based solely upon information regarding such Purchaser Party furnished in writing to the Company by such Purchaser Party expressly for use therein, or (iii) any violation or alleged violation by the Company of the Securities Act, the Exchange Act or any state securities law, or any rule or regulation thereunder in connection therewith relating to </w:t>
      </w:r>
      <w:r>
        <w:rPr>
          <w:rFonts w:ascii="Times New Roman" w:hAnsi="Times New Roman"/>
          <w:color w:val="000000"/>
          <w:sz w:val="22"/>
          <w:u w:val="single"/>
        </w:rPr>
        <w:t>the resale of the Shares by the Purchaser</w:t>
      </w:r>
      <w:r>
        <w:rPr>
          <w:rFonts w:ascii="Times New Roman" w:hAnsi="Times New Roman"/>
          <w:color w:val="000000"/>
          <w:sz w:val="22"/>
        </w:rPr>
        <w: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(whose approval shall not be unreasonably withheld, delayed or conditioned).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or any entry of judgment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The indemnification required by this Section 6.15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 Notwithstanding anything to the contrary herein, for purposes of the indemnification obligations of the Company set forth in Section 6.15(a) or Section 6.15(b)(iii), the Company shall not be required to indemnify the Purchaser Parties or make any periodic payments with respect to any Losses arising pursuant to Section 6.15(a) or Section 6.15(b)(iii) except to the extent that such Losses are finally judicially determined to be the result of the Company’s negligence, willful misconduct, or other acts or omissions within its reasonable control.</w:t>
      </w:r>
    </w:p>
    <w:p>
      <w:pPr>
        <w:pStyle w:val="TextBody"/>
        <w:bidi w:val="0"/>
        <w:spacing w:before="0" w:after="240"/>
        <w:ind w:left="0" w:right="0" w:firstLine="720"/>
        <w:jc w:val="left"/>
        <w:rPr>
          <w:rFonts w:ascii="Times New Roman" w:hAnsi="Times New Roman"/>
          <w:sz w:val="22"/>
        </w:rPr>
      </w:pPr>
      <w:r>
        <w:rPr>
          <w:rFonts w:ascii="Times New Roman" w:hAnsi="Times New Roman"/>
          <w:color w:val="000000"/>
          <w:sz w:val="22"/>
        </w:rPr>
        <w:t xml:space="preserve">6.16 </w:t>
      </w:r>
      <w:r>
        <w:rPr>
          <w:rFonts w:ascii="Times New Roman" w:hAnsi="Times New Roman"/>
          <w:b/>
          <w:color w:val="000000"/>
          <w:sz w:val="22"/>
          <w:u w:val="single"/>
        </w:rPr>
        <w:t>WAIVER OF JURY TRIAL</w:t>
      </w:r>
      <w:r>
        <w:rPr>
          <w:rFonts w:ascii="Times New Roman" w:hAnsi="Times New Roman"/>
          <w:color w:val="000000"/>
          <w:sz w:val="22"/>
        </w:rPr>
        <w:t xml:space="preserve">. </w:t>
      </w:r>
      <w:r>
        <w:rPr>
          <w:rFonts w:ascii="Times New Roman" w:hAnsi="Times New Roman"/>
          <w:b/>
          <w:color w:val="000000"/>
          <w:sz w:val="22"/>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r>
        <w:rPr>
          <w:rFonts w:ascii="Times New Roman" w:hAnsi="Times New Roman"/>
          <w:color w:val="000000"/>
          <w:sz w:val="22"/>
        </w:rPr>
        <w:t xml:space="preserve">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(Signature Page Follows)</w:t>
      </w:r>
    </w:p>
    <w:p>
      <w:pPr>
        <w:pStyle w:val="TextBody"/>
        <w:bidi w:val="0"/>
        <w:spacing w:before="0" w:after="24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ind w:left="0" w:right="0" w:firstLine="720"/>
        <w:jc w:val="both"/>
        <w:rPr>
          <w:rFonts w:ascii="Times New Roman" w:hAnsi="Times New Roman"/>
          <w:color w:val="000000"/>
          <w:sz w:val="22"/>
        </w:rPr>
      </w:pPr>
      <w:r>
        <w:rPr>
          <w:rFonts w:ascii="Times New Roman" w:hAnsi="Times New Roman"/>
          <w:color w:val="000000"/>
          <w:sz w:val="22"/>
        </w:rPr>
        <w:t>IN WITNESS WHEREOF, the parties hereto have caused this Share Purchase Agreement to be duly executed by their respective authorized signatories as of the date first indicated above.</w:t>
      </w:r>
    </w:p>
    <w:p>
      <w:pPr>
        <w:pStyle w:val="TextBody"/>
        <w:bidi w:val="0"/>
        <w:ind w:left="4320" w:right="0" w:hanging="0"/>
        <w:jc w:val="left"/>
        <w:rPr/>
      </w:pPr>
      <w:r>
        <w:rPr/>
        <w:t> </w:t>
      </w:r>
    </w:p>
    <w:p>
      <w:pPr>
        <w:pStyle w:val="TextBody"/>
        <w:bidi w:val="0"/>
        <w:ind w:left="4320" w:right="0" w:hanging="0"/>
        <w:jc w:val="left"/>
        <w:rPr>
          <w:rFonts w:ascii="Times New Roman" w:hAnsi="Times New Roman"/>
          <w:b/>
          <w:color w:val="000000"/>
          <w:sz w:val="22"/>
        </w:rPr>
      </w:pPr>
      <w:r>
        <w:rPr>
          <w:rFonts w:ascii="Times New Roman" w:hAnsi="Times New Roman"/>
          <w:b/>
          <w:color w:val="000000"/>
          <w:sz w:val="22"/>
        </w:rPr>
        <w:t>COMPANY:</w:t>
      </w:r>
    </w:p>
    <w:p>
      <w:pPr>
        <w:pStyle w:val="TextBody"/>
        <w:bidi w:val="0"/>
        <w:ind w:left="4320" w:right="0" w:hanging="0"/>
        <w:jc w:val="left"/>
        <w:rPr/>
      </w:pPr>
      <w:r>
        <w:rPr/>
        <w:t> </w:t>
      </w:r>
    </w:p>
    <w:p>
      <w:pPr>
        <w:pStyle w:val="TextBody"/>
        <w:bidi w:val="0"/>
        <w:ind w:left="4320" w:right="0" w:hanging="0"/>
        <w:jc w:val="left"/>
        <w:rPr>
          <w:rFonts w:ascii="Times New Roman" w:hAnsi="Times New Roman"/>
          <w:b/>
          <w:color w:val="000000"/>
          <w:sz w:val="22"/>
        </w:rPr>
      </w:pPr>
      <w:r>
        <w:rPr>
          <w:rFonts w:ascii="Times New Roman" w:hAnsi="Times New Roman"/>
          <w:b/>
          <w:color w:val="000000"/>
          <w:sz w:val="22"/>
        </w:rPr>
        <w:t>MAGNACHIP SEMICONDUCTOR CORPORATION</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Chae Lee</w:t>
      </w:r>
      <w:r>
        <w:rPr>
          <w:rFonts w:ascii="Times New Roman" w:hAnsi="Times New Roman"/>
          <w:color w:val="000000"/>
          <w:sz w:val="22"/>
        </w:rPr>
        <w:t>________________________</w:t>
      </w:r>
    </w:p>
    <w:p>
      <w:pPr>
        <w:pStyle w:val="TextBody"/>
        <w:bidi w:val="0"/>
        <w:ind w:left="4320" w:right="0" w:hanging="0"/>
        <w:jc w:val="left"/>
        <w:rPr>
          <w:rFonts w:ascii="Times New Roman" w:hAnsi="Times New Roman"/>
          <w:color w:val="000000"/>
          <w:sz w:val="22"/>
        </w:rPr>
      </w:pPr>
      <w:r>
        <w:rPr>
          <w:rFonts w:ascii="Times New Roman" w:hAnsi="Times New Roman"/>
          <w:color w:val="000000"/>
          <w:sz w:val="22"/>
        </w:rPr>
        <w:t>Name: Chae Lee</w:t>
      </w:r>
    </w:p>
    <w:p>
      <w:pPr>
        <w:pStyle w:val="TextBody"/>
        <w:bidi w:val="0"/>
        <w:ind w:left="4320" w:right="0" w:hanging="0"/>
        <w:jc w:val="left"/>
        <w:rPr>
          <w:rFonts w:ascii="Times New Roman" w:hAnsi="Times New Roman"/>
          <w:color w:val="000000"/>
          <w:sz w:val="22"/>
        </w:rPr>
      </w:pPr>
      <w:r>
        <w:rPr>
          <w:rFonts w:ascii="Times New Roman" w:hAnsi="Times New Roman"/>
          <w:color w:val="000000"/>
          <w:sz w:val="22"/>
        </w:rPr>
        <w:t>Title: Chief Executive Officer</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b/>
          <w:color w:val="000000"/>
          <w:sz w:val="22"/>
        </w:rPr>
      </w:pPr>
      <w:r>
        <w:rPr>
          <w:rFonts w:ascii="Times New Roman" w:hAnsi="Times New Roman"/>
          <w:b/>
          <w:color w:val="000000"/>
          <w:sz w:val="22"/>
        </w:rPr>
        <w:t>PURCHASER:</w:t>
      </w:r>
    </w:p>
    <w:p>
      <w:pPr>
        <w:pStyle w:val="TextBody"/>
        <w:bidi w:val="0"/>
        <w:ind w:left="4320" w:right="0" w:hanging="0"/>
        <w:jc w:val="left"/>
        <w:rPr/>
      </w:pPr>
      <w:r>
        <w:rPr/>
        <w:t> </w:t>
      </w:r>
    </w:p>
    <w:p>
      <w:pPr>
        <w:pStyle w:val="TextBody"/>
        <w:bidi w:val="0"/>
        <w:ind w:left="4320" w:right="0" w:hanging="0"/>
        <w:jc w:val="left"/>
        <w:rPr>
          <w:rFonts w:ascii="Times New Roman" w:hAnsi="Times New Roman"/>
          <w:b/>
          <w:color w:val="000000"/>
          <w:sz w:val="22"/>
        </w:rPr>
      </w:pPr>
      <w:r>
        <w:rPr>
          <w:rFonts w:ascii="Times New Roman" w:hAnsi="Times New Roman"/>
          <w:b/>
          <w:color w:val="000000"/>
          <w:sz w:val="22"/>
        </w:rPr>
        <w:t>NAVITAS SEMICONDUCTOR CORPORATION</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Chris Allexandre</w:t>
      </w:r>
      <w:r>
        <w:rPr>
          <w:rFonts w:ascii="Times New Roman" w:hAnsi="Times New Roman"/>
          <w:color w:val="000000"/>
          <w:sz w:val="22"/>
        </w:rPr>
        <w:t>___________________</w:t>
      </w:r>
    </w:p>
    <w:p>
      <w:pPr>
        <w:pStyle w:val="TextBody"/>
        <w:bidi w:val="0"/>
        <w:ind w:left="4320" w:right="0" w:hanging="0"/>
        <w:jc w:val="left"/>
        <w:rPr>
          <w:rFonts w:ascii="Times New Roman" w:hAnsi="Times New Roman"/>
          <w:color w:val="000000"/>
          <w:sz w:val="22"/>
        </w:rPr>
      </w:pPr>
      <w:r>
        <w:rPr>
          <w:rFonts w:ascii="Times New Roman" w:hAnsi="Times New Roman"/>
          <w:color w:val="000000"/>
          <w:sz w:val="22"/>
        </w:rPr>
        <w:t>Name: Chris Allexandre</w:t>
      </w:r>
    </w:p>
    <w:p>
      <w:pPr>
        <w:pStyle w:val="TextBody"/>
        <w:bidi w:val="0"/>
        <w:ind w:left="4320" w:right="0" w:hanging="0"/>
        <w:jc w:val="left"/>
        <w:rPr>
          <w:rFonts w:ascii="Times New Roman" w:hAnsi="Times New Roman"/>
          <w:color w:val="000000"/>
          <w:sz w:val="22"/>
        </w:rPr>
      </w:pPr>
      <w:r>
        <w:rPr>
          <w:rFonts w:ascii="Times New Roman" w:hAnsi="Times New Roman"/>
          <w:color w:val="000000"/>
          <w:sz w:val="22"/>
        </w:rPr>
        <w:t>Title: President and Chief Executive Officer</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ind w:left="4320" w:right="0" w:hanging="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Schedule I</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Schedule of Purchasers</w:t>
      </w:r>
    </w:p>
    <w:p>
      <w:pPr>
        <w:pStyle w:val="TextBody"/>
        <w:bidi w:val="0"/>
        <w:jc w:val="left"/>
        <w:rPr/>
      </w:pPr>
      <w:r>
        <w:rPr/>
        <w:t> </w:t>
      </w:r>
    </w:p>
    <w:p>
      <w:pPr>
        <w:pStyle w:val="TextBody"/>
        <w:bidi w:val="0"/>
        <w:jc w:val="left"/>
        <w:rPr/>
      </w:pPr>
      <w:r>
        <w:rPr/>
        <w:t> </w:t>
      </w:r>
    </w:p>
    <w:tbl>
      <w:tblPr>
        <w:tblW w:w="6438" w:type="dxa"/>
        <w:jc w:val="left"/>
        <w:tblInd w:w="0" w:type="dxa"/>
        <w:tblLayout w:type="fixed"/>
        <w:tblCellMar>
          <w:top w:w="28" w:type="dxa"/>
          <w:left w:w="28" w:type="dxa"/>
          <w:bottom w:w="28" w:type="dxa"/>
          <w:right w:w="28" w:type="dxa"/>
        </w:tblCellMar>
      </w:tblPr>
      <w:tblGrid>
        <w:gridCol w:w="3481"/>
        <w:gridCol w:w="1846"/>
        <w:gridCol w:w="1111"/>
      </w:tblGrid>
      <w:tr>
        <w:trPr/>
        <w:tc>
          <w:tcPr>
            <w:tcW w:w="348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348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Purchaser</w:t>
            </w:r>
          </w:p>
        </w:tc>
        <w:tc>
          <w:tcPr>
            <w:tcW w:w="184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Purchase Amount</w:t>
            </w:r>
          </w:p>
        </w:tc>
        <w:tc>
          <w:tcPr>
            <w:tcW w:w="111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Shares</w:t>
            </w:r>
          </w:p>
        </w:tc>
      </w:tr>
      <w:tr>
        <w:trPr/>
        <w:tc>
          <w:tcPr>
            <w:tcW w:w="348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Navitas Semiconductor Corporation</w:t>
            </w:r>
          </w:p>
        </w:tc>
        <w:tc>
          <w:tcPr>
            <w:tcW w:w="184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$5,000,000</w:t>
            </w:r>
          </w:p>
        </w:tc>
        <w:tc>
          <w:tcPr>
            <w:tcW w:w="111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1,461,988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216" w:right="720" w:hanging="0"/>
        <w:jc w:val="right"/>
        <w:rPr>
          <w:rFonts w:ascii="Times New Roman" w:hAnsi="Times New Roman"/>
          <w:b/>
          <w:color w:val="000000"/>
          <w:sz w:val="22"/>
        </w:rPr>
      </w:pPr>
      <w:bookmarkStart w:id="6" w:name="mx-ex99_1.htm"/>
      <w:bookmarkStart w:id="7" w:name="ksmxex99_1"/>
      <w:bookmarkEnd w:id="6"/>
      <w:bookmarkEnd w:id="7"/>
      <w:r>
        <w:rPr>
          <w:rFonts w:ascii="Times New Roman" w:hAnsi="Times New Roman"/>
          <w:b/>
          <w:color w:val="000000"/>
          <w:sz w:val="22"/>
        </w:rPr>
        <w:t>Exhibit 99.1</w:t>
      </w:r>
      <w:r>
        <w:br w:type="page"/>
      </w:r>
    </w:p>
    <w:p>
      <w:pPr>
        <w:pStyle w:val="TextBody"/>
        <w:bidi w:val="0"/>
        <w:jc w:val="left"/>
        <w:rPr/>
      </w:pPr>
      <w:r>
        <w:rPr/>
        <w:drawing>
          <wp:inline distT="0" distB="0" distL="0" distR="0">
            <wp:extent cx="2447925"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495300"/>
                    </a:xfrm>
                    <a:prstGeom prst="rect">
                      <a:avLst/>
                    </a:prstGeom>
                  </pic:spPr>
                </pic:pic>
              </a:graphicData>
            </a:graphic>
          </wp:inline>
        </w:drawing>
      </w:r>
    </w:p>
    <w:p>
      <w:pPr>
        <w:pStyle w:val="TextBody"/>
        <w:bidi w:val="0"/>
        <w:ind w:left="540" w:right="578" w:hanging="0"/>
        <w:jc w:val="center"/>
        <w:rPr/>
      </w:pPr>
      <w:r>
        <w:rPr/>
        <w:t> </w:t>
      </w:r>
    </w:p>
    <w:p>
      <w:pPr>
        <w:pStyle w:val="TextBody"/>
        <w:bidi w:val="0"/>
        <w:ind w:left="540" w:right="578" w:hanging="0"/>
        <w:jc w:val="center"/>
        <w:rPr>
          <w:rFonts w:ascii="Times New Roman" w:hAnsi="Times New Roman"/>
          <w:b/>
          <w:color w:val="000000"/>
          <w:sz w:val="24"/>
        </w:rPr>
      </w:pPr>
      <w:bookmarkStart w:id="8" w:name="ole_link46"/>
      <w:bookmarkEnd w:id="8"/>
      <w:r>
        <w:rPr>
          <w:rFonts w:ascii="Times New Roman" w:hAnsi="Times New Roman"/>
          <w:b/>
          <w:color w:val="000000"/>
          <w:sz w:val="24"/>
        </w:rPr>
        <w:t>Magnachip Announces Strategic Investment by Navitas Semiconductor</w:t>
      </w:r>
    </w:p>
    <w:p>
      <w:pPr>
        <w:pStyle w:val="TextBody"/>
        <w:bidi w:val="0"/>
        <w:ind w:left="540" w:right="578" w:hanging="0"/>
        <w:jc w:val="center"/>
        <w:rPr>
          <w:rFonts w:ascii="Times New Roman" w:hAnsi="Times New Roman"/>
          <w:sz w:val="20"/>
        </w:rPr>
      </w:pPr>
      <w:r>
        <w:rPr>
          <w:rFonts w:ascii="Times New Roman" w:hAnsi="Times New Roman"/>
          <w:i/>
          <w:color w:val="000000"/>
          <w:sz w:val="20"/>
        </w:rPr>
        <w:t>Investment deepens strategic partnership and supports development of differentiated next-generation power semiconductor solutions</w:t>
      </w:r>
      <w:r>
        <w:rPr>
          <w:rFonts w:ascii="Times New Roman" w:hAnsi="Times New Roman"/>
          <w:color w:val="000000"/>
          <w:sz w:val="20"/>
        </w:rPr>
        <w:t xml:space="preserve"> </w:t>
      </w:r>
    </w:p>
    <w:p>
      <w:pPr>
        <w:pStyle w:val="TextBody"/>
        <w:bidi w:val="0"/>
        <w:ind w:left="540" w:right="578" w:hanging="0"/>
        <w:jc w:val="both"/>
        <w:rPr/>
      </w:pPr>
      <w:r>
        <w:rPr/>
        <w:t> </w:t>
      </w:r>
    </w:p>
    <w:p>
      <w:pPr>
        <w:pStyle w:val="TextBody"/>
        <w:bidi w:val="0"/>
        <w:ind w:left="540" w:right="578" w:hanging="0"/>
        <w:jc w:val="left"/>
        <w:rPr>
          <w:rFonts w:ascii="Times New Roman" w:hAnsi="Times New Roman"/>
          <w:sz w:val="20"/>
        </w:rPr>
      </w:pPr>
      <w:r>
        <w:rPr>
          <w:rFonts w:ascii="Times New Roman" w:hAnsi="Times New Roman"/>
          <w:b/>
          <w:color w:val="000000"/>
          <w:sz w:val="20"/>
        </w:rPr>
        <w:t xml:space="preserve">SEOUL, South Korea – Sept. 21, 2026 – </w:t>
      </w:r>
      <w:r>
        <w:rPr>
          <w:rFonts w:ascii="Times New Roman" w:hAnsi="Times New Roman"/>
          <w:color w:val="000000"/>
          <w:sz w:val="20"/>
        </w:rPr>
        <w:t>Magnachip Semiconductor Corporation (NYSE: MX) (“Magnachip” or the “Company”), a designer and manufacturer of analog and mixed-signal power semiconductor platform solutions, today announced that Navitas Semiconductor Corporation (Nasdaq: NVTS) (“Navitas”) has agreed to make a $5 million strategic equity investment in Magnachip.</w:t>
        <w:br/>
        <w:t> </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Under the terms of a privately negotiated stock purchase agreement, Magnachip will issue and sell 1,461,988 shares of its common stock to Navitas at a purchase price of $3.42 per share, for aggregate proceeds of $5 million. The transaction is expected to close on or about September 24, 2026, subject to the satisfaction or waiver of customary closing conditions.</w:t>
        <w:br/>
        <w:t> </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The investment builds on the growing strategic partnership between Magnachip and Navitas following the announcement in July 2026 to accelerate the adoption of silicon carbide technologies in high-voltage and ultra-high-voltage power markets.</w:t>
        <w:br/>
        <w:t> </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Under that partnership, Magnachip is licensing Navitas’ GeneSiC Trench-Assisted Planar technology covering 1,200 V, 2,300 V, 3,300 V and higher-voltage applications. Magnachip is also gaining access to Navitas’ SiC supply chain and materials ecosystem, with plans to port, qualify and internalize the technology at Magnachip’s fabrication facility in South Korea. The partnership also creates opportunities for broader technology and product collaboration beyond the initial GeneSiC licensing agreement. The companies are initially targeting applications including energy and grid infrastructure, energy storage, industrial electrification, automotive and other high-power systems.</w:t>
        <w:br/>
        <w:t> </w:t>
      </w:r>
    </w:p>
    <w:p>
      <w:pPr>
        <w:pStyle w:val="TextBody"/>
        <w:bidi w:val="0"/>
        <w:ind w:left="540" w:right="578" w:hanging="0"/>
        <w:jc w:val="left"/>
        <w:rPr/>
      </w:pPr>
      <w:r>
        <w:rPr>
          <w:color w:val="000000"/>
        </w:rPr>
        <w:t>“</w:t>
      </w:r>
      <w:r>
        <w:rPr>
          <w:rFonts w:ascii="Times New Roman" w:hAnsi="Times New Roman"/>
          <w:color w:val="000000"/>
          <w:sz w:val="20"/>
        </w:rPr>
        <w:t>Navitas’ investment represents an important next step in our strategic partnership and demonstrates a shared commitment to the opportunities we are pursuing together,” said Chae Lee, Chief Executive Officer of Magnachip. “By combining Navitas’ proven GeneSiC technology and materials ecosystem with Magnachip’s power semiconductor expertise, manufacturing capabilities and customer relationships, we believe we can accelerate our entry into attractive high-voltage and ultra-high-voltage markets. More importantly, we believe the combination of Navitas’ SiC technology with Magnachip’s silicon power technologies and manufacturing capabilities creates opportunities to develop a new generation of differentiated power solutions that address emerging customer needs that we believe are not adequately served by products available today. We look forward to deepening our collaboration as we execute our long-term growth strategy.”</w:t>
        <w:br/>
        <w:t> </w:t>
      </w:r>
    </w:p>
    <w:p>
      <w:pPr>
        <w:pStyle w:val="TextBody"/>
        <w:bidi w:val="0"/>
        <w:ind w:left="540" w:right="578" w:hanging="0"/>
        <w:jc w:val="left"/>
        <w:rPr/>
      </w:pPr>
      <w:r>
        <w:rPr>
          <w:color w:val="000000"/>
        </w:rPr>
        <w:t>“</w:t>
      </w:r>
      <w:r>
        <w:rPr>
          <w:rFonts w:ascii="Times New Roman" w:hAnsi="Times New Roman"/>
          <w:color w:val="000000"/>
          <w:sz w:val="20"/>
        </w:rPr>
        <w:t>Magnachip is an important strategic partner for Navitas, and this investment reflects our confidence in the relationship and the value we believe the two companies can create together in the years ahead,” said Chris Allexandre, President and Chief Executive Officer of Navitas. “Our initial technology and licensing collaboration established a strong foundation. This investment further aligns our interests and reflects our shared belief that the combination of our complementary technologies can create new opportunities across high-voltage and ultra-high-voltage applications. We look forward to working closely with Magnachip to expand the adoption of advanced GeneSiC technologies and explore opportunities for broader technology and product collaboration.”</w:t>
        <w:br/>
        <w:t> </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Additional information concerning the transaction will be included in a Current Report on Form 8-K to be filed by Magnachip with the U.S. Securities and Exchange Commission.</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76375" cy="295275"/>
                    </a:xfrm>
                    <a:prstGeom prst="rect">
                      <a:avLst/>
                    </a:prstGeom>
                  </pic:spPr>
                </pic:pic>
              </a:graphicData>
            </a:graphic>
          </wp:inline>
        </w:drawing>
      </w:r>
    </w:p>
    <w:p>
      <w:pPr>
        <w:pStyle w:val="TextBody"/>
        <w:bidi w:val="0"/>
        <w:ind w:left="540" w:right="578" w:hanging="0"/>
        <w:jc w:val="left"/>
        <w:rPr/>
      </w:pPr>
      <w:r>
        <w:rPr/>
        <w:t> </w:t>
      </w:r>
    </w:p>
    <w:p>
      <w:pPr>
        <w:pStyle w:val="TextBody"/>
        <w:bidi w:val="0"/>
        <w:ind w:left="540" w:right="578" w:hanging="0"/>
        <w:jc w:val="left"/>
        <w:rPr>
          <w:rFonts w:ascii="Times New Roman" w:hAnsi="Times New Roman"/>
          <w:b/>
          <w:color w:val="000000"/>
          <w:sz w:val="20"/>
        </w:rPr>
      </w:pPr>
      <w:r>
        <w:rPr>
          <w:rFonts w:ascii="Times New Roman" w:hAnsi="Times New Roman"/>
          <w:b/>
          <w:color w:val="000000"/>
          <w:sz w:val="20"/>
        </w:rPr>
        <w:t>Safe Harbor for Forward-Looking Statements</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Information in this press release regarding Magnachip’s forecasts, business outlook, expectations and beliefs are forward-looking statements within the meaning of the Private Securities Litigation Reform Act of 1995 that involve risks and uncertainties. These statements include expectations regarding our financial performance and business outlook, including the expected closing of the investment, the anticipated benefits of Magnachip’s relationship with Navitas, the development, qualification and commercialization of silicon carbide technologies, Magnachip’s entry into high-voltage and ultra-high-voltage markets, and the companies’ ability to create value through the collaboration, and other future events. All forward-looking statements included in this release are based upon information available to Magnachip as of the date of this release. These statements are not guarantees of future performance and actual results could differ materially from our current expectations. Factors that could cause or contribute to such differences include, among others: changes in macroeconomic conditions, trade policies, geopolitical conditions and market conditions; manufacturing capacity constraints, supply chain disruptions and changes in customer demand; the impact of competitive products and pricing; our ability to establish, maintain and expand strategic relationships with customers and business partners, and to realize the anticipated benefits of those relationships; customer acceptance of our products and technologies; our ability to develop, introduce and ramp new products into volume production; changes in semiconductor industry supply and demand, including overcapacity and manufacturing utilization; financial stability in foreign markets and the impact of foreign exchange rates; unanticipated costs and expenses; changes in, or compliance with, applicable trade, export and other laws and regulations; public health issues; other business interruptions; and other risks described in Magnachip's filings with the SEC, including our Annual Report on Form 10-K filed on March 16, 2026,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pStyle w:val="TextBody"/>
        <w:bidi w:val="0"/>
        <w:ind w:left="540" w:right="578"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476375" cy="295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295275"/>
                    </a:xfrm>
                    <a:prstGeom prst="rect">
                      <a:avLst/>
                    </a:prstGeom>
                  </pic:spPr>
                </pic:pic>
              </a:graphicData>
            </a:graphic>
          </wp:inline>
        </w:drawing>
      </w:r>
    </w:p>
    <w:p>
      <w:pPr>
        <w:pStyle w:val="TextBody"/>
        <w:bidi w:val="0"/>
        <w:ind w:left="540" w:right="578" w:hanging="0"/>
        <w:jc w:val="left"/>
        <w:rPr>
          <w:rFonts w:ascii="Times New Roman" w:hAnsi="Times New Roman"/>
          <w:b/>
          <w:color w:val="000000"/>
          <w:sz w:val="20"/>
        </w:rPr>
      </w:pPr>
      <w:r>
        <w:rPr>
          <w:rFonts w:ascii="Times New Roman" w:hAnsi="Times New Roman"/>
          <w:b/>
          <w:color w:val="000000"/>
          <w:sz w:val="20"/>
        </w:rPr>
        <w:t>About Magnachip Semiconductor</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 xml:space="preserve">Magnachip is a designer and manufacturer of analog and mixed-signal power semiconductor platform solutions for various applications, including industrial, automotive, communication, consumer and computing. The Company provides a broad range of standard products to customers worldwide. Magnachip, with about 45 years of operating history, owns a substantial number of registered patents and pending applications, and has extensive engineering, design and manufacturing process expertise. For more information, please visit www.magnachip.com. </w:t>
      </w:r>
    </w:p>
    <w:p>
      <w:pPr>
        <w:pStyle w:val="TextBody"/>
        <w:bidi w:val="0"/>
        <w:ind w:left="540" w:right="578" w:hanging="0"/>
        <w:jc w:val="left"/>
        <w:rPr/>
      </w:pPr>
      <w:r>
        <w:rPr/>
        <w:t> </w:t>
      </w:r>
    </w:p>
    <w:p>
      <w:pPr>
        <w:pStyle w:val="TextBody"/>
        <w:bidi w:val="0"/>
        <w:ind w:left="540" w:right="578" w:hanging="0"/>
        <w:jc w:val="left"/>
        <w:rPr>
          <w:rFonts w:ascii="Times New Roman" w:hAnsi="Times New Roman"/>
          <w:b/>
          <w:color w:val="000000"/>
          <w:sz w:val="20"/>
        </w:rPr>
      </w:pPr>
      <w:r>
        <w:rPr>
          <w:rFonts w:ascii="Times New Roman" w:hAnsi="Times New Roman"/>
          <w:b/>
          <w:color w:val="000000"/>
          <w:sz w:val="20"/>
        </w:rPr>
        <w:t>About Navitas Semiconductor</w:t>
      </w:r>
    </w:p>
    <w:p>
      <w:pPr>
        <w:pStyle w:val="TextBody"/>
        <w:bidi w:val="0"/>
        <w:ind w:left="540" w:right="578" w:hanging="0"/>
        <w:jc w:val="both"/>
        <w:rPr>
          <w:rFonts w:ascii="Times New Roman" w:hAnsi="Times New Roman"/>
          <w:sz w:val="20"/>
        </w:rPr>
      </w:pPr>
      <w:r>
        <w:rPr>
          <w:rFonts w:ascii="Times New Roman" w:hAnsi="Times New Roman"/>
          <w:color w:val="000000"/>
          <w:sz w:val="20"/>
        </w:rPr>
        <w:t xml:space="preserve">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wide-bandgap technologies, GaNFast power ICs integrate GaN power, drive, control, sensing, and protection, delivering faster power delivery, higher system density, and greater efficiency. </w:t>
      </w:r>
      <w:r>
        <w:rPr>
          <w:rFonts w:ascii="Times New Roman" w:hAnsi="Times New Roman"/>
          <w:sz w:val="20"/>
        </w:rPr>
        <w:t>GeneSiC</w:t>
      </w:r>
      <w:r>
        <w:rPr>
          <w:rFonts w:ascii="Times New Roman" w:hAnsi="Times New Roman"/>
          <w:color w:val="000000"/>
          <w:sz w:val="20"/>
        </w:rPr>
        <w:t xml:space="preserve">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CarbonNeutral®-certified.</w:t>
      </w:r>
    </w:p>
    <w:p>
      <w:pPr>
        <w:pStyle w:val="TextBody"/>
        <w:bidi w:val="0"/>
        <w:ind w:left="540" w:right="578" w:hanging="0"/>
        <w:jc w:val="both"/>
        <w:rPr/>
      </w:pPr>
      <w:r>
        <w:rPr/>
        <w:t> </w:t>
      </w:r>
    </w:p>
    <w:p>
      <w:pPr>
        <w:pStyle w:val="TextBody"/>
        <w:bidi w:val="0"/>
        <w:ind w:left="540" w:right="578" w:hanging="0"/>
        <w:jc w:val="left"/>
        <w:rPr>
          <w:rFonts w:ascii="Times New Roman" w:hAnsi="Times New Roman"/>
          <w:b/>
          <w:color w:val="000000"/>
          <w:sz w:val="20"/>
        </w:rPr>
      </w:pPr>
      <w:r>
        <w:rPr>
          <w:rFonts w:ascii="Times New Roman" w:hAnsi="Times New Roman"/>
          <w:b/>
          <w:color w:val="000000"/>
          <w:sz w:val="20"/>
        </w:rPr>
        <w:t>Magnachip Investor Contact:</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Mike Bishop</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Bishop IR, LLC</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Tel. +1 (415) 891-9633</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mike@bishopir.com</w:t>
      </w:r>
    </w:p>
    <w:p>
      <w:pPr>
        <w:pStyle w:val="TextBody"/>
        <w:bidi w:val="0"/>
        <w:ind w:left="540" w:right="578" w:hanging="0"/>
        <w:jc w:val="left"/>
        <w:rPr/>
      </w:pPr>
      <w:r>
        <w:rPr/>
        <w:t> </w:t>
      </w:r>
    </w:p>
    <w:p>
      <w:pPr>
        <w:pStyle w:val="TextBody"/>
        <w:bidi w:val="0"/>
        <w:ind w:left="540" w:right="578" w:hanging="0"/>
        <w:jc w:val="left"/>
        <w:rPr>
          <w:rFonts w:ascii="Times New Roman" w:hAnsi="Times New Roman"/>
          <w:b/>
          <w:color w:val="000000"/>
          <w:sz w:val="20"/>
        </w:rPr>
      </w:pPr>
      <w:r>
        <w:rPr>
          <w:rFonts w:ascii="Times New Roman" w:hAnsi="Times New Roman"/>
          <w:b/>
          <w:color w:val="000000"/>
          <w:sz w:val="20"/>
        </w:rPr>
        <w:t>Magnachip Media Contact</w:t>
      </w:r>
    </w:p>
    <w:p>
      <w:pPr>
        <w:pStyle w:val="TextBody"/>
        <w:bidi w:val="0"/>
        <w:ind w:left="540" w:right="578" w:hanging="0"/>
        <w:jc w:val="left"/>
        <w:rPr>
          <w:rFonts w:ascii="Times New Roman" w:hAnsi="Times New Roman"/>
          <w:color w:val="000000"/>
          <w:sz w:val="20"/>
        </w:rPr>
      </w:pPr>
      <w:r>
        <w:rPr>
          <w:rFonts w:ascii="Times New Roman" w:hAnsi="Times New Roman"/>
          <w:color w:val="000000"/>
          <w:sz w:val="20"/>
        </w:rPr>
        <w:t>Kyeongah Cho</w:t>
        <w:br/>
        <w:t>pr@magnachip.com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13183</Words>
  <Characters>70902</Characters>
  <CharactersWithSpaces>84012</CharactersWithSpaces>
  <Paragraphs>392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