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7)*</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MagnaChip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55933J203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May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13d-1(b)</w:t>
      </w:r>
    </w:p>
    <w:p>
      <w:pPr>
        <w:spacing w:after="0" w:line="225" w:lineRule="exact"/>
        <w:rPr>
          <w:sz w:val="24"/>
          <w:szCs w:val="24"/>
          <w:color w:val="auto"/>
        </w:rPr>
      </w:pPr>
    </w:p>
    <w:p>
      <w:pPr>
        <w:jc w:val="both"/>
        <w:ind w:left="1300" w:right="8640" w:firstLine="4"/>
        <w:spacing w:after="0" w:line="563" w:lineRule="auto"/>
        <w:tabs>
          <w:tab w:leader="none" w:pos="15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[_] Rule 13d-1(d)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4"/>
          <w:szCs w:val="24"/>
          <w:color w:val="auto"/>
        </w:rPr>
      </w:pPr>
    </w:p>
    <w:p>
      <w:pPr>
        <w:jc w:val="both"/>
        <w:spacing w:after="0" w:line="260"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01"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CUSIP No.</w:t>
            </w:r>
          </w:p>
        </w:tc>
        <w:tc>
          <w:tcPr>
            <w:tcW w:w="1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55933J203</w:t>
            </w:r>
          </w:p>
        </w:tc>
      </w:tr>
    </w:tbl>
    <w:p>
      <w:pPr>
        <w:spacing w:after="0" w:line="202" w:lineRule="exact"/>
        <w:rPr>
          <w:sz w:val="20"/>
          <w:szCs w:val="20"/>
          <w:color w:val="auto"/>
        </w:rPr>
      </w:pPr>
    </w:p>
    <w:p>
      <w:pPr>
        <w:ind w:left="900" w:hanging="89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00" w:right="412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Brigade Capital Management, LP</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00" w:hanging="89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right="6040" w:hanging="895"/>
        <w:spacing w:after="0" w:line="52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387" w:lineRule="exact"/>
        <w:rPr>
          <w:sz w:val="20"/>
          <w:szCs w:val="20"/>
          <w:color w:val="auto"/>
        </w:rPr>
      </w:pPr>
    </w:p>
    <w:p>
      <w:pPr>
        <w:ind w:left="900" w:right="7860" w:hanging="895"/>
        <w:spacing w:after="0" w:line="500"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00" w:right="7580" w:hanging="895"/>
        <w:spacing w:after="0" w:line="500"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1,345,786</w:t>
      </w:r>
    </w:p>
    <w:p>
      <w:pPr>
        <w:spacing w:after="0" w:line="1" w:lineRule="exact"/>
        <w:rPr>
          <w:rFonts w:ascii="Arial" w:cs="Arial" w:eastAsia="Arial" w:hAnsi="Arial"/>
          <w:sz w:val="18"/>
          <w:szCs w:val="18"/>
          <w:color w:val="auto"/>
        </w:rPr>
      </w:pPr>
    </w:p>
    <w:p>
      <w:pPr>
        <w:ind w:left="900" w:right="7460" w:hanging="895"/>
        <w:spacing w:after="0" w:line="500"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00" w:right="7180" w:hanging="895"/>
        <w:spacing w:after="0" w:line="500"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1,345,786</w:t>
      </w:r>
    </w:p>
    <w:p>
      <w:pPr>
        <w:spacing w:after="0" w:line="1" w:lineRule="exact"/>
        <w:rPr>
          <w:rFonts w:ascii="Arial" w:cs="Arial" w:eastAsia="Arial" w:hAnsi="Arial"/>
          <w:sz w:val="18"/>
          <w:szCs w:val="18"/>
          <w:color w:val="auto"/>
        </w:rPr>
      </w:pPr>
    </w:p>
    <w:p>
      <w:pPr>
        <w:ind w:left="900" w:right="3160" w:hanging="895"/>
        <w:spacing w:after="0" w:line="500"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1,345,786</w:t>
      </w:r>
    </w:p>
    <w:p>
      <w:pPr>
        <w:spacing w:after="0" w:line="2" w:lineRule="exact"/>
        <w:rPr>
          <w:sz w:val="20"/>
          <w:szCs w:val="20"/>
          <w:color w:val="auto"/>
        </w:rPr>
      </w:pPr>
    </w:p>
    <w:p>
      <w:pPr>
        <w:spacing w:after="0"/>
        <w:tabs>
          <w:tab w:leader="none" w:pos="880" w:val="left"/>
          <w:tab w:leader="none" w:pos="101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7"/>
          <w:szCs w:val="17"/>
          <w:color w:val="auto"/>
        </w:rPr>
        <w:t>[_]</w:t>
      </w:r>
    </w:p>
    <w:p>
      <w:pPr>
        <w:spacing w:after="0" w:line="225" w:lineRule="exact"/>
        <w:rPr>
          <w:sz w:val="20"/>
          <w:szCs w:val="20"/>
          <w:color w:val="auto"/>
        </w:rPr>
      </w:pPr>
    </w:p>
    <w:p>
      <w:pPr>
        <w:ind w:left="900" w:right="4660" w:hanging="895"/>
        <w:spacing w:after="0" w:line="50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2.9%</w:t>
      </w:r>
    </w:p>
    <w:p>
      <w:pPr>
        <w:spacing w:after="0" w:line="1" w:lineRule="exact"/>
        <w:rPr>
          <w:rFonts w:ascii="Arial" w:cs="Arial" w:eastAsia="Arial" w:hAnsi="Arial"/>
          <w:sz w:val="18"/>
          <w:szCs w:val="18"/>
          <w:color w:val="auto"/>
        </w:rPr>
      </w:pPr>
    </w:p>
    <w:p>
      <w:pPr>
        <w:ind w:left="900" w:right="5380" w:hanging="895"/>
        <w:spacing w:after="0" w:line="52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620"/>
          </w:cols>
          <w:pgMar w:left="420" w:top="476" w:right="8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CUSIP No.</w:t>
            </w:r>
          </w:p>
        </w:tc>
        <w:tc>
          <w:tcPr>
            <w:tcW w:w="1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55933J203</w:t>
            </w:r>
          </w:p>
        </w:tc>
      </w:tr>
    </w:tbl>
    <w:p>
      <w:pPr>
        <w:spacing w:after="0" w:line="202" w:lineRule="exact"/>
        <w:rPr>
          <w:sz w:val="20"/>
          <w:szCs w:val="20"/>
          <w:color w:val="auto"/>
        </w:rPr>
      </w:pPr>
    </w:p>
    <w:p>
      <w:pPr>
        <w:ind w:left="900" w:hanging="89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00" w:right="412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Brigade Capital Management GP, LLC</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00" w:hanging="89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right="6040" w:hanging="895"/>
        <w:spacing w:after="0" w:line="52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387" w:lineRule="exact"/>
        <w:rPr>
          <w:sz w:val="20"/>
          <w:szCs w:val="20"/>
          <w:color w:val="auto"/>
        </w:rPr>
      </w:pPr>
    </w:p>
    <w:p>
      <w:pPr>
        <w:ind w:left="900" w:right="7860" w:hanging="895"/>
        <w:spacing w:after="0" w:line="500"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00" w:right="7580" w:hanging="895"/>
        <w:spacing w:after="0" w:line="500"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 1,345,786</w:t>
      </w:r>
    </w:p>
    <w:p>
      <w:pPr>
        <w:spacing w:after="0" w:line="1" w:lineRule="exact"/>
        <w:rPr>
          <w:rFonts w:ascii="Arial" w:cs="Arial" w:eastAsia="Arial" w:hAnsi="Arial"/>
          <w:sz w:val="18"/>
          <w:szCs w:val="18"/>
          <w:color w:val="auto"/>
        </w:rPr>
      </w:pPr>
    </w:p>
    <w:p>
      <w:pPr>
        <w:ind w:left="900" w:right="7460" w:hanging="895"/>
        <w:spacing w:after="0" w:line="500"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00" w:right="7180" w:hanging="895"/>
        <w:spacing w:after="0" w:line="500"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1,345,786</w:t>
      </w:r>
    </w:p>
    <w:p>
      <w:pPr>
        <w:spacing w:after="0" w:line="1" w:lineRule="exact"/>
        <w:rPr>
          <w:rFonts w:ascii="Arial" w:cs="Arial" w:eastAsia="Arial" w:hAnsi="Arial"/>
          <w:sz w:val="18"/>
          <w:szCs w:val="18"/>
          <w:color w:val="auto"/>
        </w:rPr>
      </w:pPr>
    </w:p>
    <w:p>
      <w:pPr>
        <w:ind w:left="900" w:right="3160" w:hanging="895"/>
        <w:spacing w:after="0" w:line="500"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1,345,786</w:t>
      </w:r>
    </w:p>
    <w:p>
      <w:pPr>
        <w:spacing w:after="0" w:line="2" w:lineRule="exact"/>
        <w:rPr>
          <w:sz w:val="20"/>
          <w:szCs w:val="20"/>
          <w:color w:val="auto"/>
        </w:rPr>
      </w:pPr>
    </w:p>
    <w:p>
      <w:pPr>
        <w:spacing w:after="0"/>
        <w:tabs>
          <w:tab w:leader="none" w:pos="880" w:val="left"/>
          <w:tab w:leader="none" w:pos="101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7"/>
          <w:szCs w:val="17"/>
          <w:color w:val="auto"/>
        </w:rPr>
        <w:t>[_]</w:t>
      </w:r>
    </w:p>
    <w:p>
      <w:pPr>
        <w:spacing w:after="0" w:line="225" w:lineRule="exact"/>
        <w:rPr>
          <w:sz w:val="20"/>
          <w:szCs w:val="20"/>
          <w:color w:val="auto"/>
        </w:rPr>
      </w:pPr>
    </w:p>
    <w:p>
      <w:pPr>
        <w:ind w:left="900" w:right="4660" w:hanging="895"/>
        <w:spacing w:after="0" w:line="500"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2.9%</w:t>
      </w:r>
    </w:p>
    <w:p>
      <w:pPr>
        <w:spacing w:after="0" w:line="1" w:lineRule="exact"/>
        <w:rPr>
          <w:rFonts w:ascii="Arial" w:cs="Arial" w:eastAsia="Arial" w:hAnsi="Arial"/>
          <w:sz w:val="18"/>
          <w:szCs w:val="18"/>
          <w:color w:val="auto"/>
        </w:rPr>
      </w:pPr>
    </w:p>
    <w:p>
      <w:pPr>
        <w:ind w:left="900" w:right="5380" w:hanging="895"/>
        <w:spacing w:after="0" w:line="52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620"/>
          </w:cols>
          <w:pgMar w:left="420" w:top="476" w:right="8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CUSIP No.</w:t>
            </w:r>
          </w:p>
        </w:tc>
        <w:tc>
          <w:tcPr>
            <w:tcW w:w="1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55933J203</w:t>
            </w:r>
          </w:p>
        </w:tc>
      </w:tr>
    </w:tbl>
    <w:p>
      <w:pPr>
        <w:spacing w:after="0" w:line="202" w:lineRule="exact"/>
        <w:rPr>
          <w:sz w:val="20"/>
          <w:szCs w:val="20"/>
          <w:color w:val="auto"/>
        </w:rPr>
      </w:pPr>
    </w:p>
    <w:p>
      <w:pPr>
        <w:ind w:left="900" w:hanging="89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00" w:right="412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Brigade Leveraged Capital Structures Fund Ltd.</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00" w:hanging="89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right="6040" w:hanging="895"/>
        <w:spacing w:after="0" w:line="52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387" w:lineRule="exact"/>
        <w:rPr>
          <w:sz w:val="20"/>
          <w:szCs w:val="20"/>
          <w:color w:val="auto"/>
        </w:rPr>
      </w:pPr>
    </w:p>
    <w:p>
      <w:pPr>
        <w:ind w:left="900" w:right="7860" w:hanging="895"/>
        <w:spacing w:after="0" w:line="500"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00" w:right="7580" w:hanging="895"/>
        <w:spacing w:after="0" w:line="500"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VOTING POWER 551,425</w:t>
      </w:r>
    </w:p>
    <w:p>
      <w:pPr>
        <w:spacing w:after="0" w:line="1" w:lineRule="exact"/>
        <w:rPr>
          <w:rFonts w:ascii="Arial" w:cs="Arial" w:eastAsia="Arial" w:hAnsi="Arial"/>
          <w:sz w:val="18"/>
          <w:szCs w:val="18"/>
          <w:color w:val="auto"/>
        </w:rPr>
      </w:pPr>
    </w:p>
    <w:p>
      <w:pPr>
        <w:ind w:left="900" w:right="7460" w:hanging="895"/>
        <w:spacing w:after="0" w:line="500"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00" w:right="7180" w:hanging="895"/>
        <w:spacing w:after="0" w:line="500"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DISPOSITIVE POWER 551,425</w:t>
      </w:r>
    </w:p>
    <w:p>
      <w:pPr>
        <w:spacing w:after="0" w:line="1" w:lineRule="exact"/>
        <w:rPr>
          <w:rFonts w:ascii="Arial" w:cs="Arial" w:eastAsia="Arial" w:hAnsi="Arial"/>
          <w:sz w:val="18"/>
          <w:szCs w:val="18"/>
          <w:color w:val="auto"/>
        </w:rPr>
      </w:pPr>
    </w:p>
    <w:p>
      <w:pPr>
        <w:ind w:left="900" w:right="3160" w:hanging="895"/>
        <w:spacing w:after="0" w:line="500"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551,425</w:t>
      </w:r>
    </w:p>
    <w:p>
      <w:pPr>
        <w:spacing w:after="0" w:line="2" w:lineRule="exact"/>
        <w:rPr>
          <w:sz w:val="20"/>
          <w:szCs w:val="20"/>
          <w:color w:val="auto"/>
        </w:rPr>
      </w:pPr>
    </w:p>
    <w:p>
      <w:pPr>
        <w:spacing w:after="0"/>
        <w:tabs>
          <w:tab w:leader="none" w:pos="880" w:val="left"/>
          <w:tab w:leader="none" w:pos="101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7"/>
          <w:szCs w:val="17"/>
          <w:color w:val="auto"/>
        </w:rPr>
        <w:t>[_]</w:t>
      </w:r>
    </w:p>
    <w:p>
      <w:pPr>
        <w:spacing w:after="0" w:line="225" w:lineRule="exact"/>
        <w:rPr>
          <w:sz w:val="20"/>
          <w:szCs w:val="20"/>
          <w:color w:val="auto"/>
        </w:rPr>
      </w:pPr>
    </w:p>
    <w:p>
      <w:pPr>
        <w:ind w:left="900" w:right="4660" w:hanging="895"/>
        <w:spacing w:after="0" w:line="500"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1.2%</w:t>
      </w:r>
    </w:p>
    <w:p>
      <w:pPr>
        <w:spacing w:after="0" w:line="1" w:lineRule="exact"/>
        <w:rPr>
          <w:rFonts w:ascii="Arial" w:cs="Arial" w:eastAsia="Arial" w:hAnsi="Arial"/>
          <w:sz w:val="18"/>
          <w:szCs w:val="18"/>
          <w:color w:val="auto"/>
        </w:rPr>
      </w:pPr>
    </w:p>
    <w:p>
      <w:pPr>
        <w:ind w:left="900" w:right="5380" w:hanging="895"/>
        <w:spacing w:after="0" w:line="52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620"/>
          </w:cols>
          <w:pgMar w:left="420" w:top="476" w:right="8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CUSIP No.</w:t>
            </w:r>
          </w:p>
        </w:tc>
        <w:tc>
          <w:tcPr>
            <w:tcW w:w="1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55933J203</w:t>
            </w:r>
          </w:p>
        </w:tc>
      </w:tr>
    </w:tbl>
    <w:p>
      <w:pPr>
        <w:spacing w:after="0" w:line="202" w:lineRule="exact"/>
        <w:rPr>
          <w:sz w:val="20"/>
          <w:szCs w:val="20"/>
          <w:color w:val="auto"/>
        </w:rPr>
      </w:pPr>
    </w:p>
    <w:p>
      <w:pPr>
        <w:ind w:left="900" w:hanging="89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00" w:right="412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Donald E. Morgan, III</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00" w:hanging="89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right="6040" w:hanging="895"/>
        <w:spacing w:after="0" w:line="52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 U.S.A.</w:t>
      </w:r>
    </w:p>
    <w:p>
      <w:pPr>
        <w:spacing w:after="0" w:line="387" w:lineRule="exact"/>
        <w:rPr>
          <w:sz w:val="20"/>
          <w:szCs w:val="20"/>
          <w:color w:val="auto"/>
        </w:rPr>
      </w:pPr>
    </w:p>
    <w:p>
      <w:pPr>
        <w:ind w:left="900" w:right="7860" w:hanging="895"/>
        <w:spacing w:after="0" w:line="500"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00" w:right="7580" w:hanging="895"/>
        <w:spacing w:after="0" w:line="500"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VOTING POWER 1,345,786</w:t>
      </w:r>
    </w:p>
    <w:p>
      <w:pPr>
        <w:spacing w:after="0" w:line="1" w:lineRule="exact"/>
        <w:rPr>
          <w:rFonts w:ascii="Arial" w:cs="Arial" w:eastAsia="Arial" w:hAnsi="Arial"/>
          <w:sz w:val="18"/>
          <w:szCs w:val="18"/>
          <w:color w:val="auto"/>
        </w:rPr>
      </w:pPr>
    </w:p>
    <w:p>
      <w:pPr>
        <w:ind w:left="900" w:right="7460" w:hanging="895"/>
        <w:spacing w:after="0" w:line="500"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00" w:right="7180" w:hanging="895"/>
        <w:spacing w:after="0" w:line="500"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DISPOSITIVE POWER 1,345,786</w:t>
      </w:r>
    </w:p>
    <w:p>
      <w:pPr>
        <w:spacing w:after="0" w:line="1" w:lineRule="exact"/>
        <w:rPr>
          <w:rFonts w:ascii="Arial" w:cs="Arial" w:eastAsia="Arial" w:hAnsi="Arial"/>
          <w:sz w:val="18"/>
          <w:szCs w:val="18"/>
          <w:color w:val="auto"/>
        </w:rPr>
      </w:pPr>
    </w:p>
    <w:p>
      <w:pPr>
        <w:ind w:left="900" w:right="3160" w:hanging="895"/>
        <w:spacing w:after="0" w:line="500"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1,345,786</w:t>
      </w:r>
    </w:p>
    <w:p>
      <w:pPr>
        <w:spacing w:after="0" w:line="2" w:lineRule="exact"/>
        <w:rPr>
          <w:sz w:val="20"/>
          <w:szCs w:val="20"/>
          <w:color w:val="auto"/>
        </w:rPr>
      </w:pPr>
    </w:p>
    <w:p>
      <w:pPr>
        <w:spacing w:after="0"/>
        <w:tabs>
          <w:tab w:leader="none" w:pos="880" w:val="left"/>
          <w:tab w:leader="none" w:pos="101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7"/>
          <w:szCs w:val="17"/>
          <w:color w:val="auto"/>
        </w:rPr>
        <w:t>[_]</w:t>
      </w:r>
    </w:p>
    <w:p>
      <w:pPr>
        <w:spacing w:after="0" w:line="225" w:lineRule="exact"/>
        <w:rPr>
          <w:sz w:val="20"/>
          <w:szCs w:val="20"/>
          <w:color w:val="auto"/>
        </w:rPr>
      </w:pPr>
    </w:p>
    <w:p>
      <w:pPr>
        <w:ind w:left="900" w:right="4660" w:hanging="895"/>
        <w:spacing w:after="0" w:line="500"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 2.9%</w:t>
      </w:r>
    </w:p>
    <w:p>
      <w:pPr>
        <w:spacing w:after="0" w:line="1" w:lineRule="exact"/>
        <w:rPr>
          <w:rFonts w:ascii="Arial" w:cs="Arial" w:eastAsia="Arial" w:hAnsi="Arial"/>
          <w:sz w:val="18"/>
          <w:szCs w:val="18"/>
          <w:color w:val="auto"/>
        </w:rPr>
      </w:pPr>
    </w:p>
    <w:p>
      <w:pPr>
        <w:ind w:left="900" w:right="5380" w:hanging="895"/>
        <w:spacing w:after="0" w:line="52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620"/>
          </w:cols>
          <w:pgMar w:left="420" w:top="476" w:right="859" w:bottom="1440" w:gutter="0" w:footer="0" w:header="0"/>
        </w:sectPr>
      </w:pPr>
    </w:p>
    <w:bookmarkStart w:id="5" w:name="page6"/>
    <w:bookmarkEnd w:id="5"/>
    <w:tbl>
      <w:tblPr>
        <w:tblLayout w:type="fixed"/>
        <w:tblInd w:w="10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CUSIP No.</w:t>
            </w:r>
          </w:p>
        </w:tc>
        <w:tc>
          <w:tcPr>
            <w:tcW w:w="220" w:type="dxa"/>
            <w:vAlign w:val="bottom"/>
          </w:tcPr>
          <w:p>
            <w:pPr>
              <w:spacing w:after="0"/>
              <w:rPr>
                <w:sz w:val="20"/>
                <w:szCs w:val="20"/>
                <w:color w:val="auto"/>
              </w:rPr>
            </w:pPr>
          </w:p>
        </w:tc>
        <w:tc>
          <w:tcPr>
            <w:tcW w:w="17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55933J203</w:t>
            </w:r>
          </w:p>
        </w:tc>
        <w:tc>
          <w:tcPr>
            <w:tcW w:w="8300" w:type="dxa"/>
            <w:vAlign w:val="bottom"/>
          </w:tcPr>
          <w:p>
            <w:pPr>
              <w:spacing w:after="0"/>
              <w:rPr>
                <w:sz w:val="20"/>
                <w:szCs w:val="20"/>
                <w:color w:val="auto"/>
              </w:rPr>
            </w:pP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9200" w:type="dxa"/>
            <w:vAlign w:val="bottom"/>
            <w:gridSpan w:val="2"/>
          </w:tcPr>
          <w:p>
            <w:pPr>
              <w:ind w:left="100"/>
              <w:spacing w:after="0"/>
              <w:rPr>
                <w:sz w:val="20"/>
                <w:szCs w:val="20"/>
                <w:color w:val="auto"/>
              </w:rPr>
            </w:pPr>
            <w:r>
              <w:rPr>
                <w:rFonts w:ascii="Arial" w:cs="Arial" w:eastAsia="Arial" w:hAnsi="Arial"/>
                <w:sz w:val="18"/>
                <w:szCs w:val="18"/>
                <w:color w:val="auto"/>
              </w:rPr>
              <w:t>Name of Issuer:</w:t>
            </w:r>
          </w:p>
        </w:tc>
      </w:tr>
      <w:tr>
        <w:trPr>
          <w:trHeight w:val="432"/>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MagnaChip Semiconductor Corporation</w:t>
            </w:r>
          </w:p>
        </w:tc>
      </w:tr>
      <w:tr>
        <w:trPr>
          <w:trHeight w:val="425"/>
        </w:trPr>
        <w:tc>
          <w:tcPr>
            <w:tcW w:w="92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(b).</w:t>
            </w:r>
          </w:p>
        </w:tc>
        <w:tc>
          <w:tcPr>
            <w:tcW w:w="9200" w:type="dxa"/>
            <w:vAlign w:val="bottom"/>
            <w:gridSpan w:val="2"/>
          </w:tcPr>
          <w:p>
            <w:pPr>
              <w:ind w:left="100"/>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0" w:type="dxa"/>
            <w:vAlign w:val="bottom"/>
            <w:gridSpan w:val="2"/>
          </w:tcPr>
          <w:p>
            <w:pPr>
              <w:ind w:left="100"/>
              <w:spacing w:after="0"/>
              <w:rPr>
                <w:sz w:val="20"/>
                <w:szCs w:val="20"/>
                <w:color w:val="auto"/>
              </w:rPr>
            </w:pPr>
            <w:r>
              <w:rPr>
                <w:rFonts w:ascii="Arial" w:cs="Arial" w:eastAsia="Arial" w:hAnsi="Arial"/>
                <w:sz w:val="18"/>
                <w:szCs w:val="18"/>
                <w:color w:val="auto"/>
              </w:rPr>
              <w:t>c/o MagnaChip Semiconductor S.A.</w:t>
            </w: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0" w:type="dxa"/>
            <w:vAlign w:val="bottom"/>
            <w:gridSpan w:val="2"/>
          </w:tcPr>
          <w:p>
            <w:pPr>
              <w:ind w:left="100"/>
              <w:spacing w:after="0"/>
              <w:rPr>
                <w:sz w:val="20"/>
                <w:szCs w:val="20"/>
                <w:color w:val="auto"/>
              </w:rPr>
            </w:pPr>
            <w:r>
              <w:rPr>
                <w:rFonts w:ascii="Arial" w:cs="Arial" w:eastAsia="Arial" w:hAnsi="Arial"/>
                <w:sz w:val="18"/>
                <w:szCs w:val="18"/>
                <w:color w:val="auto"/>
              </w:rPr>
              <w:t>1, Allée Scheffer, L-2520</w:t>
            </w:r>
          </w:p>
        </w:tc>
      </w:tr>
      <w:tr>
        <w:trPr>
          <w:trHeight w:val="230"/>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Luxembourg, Grand Duchy of Luxembourg</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(a) – (c)</w:t>
            </w:r>
          </w:p>
        </w:tc>
        <w:tc>
          <w:tcPr>
            <w:tcW w:w="9200" w:type="dxa"/>
            <w:vAlign w:val="bottom"/>
            <w:gridSpan w:val="2"/>
          </w:tcPr>
          <w:p>
            <w:pPr>
              <w:ind w:left="100"/>
              <w:spacing w:after="0"/>
              <w:rPr>
                <w:sz w:val="20"/>
                <w:szCs w:val="20"/>
                <w:color w:val="auto"/>
              </w:rPr>
            </w:pPr>
            <w:r>
              <w:rPr>
                <w:rFonts w:ascii="Arial" w:cs="Arial" w:eastAsia="Arial" w:hAnsi="Arial"/>
                <w:sz w:val="18"/>
                <w:szCs w:val="18"/>
                <w:color w:val="auto"/>
              </w:rPr>
              <w:t>Name, Principal Business Address, and Citizenship of Persons Filing:</w:t>
            </w:r>
          </w:p>
        </w:tc>
      </w:tr>
      <w:tr>
        <w:trPr>
          <w:trHeight w:val="418"/>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0" w:type="dxa"/>
            <w:vAlign w:val="bottom"/>
            <w:gridSpan w:val="2"/>
          </w:tcPr>
          <w:p>
            <w:pPr>
              <w:ind w:left="100"/>
              <w:spacing w:after="0"/>
              <w:rPr>
                <w:sz w:val="20"/>
                <w:szCs w:val="20"/>
                <w:color w:val="auto"/>
              </w:rPr>
            </w:pPr>
            <w:r>
              <w:rPr>
                <w:rFonts w:ascii="Arial" w:cs="Arial" w:eastAsia="Arial" w:hAnsi="Arial"/>
                <w:sz w:val="18"/>
                <w:szCs w:val="18"/>
                <w:color w:val="auto"/>
              </w:rPr>
              <w:t>Brigade Capital Management, LP – Delaware</w:t>
            </w: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0" w:type="dxa"/>
            <w:vAlign w:val="bottom"/>
            <w:gridSpan w:val="2"/>
          </w:tcPr>
          <w:p>
            <w:pPr>
              <w:ind w:left="100"/>
              <w:spacing w:after="0"/>
              <w:rPr>
                <w:sz w:val="20"/>
                <w:szCs w:val="20"/>
                <w:color w:val="auto"/>
              </w:rPr>
            </w:pPr>
            <w:r>
              <w:rPr>
                <w:rFonts w:ascii="Arial" w:cs="Arial" w:eastAsia="Arial" w:hAnsi="Arial"/>
                <w:sz w:val="18"/>
                <w:szCs w:val="18"/>
                <w:color w:val="auto"/>
              </w:rPr>
              <w:t>Brigade Capital Management GP, LLC – Delaware</w:t>
            </w: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0" w:type="dxa"/>
            <w:vAlign w:val="bottom"/>
            <w:gridSpan w:val="2"/>
          </w:tcPr>
          <w:p>
            <w:pPr>
              <w:ind w:left="100"/>
              <w:spacing w:after="0"/>
              <w:rPr>
                <w:sz w:val="20"/>
                <w:szCs w:val="20"/>
                <w:color w:val="auto"/>
              </w:rPr>
            </w:pPr>
            <w:r>
              <w:rPr>
                <w:rFonts w:ascii="Arial" w:cs="Arial" w:eastAsia="Arial" w:hAnsi="Arial"/>
                <w:sz w:val="18"/>
                <w:szCs w:val="18"/>
                <w:color w:val="auto"/>
              </w:rPr>
              <w:t>Brigade Leveraged Capital Structures Fund Ltd. – Cayman Islands</w:t>
            </w:r>
          </w:p>
        </w:tc>
      </w:tr>
      <w:tr>
        <w:trPr>
          <w:trHeight w:val="230"/>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Donald E. Morgan, III – U.S.A.</w:t>
            </w:r>
          </w:p>
        </w:tc>
      </w:tr>
      <w:tr>
        <w:trPr>
          <w:trHeight w:val="411"/>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0" w:type="dxa"/>
            <w:vAlign w:val="bottom"/>
            <w:gridSpan w:val="2"/>
          </w:tcPr>
          <w:p>
            <w:pPr>
              <w:ind w:left="100"/>
              <w:spacing w:after="0"/>
              <w:rPr>
                <w:sz w:val="20"/>
                <w:szCs w:val="20"/>
                <w:color w:val="auto"/>
              </w:rPr>
            </w:pPr>
            <w:r>
              <w:rPr>
                <w:rFonts w:ascii="Arial" w:cs="Arial" w:eastAsia="Arial" w:hAnsi="Arial"/>
                <w:sz w:val="18"/>
                <w:szCs w:val="18"/>
                <w:color w:val="auto"/>
              </w:rPr>
              <w:t>Brigade Capital Management, LP, Brigade Capital Management GP, LLC and Donald E. Morgan, III:</w:t>
            </w: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0" w:type="dxa"/>
            <w:vAlign w:val="bottom"/>
            <w:gridSpan w:val="2"/>
          </w:tcPr>
          <w:p>
            <w:pPr>
              <w:ind w:left="100"/>
              <w:spacing w:after="0"/>
              <w:rPr>
                <w:sz w:val="20"/>
                <w:szCs w:val="20"/>
                <w:color w:val="auto"/>
              </w:rPr>
            </w:pPr>
            <w:r>
              <w:rPr>
                <w:rFonts w:ascii="Arial" w:cs="Arial" w:eastAsia="Arial" w:hAnsi="Arial"/>
                <w:sz w:val="18"/>
                <w:szCs w:val="18"/>
                <w:color w:val="auto"/>
              </w:rPr>
              <w:t>399 Park Avenue, 16th Floor</w:t>
            </w: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0" w:type="dxa"/>
            <w:vAlign w:val="bottom"/>
            <w:gridSpan w:val="2"/>
          </w:tcPr>
          <w:p>
            <w:pPr>
              <w:ind w:left="100"/>
              <w:spacing w:after="0"/>
              <w:rPr>
                <w:sz w:val="20"/>
                <w:szCs w:val="20"/>
                <w:color w:val="auto"/>
              </w:rPr>
            </w:pPr>
            <w:r>
              <w:rPr>
                <w:rFonts w:ascii="Arial" w:cs="Arial" w:eastAsia="Arial" w:hAnsi="Arial"/>
                <w:sz w:val="18"/>
                <w:szCs w:val="18"/>
                <w:color w:val="auto"/>
              </w:rPr>
              <w:t>New York, New York 10022</w:t>
            </w:r>
          </w:p>
        </w:tc>
      </w:tr>
      <w:tr>
        <w:trPr>
          <w:trHeight w:val="230"/>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0" w:type="dxa"/>
            <w:vAlign w:val="bottom"/>
            <w:gridSpan w:val="2"/>
          </w:tcPr>
          <w:p>
            <w:pPr>
              <w:ind w:left="100"/>
              <w:spacing w:after="0"/>
              <w:rPr>
                <w:sz w:val="20"/>
                <w:szCs w:val="20"/>
                <w:color w:val="auto"/>
              </w:rPr>
            </w:pPr>
            <w:r>
              <w:rPr>
                <w:rFonts w:ascii="Arial" w:cs="Arial" w:eastAsia="Arial" w:hAnsi="Arial"/>
                <w:sz w:val="18"/>
                <w:szCs w:val="18"/>
                <w:color w:val="auto"/>
              </w:rPr>
              <w:t>United States of America</w:t>
            </w:r>
          </w:p>
        </w:tc>
      </w:tr>
      <w:tr>
        <w:trPr>
          <w:trHeight w:val="418"/>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0" w:type="dxa"/>
            <w:vAlign w:val="bottom"/>
            <w:gridSpan w:val="2"/>
          </w:tcPr>
          <w:p>
            <w:pPr>
              <w:ind w:left="100"/>
              <w:spacing w:after="0"/>
              <w:rPr>
                <w:sz w:val="20"/>
                <w:szCs w:val="20"/>
                <w:color w:val="auto"/>
              </w:rPr>
            </w:pPr>
            <w:r>
              <w:rPr>
                <w:rFonts w:ascii="Arial" w:cs="Arial" w:eastAsia="Arial" w:hAnsi="Arial"/>
                <w:sz w:val="18"/>
                <w:szCs w:val="18"/>
                <w:color w:val="auto"/>
              </w:rPr>
              <w:t>Brigade Leveraged Capital Structures Fund Ltd.:</w:t>
            </w: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0" w:type="dxa"/>
            <w:vAlign w:val="bottom"/>
            <w:gridSpan w:val="2"/>
          </w:tcPr>
          <w:p>
            <w:pPr>
              <w:ind w:left="100"/>
              <w:spacing w:after="0"/>
              <w:rPr>
                <w:sz w:val="20"/>
                <w:szCs w:val="20"/>
                <w:color w:val="auto"/>
              </w:rPr>
            </w:pPr>
            <w:r>
              <w:rPr>
                <w:rFonts w:ascii="Arial" w:cs="Arial" w:eastAsia="Arial" w:hAnsi="Arial"/>
                <w:sz w:val="18"/>
                <w:szCs w:val="18"/>
                <w:color w:val="auto"/>
              </w:rPr>
              <w:t>c/o Intertrust Corporate Services (Cayman) Limited</w:t>
            </w: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0" w:type="dxa"/>
            <w:vAlign w:val="bottom"/>
            <w:gridSpan w:val="2"/>
          </w:tcPr>
          <w:p>
            <w:pPr>
              <w:ind w:left="100"/>
              <w:spacing w:after="0"/>
              <w:rPr>
                <w:sz w:val="20"/>
                <w:szCs w:val="20"/>
                <w:color w:val="auto"/>
              </w:rPr>
            </w:pPr>
            <w:r>
              <w:rPr>
                <w:rFonts w:ascii="Arial" w:cs="Arial" w:eastAsia="Arial" w:hAnsi="Arial"/>
                <w:sz w:val="18"/>
                <w:szCs w:val="18"/>
                <w:color w:val="auto"/>
              </w:rPr>
              <w:t>190 Elgin Avenue</w:t>
            </w: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0" w:type="dxa"/>
            <w:vAlign w:val="bottom"/>
            <w:gridSpan w:val="2"/>
          </w:tcPr>
          <w:p>
            <w:pPr>
              <w:ind w:left="100"/>
              <w:spacing w:after="0"/>
              <w:rPr>
                <w:sz w:val="20"/>
                <w:szCs w:val="20"/>
                <w:color w:val="auto"/>
              </w:rPr>
            </w:pPr>
            <w:r>
              <w:rPr>
                <w:rFonts w:ascii="Arial" w:cs="Arial" w:eastAsia="Arial" w:hAnsi="Arial"/>
                <w:sz w:val="18"/>
                <w:szCs w:val="18"/>
                <w:color w:val="auto"/>
              </w:rPr>
              <w:t>George Town</w:t>
            </w: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0" w:type="dxa"/>
            <w:vAlign w:val="bottom"/>
            <w:gridSpan w:val="2"/>
          </w:tcPr>
          <w:p>
            <w:pPr>
              <w:ind w:left="100"/>
              <w:spacing w:after="0"/>
              <w:rPr>
                <w:sz w:val="20"/>
                <w:szCs w:val="20"/>
                <w:color w:val="auto"/>
              </w:rPr>
            </w:pPr>
            <w:r>
              <w:rPr>
                <w:rFonts w:ascii="Arial" w:cs="Arial" w:eastAsia="Arial" w:hAnsi="Arial"/>
                <w:sz w:val="18"/>
                <w:szCs w:val="18"/>
                <w:color w:val="auto"/>
              </w:rPr>
              <w:t>Grand Cayman KY1-9005</w:t>
            </w:r>
          </w:p>
        </w:tc>
      </w:tr>
      <w:tr>
        <w:trPr>
          <w:trHeight w:val="230"/>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Cayman Islands</w:t>
            </w:r>
          </w:p>
        </w:tc>
      </w:tr>
      <w:tr>
        <w:trPr>
          <w:trHeight w:val="425"/>
        </w:trPr>
        <w:tc>
          <w:tcPr>
            <w:tcW w:w="92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(d).</w:t>
            </w:r>
          </w:p>
        </w:tc>
        <w:tc>
          <w:tcPr>
            <w:tcW w:w="9200" w:type="dxa"/>
            <w:vAlign w:val="bottom"/>
            <w:gridSpan w:val="2"/>
          </w:tcPr>
          <w:p>
            <w:pPr>
              <w:ind w:left="10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Common Stock, par value $0.01 per share</w:t>
            </w:r>
          </w:p>
        </w:tc>
      </w:tr>
      <w:tr>
        <w:trPr>
          <w:trHeight w:val="426"/>
        </w:trPr>
        <w:tc>
          <w:tcPr>
            <w:tcW w:w="92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(e).</w:t>
            </w:r>
          </w:p>
        </w:tc>
        <w:tc>
          <w:tcPr>
            <w:tcW w:w="9200" w:type="dxa"/>
            <w:vAlign w:val="bottom"/>
            <w:gridSpan w:val="2"/>
          </w:tcPr>
          <w:p>
            <w:pPr>
              <w:ind w:left="100"/>
              <w:spacing w:after="0"/>
              <w:rPr>
                <w:sz w:val="20"/>
                <w:szCs w:val="20"/>
                <w:color w:val="auto"/>
              </w:rPr>
            </w:pPr>
            <w:r>
              <w:rPr>
                <w:rFonts w:ascii="Arial" w:cs="Arial" w:eastAsia="Arial" w:hAnsi="Arial"/>
                <w:sz w:val="18"/>
                <w:szCs w:val="18"/>
                <w:color w:val="auto"/>
              </w:rPr>
              <w:t>CUSIP Number:</w:t>
            </w:r>
          </w:p>
        </w:tc>
      </w:tr>
      <w:tr>
        <w:trPr>
          <w:trHeight w:val="432"/>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55933J203</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0" w:type="dxa"/>
            <w:vAlign w:val="bottom"/>
            <w:gridSpan w:val="2"/>
          </w:tcPr>
          <w:p>
            <w:pPr>
              <w:ind w:left="100"/>
              <w:spacing w:after="0"/>
              <w:rPr>
                <w:sz w:val="20"/>
                <w:szCs w:val="20"/>
                <w:color w:val="auto"/>
              </w:rPr>
            </w:pPr>
            <w:r>
              <w:rPr>
                <w:rFonts w:ascii="Arial" w:cs="Arial" w:eastAsia="Arial" w:hAnsi="Arial"/>
                <w:sz w:val="18"/>
                <w:szCs w:val="18"/>
                <w:color w:val="auto"/>
              </w:rPr>
              <w:t>If This Statement is filed pursuant to ss.240.13d-1(b) or 240.13d-2(b), or (c), check whether the person filing is a</w:t>
            </w:r>
          </w:p>
        </w:tc>
      </w:tr>
    </w:tbl>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Pr>
          <w:p>
            <w:pPr>
              <w:ind w:left="1120"/>
              <w:spacing w:after="0"/>
              <w:rPr>
                <w:sz w:val="20"/>
                <w:szCs w:val="20"/>
                <w:color w:val="auto"/>
              </w:rPr>
            </w:pPr>
            <w:r>
              <w:rPr>
                <w:rFonts w:ascii="Arial" w:cs="Arial" w:eastAsia="Arial" w:hAnsi="Arial"/>
                <w:sz w:val="18"/>
                <w:szCs w:val="18"/>
                <w:color w:val="auto"/>
              </w:rPr>
              <w:t>(a)</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[_]</w:t>
            </w:r>
          </w:p>
        </w:tc>
        <w:tc>
          <w:tcPr>
            <w:tcW w:w="9000" w:type="dxa"/>
            <w:vAlign w:val="bottom"/>
          </w:tcPr>
          <w:p>
            <w:pPr>
              <w:ind w:left="220"/>
              <w:spacing w:after="0"/>
              <w:rPr>
                <w:sz w:val="20"/>
                <w:szCs w:val="20"/>
                <w:color w:val="auto"/>
              </w:rPr>
            </w:pPr>
            <w:r>
              <w:rPr>
                <w:rFonts w:ascii="Arial" w:cs="Arial" w:eastAsia="Arial" w:hAnsi="Arial"/>
                <w:sz w:val="18"/>
                <w:szCs w:val="18"/>
                <w:color w:val="auto"/>
              </w:rPr>
              <w:t>Broker or dealer registered under Section 15 of the Exchange Act (15 U.S.C. 78c).</w:t>
            </w:r>
          </w:p>
        </w:tc>
      </w:tr>
      <w:tr>
        <w:trPr>
          <w:trHeight w:val="432"/>
        </w:trPr>
        <w:tc>
          <w:tcPr>
            <w:tcW w:w="1560" w:type="dxa"/>
            <w:vAlign w:val="bottom"/>
          </w:tcPr>
          <w:p>
            <w:pPr>
              <w:ind w:left="1120"/>
              <w:spacing w:after="0"/>
              <w:rPr>
                <w:sz w:val="20"/>
                <w:szCs w:val="20"/>
                <w:color w:val="auto"/>
              </w:rPr>
            </w:pPr>
            <w:r>
              <w:rPr>
                <w:rFonts w:ascii="Arial" w:cs="Arial" w:eastAsia="Arial" w:hAnsi="Arial"/>
                <w:sz w:val="18"/>
                <w:szCs w:val="18"/>
                <w:color w:val="auto"/>
              </w:rPr>
              <w:t>(b)</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[_]</w:t>
            </w:r>
          </w:p>
        </w:tc>
        <w:tc>
          <w:tcPr>
            <w:tcW w:w="9000" w:type="dxa"/>
            <w:vAlign w:val="bottom"/>
          </w:tcPr>
          <w:p>
            <w:pPr>
              <w:ind w:left="220"/>
              <w:spacing w:after="0"/>
              <w:rPr>
                <w:sz w:val="20"/>
                <w:szCs w:val="20"/>
                <w:color w:val="auto"/>
              </w:rPr>
            </w:pPr>
            <w:r>
              <w:rPr>
                <w:rFonts w:ascii="Arial" w:cs="Arial" w:eastAsia="Arial" w:hAnsi="Arial"/>
                <w:sz w:val="18"/>
                <w:szCs w:val="18"/>
                <w:color w:val="auto"/>
              </w:rPr>
              <w:t>Bank as defined in Section 3(a)(6) of the Exchange Act (15 U.S.C. 78c).</w:t>
            </w:r>
          </w:p>
        </w:tc>
      </w:tr>
      <w:tr>
        <w:trPr>
          <w:trHeight w:val="432"/>
        </w:trPr>
        <w:tc>
          <w:tcPr>
            <w:tcW w:w="1560" w:type="dxa"/>
            <w:vAlign w:val="bottom"/>
          </w:tcPr>
          <w:p>
            <w:pPr>
              <w:ind w:left="1120"/>
              <w:spacing w:after="0"/>
              <w:rPr>
                <w:sz w:val="20"/>
                <w:szCs w:val="20"/>
                <w:color w:val="auto"/>
              </w:rPr>
            </w:pPr>
            <w:r>
              <w:rPr>
                <w:rFonts w:ascii="Arial" w:cs="Arial" w:eastAsia="Arial" w:hAnsi="Arial"/>
                <w:sz w:val="18"/>
                <w:szCs w:val="18"/>
                <w:color w:val="auto"/>
              </w:rPr>
              <w:t>(c)</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[_]</w:t>
            </w:r>
          </w:p>
        </w:tc>
        <w:tc>
          <w:tcPr>
            <w:tcW w:w="9000" w:type="dxa"/>
            <w:vAlign w:val="bottom"/>
          </w:tcPr>
          <w:p>
            <w:pPr>
              <w:ind w:left="220"/>
              <w:spacing w:after="0"/>
              <w:rPr>
                <w:sz w:val="20"/>
                <w:szCs w:val="20"/>
                <w:color w:val="auto"/>
              </w:rPr>
            </w:pPr>
            <w:r>
              <w:rPr>
                <w:rFonts w:ascii="Arial" w:cs="Arial" w:eastAsia="Arial" w:hAnsi="Arial"/>
                <w:sz w:val="18"/>
                <w:szCs w:val="18"/>
                <w:color w:val="auto"/>
              </w:rPr>
              <w:t>Insurance company as defined in Section 3(a)(19) of the Exchange Act (15 U.S.C. 78c).</w:t>
            </w:r>
          </w:p>
        </w:tc>
      </w:tr>
      <w:tr>
        <w:trPr>
          <w:trHeight w:val="432"/>
        </w:trPr>
        <w:tc>
          <w:tcPr>
            <w:tcW w:w="1560" w:type="dxa"/>
            <w:vAlign w:val="bottom"/>
          </w:tcPr>
          <w:p>
            <w:pPr>
              <w:ind w:left="1120"/>
              <w:spacing w:after="0"/>
              <w:rPr>
                <w:sz w:val="20"/>
                <w:szCs w:val="20"/>
                <w:color w:val="auto"/>
              </w:rPr>
            </w:pPr>
            <w:r>
              <w:rPr>
                <w:rFonts w:ascii="Arial" w:cs="Arial" w:eastAsia="Arial" w:hAnsi="Arial"/>
                <w:sz w:val="18"/>
                <w:szCs w:val="18"/>
                <w:color w:val="auto"/>
              </w:rPr>
              <w:t>(d)</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[_]</w:t>
            </w:r>
          </w:p>
        </w:tc>
        <w:tc>
          <w:tcPr>
            <w:tcW w:w="9000" w:type="dxa"/>
            <w:vAlign w:val="bottom"/>
          </w:tcPr>
          <w:p>
            <w:pPr>
              <w:ind w:left="220"/>
              <w:spacing w:after="0"/>
              <w:rPr>
                <w:sz w:val="20"/>
                <w:szCs w:val="20"/>
                <w:color w:val="auto"/>
              </w:rPr>
            </w:pPr>
            <w:r>
              <w:rPr>
                <w:rFonts w:ascii="Arial" w:cs="Arial" w:eastAsia="Arial" w:hAnsi="Arial"/>
                <w:sz w:val="18"/>
                <w:szCs w:val="18"/>
                <w:color w:val="auto"/>
              </w:rPr>
              <w:t>Investment company registered under Section 8 of the Investment Company Act of 1940 (15 U.S.C. 80a-8).</w:t>
            </w:r>
          </w:p>
        </w:tc>
      </w:tr>
      <w:tr>
        <w:trPr>
          <w:trHeight w:val="432"/>
        </w:trPr>
        <w:tc>
          <w:tcPr>
            <w:tcW w:w="1560" w:type="dxa"/>
            <w:vAlign w:val="bottom"/>
          </w:tcPr>
          <w:p>
            <w:pPr>
              <w:ind w:left="1120"/>
              <w:spacing w:after="0"/>
              <w:rPr>
                <w:sz w:val="20"/>
                <w:szCs w:val="20"/>
                <w:color w:val="auto"/>
              </w:rPr>
            </w:pPr>
            <w:r>
              <w:rPr>
                <w:rFonts w:ascii="Arial" w:cs="Arial" w:eastAsia="Arial" w:hAnsi="Arial"/>
                <w:sz w:val="18"/>
                <w:szCs w:val="18"/>
                <w:color w:val="auto"/>
              </w:rPr>
              <w:t>(e)</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[_]</w:t>
            </w:r>
          </w:p>
        </w:tc>
        <w:tc>
          <w:tcPr>
            <w:tcW w:w="9000" w:type="dxa"/>
            <w:vAlign w:val="bottom"/>
          </w:tcPr>
          <w:p>
            <w:pPr>
              <w:ind w:left="220"/>
              <w:spacing w:after="0"/>
              <w:rPr>
                <w:sz w:val="20"/>
                <w:szCs w:val="20"/>
                <w:color w:val="auto"/>
              </w:rPr>
            </w:pPr>
            <w:r>
              <w:rPr>
                <w:rFonts w:ascii="Arial" w:cs="Arial" w:eastAsia="Arial" w:hAnsi="Arial"/>
                <w:sz w:val="18"/>
                <w:szCs w:val="18"/>
                <w:color w:val="auto"/>
              </w:rPr>
              <w:t>An investment adviser in accordance with § 240.13d-1(b)(1)(ii)(E);</w:t>
            </w:r>
          </w:p>
        </w:tc>
      </w:tr>
      <w:tr>
        <w:trPr>
          <w:trHeight w:val="432"/>
        </w:trPr>
        <w:tc>
          <w:tcPr>
            <w:tcW w:w="1560" w:type="dxa"/>
            <w:vAlign w:val="bottom"/>
          </w:tcPr>
          <w:p>
            <w:pPr>
              <w:ind w:left="1120"/>
              <w:spacing w:after="0"/>
              <w:rPr>
                <w:sz w:val="20"/>
                <w:szCs w:val="20"/>
                <w:color w:val="auto"/>
              </w:rPr>
            </w:pPr>
            <w:r>
              <w:rPr>
                <w:rFonts w:ascii="Arial" w:cs="Arial" w:eastAsia="Arial" w:hAnsi="Arial"/>
                <w:sz w:val="18"/>
                <w:szCs w:val="18"/>
                <w:color w:val="auto"/>
              </w:rPr>
              <w:t>(f)</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[_]</w:t>
            </w:r>
          </w:p>
        </w:tc>
        <w:tc>
          <w:tcPr>
            <w:tcW w:w="9000" w:type="dxa"/>
            <w:vAlign w:val="bottom"/>
          </w:tcPr>
          <w:p>
            <w:pPr>
              <w:ind w:left="220"/>
              <w:spacing w:after="0"/>
              <w:rPr>
                <w:sz w:val="20"/>
                <w:szCs w:val="20"/>
                <w:color w:val="auto"/>
              </w:rPr>
            </w:pPr>
            <w:r>
              <w:rPr>
                <w:rFonts w:ascii="Arial" w:cs="Arial" w:eastAsia="Arial" w:hAnsi="Arial"/>
                <w:sz w:val="18"/>
                <w:szCs w:val="18"/>
                <w:color w:val="auto"/>
              </w:rPr>
              <w:t>An employee benefit plan or endowment fund in accordance with § 240.13d-1(b)(1)(ii)(F);</w:t>
            </w:r>
          </w:p>
        </w:tc>
      </w:tr>
      <w:tr>
        <w:trPr>
          <w:trHeight w:val="432"/>
        </w:trPr>
        <w:tc>
          <w:tcPr>
            <w:tcW w:w="1560" w:type="dxa"/>
            <w:vAlign w:val="bottom"/>
          </w:tcPr>
          <w:p>
            <w:pPr>
              <w:ind w:left="1120"/>
              <w:spacing w:after="0"/>
              <w:rPr>
                <w:sz w:val="20"/>
                <w:szCs w:val="20"/>
                <w:color w:val="auto"/>
              </w:rPr>
            </w:pPr>
            <w:r>
              <w:rPr>
                <w:rFonts w:ascii="Arial" w:cs="Arial" w:eastAsia="Arial" w:hAnsi="Arial"/>
                <w:sz w:val="18"/>
                <w:szCs w:val="18"/>
                <w:color w:val="auto"/>
              </w:rPr>
              <w:t>(g)</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[_]</w:t>
            </w:r>
          </w:p>
        </w:tc>
        <w:tc>
          <w:tcPr>
            <w:tcW w:w="9000" w:type="dxa"/>
            <w:vAlign w:val="bottom"/>
          </w:tcPr>
          <w:p>
            <w:pPr>
              <w:ind w:left="22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432"/>
        </w:trPr>
        <w:tc>
          <w:tcPr>
            <w:tcW w:w="1560" w:type="dxa"/>
            <w:vAlign w:val="bottom"/>
          </w:tcPr>
          <w:p>
            <w:pPr>
              <w:ind w:left="1120"/>
              <w:spacing w:after="0"/>
              <w:rPr>
                <w:sz w:val="20"/>
                <w:szCs w:val="20"/>
                <w:color w:val="auto"/>
              </w:rPr>
            </w:pPr>
            <w:r>
              <w:rPr>
                <w:rFonts w:ascii="Arial" w:cs="Arial" w:eastAsia="Arial" w:hAnsi="Arial"/>
                <w:sz w:val="18"/>
                <w:szCs w:val="18"/>
                <w:color w:val="auto"/>
              </w:rPr>
              <w:t>(h)</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[_]</w:t>
            </w:r>
          </w:p>
        </w:tc>
        <w:tc>
          <w:tcPr>
            <w:tcW w:w="9000" w:type="dxa"/>
            <w:vAlign w:val="bottom"/>
          </w:tcPr>
          <w:p>
            <w:pPr>
              <w:ind w:left="220"/>
              <w:spacing w:after="0"/>
              <w:rPr>
                <w:sz w:val="20"/>
                <w:szCs w:val="20"/>
                <w:color w:val="auto"/>
              </w:rPr>
            </w:pPr>
            <w:r>
              <w:rPr>
                <w:rFonts w:ascii="Arial" w:cs="Arial" w:eastAsia="Arial" w:hAnsi="Arial"/>
                <w:sz w:val="18"/>
                <w:szCs w:val="18"/>
                <w:color w:val="auto"/>
              </w:rPr>
              <w:t>A savings association as defined in Section 3(b) of the Federal Deposit Insurance Act (12 U.S.C.1813);</w:t>
            </w:r>
          </w:p>
        </w:tc>
      </w:tr>
      <w:tr>
        <w:trPr>
          <w:trHeight w:val="418"/>
        </w:trPr>
        <w:tc>
          <w:tcPr>
            <w:tcW w:w="1560" w:type="dxa"/>
            <w:vAlign w:val="bottom"/>
          </w:tcPr>
          <w:p>
            <w:pPr>
              <w:ind w:left="1120"/>
              <w:spacing w:after="0"/>
              <w:rPr>
                <w:sz w:val="20"/>
                <w:szCs w:val="20"/>
                <w:color w:val="auto"/>
              </w:rPr>
            </w:pPr>
            <w:r>
              <w:rPr>
                <w:rFonts w:ascii="Arial" w:cs="Arial" w:eastAsia="Arial" w:hAnsi="Arial"/>
                <w:sz w:val="18"/>
                <w:szCs w:val="18"/>
                <w:color w:val="auto"/>
              </w:rPr>
              <w:t>(i)</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[_]</w:t>
            </w:r>
          </w:p>
        </w:tc>
        <w:tc>
          <w:tcPr>
            <w:tcW w:w="9000" w:type="dxa"/>
            <w:vAlign w:val="bottom"/>
          </w:tcPr>
          <w:p>
            <w:pPr>
              <w:ind w:left="220"/>
              <w:spacing w:after="0"/>
              <w:rPr>
                <w:sz w:val="20"/>
                <w:szCs w:val="20"/>
                <w:color w:val="auto"/>
              </w:rPr>
            </w:pPr>
            <w:r>
              <w:rPr>
                <w:rFonts w:ascii="Arial" w:cs="Arial" w:eastAsia="Arial" w:hAnsi="Arial"/>
                <w:sz w:val="18"/>
                <w:szCs w:val="18"/>
                <w:color w:val="auto"/>
                <w:w w:val="94"/>
              </w:rPr>
              <w:t>A church plan that is excluded from the definition of an investment company under Section 3(c)(14) of the Investment</w:t>
            </w:r>
          </w:p>
        </w:tc>
      </w:tr>
      <w:tr>
        <w:trPr>
          <w:trHeight w:val="230"/>
        </w:trPr>
        <w:tc>
          <w:tcPr>
            <w:tcW w:w="1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0" w:type="dxa"/>
            <w:vAlign w:val="bottom"/>
          </w:tcPr>
          <w:p>
            <w:pPr>
              <w:ind w:left="220"/>
              <w:spacing w:after="0"/>
              <w:rPr>
                <w:sz w:val="20"/>
                <w:szCs w:val="20"/>
                <w:color w:val="auto"/>
              </w:rPr>
            </w:pPr>
            <w:r>
              <w:rPr>
                <w:rFonts w:ascii="Arial" w:cs="Arial" w:eastAsia="Arial" w:hAnsi="Arial"/>
                <w:sz w:val="18"/>
                <w:szCs w:val="18"/>
                <w:color w:val="auto"/>
              </w:rPr>
              <w:t>Company Act of 1940 (15 U.S.C. 80a-3);</w:t>
            </w:r>
          </w:p>
        </w:tc>
      </w:tr>
      <w:tr>
        <w:trPr>
          <w:trHeight w:val="432"/>
        </w:trPr>
        <w:tc>
          <w:tcPr>
            <w:tcW w:w="1560" w:type="dxa"/>
            <w:vAlign w:val="bottom"/>
          </w:tcPr>
          <w:p>
            <w:pPr>
              <w:ind w:left="1120"/>
              <w:spacing w:after="0"/>
              <w:rPr>
                <w:sz w:val="20"/>
                <w:szCs w:val="20"/>
                <w:color w:val="auto"/>
              </w:rPr>
            </w:pPr>
            <w:r>
              <w:rPr>
                <w:rFonts w:ascii="Arial" w:cs="Arial" w:eastAsia="Arial" w:hAnsi="Arial"/>
                <w:sz w:val="18"/>
                <w:szCs w:val="18"/>
                <w:color w:val="auto"/>
              </w:rPr>
              <w:t>(j)</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[_]</w:t>
            </w:r>
          </w:p>
        </w:tc>
        <w:tc>
          <w:tcPr>
            <w:tcW w:w="9000" w:type="dxa"/>
            <w:vAlign w:val="bottom"/>
          </w:tcPr>
          <w:p>
            <w:pPr>
              <w:ind w:left="220"/>
              <w:spacing w:after="0"/>
              <w:rPr>
                <w:sz w:val="20"/>
                <w:szCs w:val="20"/>
                <w:color w:val="auto"/>
              </w:rPr>
            </w:pPr>
            <w:r>
              <w:rPr>
                <w:rFonts w:ascii="Arial" w:cs="Arial" w:eastAsia="Arial" w:hAnsi="Arial"/>
                <w:sz w:val="18"/>
                <w:szCs w:val="18"/>
                <w:color w:val="auto"/>
              </w:rPr>
              <w:t>Group, in accordance with s.240.13d-1(b)(1)(ii)(J).</w:t>
            </w:r>
          </w:p>
        </w:tc>
      </w:tr>
      <w:tr>
        <w:trPr>
          <w:trHeight w:val="263"/>
        </w:trPr>
        <w:tc>
          <w:tcPr>
            <w:tcW w:w="15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000" w:type="dxa"/>
            <w:vAlign w:val="bottom"/>
            <w:tcBorders>
              <w:bottom w:val="single" w:sz="8" w:color="auto"/>
            </w:tcBorders>
          </w:tcPr>
          <w:p>
            <w:pPr>
              <w:spacing w:after="0"/>
              <w:rPr>
                <w:sz w:val="22"/>
                <w:szCs w:val="22"/>
                <w:color w:val="auto"/>
              </w:rPr>
            </w:pPr>
          </w:p>
        </w:tc>
      </w:tr>
    </w:tbl>
    <w:p>
      <w:pPr>
        <w:sectPr>
          <w:pgSz w:w="11900" w:h="16838" w:orient="portrait"/>
          <w:cols w:equalWidth="0" w:num="1">
            <w:col w:w="11240"/>
          </w:cols>
          <w:pgMar w:left="320" w:top="476" w:right="339" w:bottom="1440" w:gutter="0" w:footer="0" w:header="0"/>
        </w:sectPr>
      </w:pPr>
    </w:p>
    <w:bookmarkStart w:id="6" w:name="page7"/>
    <w:bookmarkEnd w:id="6"/>
    <w:p>
      <w:pPr>
        <w:spacing w:after="0"/>
        <w:tabs>
          <w:tab w:leader="none" w:pos="10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1480" w:hanging="678"/>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480" w:right="4400"/>
        <w:spacing w:after="0" w:line="275" w:lineRule="auto"/>
        <w:rPr>
          <w:rFonts w:ascii="Arial" w:cs="Arial" w:eastAsia="Arial" w:hAnsi="Arial"/>
          <w:sz w:val="18"/>
          <w:szCs w:val="18"/>
          <w:color w:val="auto"/>
        </w:rPr>
      </w:pPr>
      <w:r>
        <w:rPr>
          <w:rFonts w:ascii="Arial" w:cs="Arial" w:eastAsia="Arial" w:hAnsi="Arial"/>
          <w:sz w:val="18"/>
          <w:szCs w:val="18"/>
          <w:color w:val="auto"/>
        </w:rPr>
        <w:t>Brigade Capital Management, LP – 1,345,786 Brigade Capital Management GP, LLC – 1,345,786 Brigade Leveraged Capital Structures Fund Ltd. – 551,425 Donald E. Morgan, III – 1,345,786</w:t>
      </w:r>
    </w:p>
    <w:p>
      <w:pPr>
        <w:spacing w:after="0" w:line="185" w:lineRule="exact"/>
        <w:rPr>
          <w:rFonts w:ascii="Arial" w:cs="Arial" w:eastAsia="Arial" w:hAnsi="Arial"/>
          <w:sz w:val="18"/>
          <w:szCs w:val="18"/>
          <w:color w:val="auto"/>
        </w:rPr>
      </w:pPr>
    </w:p>
    <w:p>
      <w:pPr>
        <w:ind w:left="1480" w:hanging="678"/>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480" w:right="4600"/>
        <w:spacing w:after="0" w:line="275" w:lineRule="auto"/>
        <w:rPr>
          <w:rFonts w:ascii="Arial" w:cs="Arial" w:eastAsia="Arial" w:hAnsi="Arial"/>
          <w:sz w:val="18"/>
          <w:szCs w:val="18"/>
          <w:color w:val="auto"/>
        </w:rPr>
      </w:pPr>
      <w:r>
        <w:rPr>
          <w:rFonts w:ascii="Arial" w:cs="Arial" w:eastAsia="Arial" w:hAnsi="Arial"/>
          <w:sz w:val="18"/>
          <w:szCs w:val="18"/>
          <w:color w:val="auto"/>
        </w:rPr>
        <w:t>Brigade Capital Management, LP – 2.9% Brigade Capital Management GP, LLC – 2.9% Brigade Leveraged Capital Structures Fund Ltd. – 1.2% Donald E. Morgan, III – 2.9%</w:t>
      </w:r>
    </w:p>
    <w:p>
      <w:pPr>
        <w:spacing w:after="0" w:line="185" w:lineRule="exact"/>
        <w:rPr>
          <w:rFonts w:ascii="Arial" w:cs="Arial" w:eastAsia="Arial" w:hAnsi="Arial"/>
          <w:sz w:val="18"/>
          <w:szCs w:val="18"/>
          <w:color w:val="auto"/>
        </w:rPr>
      </w:pPr>
    </w:p>
    <w:p>
      <w:pPr>
        <w:ind w:left="1480" w:hanging="678"/>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160" w:hanging="683"/>
        <w:spacing w:after="0"/>
        <w:tabs>
          <w:tab w:leader="none" w:pos="2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2160" w:right="4220"/>
        <w:spacing w:after="0" w:line="275" w:lineRule="auto"/>
        <w:rPr>
          <w:rFonts w:ascii="Arial" w:cs="Arial" w:eastAsia="Arial" w:hAnsi="Arial"/>
          <w:sz w:val="18"/>
          <w:szCs w:val="18"/>
          <w:color w:val="auto"/>
        </w:rPr>
      </w:pPr>
      <w:r>
        <w:rPr>
          <w:rFonts w:ascii="Arial" w:cs="Arial" w:eastAsia="Arial" w:hAnsi="Arial"/>
          <w:sz w:val="18"/>
          <w:szCs w:val="18"/>
          <w:color w:val="auto"/>
        </w:rPr>
        <w:t>Brigade Capital Management, LP – 0 Brigade Capital Management GP, LLC – 0 Brigade Leveraged Capital Structures Fund Ltd. – 0 Donald E. Morgan, III – 0</w:t>
      </w:r>
    </w:p>
    <w:p>
      <w:pPr>
        <w:spacing w:after="0" w:line="185" w:lineRule="exact"/>
        <w:rPr>
          <w:rFonts w:ascii="Arial" w:cs="Arial" w:eastAsia="Arial" w:hAnsi="Arial"/>
          <w:sz w:val="18"/>
          <w:szCs w:val="18"/>
          <w:color w:val="auto"/>
        </w:rPr>
      </w:pPr>
    </w:p>
    <w:p>
      <w:pPr>
        <w:ind w:left="2160" w:hanging="683"/>
        <w:spacing w:after="0"/>
        <w:tabs>
          <w:tab w:leader="none" w:pos="2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2160" w:right="3720"/>
        <w:spacing w:after="0" w:line="275" w:lineRule="auto"/>
        <w:rPr>
          <w:rFonts w:ascii="Arial" w:cs="Arial" w:eastAsia="Arial" w:hAnsi="Arial"/>
          <w:sz w:val="18"/>
          <w:szCs w:val="18"/>
          <w:color w:val="auto"/>
        </w:rPr>
      </w:pPr>
      <w:r>
        <w:rPr>
          <w:rFonts w:ascii="Arial" w:cs="Arial" w:eastAsia="Arial" w:hAnsi="Arial"/>
          <w:sz w:val="18"/>
          <w:szCs w:val="18"/>
          <w:color w:val="auto"/>
        </w:rPr>
        <w:t>Brigade Capital Management, LP – 1,345,786 Brigade Capital Management GP, LLC – 1,345,786 Brigade Leveraged Capital Structures Fund Ltd. – 551,425 Donald E. Morgan, III – 1,345,786</w:t>
      </w:r>
    </w:p>
    <w:p>
      <w:pPr>
        <w:spacing w:after="0" w:line="185" w:lineRule="exact"/>
        <w:rPr>
          <w:rFonts w:ascii="Arial" w:cs="Arial" w:eastAsia="Arial" w:hAnsi="Arial"/>
          <w:sz w:val="18"/>
          <w:szCs w:val="18"/>
          <w:color w:val="auto"/>
        </w:rPr>
      </w:pPr>
    </w:p>
    <w:p>
      <w:pPr>
        <w:ind w:left="2160" w:hanging="683"/>
        <w:spacing w:after="0"/>
        <w:tabs>
          <w:tab w:leader="none" w:pos="2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2160" w:right="4220"/>
        <w:spacing w:after="0" w:line="275" w:lineRule="auto"/>
        <w:rPr>
          <w:rFonts w:ascii="Arial" w:cs="Arial" w:eastAsia="Arial" w:hAnsi="Arial"/>
          <w:sz w:val="18"/>
          <w:szCs w:val="18"/>
          <w:color w:val="auto"/>
        </w:rPr>
      </w:pPr>
      <w:r>
        <w:rPr>
          <w:rFonts w:ascii="Arial" w:cs="Arial" w:eastAsia="Arial" w:hAnsi="Arial"/>
          <w:sz w:val="18"/>
          <w:szCs w:val="18"/>
          <w:color w:val="auto"/>
        </w:rPr>
        <w:t>Brigade Capital Management, LP – 0 Brigade Capital Management GP, LLC – 0 Brigade Leveraged Capital Structures Fund Ltd. – 0 Donald E. Morgan, III – 0</w:t>
      </w:r>
    </w:p>
    <w:p>
      <w:pPr>
        <w:spacing w:after="0" w:line="185" w:lineRule="exact"/>
        <w:rPr>
          <w:rFonts w:ascii="Arial" w:cs="Arial" w:eastAsia="Arial" w:hAnsi="Arial"/>
          <w:sz w:val="18"/>
          <w:szCs w:val="18"/>
          <w:color w:val="auto"/>
        </w:rPr>
      </w:pPr>
    </w:p>
    <w:p>
      <w:pPr>
        <w:ind w:left="2160" w:hanging="683"/>
        <w:spacing w:after="0"/>
        <w:tabs>
          <w:tab w:leader="none" w:pos="2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2160" w:right="3720"/>
        <w:spacing w:after="0" w:line="275" w:lineRule="auto"/>
        <w:rPr>
          <w:rFonts w:ascii="Arial" w:cs="Arial" w:eastAsia="Arial" w:hAnsi="Arial"/>
          <w:sz w:val="18"/>
          <w:szCs w:val="18"/>
          <w:color w:val="auto"/>
        </w:rPr>
      </w:pPr>
      <w:r>
        <w:rPr>
          <w:rFonts w:ascii="Arial" w:cs="Arial" w:eastAsia="Arial" w:hAnsi="Arial"/>
          <w:sz w:val="18"/>
          <w:szCs w:val="18"/>
          <w:color w:val="auto"/>
        </w:rPr>
        <w:t>Brigade Capital Management, LP – 1,345,786 Brigade Capital Management GP, LLC – 1,345,786 Brigade Leveraged Capital Structures Fund Ltd. – 551,425 Donald E. Morgan, III – 1,345,786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1304290</wp:posOffset>
            </wp:positionH>
            <wp:positionV relativeFrom="paragraph">
              <wp:posOffset>-18415</wp:posOffset>
            </wp:positionV>
            <wp:extent cx="57689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68975" cy="8890"/>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-163830</wp:posOffset>
            </wp:positionV>
            <wp:extent cx="57689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-309880</wp:posOffset>
            </wp:positionV>
            <wp:extent cx="57689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-455295</wp:posOffset>
            </wp:positionV>
            <wp:extent cx="57689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68975" cy="8890"/>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-1012825</wp:posOffset>
            </wp:positionV>
            <wp:extent cx="57689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68975" cy="8890"/>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-1158240</wp:posOffset>
            </wp:positionV>
            <wp:extent cx="57689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-1304290</wp:posOffset>
            </wp:positionV>
            <wp:extent cx="57689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-1449705</wp:posOffset>
            </wp:positionV>
            <wp:extent cx="57689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-2007235</wp:posOffset>
            </wp:positionV>
            <wp:extent cx="57689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8975" cy="8890"/>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-2152650</wp:posOffset>
            </wp:positionV>
            <wp:extent cx="57689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68975" cy="8890"/>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-2298700</wp:posOffset>
            </wp:positionV>
            <wp:extent cx="57689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-2444115</wp:posOffset>
            </wp:positionV>
            <wp:extent cx="57689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-3001645</wp:posOffset>
            </wp:positionV>
            <wp:extent cx="57689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-3147060</wp:posOffset>
            </wp:positionV>
            <wp:extent cx="57689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-3293110</wp:posOffset>
            </wp:positionV>
            <wp:extent cx="57689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-3438525</wp:posOffset>
            </wp:positionV>
            <wp:extent cx="57689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68975" cy="8890"/>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-4270375</wp:posOffset>
            </wp:positionV>
            <wp:extent cx="61976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-4415790</wp:posOffset>
            </wp:positionV>
            <wp:extent cx="61976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-4561840</wp:posOffset>
            </wp:positionV>
            <wp:extent cx="61976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-4707255</wp:posOffset>
            </wp:positionV>
            <wp:extent cx="61976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-5264785</wp:posOffset>
            </wp:positionV>
            <wp:extent cx="61976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-5410200</wp:posOffset>
            </wp:positionV>
            <wp:extent cx="61976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-5556250</wp:posOffset>
            </wp:positionV>
            <wp:extent cx="61976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-5701665</wp:posOffset>
            </wp:positionV>
            <wp:extent cx="61976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281305</wp:posOffset>
            </wp:positionV>
            <wp:extent cx="713232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00"/>
          </w:cols>
          <w:pgMar w:left="420" w:top="476" w:right="1379" w:bottom="1440" w:gutter="0" w:footer="0" w:header="0"/>
        </w:sectPr>
      </w:pPr>
    </w:p>
    <w:bookmarkStart w:id="7" w:name="page8"/>
    <w:bookmarkEnd w:id="7"/>
    <w:p>
      <w:pPr>
        <w:spacing w:after="0"/>
        <w:tabs>
          <w:tab w:leader="none" w:pos="10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254635</wp:posOffset>
            </wp:positionV>
            <wp:extent cx="64890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14605</wp:posOffset>
            </wp:positionV>
            <wp:extent cx="64890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18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14605</wp:posOffset>
            </wp:positionV>
            <wp:extent cx="64890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18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14605</wp:posOffset>
            </wp:positionV>
            <wp:extent cx="64890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14605</wp:posOffset>
            </wp:positionV>
            <wp:extent cx="64890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ind w:left="1580" w:hanging="562"/>
        <w:spacing w:after="0"/>
        <w:tabs>
          <w:tab w:leader="none" w:pos="1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rFonts w:ascii="Arial" w:cs="Arial" w:eastAsia="Arial" w:hAnsi="Arial"/>
          <w:sz w:val="18"/>
          <w:szCs w:val="18"/>
          <w:color w:val="auto"/>
        </w:rPr>
      </w:pPr>
    </w:p>
    <w:p>
      <w:pPr>
        <w:jc w:val="both"/>
        <w:ind w:left="1580"/>
        <w:spacing w:after="0" w:line="259"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6" w:lineRule="exact"/>
        <w:rPr>
          <w:rFonts w:ascii="Arial" w:cs="Arial" w:eastAsia="Arial" w:hAnsi="Arial"/>
          <w:sz w:val="18"/>
          <w:szCs w:val="18"/>
          <w:color w:val="auto"/>
        </w:rPr>
      </w:pPr>
    </w:p>
    <w:p>
      <w:pPr>
        <w:ind w:left="1580" w:hanging="562"/>
        <w:spacing w:after="0"/>
        <w:tabs>
          <w:tab w:leader="none" w:pos="1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rFonts w:ascii="Arial" w:cs="Arial" w:eastAsia="Arial" w:hAnsi="Arial"/>
          <w:sz w:val="18"/>
          <w:szCs w:val="18"/>
          <w:color w:val="auto"/>
        </w:rPr>
      </w:pPr>
    </w:p>
    <w:p>
      <w:pPr>
        <w:jc w:val="both"/>
        <w:ind w:left="1580"/>
        <w:spacing w:after="0" w:line="286" w:lineRule="auto"/>
        <w:rPr>
          <w:rFonts w:ascii="Arial" w:cs="Arial" w:eastAsia="Arial" w:hAnsi="Arial"/>
          <w:sz w:val="18"/>
          <w:szCs w:val="18"/>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131445</wp:posOffset>
            </wp:positionV>
            <wp:extent cx="713232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040"/>
          </w:cols>
          <w:pgMar w:left="420" w:top="476" w:right="4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May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Brigade Capital Management, LP</w:t>
      </w:r>
    </w:p>
    <w:p>
      <w:pPr>
        <w:spacing w:after="0" w:line="225"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By: /s/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Managing Member of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Brigade Capital Management GP, LLC</w:t>
      </w:r>
    </w:p>
    <w:p>
      <w:pPr>
        <w:spacing w:after="0" w:line="225"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By: /s/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40"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Brigade Leveraged Capital Structures Fund Ltd.</w:t>
      </w:r>
    </w:p>
    <w:p>
      <w:pPr>
        <w:spacing w:after="0" w:line="225"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40"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agree that this Schedule 13G Amendment number 7 dated May 24, 2021 relating to the Common Stock, par value $0.01 per share of MagnaChip Semiconductor Corporation shall be filed on behalf of the undersigned.</w:t>
      </w:r>
    </w:p>
    <w:p>
      <w:pPr>
        <w:spacing w:after="0" w:line="38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May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Brigade Capital Management, LP</w:t>
      </w:r>
    </w:p>
    <w:p>
      <w:pPr>
        <w:spacing w:after="0" w:line="225"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By: /s/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Managing Member of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Brigade Capital Management GP, LLC</w:t>
      </w:r>
    </w:p>
    <w:p>
      <w:pPr>
        <w:spacing w:after="0" w:line="225"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By: /s/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40"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Brigade Leveraged Capital Structures Fund Ltd.</w:t>
      </w:r>
    </w:p>
    <w:p>
      <w:pPr>
        <w:spacing w:after="0" w:line="225"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40"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sectPr>
      <w:pgSz w:w="11900" w:h="16838" w:orient="portrait"/>
      <w:cols w:equalWidth="0" w:num="1">
        <w:col w:w="11240"/>
      </w:cols>
      <w:pgMar w:left="320" w:top="4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3"/>
    </w:lvl>
  </w:abstractNum>
  <w:abstractNum w:abstractNumId="3">
    <w:nsid w:val="1190CDE7"/>
    <w:multiLevelType w:val="hybridMultilevel"/>
    <w:lvl w:ilvl="0">
      <w:lvlJc w:val="left"/>
      <w:lvlText w:val="%1."/>
      <w:numFmt w:val="decimal"/>
      <w:start w:val="5"/>
    </w:lvl>
  </w:abstractNum>
  <w:abstractNum w:abstractNumId="4">
    <w:nsid w:val="66EF438D"/>
    <w:multiLevelType w:val="hybridMultilevel"/>
    <w:lvl w:ilvl="0">
      <w:lvlJc w:val="left"/>
      <w:lvlText w:val="%1."/>
      <w:numFmt w:val="decimal"/>
      <w:start w:val="1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3"/>
    </w:lvl>
  </w:abstractNum>
  <w:abstractNum w:abstractNumId="7">
    <w:nsid w:val="109CF92E"/>
    <w:multiLevelType w:val="hybridMultilevel"/>
    <w:lvl w:ilvl="0">
      <w:lvlJc w:val="left"/>
      <w:lvlText w:val="%1."/>
      <w:numFmt w:val="decimal"/>
      <w:start w:val="5"/>
    </w:lvl>
  </w:abstractNum>
  <w:abstractNum w:abstractNumId="8">
    <w:nsid w:val="DED7263"/>
    <w:multiLevelType w:val="hybridMultilevel"/>
    <w:lvl w:ilvl="0">
      <w:lvlJc w:val="left"/>
      <w:lvlText w:val="%1."/>
      <w:numFmt w:val="decimal"/>
      <w:start w:val="1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3"/>
    </w:lvl>
  </w:abstractNum>
  <w:abstractNum w:abstractNumId="11">
    <w:nsid w:val="41A7C4C9"/>
    <w:multiLevelType w:val="hybridMultilevel"/>
    <w:lvl w:ilvl="0">
      <w:lvlJc w:val="left"/>
      <w:lvlText w:val="%1."/>
      <w:numFmt w:val="decimal"/>
      <w:start w:val="5"/>
    </w:lvl>
  </w:abstractNum>
  <w:abstractNum w:abstractNumId="12">
    <w:nsid w:val="6B68079A"/>
    <w:multiLevelType w:val="hybridMultilevel"/>
    <w:lvl w:ilvl="0">
      <w:lvlJc w:val="left"/>
      <w:lvlText w:val="%1."/>
      <w:numFmt w:val="decimal"/>
      <w:start w:val="1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3"/>
    </w:lvl>
  </w:abstractNum>
  <w:abstractNum w:abstractNumId="15">
    <w:nsid w:val="519B500D"/>
    <w:multiLevelType w:val="hybridMultilevel"/>
    <w:lvl w:ilvl="0">
      <w:lvlJc w:val="left"/>
      <w:lvlText w:val="%1."/>
      <w:numFmt w:val="decimal"/>
      <w:start w:val="5"/>
    </w:lvl>
  </w:abstractNum>
  <w:abstractNum w:abstractNumId="16">
    <w:nsid w:val="431BD7B7"/>
    <w:multiLevelType w:val="hybridMultilevel"/>
    <w:lvl w:ilvl="0">
      <w:lvlJc w:val="left"/>
      <w:lvlText w:val="%1."/>
      <w:numFmt w:val="decimal"/>
      <w:start w:val="11"/>
    </w:lvl>
  </w:abstractNum>
  <w:abstractNum w:abstractNumId="17">
    <w:nsid w:val="3F2DBA31"/>
    <w:multiLevelType w:val="hybridMultilevel"/>
    <w:lvl w:ilvl="0">
      <w:lvlJc w:val="left"/>
      <w:lvlText w:val="(%1)"/>
      <w:numFmt w:val="lowerLetter"/>
      <w:start w:val="1"/>
    </w:lvl>
    <w:lvl w:ilvl="1">
      <w:lvlJc w:val="left"/>
      <w:lvlText w:val="(%2)"/>
      <w:numFmt w:val="lowerRoman"/>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2021-05-24T15:24:00Z</dcterms:created>
  <dcterms:modified xsi:type="dcterms:W3CDTF">2021-05-24T15:24:00Z</dcterms:modified>
</cp:coreProperties>
</file>