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Kim Young-Joon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MAGNACHIP SEMICONDUCTOR, LTD., 108, YEOUI-DAERO, YEONGDEUNGPO-GU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MAGNACHIP SEMICONDUCTOR Corp</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12/31/2024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540" w:space="371"/>
            <w:col w:w="3649" w:space="17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SEOUL</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M5</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07335</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5,017</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652,906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17,632</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635,274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12/31/2024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left="51"/>
              <w:spacing w:after="0"/>
              <w:rPr>
                <w:sz w:val="20"/>
                <w:szCs w:val="20"/>
                <w:color w:val="auto"/>
              </w:rPr>
            </w:pPr>
            <w:r>
              <w:rPr>
                <w:rFonts w:ascii="Times New Roman" w:cs="Times New Roman" w:eastAsia="Times New Roman" w:hAnsi="Times New Roman"/>
                <w:sz w:val="17"/>
                <w:szCs w:val="17"/>
                <w:color w:val="0000FF"/>
                <w:w w:val="93"/>
              </w:rPr>
              <w:t>15,517</w:t>
            </w:r>
            <w:r>
              <w:rPr>
                <w:rFonts w:ascii="Times New Roman" w:cs="Times New Roman" w:eastAsia="Times New Roman" w:hAnsi="Times New Roman"/>
                <w:sz w:val="22"/>
                <w:szCs w:val="22"/>
                <w:color w:val="008000"/>
                <w:w w:val="93"/>
                <w:vertAlign w:val="superscript"/>
              </w:rPr>
              <w:t>(3)</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619,757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5,017 shares of common stock to satisfy tax withholding obligations incurred by the Reporting Person upon the vesting of 14,334 shares of common stock originally awarded to the Reporting Person on February 28, 2022.</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17,632 shares of common stock to satisfy tax withholding obligations incurred by the Reporting Person upon the vesting of 50,375 shares of common stock originally awarded to the Reporting Person on February 16, 2023.</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15,517 shares of common stock to satisfy tax withholding obligations incurred by the Reporting Person upon the vesting of 44,333 shares of common stock originally awarded to the Reporting Person on June 1,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Director and Chief Executive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01/03/2025</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6117"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2025-01-03T15:22:20Z</dcterms:created>
  <dcterms:modified xsi:type="dcterms:W3CDTF">2025-01-03T15:22:20Z</dcterms:modified>
</cp:coreProperties>
</file>