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120" w:type="dxa"/>
            <w:vAlign w:val="bottom"/>
          </w:tcPr>
          <w:p>
            <w:pPr>
              <w:jc w:val="center"/>
              <w:ind w:right="235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80"/>
              <w:spacing w:after="0"/>
              <w:rPr>
                <w:sz w:val="20"/>
                <w:szCs w:val="20"/>
                <w:color w:val="auto"/>
              </w:rPr>
            </w:pPr>
            <w:r>
              <w:rPr>
                <w:rFonts w:ascii="Arial" w:cs="Arial" w:eastAsia="Arial" w:hAnsi="Arial"/>
                <w:sz w:val="18"/>
                <w:szCs w:val="18"/>
                <w:b w:val="1"/>
                <w:bCs w:val="1"/>
                <w:color w:val="auto"/>
              </w:rPr>
              <w:t>001-34791</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83-0406195</w:t>
            </w:r>
          </w:p>
        </w:tc>
      </w:tr>
      <w:tr>
        <w:trPr>
          <w:trHeight w:val="148"/>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4120" w:type="dxa"/>
            <w:vAlign w:val="bottom"/>
          </w:tcPr>
          <w:p>
            <w:pPr>
              <w:jc w:val="center"/>
              <w:ind w:left="1138"/>
              <w:spacing w:after="0"/>
              <w:rPr>
                <w:sz w:val="20"/>
                <w:szCs w:val="20"/>
                <w:color w:val="auto"/>
              </w:rPr>
            </w:pPr>
            <w:r>
              <w:rPr>
                <w:rFonts w:ascii="Arial" w:cs="Arial" w:eastAsia="Arial" w:hAnsi="Arial"/>
                <w:sz w:val="18"/>
                <w:szCs w:val="18"/>
                <w:b w:val="1"/>
                <w:bCs w:val="1"/>
                <w:color w:val="auto"/>
                <w:w w:val="89"/>
              </w:rPr>
              <w:t>1, Allée Scheffer, L-2520</w:t>
            </w:r>
          </w:p>
        </w:tc>
        <w:tc>
          <w:tcPr>
            <w:tcW w:w="222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6340" w:type="dxa"/>
            <w:vAlign w:val="bottom"/>
            <w:gridSpan w:val="2"/>
          </w:tcPr>
          <w:p>
            <w:pPr>
              <w:jc w:val="center"/>
              <w:ind w:right="922"/>
              <w:spacing w:after="0"/>
              <w:rPr>
                <w:sz w:val="20"/>
                <w:szCs w:val="20"/>
                <w:color w:val="auto"/>
              </w:rPr>
            </w:pPr>
            <w:r>
              <w:rPr>
                <w:rFonts w:ascii="Arial" w:cs="Arial" w:eastAsia="Arial" w:hAnsi="Arial"/>
                <w:sz w:val="18"/>
                <w:szCs w:val="18"/>
                <w:b w:val="1"/>
                <w:bCs w:val="1"/>
                <w:color w:val="auto"/>
                <w:w w:val="91"/>
              </w:rPr>
              <w:t>Luxembourg, Grand Duchy of Luxembourg</w:t>
            </w:r>
          </w:p>
        </w:tc>
        <w:tc>
          <w:tcPr>
            <w:tcW w:w="2460" w:type="dxa"/>
            <w:vAlign w:val="bottom"/>
          </w:tcPr>
          <w:p>
            <w:pPr>
              <w:jc w:val="center"/>
              <w:ind w:left="1241"/>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left="4" w:right="420"/>
        <w:spacing w:after="0" w:line="308" w:lineRule="auto"/>
        <w:rPr>
          <w:sz w:val="20"/>
          <w:szCs w:val="20"/>
          <w:color w:val="auto"/>
        </w:rPr>
      </w:pPr>
      <w:r>
        <w:rPr>
          <w:rFonts w:ascii="Arial" w:cs="Arial" w:eastAsia="Arial" w:hAnsi="Arial"/>
          <w:sz w:val="17"/>
          <w:szCs w:val="17"/>
          <w:color w:val="auto"/>
        </w:rPr>
        <w:t>Attached hereto as Exhibit 99.1 and incorporated by reference herein is financial information for Magnachip Semiconductor Corporation and its consolidated subsidiaries for the second quarter ended June 30, 2021, as presented in a press release dated August 5, 2021.</w:t>
      </w:r>
    </w:p>
    <w:p>
      <w:pPr>
        <w:spacing w:after="0" w:line="146"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12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7"/>
              </w:rPr>
              <w:t>No.</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8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94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for Magnachip Semiconductor Corporation dated August 5, 2021, announcing the results for the second quarter ended</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60" w:type="dxa"/>
            <w:vAlign w:val="bottom"/>
            <w:gridSpan w:val="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June 30, 2021.</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420" w:type="dxa"/>
            <w:vAlign w:val="bottom"/>
            <w:gridSpan w:val="3"/>
          </w:tcPr>
          <w:p>
            <w:pPr>
              <w:spacing w:after="0" w:line="20" w:lineRule="exact"/>
              <w:rPr>
                <w:sz w:val="1"/>
                <w:szCs w:val="1"/>
                <w:color w:val="auto"/>
              </w:rPr>
            </w:pPr>
          </w:p>
        </w:tc>
      </w:tr>
      <w:tr>
        <w:trPr>
          <w:trHeight w:val="34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0804"/>
          </w:cols>
          <w:pgMar w:left="436" w:top="297" w:right="6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340" w:val="left"/>
          <w:tab w:leader="none" w:pos="5920" w:val="left"/>
        </w:tabs>
        <w:rPr>
          <w:sz w:val="20"/>
          <w:szCs w:val="20"/>
          <w:color w:val="auto"/>
        </w:rPr>
      </w:pPr>
      <w:r>
        <w:rPr>
          <w:rFonts w:ascii="Arial" w:cs="Arial" w:eastAsia="Arial" w:hAnsi="Arial"/>
          <w:sz w:val="18"/>
          <w:szCs w:val="18"/>
          <w:color w:val="auto"/>
        </w:rPr>
        <w:t>Dated: August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Theodore Kim</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971675" cy="385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1675" cy="38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Magnachip Reports Results for Second Quarter 2021</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Second quarter revenue of $113.9 million was down 7.4% sequentially and down 4.2% year-over-year (YoY).</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Gross profit margin for the second quarter was 29.8%, up 190 bps sequentially and up 280 bps YoY.</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GAAP net loss was $(0.2) million or $(0.00) per diluted share.</w:t>
      </w:r>
    </w:p>
    <w:p>
      <w:pPr>
        <w:spacing w:after="0" w:line="130" w:lineRule="exact"/>
        <w:rPr>
          <w:rFonts w:ascii="Arial" w:cs="Arial" w:eastAsia="Arial" w:hAnsi="Arial"/>
          <w:sz w:val="18"/>
          <w:szCs w:val="18"/>
          <w:b w:val="1"/>
          <w:bCs w:val="1"/>
          <w:color w:val="auto"/>
        </w:rPr>
      </w:pPr>
    </w:p>
    <w:p>
      <w:pPr>
        <w:ind w:left="960" w:hanging="424"/>
        <w:spacing w:after="0"/>
        <w:tabs>
          <w:tab w:leader="none" w:pos="9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Non-GAAP net income was $7.0 million or $0.15 per diluted share.</w:t>
      </w:r>
    </w:p>
    <w:p>
      <w:pPr>
        <w:spacing w:after="0" w:line="333"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SEOUL, South Korea, August 5, 2021 — Magnachip Semiconductor Corporation (NYSE: MX) (“Magnachip” or the “Company”) today announced financial results for the second quarter 2021.</w:t>
      </w:r>
    </w:p>
    <w:p>
      <w:pPr>
        <w:spacing w:after="0" w:line="5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“Despite sustained demand across our product portfolio, our Display business revenue was negatively impacted by severe supply constraints that continued to deepen in the second quarter. Global shortages in manufacturing capacities, as well as changes in our foundry partners’ wafer allocation plans, limit our ability to meet customers’ needs. This revenue decline, however, was partially offset by the strong performance in our Power business that achieved record-setting quarterly revenue for the second consecutive quarter. Gross profit margin expanded to 29.8% due to the high utilization rate at our Fab 3, coupled with an improved product mix under a favorable pricing environment. We continue to work closely with our strategic customers and foundry partners to secure long-term supply capacity for OLED DDICs, being mindful of the fact that global supply constraints are having a significant impact on our OLED business.” said YJ Kim, Magnachip’s chief executive officer.</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Due to the pending merger with an investment vehicle formed by an affiliate of Wise Road Capital LTD pursuant to a definitive agreement executed on March 25, 2021, Magnachip is not hosting a quarterly earnings conference call and has suspended the practice of providing forward-looking guidance. Please review the ‘Investors’ section of the Company’s website for the quarterly financial results and SEC filings for the latest updates on the pending transaction.</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183515</wp:posOffset>
            </wp:positionV>
            <wp:extent cx="1071880" cy="248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285"/>
                    </a:xfrm>
                    <a:prstGeom prst="rect">
                      <a:avLst/>
                    </a:prstGeom>
                    <a:noFill/>
                  </pic:spPr>
                </pic:pic>
              </a:graphicData>
            </a:graphic>
          </wp:anchor>
        </w:drawing>
        <w:t>Q2 2021 Financial Highlights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54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color w:val="auto"/>
                <w:w w:val="92"/>
              </w:rPr>
              <w:t>In thousands of U.S. dollars, except share data</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r>
      <w:tr>
        <w:trPr>
          <w:trHeight w:val="142"/>
        </w:trPr>
        <w:tc>
          <w:tcPr>
            <w:tcW w:w="5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98"/>
              </w:rPr>
              <w:t>GAAP</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7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3"/>
              </w:rPr>
              <w:t>Q2 2021</w:t>
            </w:r>
          </w:p>
        </w:tc>
        <w:tc>
          <w:tcPr>
            <w:tcW w:w="8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Q1 2021</w:t>
            </w:r>
          </w:p>
        </w:tc>
        <w:tc>
          <w:tcPr>
            <w:tcW w:w="1560" w:type="dxa"/>
            <w:vAlign w:val="bottom"/>
            <w:gridSpan w:val="2"/>
          </w:tcPr>
          <w:p>
            <w:pPr>
              <w:jc w:val="right"/>
              <w:ind w:right="533"/>
              <w:spacing w:after="0" w:line="142" w:lineRule="exact"/>
              <w:rPr>
                <w:sz w:val="20"/>
                <w:szCs w:val="20"/>
                <w:color w:val="auto"/>
              </w:rPr>
            </w:pPr>
            <w:r>
              <w:rPr>
                <w:rFonts w:ascii="Arial" w:cs="Arial" w:eastAsia="Arial" w:hAnsi="Arial"/>
                <w:sz w:val="14"/>
                <w:szCs w:val="14"/>
                <w:b w:val="1"/>
                <w:bCs w:val="1"/>
                <w:color w:val="auto"/>
              </w:rPr>
              <w:t>Q/Q change</w:t>
            </w:r>
          </w:p>
        </w:tc>
        <w:tc>
          <w:tcPr>
            <w:tcW w:w="8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Q2 2020</w:t>
            </w:r>
          </w:p>
        </w:tc>
        <w:tc>
          <w:tcPr>
            <w:tcW w:w="11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6"/>
        </w:trPr>
        <w:tc>
          <w:tcPr>
            <w:tcW w:w="5400" w:type="dxa"/>
            <w:vAlign w:val="bottom"/>
          </w:tcPr>
          <w:p>
            <w:pPr>
              <w:ind w:left="360"/>
              <w:spacing w:after="0"/>
              <w:rPr>
                <w:sz w:val="20"/>
                <w:szCs w:val="20"/>
                <w:color w:val="auto"/>
              </w:rPr>
            </w:pPr>
            <w:r>
              <w:rPr>
                <w:rFonts w:ascii="Arial" w:cs="Arial" w:eastAsia="Arial" w:hAnsi="Arial"/>
                <w:sz w:val="18"/>
                <w:szCs w:val="18"/>
                <w:color w:val="auto"/>
              </w:rPr>
              <w:t>Standard Products Business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6"/>
        </w:trPr>
        <w:tc>
          <w:tcPr>
            <w:tcW w:w="54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Display Solutions</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4"/>
              </w:rPr>
              <w:t>46,601</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58,895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20.9%</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69,176</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w:t>
            </w:r>
          </w:p>
        </w:tc>
      </w:tr>
      <w:tr>
        <w:trPr>
          <w:trHeight w:val="216"/>
        </w:trPr>
        <w:tc>
          <w:tcPr>
            <w:tcW w:w="5400" w:type="dxa"/>
            <w:vAlign w:val="bottom"/>
          </w:tcPr>
          <w:p>
            <w:pPr>
              <w:ind w:left="720"/>
              <w:spacing w:after="0"/>
              <w:rPr>
                <w:sz w:val="20"/>
                <w:szCs w:val="20"/>
                <w:color w:val="auto"/>
              </w:rPr>
            </w:pPr>
            <w:r>
              <w:rPr>
                <w:rFonts w:ascii="Arial" w:cs="Arial" w:eastAsia="Arial" w:hAnsi="Arial"/>
                <w:sz w:val="18"/>
                <w:szCs w:val="18"/>
                <w:color w:val="auto"/>
              </w:rPr>
              <w:t>Power Solutions</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56,667</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54,011</w:t>
            </w:r>
          </w:p>
        </w:tc>
        <w:tc>
          <w:tcPr>
            <w:tcW w:w="500" w:type="dxa"/>
            <w:vAlign w:val="bottom"/>
          </w:tcPr>
          <w:p>
            <w:pPr>
              <w:jc w:val="right"/>
              <w:spacing w:after="0"/>
              <w:rPr>
                <w:sz w:val="20"/>
                <w:szCs w:val="20"/>
                <w:color w:val="auto"/>
              </w:rPr>
            </w:pPr>
            <w:r>
              <w:rPr>
                <w:rFonts w:ascii="Arial" w:cs="Arial" w:eastAsia="Arial" w:hAnsi="Arial"/>
                <w:sz w:val="18"/>
                <w:szCs w:val="18"/>
                <w:color w:val="auto"/>
              </w:rPr>
              <w:t>up</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4.9%</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39,779</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42.5%</w:t>
            </w: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Transitional Fab 3 Foundry Services(1)</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w w:val="94"/>
              </w:rPr>
              <w:t>10,608</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10,113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9,873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Gross Profit Margin</w:t>
            </w:r>
          </w:p>
        </w:tc>
        <w:tc>
          <w:tcPr>
            <w:tcW w:w="780" w:type="dxa"/>
            <w:vAlign w:val="bottom"/>
          </w:tcPr>
          <w:p>
            <w:pPr>
              <w:jc w:val="right"/>
              <w:spacing w:after="0"/>
              <w:rPr>
                <w:sz w:val="20"/>
                <w:szCs w:val="20"/>
                <w:color w:val="auto"/>
              </w:rPr>
            </w:pPr>
            <w:r>
              <w:rPr>
                <w:rFonts w:ascii="Arial" w:cs="Arial" w:eastAsia="Arial" w:hAnsi="Arial"/>
                <w:sz w:val="18"/>
                <w:szCs w:val="18"/>
                <w:color w:val="auto"/>
              </w:rPr>
              <w:t>29.8%</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27.9%</w:t>
            </w:r>
          </w:p>
        </w:tc>
        <w:tc>
          <w:tcPr>
            <w:tcW w:w="500" w:type="dxa"/>
            <w:vAlign w:val="bottom"/>
          </w:tcPr>
          <w:p>
            <w:pPr>
              <w:jc w:val="right"/>
              <w:spacing w:after="0"/>
              <w:rPr>
                <w:sz w:val="20"/>
                <w:szCs w:val="20"/>
                <w:color w:val="auto"/>
              </w:rPr>
            </w:pPr>
            <w:r>
              <w:rPr>
                <w:rFonts w:ascii="Arial" w:cs="Arial" w:eastAsia="Arial" w:hAnsi="Arial"/>
                <w:sz w:val="18"/>
                <w:szCs w:val="18"/>
                <w:color w:val="auto"/>
              </w:rPr>
              <w:t>up</w:t>
            </w:r>
          </w:p>
        </w:tc>
        <w:tc>
          <w:tcPr>
            <w:tcW w:w="1060" w:type="dxa"/>
            <w:vAlign w:val="bottom"/>
          </w:tcPr>
          <w:p>
            <w:pPr>
              <w:jc w:val="right"/>
              <w:spacing w:after="0"/>
              <w:rPr>
                <w:sz w:val="20"/>
                <w:szCs w:val="20"/>
                <w:color w:val="auto"/>
              </w:rPr>
            </w:pPr>
            <w:r>
              <w:rPr>
                <w:rFonts w:ascii="Arial" w:cs="Arial" w:eastAsia="Arial" w:hAnsi="Arial"/>
                <w:sz w:val="18"/>
                <w:szCs w:val="18"/>
                <w:color w:val="auto"/>
              </w:rPr>
              <w:t>1.9%pts</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27.0%</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2.8%pts</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 (2)</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1,627</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(2,091)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177.8%</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8,622</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81.1%</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(198)</w:t>
            </w: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(7,473)</w:t>
            </w:r>
          </w:p>
        </w:tc>
        <w:tc>
          <w:tcPr>
            <w:tcW w:w="500" w:type="dxa"/>
            <w:vAlign w:val="bottom"/>
          </w:tcPr>
          <w:p>
            <w:pPr>
              <w:jc w:val="right"/>
              <w:spacing w:after="0"/>
              <w:rPr>
                <w:sz w:val="20"/>
                <w:szCs w:val="20"/>
                <w:color w:val="auto"/>
              </w:rPr>
            </w:pPr>
            <w:r>
              <w:rPr>
                <w:rFonts w:ascii="Arial" w:cs="Arial" w:eastAsia="Arial" w:hAnsi="Arial"/>
                <w:sz w:val="18"/>
                <w:szCs w:val="18"/>
                <w:color w:val="auto"/>
              </w:rPr>
              <w:t>up</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97.4%</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29,171</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Common Share</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(0.00)</w:t>
            </w:r>
          </w:p>
        </w:tc>
        <w:tc>
          <w:tcPr>
            <w:tcW w:w="88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100.0%</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0.84</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Diluted Earnings (Loss) per Common Share</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(0.00)</w:t>
            </w: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(0.19)</w:t>
            </w:r>
          </w:p>
        </w:tc>
        <w:tc>
          <w:tcPr>
            <w:tcW w:w="500" w:type="dxa"/>
            <w:vAlign w:val="bottom"/>
          </w:tcPr>
          <w:p>
            <w:pPr>
              <w:jc w:val="right"/>
              <w:spacing w:after="0"/>
              <w:rPr>
                <w:sz w:val="20"/>
                <w:szCs w:val="20"/>
                <w:color w:val="auto"/>
              </w:rPr>
            </w:pPr>
            <w:r>
              <w:rPr>
                <w:rFonts w:ascii="Arial" w:cs="Arial" w:eastAsia="Arial" w:hAnsi="Arial"/>
                <w:sz w:val="18"/>
                <w:szCs w:val="18"/>
                <w:color w:val="auto"/>
              </w:rPr>
              <w:t>up</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100.0%</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0.65</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r>
      <w:tr>
        <w:trPr>
          <w:trHeight w:val="346"/>
        </w:trPr>
        <w:tc>
          <w:tcPr>
            <w:tcW w:w="54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center"/>
              <w:ind w:left="255"/>
              <w:spacing w:after="0"/>
              <w:rPr>
                <w:sz w:val="20"/>
                <w:szCs w:val="20"/>
                <w:color w:val="auto"/>
              </w:rPr>
            </w:pPr>
            <w:r>
              <w:rPr>
                <w:rFonts w:ascii="Arial" w:cs="Arial" w:eastAsia="Arial" w:hAnsi="Arial"/>
                <w:sz w:val="14"/>
                <w:szCs w:val="14"/>
                <w:color w:val="auto"/>
                <w:w w:val="92"/>
              </w:rPr>
              <w:t>In thousands of U.S. dollars, except share data</w:t>
            </w: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93"/>
              <w:spacing w:after="0" w:line="142" w:lineRule="exact"/>
              <w:rPr>
                <w:sz w:val="20"/>
                <w:szCs w:val="20"/>
                <w:color w:val="auto"/>
              </w:rPr>
            </w:pPr>
            <w:r>
              <w:rPr>
                <w:rFonts w:ascii="Arial" w:cs="Arial" w:eastAsia="Arial" w:hAnsi="Arial"/>
                <w:sz w:val="14"/>
                <w:szCs w:val="14"/>
                <w:b w:val="1"/>
                <w:bCs w:val="1"/>
                <w:color w:val="auto"/>
                <w:w w:val="98"/>
              </w:rPr>
              <w:t>Non-GAAP(3)</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78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93"/>
              </w:rPr>
              <w:t>Q2 2021</w:t>
            </w:r>
          </w:p>
        </w:tc>
        <w:tc>
          <w:tcPr>
            <w:tcW w:w="88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Q1 2021</w:t>
            </w:r>
          </w:p>
        </w:tc>
        <w:tc>
          <w:tcPr>
            <w:tcW w:w="1560" w:type="dxa"/>
            <w:vAlign w:val="bottom"/>
            <w:gridSpan w:val="2"/>
          </w:tcPr>
          <w:p>
            <w:pPr>
              <w:jc w:val="right"/>
              <w:ind w:right="533"/>
              <w:spacing w:after="0" w:line="142" w:lineRule="exact"/>
              <w:rPr>
                <w:sz w:val="20"/>
                <w:szCs w:val="20"/>
                <w:color w:val="auto"/>
              </w:rPr>
            </w:pPr>
            <w:r>
              <w:rPr>
                <w:rFonts w:ascii="Arial" w:cs="Arial" w:eastAsia="Arial" w:hAnsi="Arial"/>
                <w:sz w:val="14"/>
                <w:szCs w:val="14"/>
                <w:b w:val="1"/>
                <w:bCs w:val="1"/>
                <w:color w:val="auto"/>
              </w:rPr>
              <w:t>Q/Q change</w:t>
            </w:r>
          </w:p>
        </w:tc>
        <w:tc>
          <w:tcPr>
            <w:tcW w:w="8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Q2 2020</w:t>
            </w:r>
          </w:p>
        </w:tc>
        <w:tc>
          <w:tcPr>
            <w:tcW w:w="112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Y/Y change</w:t>
            </w:r>
          </w:p>
        </w:tc>
        <w:tc>
          <w:tcPr>
            <w:tcW w:w="42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9,052</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9,971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9.2%</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10,125</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r>
      <w:tr>
        <w:trPr>
          <w:trHeight w:val="216"/>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12,692</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13,504</w:t>
            </w:r>
          </w:p>
        </w:tc>
        <w:tc>
          <w:tcPr>
            <w:tcW w:w="500" w:type="dxa"/>
            <w:vAlign w:val="bottom"/>
          </w:tcPr>
          <w:p>
            <w:pPr>
              <w:jc w:val="right"/>
              <w:spacing w:after="0"/>
              <w:rPr>
                <w:sz w:val="20"/>
                <w:szCs w:val="20"/>
                <w:color w:val="auto"/>
              </w:rPr>
            </w:pPr>
            <w:r>
              <w:rPr>
                <w:rFonts w:ascii="Arial" w:cs="Arial" w:eastAsia="Arial" w:hAnsi="Arial"/>
                <w:sz w:val="18"/>
                <w:szCs w:val="18"/>
                <w:color w:val="auto"/>
              </w:rPr>
              <w:t>down</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6.0%</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12,711</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down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7,034</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9,346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down</w:t>
            </w:r>
          </w:p>
        </w:tc>
        <w:tc>
          <w:tcPr>
            <w:tcW w:w="10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24.7%</w:t>
            </w:r>
          </w:p>
        </w:tc>
        <w:tc>
          <w:tcPr>
            <w:tcW w:w="8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4,753</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Adjusted Earnings per Common Share—Diluted</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0.15</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0.22</w:t>
            </w:r>
          </w:p>
        </w:tc>
        <w:tc>
          <w:tcPr>
            <w:tcW w:w="500" w:type="dxa"/>
            <w:vAlign w:val="bottom"/>
          </w:tcPr>
          <w:p>
            <w:pPr>
              <w:jc w:val="right"/>
              <w:spacing w:after="0"/>
              <w:rPr>
                <w:sz w:val="20"/>
                <w:szCs w:val="20"/>
                <w:color w:val="auto"/>
              </w:rPr>
            </w:pPr>
            <w:r>
              <w:rPr>
                <w:rFonts w:ascii="Arial" w:cs="Arial" w:eastAsia="Arial" w:hAnsi="Arial"/>
                <w:sz w:val="18"/>
                <w:szCs w:val="18"/>
                <w:color w:val="auto"/>
              </w:rPr>
              <w:t>down</w:t>
            </w:r>
          </w:p>
        </w:tc>
        <w:tc>
          <w:tcPr>
            <w:tcW w:w="1060" w:type="dxa"/>
            <w:vAlign w:val="bottom"/>
          </w:tcPr>
          <w:p>
            <w:pPr>
              <w:jc w:val="right"/>
              <w:ind w:right="213"/>
              <w:spacing w:after="0"/>
              <w:rPr>
                <w:sz w:val="20"/>
                <w:szCs w:val="20"/>
                <w:color w:val="auto"/>
              </w:rPr>
            </w:pPr>
            <w:r>
              <w:rPr>
                <w:rFonts w:ascii="Arial" w:cs="Arial" w:eastAsia="Arial" w:hAnsi="Arial"/>
                <w:sz w:val="18"/>
                <w:szCs w:val="18"/>
                <w:color w:val="auto"/>
              </w:rPr>
              <w:t>31.8%</w:t>
            </w:r>
          </w:p>
        </w:tc>
        <w:tc>
          <w:tcPr>
            <w:tcW w:w="860" w:type="dxa"/>
            <w:vAlign w:val="bottom"/>
          </w:tcPr>
          <w:p>
            <w:pPr>
              <w:jc w:val="right"/>
              <w:ind w:right="153"/>
              <w:spacing w:after="0"/>
              <w:rPr>
                <w:sz w:val="20"/>
                <w:szCs w:val="20"/>
                <w:color w:val="auto"/>
              </w:rPr>
            </w:pPr>
            <w:r>
              <w:rPr>
                <w:rFonts w:ascii="Arial" w:cs="Arial" w:eastAsia="Arial" w:hAnsi="Arial"/>
                <w:sz w:val="18"/>
                <w:szCs w:val="18"/>
                <w:color w:val="auto"/>
              </w:rPr>
              <w:t>0.13</w:t>
            </w:r>
          </w:p>
        </w:tc>
        <w:tc>
          <w:tcPr>
            <w:tcW w:w="620" w:type="dxa"/>
            <w:vAlign w:val="bottom"/>
          </w:tcPr>
          <w:p>
            <w:pPr>
              <w:jc w:val="right"/>
              <w:ind w:right="33"/>
              <w:spacing w:after="0"/>
              <w:rPr>
                <w:sz w:val="20"/>
                <w:szCs w:val="20"/>
                <w:color w:val="auto"/>
              </w:rPr>
            </w:pPr>
            <w:r>
              <w:rPr>
                <w:rFonts w:ascii="Arial" w:cs="Arial" w:eastAsia="Arial" w:hAnsi="Arial"/>
                <w:sz w:val="18"/>
                <w:szCs w:val="18"/>
                <w:color w:val="auto"/>
              </w:rPr>
              <w:t>up</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r>
    </w:tbl>
    <w:p>
      <w:pPr>
        <w:spacing w:after="0" w:line="89" w:lineRule="exact"/>
        <w:rPr>
          <w:sz w:val="20"/>
          <w:szCs w:val="20"/>
          <w:color w:val="auto"/>
        </w:rPr>
      </w:pPr>
    </w:p>
    <w:p>
      <w:pPr>
        <w:ind w:left="424" w:right="40" w:hanging="424"/>
        <w:spacing w:after="0" w:line="257"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Following the consummation of the sale of the Foundry Services Group business and Fab 4 in Q3 2020, and for a period of up to three years, the Company will provide transitional foundry services to the buyer for foundry products manufactured in the Company’s fabrication facility located in Gumi (“Transitional Fab 3 Foundry Services”). Management believes that disclosing revenue of Transitional Fab 3 Foundry Services separately from the standard products business allows investors to better understand the results of our core standard products display solutions and power solutions businesses.</w:t>
      </w:r>
    </w:p>
    <w:p>
      <w:pPr>
        <w:spacing w:after="0" w:line="93" w:lineRule="exact"/>
        <w:rPr>
          <w:rFonts w:ascii="Arial" w:cs="Arial" w:eastAsia="Arial" w:hAnsi="Arial"/>
          <w:sz w:val="18"/>
          <w:szCs w:val="18"/>
          <w:color w:val="auto"/>
        </w:rPr>
      </w:pPr>
    </w:p>
    <w:p>
      <w:pPr>
        <w:ind w:left="424" w:right="160" w:hanging="424"/>
        <w:spacing w:after="0" w:line="293" w:lineRule="auto"/>
        <w:tabs>
          <w:tab w:leader="none" w:pos="424"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Q2 and Q1 2021, respectively, operating income (loss) included non-recurring professional fees and certain transaction related expenses of $2.5 million and $9.8 million in connection with a definitive agreement (the “Merger Agreement”) that the Company entered into with South Dearborn Limited, an exempted company incorporated in the Cayman Islands with limited liability (“Parent”), formed by an affiliate of Wise Road Capital LTD, and Michigan Merger Sub, Inc., a Delaware corporation and a wholly owned subsidiary of the Parent (“Merger Sub”). The Merger Agreement provides that, among other things, Merger Sub will be merged with and into the Company (the “Merger”), with the Company continuing its corporate existence as the surviving corporation in the Merger and becoming a wholly owned subsidiary of Parent.</w:t>
      </w:r>
    </w:p>
    <w:p>
      <w:pPr>
        <w:spacing w:after="0" w:line="69" w:lineRule="exact"/>
        <w:rPr>
          <w:rFonts w:ascii="Arial" w:cs="Arial" w:eastAsia="Arial" w:hAnsi="Arial"/>
          <w:sz w:val="16"/>
          <w:szCs w:val="16"/>
          <w:color w:val="auto"/>
        </w:rPr>
      </w:pPr>
    </w:p>
    <w:p>
      <w:pPr>
        <w:ind w:left="424" w:right="80" w:hanging="424"/>
        <w:spacing w:after="0" w:line="255"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financial measures are calculated based on the results from continuing operations. 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from continuing operations or as a better indicator of our operating performance than measures that are presented in accordance with GAAP. A reconciliation of GAAP results to non-GAAP results is included in this press release.</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among others: the possibility that any or all of the conditions precedent to the consummation of the pending merger may not be satisfied or waived; unanticipated difficulties or expenditures relating to the proposed merger; the possibility that the merger may not be completed in a timely manner or at all; the diversion of and attention of Magnachip’s management on merger-related issues; legal proceedings, judgments or settlements following the announcement of the proposed merger; disruptions of current plans and operations caused by the announcement and pendency of the proposed merger; potential difficulties in employee retention due to the announcement and pendency of the proposed merger; the response of customers, suppliers, business partners and regulators to the announcement of the proposed merger; the impact of changes in macroeconomic and/or general economic conditions, including those caused by or related to the COVID-19 outbreak, recessions, economic instability and the outbreak of disease; manufacturing capacity constraints or supply chain disruptions that may impact our ability to deliver our products or affect the price of components, which may lead to an increase in our costs, as well as impacting demand for our products from customers who are similarly affected by such capacity constraints or disruptions; the impact of competitive products</w:t>
      </w:r>
    </w:p>
    <w:p>
      <w:pPr>
        <w:sectPr>
          <w:pgSz w:w="11900" w:h="16838" w:orient="portrait"/>
          <w:cols w:equalWidth="0" w:num="1">
            <w:col w:w="11024"/>
          </w:cols>
          <w:pgMar w:left="436" w:top="877" w:right="439" w:bottom="1440" w:gutter="0" w:footer="0" w:header="0"/>
        </w:sectPr>
      </w:pPr>
    </w:p>
    <w:bookmarkStart w:id="5" w:name="page6"/>
    <w:bookmarkEnd w:id="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pricing; timely design acceptance by our customers; timely introduction of new products and technologies; ability to ramp new products into volume production; industry wide shifts in supply and demand for semiconductor products; industry and/or company overcapacity or supply constraints;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change or ratification of local or international laws and regulations, including those related to environment, health and safety;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March 9, 2021 (including that the impact of the COVID-19 pandemic, trade tensions and supply constraints may also exacerbate the risks discussed therein)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Magnachip Semiconductor</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Magnachip, with more than 40 years of operating history, owns a portfolio of approximately 1,200 registered patents and pending applications, and has extensive engineering, design and manufacturing process expertise. For more information, please visit </w:t>
      </w:r>
      <w:r>
        <w:rPr>
          <w:rFonts w:ascii="Arial" w:cs="Arial" w:eastAsia="Arial" w:hAnsi="Arial"/>
          <w:sz w:val="17"/>
          <w:szCs w:val="17"/>
          <w:u w:val="single" w:color="auto"/>
          <w:color w:val="auto"/>
        </w:rPr>
        <w:t>www.magnachip.com</w:t>
      </w:r>
      <w:r>
        <w:rPr>
          <w:rFonts w:ascii="Arial" w:cs="Arial" w:eastAsia="Arial" w:hAnsi="Arial"/>
          <w:sz w:val="17"/>
          <w:szCs w:val="17"/>
          <w:color w:val="auto"/>
        </w:rPr>
        <w:t>. Information on or accessible through Magnachip’s website is not a part of, and is not incorporated into, this release.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So-Yeon Jeong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+1-408-712-6151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Investor.relations@magnachip.com</w:t>
      </w:r>
    </w:p>
    <w:p>
      <w:pPr>
        <w:sectPr>
          <w:pgSz w:w="11900" w:h="16838" w:orient="portrait"/>
          <w:cols w:equalWidth="0" w:num="1">
            <w:col w:w="10980"/>
          </w:cols>
          <w:pgMar w:left="440" w:top="274" w:right="479" w:bottom="1440" w:gutter="0" w:footer="0" w:header="0"/>
        </w:sectPr>
      </w:pPr>
    </w:p>
    <w:bookmarkStart w:id="6" w:name="page7"/>
    <w:bookmarkEnd w:id="6"/>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182880</wp:posOffset>
            </wp:positionV>
            <wp:extent cx="1071880" cy="248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28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March 31,</w:t>
            </w: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June 30,</w:t>
            </w: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1"/>
              <w:spacing w:after="0" w:line="119" w:lineRule="exact"/>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2021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Net sales – standard products business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103,268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112,906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108,955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216,174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219,691</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10,113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20,721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19,610</w:t>
            </w:r>
          </w:p>
        </w:tc>
        <w:tc>
          <w:tcPr>
            <w:tcW w:w="0" w:type="dxa"/>
            <w:vAlign w:val="bottom"/>
          </w:tcPr>
          <w:p>
            <w:pPr>
              <w:spacing w:after="0"/>
              <w:rPr>
                <w:sz w:val="1"/>
                <w:szCs w:val="1"/>
                <w:color w:val="auto"/>
              </w:rPr>
            </w:pPr>
          </w:p>
        </w:tc>
      </w:tr>
      <w:tr>
        <w:trPr>
          <w:trHeight w:val="223"/>
        </w:trPr>
        <w:tc>
          <w:tcPr>
            <w:tcW w:w="428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113,876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123,019</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118,828</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236,895</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Cost of sales – standard products business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70,409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79,247</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76,817</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149,656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158,423</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Cost of sales – transitional Fab 3 foundry services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9,390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19,610</w:t>
            </w:r>
          </w:p>
        </w:tc>
        <w:tc>
          <w:tcPr>
            <w:tcW w:w="0" w:type="dxa"/>
            <w:vAlign w:val="bottom"/>
          </w:tcPr>
          <w:p>
            <w:pPr>
              <w:spacing w:after="0"/>
              <w:rPr>
                <w:sz w:val="1"/>
                <w:szCs w:val="1"/>
                <w:color w:val="auto"/>
              </w:rPr>
            </w:pPr>
          </w:p>
        </w:tc>
      </w:tr>
      <w:tr>
        <w:trPr>
          <w:trHeight w:val="230"/>
        </w:trPr>
        <w:tc>
          <w:tcPr>
            <w:tcW w:w="4280" w:type="dxa"/>
            <w:vAlign w:val="bottom"/>
          </w:tcPr>
          <w:p>
            <w:pPr>
              <w:ind w:left="720"/>
              <w:spacing w:after="0"/>
              <w:rPr>
                <w:sz w:val="20"/>
                <w:szCs w:val="20"/>
                <w:color w:val="auto"/>
              </w:rPr>
            </w:pPr>
            <w:r>
              <w:rPr>
                <w:rFonts w:ascii="Arial" w:cs="Arial" w:eastAsia="Arial" w:hAnsi="Arial"/>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88,637</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86,690</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168,543</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178,033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34,382</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32,138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68,352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61,268</w:t>
            </w:r>
          </w:p>
        </w:tc>
        <w:tc>
          <w:tcPr>
            <w:tcW w:w="0" w:type="dxa"/>
            <w:vAlign w:val="bottom"/>
          </w:tcPr>
          <w:p>
            <w:pPr>
              <w:spacing w:after="0"/>
              <w:rPr>
                <w:sz w:val="1"/>
                <w:szCs w:val="1"/>
                <w:color w:val="auto"/>
              </w:rPr>
            </w:pPr>
          </w:p>
        </w:tc>
      </w:tr>
      <w:tr>
        <w:trPr>
          <w:trHeight w:val="202"/>
        </w:trPr>
        <w:tc>
          <w:tcPr>
            <w:tcW w:w="4280" w:type="dxa"/>
            <w:vAlign w:val="bottom"/>
          </w:tcPr>
          <w:p>
            <w:pPr>
              <w:spacing w:after="0" w:line="201" w:lineRule="exact"/>
              <w:rPr>
                <w:sz w:val="20"/>
                <w:szCs w:val="20"/>
                <w:color w:val="auto"/>
              </w:rPr>
            </w:pPr>
            <w:r>
              <w:rPr>
                <w:rFonts w:ascii="Arial" w:cs="Arial" w:eastAsia="Arial" w:hAnsi="Arial"/>
                <w:sz w:val="18"/>
                <w:szCs w:val="18"/>
                <w:color w:val="auto"/>
              </w:rPr>
              <w:t>Gross profit as a percentage of standard products</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business net sales</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Gross profit as a percentage of total revenues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12,634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12,408</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26,635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24,510</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13,322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13,423</w:t>
            </w: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26,745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21,617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10,416</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4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32,343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36,473</w:t>
            </w:r>
          </w:p>
        </w:tc>
        <w:tc>
          <w:tcPr>
            <w:tcW w:w="5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68,816</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8,622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14,587</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(5,430)</w:t>
            </w:r>
          </w:p>
        </w:tc>
        <w:tc>
          <w:tcPr>
            <w:tcW w:w="1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(4,421)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(22,502)</w:t>
            </w:r>
          </w:p>
        </w:tc>
        <w:tc>
          <w:tcPr>
            <w:tcW w:w="0" w:type="dxa"/>
            <w:vAlign w:val="bottom"/>
          </w:tcPr>
          <w:p>
            <w:pPr>
              <w:spacing w:after="0"/>
              <w:rPr>
                <w:sz w:val="1"/>
                <w:szCs w:val="1"/>
                <w:color w:val="auto"/>
              </w:rPr>
            </w:pPr>
          </w:p>
        </w:tc>
      </w:tr>
      <w:tr>
        <w:trPr>
          <w:trHeight w:val="223"/>
        </w:trPr>
        <w:tc>
          <w:tcPr>
            <w:tcW w:w="428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02"/>
        </w:trPr>
        <w:tc>
          <w:tcPr>
            <w:tcW w:w="4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from continuing operations before</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(7,183)</w:t>
            </w: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12,452</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(4,780)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(7,473)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11,774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17,397</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24,726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29,171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46,322,027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40,292,838</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35,092,312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43,324,088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34,992,734</w:t>
            </w:r>
          </w:p>
        </w:tc>
        <w:tc>
          <w:tcPr>
            <w:tcW w:w="0" w:type="dxa"/>
            <w:vAlign w:val="bottom"/>
          </w:tcPr>
          <w:p>
            <w:pPr>
              <w:spacing w:after="0"/>
              <w:rPr>
                <w:sz w:val="1"/>
                <w:szCs w:val="1"/>
                <w:color w:val="auto"/>
              </w:rPr>
            </w:pPr>
          </w:p>
        </w:tc>
      </w:tr>
      <w:tr>
        <w:trPr>
          <w:trHeight w:val="230"/>
        </w:trPr>
        <w:tc>
          <w:tcPr>
            <w:tcW w:w="4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46,322,027</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40,292,838</w:t>
            </w:r>
          </w:p>
        </w:tc>
        <w:tc>
          <w:tcPr>
            <w:tcW w:w="80" w:type="dxa"/>
            <w:vAlign w:val="bottom"/>
          </w:tcPr>
          <w:p>
            <w:pPr>
              <w:spacing w:after="0"/>
              <w:rPr>
                <w:sz w:val="20"/>
                <w:szCs w:val="20"/>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46,474,237</w:t>
            </w:r>
          </w:p>
        </w:tc>
        <w:tc>
          <w:tcPr>
            <w:tcW w:w="1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43,324,088</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34,992,734</w:t>
            </w:r>
          </w:p>
        </w:tc>
        <w:tc>
          <w:tcPr>
            <w:tcW w:w="0" w:type="dxa"/>
            <w:vAlign w:val="bottom"/>
          </w:tcPr>
          <w:p>
            <w:pPr>
              <w:spacing w:after="0"/>
              <w:rPr>
                <w:sz w:val="1"/>
                <w:szCs w:val="1"/>
                <w:color w:val="auto"/>
              </w:rPr>
            </w:pPr>
          </w:p>
        </w:tc>
      </w:tr>
    </w:tbl>
    <w:p>
      <w:pPr>
        <w:sectPr>
          <w:pgSz w:w="11900" w:h="16838" w:orient="portrait"/>
          <w:cols w:equalWidth="0" w:num="1">
            <w:col w:w="11020"/>
          </w:cols>
          <w:pgMar w:left="440" w:top="810" w:right="439" w:bottom="1440" w:gutter="0" w:footer="0" w:header="0"/>
        </w:sectPr>
      </w:pPr>
    </w:p>
    <w:bookmarkStart w:id="7" w:name="page8"/>
    <w:bookmarkEnd w:id="7"/>
    <w:p>
      <w:pPr>
        <w:jc w:val="center"/>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182880</wp:posOffset>
            </wp:positionV>
            <wp:extent cx="1071880"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28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271,880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279,940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56,730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64,390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39,039</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9,173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6,836</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7,332</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Hedge collateral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9,321</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395,935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94,721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96,383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4,520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5,626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43,069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44,541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9,739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557,553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571,690</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52,040</w:t>
            </w:r>
          </w:p>
        </w:tc>
        <w:tc>
          <w:tcPr>
            <w:tcW w:w="4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52,164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13,020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16,241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1,679</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12,398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2,181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borrowings, net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83,479</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83,040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173,618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39,520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40,462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9,588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134,922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226,090</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9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$0.01 par value, 150,000,000 shares authorized, 55,562,907 shares issued and 46,350,945</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00" w:type="dxa"/>
            <w:vAlign w:val="bottom"/>
          </w:tcPr>
          <w:p>
            <w:pPr>
              <w:ind w:left="540"/>
              <w:spacing w:after="0"/>
              <w:rPr>
                <w:sz w:val="20"/>
                <w:szCs w:val="20"/>
                <w:color w:val="auto"/>
              </w:rPr>
            </w:pPr>
            <w:r>
              <w:rPr>
                <w:rFonts w:ascii="Arial" w:cs="Arial" w:eastAsia="Arial" w:hAnsi="Arial"/>
                <w:sz w:val="18"/>
                <w:szCs w:val="18"/>
                <w:color w:val="auto"/>
                <w:w w:val="93"/>
              </w:rPr>
              <w:t>outstanding at June 30, 2021 and 44,943,854 shares issued and 35,783,347 outstanding at December 31, 2020</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556</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253,244</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163,010</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279,163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286,834</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Treasury stock, 9,211,962 shares at June 30, 2021 and 9,160,507 shares at December 31, 2020, respectively</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88"/>
              </w:rPr>
              <w:t>(109,407)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(108,397)</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3,703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422,631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345,600</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557,553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571,690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81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182880</wp:posOffset>
            </wp:positionV>
            <wp:extent cx="1071880"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28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4"/>
                <w:szCs w:val="14"/>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rPr>
              <w:t>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51"/>
              <w:spacing w:after="0" w:line="119" w:lineRule="exact"/>
              <w:rPr>
                <w:sz w:val="20"/>
                <w:szCs w:val="20"/>
                <w:color w:val="auto"/>
              </w:rPr>
            </w:pPr>
            <w:r>
              <w:rPr>
                <w:rFonts w:ascii="Arial" w:cs="Arial" w:eastAsia="Arial" w:hAnsi="Arial"/>
                <w:sz w:val="13"/>
                <w:szCs w:val="13"/>
                <w:b w:val="1"/>
                <w:bCs w:val="1"/>
                <w:color w:val="auto"/>
                <w:w w:val="99"/>
              </w:rPr>
              <w:t>June 30,</w:t>
            </w:r>
          </w:p>
        </w:tc>
        <w:tc>
          <w:tcPr>
            <w:tcW w:w="320" w:type="dxa"/>
            <w:vAlign w:val="bottom"/>
            <w:gridSpan w:val="2"/>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2"/>
              </w:rPr>
              <w:t>June 30,</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June 30,</w:t>
            </w:r>
          </w:p>
        </w:tc>
        <w:tc>
          <w:tcPr>
            <w:tcW w:w="120" w:type="dxa"/>
            <w:vAlign w:val="bottom"/>
          </w:tcPr>
          <w:p>
            <w:pPr>
              <w:spacing w:after="0"/>
              <w:rPr>
                <w:sz w:val="10"/>
                <w:szCs w:val="10"/>
                <w:color w:val="auto"/>
              </w:rPr>
            </w:pPr>
          </w:p>
        </w:tc>
      </w:tr>
      <w:tr>
        <w:trPr>
          <w:trHeight w:val="171"/>
        </w:trPr>
        <w:tc>
          <w:tcPr>
            <w:tcW w:w="8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(7,671)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5,422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3,550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10,479</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severance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10,179</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Amortization of debt issuance costs and original issue discount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(gain) on foreign currency,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26,397</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Restructuring and other charges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141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inventory reserves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2,033</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2,405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4,051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2,528</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Unbilled accounts receivable,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10,933</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(13,241)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(14,060)</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4,747</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8,741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4,947</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accounts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(6,373)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(3,980)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871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Payment of severance benefits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(4,272)</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57,065</w:t>
            </w:r>
          </w:p>
        </w:tc>
        <w:tc>
          <w:tcPr>
            <w:tcW w:w="120" w:type="dxa"/>
            <w:vAlign w:val="bottom"/>
          </w:tcPr>
          <w:p>
            <w:pPr>
              <w:spacing w:after="0"/>
              <w:rPr>
                <w:sz w:val="19"/>
                <w:szCs w:val="19"/>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Proceeds from settlement of hedge collateral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5,855</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hedge collateral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(7,841)</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Purchase of property, plant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(3,784)</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(8,842)</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intellectual property registration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Collection of guarantee deposits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guarantee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(4,884)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r>
      <w:tr>
        <w:trPr>
          <w:trHeight w:val="27"/>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(11,804)</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Acquisition of treasury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Repayment of principal portion of finance lease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7"/>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993</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(9,451)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(3,350)</w:t>
            </w:r>
          </w:p>
        </w:tc>
      </w:tr>
      <w:tr>
        <w:trPr>
          <w:trHeight w:val="27"/>
        </w:trPr>
        <w:tc>
          <w:tcPr>
            <w:tcW w:w="8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(18,314)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41,167</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290,194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279,940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151,657</w:t>
            </w:r>
          </w:p>
        </w:tc>
      </w:tr>
      <w:tr>
        <w:trPr>
          <w:trHeight w:val="223"/>
        </w:trPr>
        <w:tc>
          <w:tcPr>
            <w:tcW w:w="8000" w:type="dxa"/>
            <w:vAlign w:val="bottom"/>
          </w:tcPr>
          <w:p>
            <w:pPr>
              <w:spacing w:after="0"/>
              <w:rPr>
                <w:sz w:val="20"/>
                <w:szCs w:val="20"/>
                <w:color w:val="auto"/>
              </w:rPr>
            </w:pPr>
            <w:r>
              <w:rPr>
                <w:rFonts w:ascii="Arial" w:cs="Arial" w:eastAsia="Arial" w:hAnsi="Arial"/>
                <w:sz w:val="18"/>
                <w:szCs w:val="18"/>
                <w:color w:val="auto"/>
              </w:rPr>
              <w:t>End of the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271,880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271,880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192,824</w:t>
            </w:r>
          </w:p>
        </w:tc>
        <w:tc>
          <w:tcPr>
            <w:tcW w:w="12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810" w:right="439"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182880</wp:posOffset>
            </wp:positionV>
            <wp:extent cx="1071880" cy="248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285"/>
                    </a:xfrm>
                    <a:prstGeom prst="rect">
                      <a:avLst/>
                    </a:prstGeom>
                    <a:noFill/>
                  </pic:spPr>
                </pic:pic>
              </a:graphicData>
            </a:graphic>
          </wp:anchor>
        </w:drawing>
        <w:t>MAGNACHIP SEMICONDUCTOR CORPORATION AND SUBSIDIARIES RECONCILIATION OF OPERATING INCOME TO ADJUSTED OPERATING INCOME (In thousands of U.S. dollars)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80" w:type="dxa"/>
            <w:vAlign w:val="bottom"/>
            <w:gridSpan w:val="9"/>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119"/>
        </w:trPr>
        <w:tc>
          <w:tcPr>
            <w:tcW w:w="51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580" w:type="dxa"/>
            <w:vAlign w:val="bottom"/>
            <w:tcBorders>
              <w:top w:val="single" w:sz="8" w:color="auto"/>
            </w:tcBorders>
            <w:gridSpan w:val="2"/>
          </w:tcPr>
          <w:p>
            <w:pPr>
              <w:jc w:val="right"/>
              <w:ind w:right="80"/>
              <w:spacing w:after="0" w:line="119" w:lineRule="exact"/>
              <w:rPr>
                <w:sz w:val="20"/>
                <w:szCs w:val="20"/>
                <w:color w:val="auto"/>
              </w:rPr>
            </w:pPr>
            <w:r>
              <w:rPr>
                <w:rFonts w:ascii="Arial" w:cs="Arial" w:eastAsia="Arial" w:hAnsi="Arial"/>
                <w:sz w:val="13"/>
                <w:szCs w:val="13"/>
                <w:b w:val="1"/>
                <w:bCs w:val="1"/>
                <w:color w:val="auto"/>
                <w:w w:val="92"/>
              </w:rPr>
              <w:t>June 30,</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March 31,</w:t>
            </w:r>
          </w:p>
        </w:tc>
        <w:tc>
          <w:tcPr>
            <w:tcW w:w="6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80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June 30,</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2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$ 1,627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$14,587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Adjustments:</w:t>
            </w:r>
          </w:p>
        </w:tc>
        <w:tc>
          <w:tcPr>
            <w:tcW w:w="2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2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1,503</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2,265</w:t>
            </w:r>
          </w:p>
        </w:tc>
      </w:tr>
      <w:tr>
        <w:trPr>
          <w:trHeight w:val="216"/>
        </w:trPr>
        <w:tc>
          <w:tcPr>
            <w:tcW w:w="5120" w:type="dxa"/>
            <w:vAlign w:val="bottom"/>
          </w:tcPr>
          <w:p>
            <w:pPr>
              <w:ind w:left="360"/>
              <w:spacing w:after="0"/>
              <w:rPr>
                <w:sz w:val="20"/>
                <w:szCs w:val="20"/>
                <w:color w:val="auto"/>
              </w:rPr>
            </w:pPr>
            <w:r>
              <w:rPr>
                <w:rFonts w:ascii="Arial" w:cs="Arial" w:eastAsia="Arial" w:hAnsi="Arial"/>
                <w:sz w:val="18"/>
                <w:szCs w:val="18"/>
                <w:color w:val="auto"/>
              </w:rPr>
              <w:t>Other charges</w:t>
            </w:r>
          </w:p>
        </w:tc>
        <w:tc>
          <w:tcPr>
            <w:tcW w:w="21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10,416</w:t>
            </w:r>
          </w:p>
        </w:tc>
        <w:tc>
          <w:tcPr>
            <w:tcW w:w="100" w:type="dxa"/>
            <w:vAlign w:val="bottom"/>
          </w:tcPr>
          <w:p>
            <w:pPr>
              <w:spacing w:after="0"/>
              <w:rPr>
                <w:sz w:val="18"/>
                <w:szCs w:val="18"/>
                <w:color w:val="auto"/>
              </w:rPr>
            </w:pPr>
          </w:p>
        </w:tc>
        <w:tc>
          <w:tcPr>
            <w:tcW w:w="6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15,436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554</w:t>
            </w:r>
          </w:p>
        </w:tc>
      </w:tr>
      <w:tr>
        <w:trPr>
          <w:trHeight w:val="27"/>
        </w:trPr>
        <w:tc>
          <w:tcPr>
            <w:tcW w:w="5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2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9,052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10,125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19,023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17,406</w:t>
            </w:r>
          </w:p>
        </w:tc>
      </w:tr>
      <w:tr>
        <w:trPr>
          <w:trHeight w:val="20"/>
        </w:trPr>
        <w:tc>
          <w:tcPr>
            <w:tcW w:w="5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We present Adjusted Operating Income as a supplemental measure of our performance. We define Adjusted Operating Income for the periods indicated as operating income (loss) adjusted to exclude (i) Equity-based compensation expense and (ii) Other charges.</w:t>
      </w:r>
    </w:p>
    <w:p>
      <w:pPr>
        <w:spacing w:after="0" w:line="14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For the three and six months ended June 30, 2021, other charges of $5,020 thousand and $15,436 thousand, respectively, related to non-recurring professional service fees and expenses in connection with the Merger and regulatory requests.</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For the six months ended June 30, 2020, other charges were $554 thousand, which pertained to non-recurring professional service fees and expenses incurred in connection with certain treasury and finance initiatives.</w:t>
      </w:r>
    </w:p>
    <w:p>
      <w:pPr>
        <w:sectPr>
          <w:pgSz w:w="11900" w:h="16838" w:orient="portrait"/>
          <w:cols w:equalWidth="0" w:num="1">
            <w:col w:w="11020"/>
          </w:cols>
          <w:pgMar w:left="440" w:top="810"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6200140</wp:posOffset>
            </wp:positionH>
            <wp:positionV relativeFrom="page">
              <wp:posOffset>183515</wp:posOffset>
            </wp:positionV>
            <wp:extent cx="1071880" cy="24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071880" cy="248920"/>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12"/>
              <w:spacing w:after="0" w:line="119"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2021</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Adjustments: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9,666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2,891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EBITDA</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19,732</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Other charges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5,020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15,436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loss (gain), net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22,502</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Derivative valuation loss (gain),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11,774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2,405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4,051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charges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Foreign currency loss (gain), net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4,671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(8,469)</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4,421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22,502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Derivative valuation loss (gain), net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Adjusted Net Income</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 Basic</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0.15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Diluted</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46,322,027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40,292,838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35,092,312</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43,324,088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34,992,734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47,846,217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47,470,416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36,330,083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47,685,875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36,248,039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We present Adjusted EBITDA and Adjusted Net Income as supplemental measures of our performance. We define Adjusted EBITDA for the periods indicated as EBITDA (as defined below), adjusted to exclude (i) Equity-based compensation expense, (ii) Other charges, (iii) Foreign currency loss (gain), net and (iv) Derivative valuation loss (gain), net. EBITDA for the periods indicated is defined as Income (loss) from continuing operations before interest expense, net, income tax expense, and depreciation and amortization.</w:t>
      </w:r>
    </w:p>
    <w:p>
      <w:pPr>
        <w:spacing w:after="0" w:line="18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We present Adjusted Net Income by adjusting income (loss) from continuing operations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income (loss) from continuing operations, adjusted to exclude (i) Equity-based compensation expense, (ii) Other charges, (iii) Foreign currency loss (gain), net and (iv) Derivative valuation loss (gain), net.</w:t>
      </w:r>
    </w:p>
    <w:p>
      <w:pPr>
        <w:spacing w:after="0" w:line="1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For the three and six months ended June 30, 2021, other charges of $5,020 thousand and $15,436 thousand, respectively, related to non-recurring professional service fees and expenses in connection with the Merger and regulatory requests.</w:t>
      </w:r>
    </w:p>
    <w:p>
      <w:pPr>
        <w:spacing w:after="0" w:line="170"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For the six months ended June 30, 2020, other charges were $554 thousand, which pertained to non-recurring professional service fees and expenses incurred in connection with certain treasury and finance initiatives.</w:t>
      </w:r>
    </w:p>
    <w:sectPr>
      <w:pgSz w:w="11900" w:h="16838" w:orient="portrait"/>
      <w:cols w:equalWidth="0" w:num="1">
        <w:col w:w="11020"/>
      </w:cols>
      <w:pgMar w:left="440" w:top="81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2021-08-05T15:55:37Z</dcterms:created>
  <dcterms:modified xsi:type="dcterms:W3CDTF">2021-08-05T15:55:37Z</dcterms:modified>
</cp:coreProperties>
</file>