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October 25, 2007</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1880" w:type="dxa"/>
            <w:vAlign w:val="bottom"/>
          </w:tcPr>
          <w:p>
            <w:pPr>
              <w:jc w:val="center"/>
              <w:ind w:right="222"/>
              <w:spacing w:after="0"/>
              <w:rPr>
                <w:sz w:val="20"/>
                <w:szCs w:val="20"/>
                <w:color w:val="auto"/>
              </w:rPr>
            </w:pPr>
            <w:r>
              <w:rPr>
                <w:rFonts w:ascii="Arial" w:cs="Arial" w:eastAsia="Arial" w:hAnsi="Arial"/>
                <w:sz w:val="18"/>
                <w:szCs w:val="18"/>
                <w:b w:val="1"/>
                <w:bCs w:val="1"/>
                <w:color w:val="auto"/>
                <w:w w:val="88"/>
              </w:rPr>
              <w:t>Delaware</w:t>
            </w:r>
          </w:p>
        </w:tc>
        <w:tc>
          <w:tcPr>
            <w:tcW w:w="5280" w:type="dxa"/>
            <w:vAlign w:val="bottom"/>
          </w:tcPr>
          <w:p>
            <w:pPr>
              <w:jc w:val="center"/>
              <w:ind w:left="244"/>
              <w:spacing w:after="0"/>
              <w:rPr>
                <w:sz w:val="20"/>
                <w:szCs w:val="20"/>
                <w:color w:val="auto"/>
              </w:rPr>
            </w:pPr>
            <w:r>
              <w:rPr>
                <w:rFonts w:ascii="Arial" w:cs="Arial" w:eastAsia="Arial" w:hAnsi="Arial"/>
                <w:sz w:val="18"/>
                <w:szCs w:val="18"/>
                <w:b w:val="1"/>
                <w:bCs w:val="1"/>
                <w:color w:val="auto"/>
                <w:w w:val="88"/>
              </w:rPr>
              <w:t>333-126019-09</w:t>
            </w:r>
          </w:p>
        </w:tc>
        <w:tc>
          <w:tcPr>
            <w:tcW w:w="3020" w:type="dxa"/>
            <w:vAlign w:val="bottom"/>
          </w:tcPr>
          <w:p>
            <w:pPr>
              <w:jc w:val="center"/>
              <w:ind w:right="38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18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528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85"/>
              </w:rPr>
              <w:t>(Commission</w:t>
            </w:r>
          </w:p>
        </w:tc>
        <w:tc>
          <w:tcPr>
            <w:tcW w:w="3020" w:type="dxa"/>
            <w:vAlign w:val="bottom"/>
          </w:tcPr>
          <w:p>
            <w:pPr>
              <w:jc w:val="center"/>
              <w:ind w:righ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8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of Incorporation)</w:t>
            </w:r>
          </w:p>
        </w:tc>
        <w:tc>
          <w:tcPr>
            <w:tcW w:w="5280" w:type="dxa"/>
            <w:vAlign w:val="bottom"/>
          </w:tcPr>
          <w:p>
            <w:pPr>
              <w:jc w:val="center"/>
              <w:ind w:left="264"/>
              <w:spacing w:after="0"/>
              <w:rPr>
                <w:sz w:val="20"/>
                <w:szCs w:val="20"/>
                <w:color w:val="auto"/>
              </w:rPr>
            </w:pPr>
            <w:r>
              <w:rPr>
                <w:rFonts w:ascii="Arial" w:cs="Arial" w:eastAsia="Arial" w:hAnsi="Arial"/>
                <w:sz w:val="14"/>
                <w:szCs w:val="14"/>
                <w:b w:val="1"/>
                <w:bCs w:val="1"/>
                <w:color w:val="auto"/>
                <w:w w:val="91"/>
              </w:rPr>
              <w:t>File Number)</w:t>
            </w:r>
          </w:p>
        </w:tc>
        <w:tc>
          <w:tcPr>
            <w:tcW w:w="302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60" w:type="dxa"/>
            <w:vAlign w:val="bottom"/>
            <w:gridSpan w:val="2"/>
          </w:tcPr>
          <w:p>
            <w:pPr>
              <w:jc w:val="center"/>
              <w:ind w:left="382"/>
              <w:spacing w:after="0"/>
              <w:rPr>
                <w:sz w:val="20"/>
                <w:szCs w:val="20"/>
                <w:color w:val="auto"/>
              </w:rPr>
            </w:pPr>
            <w:r>
              <w:rPr>
                <w:rFonts w:ascii="Arial" w:cs="Arial" w:eastAsia="Arial" w:hAnsi="Arial"/>
                <w:sz w:val="18"/>
                <w:szCs w:val="18"/>
                <w:b w:val="1"/>
                <w:bCs w:val="1"/>
                <w:color w:val="auto"/>
                <w:w w:val="88"/>
              </w:rPr>
              <w:t>c/o MagnaChip Semiconductor S.A., 74, rue de Merl, B.P. 709, L-2017</w:t>
            </w:r>
          </w:p>
        </w:tc>
        <w:tc>
          <w:tcPr>
            <w:tcW w:w="3020" w:type="dxa"/>
            <w:vAlign w:val="bottom"/>
          </w:tcPr>
          <w:p>
            <w:pPr>
              <w:spacing w:after="0"/>
              <w:rPr>
                <w:sz w:val="24"/>
                <w:szCs w:val="24"/>
                <w:color w:val="auto"/>
              </w:rPr>
            </w:pPr>
          </w:p>
        </w:tc>
      </w:tr>
      <w:tr>
        <w:trPr>
          <w:trHeight w:val="231"/>
        </w:trPr>
        <w:tc>
          <w:tcPr>
            <w:tcW w:w="1880" w:type="dxa"/>
            <w:vAlign w:val="bottom"/>
          </w:tcPr>
          <w:p>
            <w:pPr>
              <w:spacing w:after="0"/>
              <w:rPr>
                <w:sz w:val="20"/>
                <w:szCs w:val="20"/>
                <w:color w:val="auto"/>
              </w:rPr>
            </w:pPr>
          </w:p>
        </w:tc>
        <w:tc>
          <w:tcPr>
            <w:tcW w:w="5280" w:type="dxa"/>
            <w:vAlign w:val="bottom"/>
          </w:tcPr>
          <w:p>
            <w:pPr>
              <w:jc w:val="center"/>
              <w:ind w:right="1344"/>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020" w:type="dxa"/>
            <w:vAlign w:val="bottom"/>
          </w:tcPr>
          <w:p>
            <w:pPr>
              <w:jc w:val="center"/>
              <w:ind w:left="18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1880" w:type="dxa"/>
            <w:vAlign w:val="bottom"/>
          </w:tcPr>
          <w:p>
            <w:pPr>
              <w:spacing w:after="0"/>
              <w:rPr>
                <w:sz w:val="15"/>
                <w:szCs w:val="15"/>
                <w:color w:val="auto"/>
              </w:rPr>
            </w:pPr>
          </w:p>
        </w:tc>
        <w:tc>
          <w:tcPr>
            <w:tcW w:w="5280" w:type="dxa"/>
            <w:vAlign w:val="bottom"/>
          </w:tcPr>
          <w:p>
            <w:pPr>
              <w:jc w:val="center"/>
              <w:ind w:right="13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20" w:type="dxa"/>
            <w:vAlign w:val="bottom"/>
          </w:tcPr>
          <w:p>
            <w:pPr>
              <w:jc w:val="center"/>
              <w:ind w:left="184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September 30, 2007, as presented in a press release dated October 25,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9840" w:type="dxa"/>
            <w:vAlign w:val="bottom"/>
            <w:gridSpan w:val="2"/>
          </w:tcPr>
          <w:p>
            <w:pPr>
              <w:ind w:left="7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20" w:type="dxa"/>
            <w:vAlign w:val="bottom"/>
            <w:shd w:val="clear" w:color="auto" w:fill="000000"/>
          </w:tcPr>
          <w:p>
            <w:pPr>
              <w:spacing w:after="0" w:line="20" w:lineRule="exact"/>
              <w:rPr>
                <w:sz w:val="1"/>
                <w:szCs w:val="1"/>
                <w:color w:val="auto"/>
              </w:rPr>
            </w:pPr>
          </w:p>
        </w:tc>
      </w:tr>
      <w:tr>
        <w:trPr>
          <w:trHeight w:val="309"/>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w w:val="91"/>
              </w:rPr>
              <w:t>Press release for MagnaChip Semiconductor LLC dated October 25, 2007, announcing the results for the third quarter ended</w:t>
            </w:r>
          </w:p>
        </w:tc>
      </w:tr>
      <w:tr>
        <w:trPr>
          <w:trHeight w:val="222"/>
        </w:trPr>
        <w:tc>
          <w:tcPr>
            <w:tcW w:w="660" w:type="dxa"/>
            <w:vAlign w:val="bottom"/>
          </w:tcPr>
          <w:p>
            <w:pPr>
              <w:spacing w:after="0"/>
              <w:rPr>
                <w:sz w:val="19"/>
                <w:szCs w:val="19"/>
                <w:color w:val="auto"/>
              </w:rPr>
            </w:pP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September 30, 2007.</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Dated: October 25, 2007</w:t>
            </w: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By: /s/ Robert Krakauer</w:t>
            </w:r>
          </w:p>
        </w:tc>
      </w:tr>
      <w:tr>
        <w:trPr>
          <w:trHeight w:val="202"/>
        </w:trPr>
        <w:tc>
          <w:tcPr>
            <w:tcW w:w="3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3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080" w:type="dxa"/>
            <w:vAlign w:val="bottom"/>
            <w:gridSpan w:val="2"/>
          </w:tcPr>
          <w:p>
            <w:pPr>
              <w:ind w:left="7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309"/>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9840" w:type="dxa"/>
            <w:vAlign w:val="bottom"/>
            <w:gridSpan w:val="4"/>
          </w:tcPr>
          <w:p>
            <w:pPr>
              <w:ind w:left="720"/>
              <w:spacing w:after="0"/>
              <w:rPr>
                <w:sz w:val="20"/>
                <w:szCs w:val="20"/>
                <w:color w:val="auto"/>
              </w:rPr>
            </w:pPr>
            <w:r>
              <w:rPr>
                <w:rFonts w:ascii="Arial" w:cs="Arial" w:eastAsia="Arial" w:hAnsi="Arial"/>
                <w:sz w:val="18"/>
                <w:szCs w:val="18"/>
                <w:color w:val="auto"/>
                <w:w w:val="91"/>
              </w:rPr>
              <w:t>Press release for MagnaChip Semiconductor LLC dated October 25, 2007, announcing the results for the third quarter ended</w:t>
            </w:r>
          </w:p>
        </w:tc>
      </w:tr>
      <w:tr>
        <w:trPr>
          <w:trHeight w:val="222"/>
        </w:trPr>
        <w:tc>
          <w:tcPr>
            <w:tcW w:w="660" w:type="dxa"/>
            <w:vAlign w:val="bottom"/>
          </w:tcPr>
          <w:p>
            <w:pPr>
              <w:spacing w:after="0"/>
              <w:rPr>
                <w:sz w:val="19"/>
                <w:szCs w:val="19"/>
                <w:color w:val="auto"/>
              </w:rPr>
            </w:pPr>
          </w:p>
        </w:tc>
        <w:tc>
          <w:tcPr>
            <w:tcW w:w="9840" w:type="dxa"/>
            <w:vAlign w:val="bottom"/>
            <w:gridSpan w:val="4"/>
          </w:tcPr>
          <w:p>
            <w:pPr>
              <w:ind w:left="720"/>
              <w:spacing w:after="0"/>
              <w:rPr>
                <w:sz w:val="20"/>
                <w:szCs w:val="20"/>
                <w:color w:val="auto"/>
              </w:rPr>
            </w:pPr>
            <w:r>
              <w:rPr>
                <w:rFonts w:ascii="Arial" w:cs="Arial" w:eastAsia="Arial" w:hAnsi="Arial"/>
                <w:sz w:val="18"/>
                <w:szCs w:val="18"/>
                <w:color w:val="auto"/>
              </w:rPr>
              <w:t>September 30, 2007.</w:t>
            </w:r>
          </w:p>
        </w:tc>
      </w:tr>
    </w:tbl>
    <w:p>
      <w:pPr>
        <w:sectPr>
          <w:pgSz w:w="11900" w:h="16838" w:orient="portrait"/>
          <w:cols w:equalWidth="0" w:num="1">
            <w:col w:w="10500"/>
          </w:cols>
          <w:pgMar w:left="700" w:top="257"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118110</wp:posOffset>
            </wp:positionV>
            <wp:extent cx="233235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Seoul, South Korea, October 25, 2007 </w:t>
      </w:r>
      <w:r>
        <w:rPr>
          <w:rFonts w:ascii="Arial" w:cs="Arial" w:eastAsia="Arial" w:hAnsi="Arial"/>
          <w:sz w:val="16"/>
          <w:szCs w:val="16"/>
          <w:color w:val="auto"/>
        </w:rPr>
        <w:t>– MagnaChip Semiconductor today announced results for the third quarter ended September 30, 2007.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September 30, 2007 was $200 million, compared to $171.3 million in the third quarter of 2006.</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Gross margin was $31.3 million or 15.6% of revenue for the quarter ended September 30, 2007, compared to $ 20.9 million or 12.2% of revenue for the third quarter of 2006.</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expenses for the third quarter of 2007 were $57.0 million or 28.5% of revenue, compared to $55.1 million or 32.2% of revenue for the third quarter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$25.7 million during the current quarter, compared to an operating loss of $34.2 million in the prior year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third quarter of 2007 was $15.3 million, compared to $13.9 million in the third quarter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September 30, 2007 was $38.8 million, compared to a net loss of $47.7 million in the third quarter of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2007 MagnaChip filed a Form 8-K with the SEC detailing the amendment of its exisiting credit facility.</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Sang Park, Chairman and CEO of MagnaChip Semiconductor, commented, “We are pleased with how the third quarter developed. Revenue came in above prior guidance, which called for flat revenue in the third quarter compared to $194.1 million in the second quarter. We saw continued improvements in design wins and product development, as our operational execution continued to strengthen. As a company, we remain highly focused on delivering distinctive mixed signal and analog product and service solutions to our customers and on making 2007 the year of MagnaChip’s recovery. Going forward, we expect to benefit from share gains at current and new customer accounts and from seasonal holiday demand increases.”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Robert Krakauer, President and CFO of MagnaChip Semiconductor, said, “As with last quarter, the overachievement of our financial targets is a result of operational changes made some time ago. You are now seeing the continued and consistent results from a more rigorous new product introduction process, quality process and attention to our key customers needs. As we go forward, we expect improved utilization rates and ongoing cost management initiatives to translate into improved financial performance, as we capture the operating leverage in our business model.”</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Conference Call / Webcast Details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MagnaChip will report full results for the third quarter 2007 on Thursday, October 25, 2007 at 10:00 a.m. in New York (11:00 p.m., Thursday, October 25, 2007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689-8560. A replay of the call will be available in two hours after the call through midnight on Thursday, November 1, 2007 in New York (1 p.m. on Friday, November 2, 2007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612-7415. The account number to access the replay is 3055 and the conference ID number is 257699,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For more information, visit www.magnachip.com.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annual report on Form 10-K for the year ended December 31, 2006.</w:t>
      </w:r>
    </w:p>
    <w:p>
      <w:pPr>
        <w:spacing w:after="0" w:line="12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Pasquale, EVP at The Ruth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2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2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200,045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$171,283</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168,702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150,422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31,343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33,437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32,016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(25,738)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(34,231)</w:t>
            </w: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Interest expenses, net</w:t>
            </w: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(15,336)</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(13,946)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20" w:type="dxa"/>
            <w:vAlign w:val="bottom"/>
            <w:shd w:val="clear" w:color="auto" w:fill="CCEEFF"/>
          </w:tcPr>
          <w:p>
            <w:pPr>
              <w:spacing w:after="0"/>
              <w:rPr>
                <w:sz w:val="18"/>
                <w:szCs w:val="18"/>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(36,219)</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(46,020)</w:t>
            </w: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CEEFF"/>
          </w:tcPr>
          <w:p>
            <w:pPr>
              <w:spacing w:after="0"/>
              <w:rPr>
                <w:sz w:val="18"/>
                <w:szCs w:val="18"/>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(38,766)</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 (47,718)</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20" w:type="dxa"/>
            <w:vAlign w:val="bottom"/>
            <w:shd w:val="clear" w:color="auto" w:fill="CCEEFF"/>
          </w:tcPr>
          <w:p>
            <w:pPr>
              <w:spacing w:after="0"/>
              <w:rPr>
                <w:sz w:val="18"/>
                <w:szCs w:val="18"/>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(41,776)</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 (50,449)</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(0.79)</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52,814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52,721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Ratios &amp; Information: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48,812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42,972</w:t>
            </w:r>
          </w:p>
        </w:tc>
        <w:tc>
          <w:tcPr>
            <w:tcW w:w="2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39,962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7,510</w:t>
            </w:r>
          </w:p>
        </w:tc>
        <w:tc>
          <w:tcPr>
            <w:tcW w:w="22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87"/>
              </w:rPr>
              <w:t>September 30, 2007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October 1, 2006</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87"/>
              </w:rPr>
              <w:t>Operating</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0"/>
              </w:rPr>
              <w:t>Operating</w:t>
            </w: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Profit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$31,343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(25,738)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 (38,766)</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$20,861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(34,231)</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 (47,718)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special items</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Non-US GAAP Profit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31,343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(25,738)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(38,766)</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20,861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(33,967)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(47,454)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Adjusted Gross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Expense - % of Revenue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Non-US GAAP adjusted condensed consolidated statements of operations are intended to present the Company’s operating results, excluding special items. There is no special items in 2007 and in 2006 the special item was due to termination benefits provided for certain employees under an early retirement program.</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61,934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124,342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298,201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281,022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742,260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152,934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1,068,224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(452,201)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(284,541)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940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(151,072)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$(183,672)</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138,787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Gain on foreign currency translation, net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(9,623)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long-term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Changes in accounts and other receivable</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(46,699)</w:t>
            </w:r>
          </w:p>
        </w:tc>
        <w:tc>
          <w:tcPr>
            <w:tcW w:w="740" w:type="dxa"/>
            <w:vAlign w:val="bottom"/>
          </w:tcPr>
          <w:p>
            <w:pPr>
              <w:jc w:val="right"/>
              <w:spacing w:after="0"/>
              <w:rPr>
                <w:sz w:val="20"/>
                <w:szCs w:val="20"/>
                <w:color w:val="auto"/>
              </w:rPr>
            </w:pPr>
            <w:r>
              <w:rPr>
                <w:rFonts w:ascii="Arial" w:cs="Arial" w:eastAsia="Arial" w:hAnsi="Arial"/>
                <w:sz w:val="18"/>
                <w:szCs w:val="18"/>
                <w:color w:val="auto"/>
              </w:rPr>
              <w:t>40,034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inventories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Changes in accounts and other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51,687</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(56,825)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accrued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8,014</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7"/>
        </w:trPr>
        <w:tc>
          <w:tcPr>
            <w:tcW w:w="9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Repurchase of common units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borrowings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Repayment of short-term borrowings</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50,508</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88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740" w:type="dxa"/>
            <w:vAlign w:val="bottom"/>
          </w:tcPr>
          <w:p>
            <w:pPr>
              <w:jc w:val="right"/>
              <w:spacing w:after="0"/>
              <w:rPr>
                <w:sz w:val="20"/>
                <w:szCs w:val="20"/>
                <w:color w:val="auto"/>
              </w:rPr>
            </w:pPr>
            <w:r>
              <w:rPr>
                <w:rFonts w:ascii="Arial" w:cs="Arial" w:eastAsia="Arial" w:hAnsi="Arial"/>
                <w:sz w:val="18"/>
                <w:szCs w:val="18"/>
                <w:color w:val="auto"/>
              </w:rPr>
              <w:t>4,862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End of the period</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61,934</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$ 107,489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2019-12-12T04:17:53Z</dcterms:created>
  <dcterms:modified xsi:type="dcterms:W3CDTF">2019-12-12T04:17:53Z</dcterms:modified>
</cp:coreProperties>
</file>