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65" w:lineRule="exact"/>
        <w:rPr>
          <w:sz w:val="24"/>
          <w:szCs w:val="24"/>
          <w:color w:val="auto"/>
        </w:rPr>
      </w:pPr>
    </w:p>
    <w:p>
      <w:pPr>
        <w:ind w:left="4060" w:right="3840" w:hanging="4052"/>
        <w:spacing w:after="0" w:line="530" w:lineRule="auto"/>
        <w:tabs>
          <w:tab w:leader="none" w:pos="448"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March 30, 2008</w:t>
      </w:r>
    </w:p>
    <w:p>
      <w:pPr>
        <w:jc w:val="center"/>
        <w:ind w:right="-23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820"/>
        <w:spacing w:after="0"/>
        <w:tabs>
          <w:tab w:leader="none" w:pos="6660" w:val="left"/>
          <w:tab w:leader="none" w:pos="75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1034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4415"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 See the definitions of “large accelerated filer,” “accelerated filer” and “smaller reporting company” in Rule 12b-2 of the Exchange Act.</w:t>
      </w:r>
    </w:p>
    <w:p>
      <w:pPr>
        <w:sectPr>
          <w:pgSz w:w="11900" w:h="16838" w:orient="portrait"/>
          <w:cols w:equalWidth="0" w:num="1">
            <w:col w:w="11200"/>
          </w:cols>
          <w:pgMar w:left="240" w:top="230" w:right="459" w:bottom="1440" w:gutter="0" w:footer="0" w:header="0"/>
        </w:sectPr>
      </w:pPr>
    </w:p>
    <w:p>
      <w:pPr>
        <w:spacing w:after="0" w:line="126" w:lineRule="exact"/>
        <w:rPr>
          <w:sz w:val="24"/>
          <w:szCs w:val="24"/>
          <w:color w:val="auto"/>
        </w:rPr>
      </w:pPr>
    </w:p>
    <w:p>
      <w:pPr>
        <w:ind w:left="7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(Do not check if a</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69" w:lineRule="exact"/>
        <w:rPr>
          <w:sz w:val="24"/>
          <w:szCs w:val="24"/>
          <w:color w:val="auto"/>
        </w:rPr>
      </w:pPr>
    </w:p>
    <w:p>
      <w:pPr>
        <w:sectPr>
          <w:pgSz w:w="11900" w:h="16838" w:orient="portrait"/>
          <w:cols w:equalWidth="0" w:num="7">
            <w:col w:w="2320" w:space="100"/>
            <w:col w:w="400" w:space="720"/>
            <w:col w:w="1180" w:space="80"/>
            <w:col w:w="680" w:space="720"/>
            <w:col w:w="1940" w:space="360"/>
            <w:col w:w="1920" w:space="100"/>
            <w:col w:w="680"/>
          </w:cols>
          <w:pgMar w:left="240" w:top="230" w:right="45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440" w:space="160"/>
            <w:col w:w="500" w:space="200"/>
            <w:col w:w="1900"/>
          </w:cols>
          <w:pgMar w:left="240" w:top="230" w:right="45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March 31, 2008, the registrant had 52,919,107.7970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277"/>
        </w:trPr>
        <w:tc>
          <w:tcPr>
            <w:tcW w:w="27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14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60" w:type="dxa"/>
            <w:vAlign w:val="bottom"/>
            <w:tcBorders>
              <w:top w:val="single" w:sz="8" w:color="0000EE"/>
            </w:tcBorders>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9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Unitholders’ Equity</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2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44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56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2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4T.</w:t>
            </w:r>
          </w:p>
        </w:tc>
        <w:tc>
          <w:tcPr>
            <w:tcW w:w="95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4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PART II OTHER INFORMATION</w:t>
              </w:r>
            </w:hyperlink>
          </w:p>
        </w:tc>
        <w:tc>
          <w:tcPr>
            <w:tcW w:w="842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50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50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26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40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822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140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3"/>
        </w:trPr>
        <w:tc>
          <w:tcPr>
            <w:tcW w:w="10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20" w:type="dxa"/>
            <w:vAlign w:val="bottom"/>
            <w:gridSpan w:val="14"/>
          </w:tcPr>
          <w:p>
            <w:pPr>
              <w:ind w:left="428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20" w:type="dxa"/>
            <w:vAlign w:val="bottom"/>
          </w:tcPr>
          <w:p>
            <w:pPr>
              <w:jc w:val="center"/>
              <w:ind w:left="1832"/>
              <w:spacing w:after="0"/>
              <w:rPr>
                <w:sz w:val="20"/>
                <w:szCs w:val="20"/>
                <w:color w:val="auto"/>
              </w:rPr>
            </w:pPr>
            <w:r>
              <w:rPr>
                <w:rFonts w:ascii="Arial" w:cs="Arial" w:eastAsia="Arial" w:hAnsi="Arial"/>
                <w:sz w:val="18"/>
                <w:szCs w:val="18"/>
                <w:b w:val="1"/>
                <w:bCs w:val="1"/>
                <w:color w:val="auto"/>
                <w:w w:val="99"/>
              </w:rPr>
              <w:t>PART I. FINANCIAL INFORMATION</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Pr>
          <w:p>
            <w:pPr>
              <w:jc w:val="center"/>
              <w:ind w:left="185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20" w:type="dxa"/>
            <w:vAlign w:val="bottom"/>
          </w:tcPr>
          <w:p>
            <w:pPr>
              <w:jc w:val="center"/>
              <w:ind w:left="185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2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(Unaudited; in thousands of US dollars, except unit data)</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March 30,</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203,052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7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155,186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6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19,224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7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(42,924)</w:t>
            </w:r>
          </w:p>
        </w:tc>
        <w:tc>
          <w:tcPr>
            <w:tcW w:w="0" w:type="dxa"/>
            <w:vAlign w:val="bottom"/>
          </w:tcPr>
          <w:p>
            <w:pPr>
              <w:spacing w:after="0"/>
              <w:rPr>
                <w:sz w:val="1"/>
                <w:szCs w:val="1"/>
                <w:color w:val="auto"/>
              </w:rPr>
            </w:pPr>
          </w:p>
        </w:tc>
      </w:tr>
      <w:tr>
        <w:trPr>
          <w:trHeight w:val="222"/>
        </w:trPr>
        <w:tc>
          <w:tcPr>
            <w:tcW w:w="84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(42,864)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(64,731)</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(67,897)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(69,852)</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units—Basic and diluted</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3"/>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units—Basic and diluted</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52,579,237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52,720,784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March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693,943</w:t>
            </w:r>
          </w:p>
        </w:tc>
        <w:tc>
          <w:tcPr>
            <w:tcW w:w="220" w:type="dxa"/>
            <w:vAlign w:val="bottom"/>
          </w:tcPr>
          <w:p>
            <w:pPr>
              <w:spacing w:after="0"/>
              <w:rPr>
                <w:sz w:val="19"/>
                <w:szCs w:val="19"/>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1,089,310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89"/>
              </w:rPr>
              <w:t>Series A redeemable convertible preferred units; $1,000 par value; 60,000 units authorized, 50,091 units issued and 0 unit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Arial" w:cs="Arial" w:eastAsia="Arial" w:hAnsi="Arial"/>
                <w:sz w:val="18"/>
                <w:szCs w:val="18"/>
                <w:color w:val="auto"/>
              </w:rPr>
              <w:t>outstanding at March 30, 2008 and December 31, 2007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Series B redeemable convertible preferred units; $1,000 par value; 550,000 units authorized, 450,692 units issued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93,997 units outstanding at March 30, 2008 and December 31, 2007</w:t>
            </w: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w w:val="92"/>
              </w:rPr>
              <w:t>Common units; $1 par value; 65,000,000 units authorized, 52,847,472 and 52,844,222 units issued and outstanding at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640"/>
              <w:spacing w:after="0"/>
              <w:rPr>
                <w:sz w:val="20"/>
                <w:szCs w:val="20"/>
                <w:color w:val="auto"/>
              </w:rPr>
            </w:pPr>
            <w:r>
              <w:rPr>
                <w:rFonts w:ascii="Arial" w:cs="Arial" w:eastAsia="Arial" w:hAnsi="Arial"/>
                <w:sz w:val="18"/>
                <w:szCs w:val="18"/>
                <w:color w:val="auto"/>
              </w:rPr>
              <w:t>March 30, 2008 and December 31, 2007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52,844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(635,464)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(564,449)</w:t>
            </w: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6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(527,890)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r>
      <w:tr>
        <w:trPr>
          <w:trHeight w:val="28"/>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30, 2008</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January 1, 2008</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52,844,222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$52,844</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(564,449)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31,049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$(477,479)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(10,563)</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(67,897)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22,186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(47,354)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March 30, 2008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52,847,472</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52,847</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(635,464)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51,592</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April 1, 2007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January 1, 2007</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$52,721</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(370,314)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30,601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$(284,541)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impact from adoption of FASB Interpretation (“FIN”)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xml:space="preserve">No 48, </w:t>
            </w:r>
            <w:r>
              <w:rPr>
                <w:rFonts w:ascii="Arial" w:cs="Arial" w:eastAsia="Arial" w:hAnsi="Arial"/>
                <w:sz w:val="18"/>
                <w:szCs w:val="18"/>
                <w:i w:val="1"/>
                <w:iCs w:val="1"/>
                <w:color w:val="auto"/>
              </w:rPr>
              <w:t>Accounting for Uncertainty in Income Taxes-an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interpretation of SFAS No. 109</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(66,982)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(66,045)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1, 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(441,720)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March 30,</w:t>
            </w:r>
          </w:p>
        </w:tc>
        <w:tc>
          <w:tcPr>
            <w:tcW w:w="66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(67,897)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(66,982)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21,277</w:t>
            </w:r>
          </w:p>
        </w:tc>
        <w:tc>
          <w:tcPr>
            <w:tcW w:w="660" w:type="dxa"/>
            <w:vAlign w:val="bottom"/>
          </w:tcPr>
          <w:p>
            <w:pPr>
              <w:jc w:val="right"/>
              <w:spacing w:after="0"/>
              <w:rPr>
                <w:sz w:val="20"/>
                <w:szCs w:val="20"/>
                <w:color w:val="auto"/>
              </w:rPr>
            </w:pPr>
            <w:r>
              <w:rPr>
                <w:rFonts w:ascii="Arial" w:cs="Arial" w:eastAsia="Arial" w:hAnsi="Arial"/>
                <w:sz w:val="18"/>
                <w:szCs w:val="18"/>
                <w:color w:val="auto"/>
              </w:rPr>
              <w:t>43,942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992</w:t>
            </w:r>
          </w:p>
        </w:tc>
        <w:tc>
          <w:tcPr>
            <w:tcW w:w="66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foreign currency translation, net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Gain on disposal of property, plant and equipment, net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(3,580)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(25,313)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7,072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(3,706)</w:t>
            </w: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operating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(9,633)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intellectual property registration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3,581</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units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borrowings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80" w:type="dxa"/>
            <w:vAlign w:val="bottom"/>
            <w:gridSpan w:val="2"/>
            <w:vMerge w:val="continue"/>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64,345</w:t>
            </w:r>
          </w:p>
        </w:tc>
        <w:tc>
          <w:tcPr>
            <w:tcW w:w="660" w:type="dxa"/>
            <w:vAlign w:val="bottom"/>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$ 53,476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$ 59,264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2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 results of operations for the three-month period ended March 30, 2008 are not necessarily indicative of the results to be expected for a full year or for any other periods.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year-end condensed balance sheet data was derived from audited financial statements, but does not include all disclosures required by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The Company is currently evaluating the potential impact, if any, of the adoption of SFAS 141R on its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The Company is currently evaluating the potential impact, if any, of the adoption of SFAS 160 on its consolidated financial statements.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February 2007, the FASB issued SFAS No. 159, “</w:t>
      </w:r>
      <w:r>
        <w:rPr>
          <w:rFonts w:ascii="Arial" w:cs="Arial" w:eastAsia="Arial" w:hAnsi="Arial"/>
          <w:sz w:val="18"/>
          <w:szCs w:val="18"/>
          <w:i w:val="1"/>
          <w:iCs w:val="1"/>
          <w:color w:val="auto"/>
        </w:rPr>
        <w:t>The Fair Value Option for Financial Assets and Financial Liabilities –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(“SFAS 159”), which permits all entities to choose to measure many financial instruments and certain other items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report unrealized gains and losses on these items in earnings. SFAS 159 was effective for the Company’s fiscal year beginning January 1, 2008. The Company has not elected to adopt SFAS 159.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the Company’s adoption of this standard in 2008 was limited to financial assets and liabilities, which primarily affects the valuation of its derivative contract. The adoption of SFAS 157 did not have a material effect on the Company’s financial condition or results of operations. The Company is still in the process of evaluating this standard with respect to its effect on nonfinancial assets and liabilities and therefore has not yet determined the impact that it will have on its consolidated financial statements upon full adoption in 2009. Nonfinancial assets and liabilities for which the Company has not applied the provisions of SFAS 157 include those measured at fair value in impairment testing and those initially measured at fair value in a business combination.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March 30, 2008 and December 31, 2007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March 30,</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$ 16,026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52,717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$ 64,925</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as of March 30, 2008 and December 31, 2007 comprise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March 30,</w:t>
            </w:r>
          </w:p>
        </w:tc>
        <w:tc>
          <w:tcPr>
            <w:tcW w:w="2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$ 142,342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409,826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606,743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(357,510)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(367,501)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$ 260,978</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Intangible Assets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Intangible assets as of March 30, 2008 and December 31, 2007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March 30,</w:t>
            </w:r>
          </w:p>
        </w:tc>
        <w:tc>
          <w:tcPr>
            <w:tcW w:w="26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161,832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(112,652)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(109,297)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92,522</w:t>
            </w: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Goodwill has resulted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written down to fair value based on discounted cash flows. The Company performs its annual goodwill impairment test during the first quarter of each fiscal year, as well as any additional impairment test required on an event-driven basis. In the first quarter of each of fiscal 2008 and 2007, the Company performed its annual goodwill impairment test and determined that goodwill was not impaired.</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borrowings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As of March 30, 2008 and December 31, 2007, the Company had borrowed $80 million under this credit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borrowings as of March 30, 2008 and December 31, 2007 are presented as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Amount of principal</w:t>
            </w:r>
          </w:p>
        </w:tc>
        <w:tc>
          <w:tcPr>
            <w:tcW w:w="0" w:type="dxa"/>
            <w:vAlign w:val="bottom"/>
          </w:tcPr>
          <w:p>
            <w:pPr>
              <w:spacing w:after="0"/>
              <w:rPr>
                <w:sz w:val="1"/>
                <w:szCs w:val="1"/>
                <w:color w:val="auto"/>
              </w:rPr>
            </w:pPr>
          </w:p>
        </w:tc>
      </w:tr>
      <w:tr>
        <w:trPr>
          <w:trHeight w:val="129"/>
        </w:trPr>
        <w:tc>
          <w:tcPr>
            <w:tcW w:w="54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30,</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20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Annual interest rate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202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2008-04- 28</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 month LIBOR + 4.75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$ 45,000</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ABR Revolving Loan</w:t>
            </w:r>
          </w:p>
        </w:tc>
        <w:tc>
          <w:tcPr>
            <w:tcW w:w="2020" w:type="dxa"/>
            <w:vAlign w:val="bottom"/>
          </w:tcPr>
          <w:p>
            <w:pPr>
              <w:jc w:val="right"/>
              <w:spacing w:after="0"/>
              <w:rPr>
                <w:sz w:val="20"/>
                <w:szCs w:val="20"/>
                <w:color w:val="auto"/>
              </w:rPr>
            </w:pPr>
            <w:r>
              <w:rPr>
                <w:rFonts w:ascii="Arial" w:cs="Arial" w:eastAsia="Arial" w:hAnsi="Arial"/>
                <w:sz w:val="18"/>
                <w:szCs w:val="18"/>
                <w:color w:val="auto"/>
                <w:w w:val="91"/>
              </w:rPr>
              <w:t>2008-03- 31 ~ 2008-04-15</w:t>
            </w:r>
          </w:p>
        </w:tc>
        <w:tc>
          <w:tcPr>
            <w:tcW w:w="220" w:type="dxa"/>
            <w:vAlign w:val="bottom"/>
          </w:tcPr>
          <w:p>
            <w:pPr>
              <w:spacing w:after="0"/>
              <w:rPr>
                <w:sz w:val="19"/>
                <w:szCs w:val="19"/>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ABR + 3.75</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$ 80,000</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20" w:type="dxa"/>
            <w:vAlign w:val="bottom"/>
            <w:vMerge w:val="restart"/>
          </w:tcPr>
          <w:p>
            <w:pPr>
              <w:jc w:val="right"/>
              <w:ind w:right="1597"/>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March 30, 2008 and December 31, 2007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are due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March 30, 2008, the Company and all of its subsidiaries except for MagnaChip Semiconductor (Shanghai) Company Limited have jointly and severally guaranteed each series of the Second Priority Senior Secured Notes on a second priority senior secured basis. As of March 30, 2008,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(the “Notes”). Under the terms of the Swap, the Company receives a variable interest rate equal to the three-month LIBOR rate plus 3.25%. In exchange, the Company pays interest at a fixed rate of 7.34%. The Swap effectively replaces the variable interest rate on the notes with a fixed interest rate through the expiration date of the Swap on June 15, 2008.</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Swap qualifies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since at both the inception of the hedge and on an ongoing basis, the hedging relationship was and is expected to be highly effective in achieving offsetting cash flows attributable to the hedged risk during the term of the hedge.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 and there was no hedge ineffectiveness for the quarters ended March 30, 2008 and April 1, 2007.</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adopted SFAS 157 on January 1, 2008, which among other things, requires enhanced disclosures about assets and liabilities measured at fair value. The adoption of SFAS 157 was limited to financial assets and liabilities, which primarily relate to its derivative contract.</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 The three levels are defined as follows:</w:t>
      </w:r>
    </w:p>
    <w:p>
      <w:pPr>
        <w:spacing w:after="0" w:line="59"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and liabilities.</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Observable inputs other than those included in Level 1. For example, quoted prices for similar assets or liabilities in active markets or quoted prices for identical assets or liabilities in inactive markets.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Unobservable inputs reflecting management’s own assumptions about the inputs used in pricing the asset or liability.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represents the Company’s liabilities measured at fair value based on the LIBOR index on a recurring basis as of March 30, 2008 and the basis for that measurement: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Total</w:t>
            </w:r>
          </w:p>
        </w:tc>
        <w:tc>
          <w:tcPr>
            <w:tcW w:w="3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4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84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Measurement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Identical Asset</w:t>
            </w:r>
          </w:p>
        </w:tc>
        <w:tc>
          <w:tcPr>
            <w:tcW w:w="740" w:type="dxa"/>
            <w:vAlign w:val="bottom"/>
          </w:tcPr>
          <w:p>
            <w:pPr>
              <w:spacing w:after="0"/>
              <w:rPr>
                <w:sz w:val="12"/>
                <w:szCs w:val="12"/>
                <w:color w:val="auto"/>
              </w:rPr>
            </w:pPr>
          </w:p>
        </w:tc>
        <w:tc>
          <w:tcPr>
            <w:tcW w:w="14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3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484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March 30, 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6"/>
              <w:spacing w:after="0"/>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(Level 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26"/>
              <w:spacing w:after="0"/>
              <w:rPr>
                <w:sz w:val="20"/>
                <w:szCs w:val="20"/>
                <w:color w:val="auto"/>
              </w:rPr>
            </w:pPr>
            <w:r>
              <w:rPr>
                <w:rFonts w:ascii="Arial" w:cs="Arial" w:eastAsia="Arial" w:hAnsi="Arial"/>
                <w:sz w:val="14"/>
                <w:szCs w:val="14"/>
                <w:b w:val="1"/>
                <w:bCs w:val="1"/>
                <w:color w:val="auto"/>
                <w:w w:val="87"/>
              </w:rPr>
              <w:t>(Level 3)</w:t>
            </w:r>
          </w:p>
        </w:tc>
      </w:tr>
      <w:tr>
        <w:trPr>
          <w:trHeight w:val="20"/>
        </w:trPr>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resulting $951 thousand of derivative liability and $992 thousand of derivative asset were recorded as current liabilities as of March 30, 2008 and current assets as of December 31, 2007, respectively, in the accompanying condensed consolidated financial statements. The Company recorded decreases in the fair value of $1,643 thousand and $917 thousand in the fair value of the swap under other comprehensive income in the accompanying condensed consolidated financial statements for the quarter ended March 30, 2008 and April 1, 2007,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March 30, 2008, 98%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86"/>
              </w:rPr>
              <w:t>March 30,</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$ 75,869</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Provisions</w:t>
            </w:r>
          </w:p>
        </w:tc>
        <w:tc>
          <w:tcPr>
            <w:tcW w:w="580" w:type="dxa"/>
            <w:vAlign w:val="bottom"/>
          </w:tcPr>
          <w:p>
            <w:pPr>
              <w:jc w:val="right"/>
              <w:spacing w:after="0"/>
              <w:rPr>
                <w:sz w:val="20"/>
                <w:szCs w:val="20"/>
                <w:color w:val="auto"/>
              </w:rPr>
            </w:pPr>
            <w:r>
              <w:rPr>
                <w:rFonts w:ascii="Arial" w:cs="Arial" w:eastAsia="Arial" w:hAnsi="Arial"/>
                <w:sz w:val="18"/>
                <w:szCs w:val="18"/>
                <w:color w:val="auto"/>
              </w:rPr>
              <w:t>3,734</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foreign currency translation and other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(759)</w:t>
            </w: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73,672</w:t>
            </w:r>
          </w:p>
        </w:tc>
        <w:tc>
          <w:tcPr>
            <w:tcW w:w="5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65,101</w:t>
            </w:r>
          </w:p>
        </w:tc>
        <w:tc>
          <w:tcPr>
            <w:tcW w:w="60" w:type="dxa"/>
            <w:vAlign w:val="bottom"/>
            <w:shd w:val="clear" w:color="auto" w:fill="CCEEFF"/>
          </w:tcPr>
          <w:p>
            <w:pPr>
              <w:spacing w:after="0"/>
              <w:rPr>
                <w:sz w:val="18"/>
                <w:szCs w:val="18"/>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(819)</w:t>
            </w:r>
          </w:p>
        </w:tc>
      </w:tr>
      <w:tr>
        <w:trPr>
          <w:trHeight w:val="217"/>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Group Severance insurance plan</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$ 72,100</w:t>
            </w: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63,381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severance benefits are funded approximately 2.13% and 2.64% as of March 30, 2008 and April 1,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2012</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2014 – 2018</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7,480</w:t>
            </w:r>
          </w:p>
        </w:tc>
      </w:tr>
    </w:tbl>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month periods ended March 30, 2008 and April 1,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84"/>
              </w:rPr>
              <w:t>Three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6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rPr>
              <w:t>March 30,</w:t>
            </w:r>
          </w:p>
        </w:tc>
        <w:tc>
          <w:tcPr>
            <w:tcW w:w="14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92"/>
              </w:rPr>
              <w:t>April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$ 129,405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3,118</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$ 132,523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three-month periods ended March 30, 2008 and April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5"/>
              </w:rPr>
              <w:t>March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April 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(69,852)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52,579,237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52,720,784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restricted units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9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398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March 30,</w:t>
            </w:r>
          </w:p>
        </w:tc>
        <w:tc>
          <w:tcPr>
            <w:tcW w:w="8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5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Options</w:t>
            </w:r>
          </w:p>
        </w:tc>
        <w:tc>
          <w:tcPr>
            <w:tcW w:w="5660" w:type="dxa"/>
            <w:vAlign w:val="bottom"/>
            <w:gridSpan w:val="3"/>
          </w:tcPr>
          <w:p>
            <w:pPr>
              <w:jc w:val="right"/>
              <w:ind w:right="200"/>
              <w:spacing w:after="0"/>
              <w:rPr>
                <w:sz w:val="20"/>
                <w:szCs w:val="20"/>
                <w:color w:val="auto"/>
              </w:rPr>
            </w:pPr>
            <w:r>
              <w:rPr>
                <w:rFonts w:ascii="Arial" w:cs="Arial" w:eastAsia="Arial" w:hAnsi="Arial"/>
                <w:sz w:val="18"/>
                <w:szCs w:val="18"/>
                <w:color w:val="auto"/>
              </w:rPr>
              <w:t>4,935,715</w:t>
            </w:r>
          </w:p>
        </w:tc>
        <w:tc>
          <w:tcPr>
            <w:tcW w:w="860" w:type="dxa"/>
            <w:vAlign w:val="bottom"/>
          </w:tcPr>
          <w:p>
            <w:pPr>
              <w:jc w:val="right"/>
              <w:spacing w:after="0"/>
              <w:rPr>
                <w:sz w:val="20"/>
                <w:szCs w:val="20"/>
                <w:color w:val="auto"/>
              </w:rPr>
            </w:pPr>
            <w:r>
              <w:rPr>
                <w:rFonts w:ascii="Arial" w:cs="Arial" w:eastAsia="Arial" w:hAnsi="Arial"/>
                <w:sz w:val="18"/>
                <w:szCs w:val="18"/>
                <w:color w:val="auto"/>
              </w:rPr>
              <w:t>4,964,903</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Restricted units</w:t>
            </w:r>
          </w:p>
        </w:tc>
        <w:tc>
          <w:tcPr>
            <w:tcW w:w="5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268,343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533,561</w:t>
            </w:r>
          </w:p>
        </w:tc>
        <w:tc>
          <w:tcPr>
            <w:tcW w:w="20" w:type="dxa"/>
            <w:vAlign w:val="bottom"/>
          </w:tcPr>
          <w:p>
            <w:pPr>
              <w:spacing w:after="0"/>
              <w:rPr>
                <w:sz w:val="18"/>
                <w:szCs w:val="18"/>
                <w:color w:val="auto"/>
              </w:rPr>
            </w:pPr>
          </w:p>
        </w:tc>
      </w:tr>
      <w:tr>
        <w:trPr>
          <w:trHeight w:val="363"/>
        </w:trPr>
        <w:tc>
          <w:tcPr>
            <w:tcW w:w="3980" w:type="dxa"/>
            <w:vAlign w:val="bottom"/>
          </w:tcPr>
          <w:p>
            <w:pPr>
              <w:spacing w:after="0"/>
              <w:rPr>
                <w:sz w:val="24"/>
                <w:szCs w:val="24"/>
                <w:color w:val="auto"/>
              </w:rPr>
            </w:pPr>
          </w:p>
        </w:tc>
        <w:tc>
          <w:tcPr>
            <w:tcW w:w="4620" w:type="dxa"/>
            <w:vAlign w:val="bottom"/>
          </w:tcPr>
          <w:p>
            <w:pPr>
              <w:jc w:val="right"/>
              <w:ind w:right="3172"/>
              <w:spacing w:after="0"/>
              <w:rPr>
                <w:sz w:val="20"/>
                <w:szCs w:val="20"/>
                <w:color w:val="auto"/>
              </w:rPr>
            </w:pPr>
            <w:r>
              <w:rPr>
                <w:rFonts w:ascii="Arial" w:cs="Arial" w:eastAsia="Arial" w:hAnsi="Arial"/>
                <w:sz w:val="18"/>
                <w:szCs w:val="18"/>
                <w:color w:val="auto"/>
              </w:rPr>
              <w:t>14</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and Impairment Charges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During the second quarter in 2007, the Company recognized $1,978 thousand of restructuring accruals under SFAS No 146, </w:t>
      </w:r>
      <w:r>
        <w:rPr>
          <w:rFonts w:ascii="Arial" w:cs="Arial" w:eastAsia="Arial" w:hAnsi="Arial"/>
          <w:sz w:val="16"/>
          <w:szCs w:val="16"/>
          <w:i w:val="1"/>
          <w:iCs w:val="1"/>
          <w:color w:val="auto"/>
        </w:rPr>
        <w:t>Accounting for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Associated with Exit or Disposal Activities </w:t>
      </w:r>
      <w:r>
        <w:rPr>
          <w:rFonts w:ascii="Arial" w:cs="Arial" w:eastAsia="Arial" w:hAnsi="Arial"/>
          <w:sz w:val="16"/>
          <w:szCs w:val="16"/>
          <w:color w:val="auto"/>
        </w:rPr>
        <w:t>(“SFAS No. 146”). The restructuring charges were related to the closure of the Company’s five-inch wafer fabrication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and those charges consist of one-time termination benefits, transfer of machinery and other associated costs. Up to the first quarter of 2008, actual payments were charged against the restructuring accruals and the Company believes the restructuring activities are substantially completed as of March 30, 2008. Accordingly, the Company reversed $875 thousand of unused restructuring accruals.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Uncertainty in Income Taxes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subsidiaries file income tax returns in Korea, Japan, Taiwan, U.S. and other various jurisdictions. The Company is subject to income tax examinations by tax authorities of these jurisdictions for all years since the beginning of its operation in October 2004.</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Company adopted the provisions of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a $ 1,554 thousand of liabilities for unrecognized tax benefit, which are related to the temporary difference arising from the timing of expensing certain inventories. Such liabilities were accounted for as an increase to the January 1, 2007 balance of accumulated deficits. As of March 30, 2008 and April 1, 2007, the Company recoded $1,662 thousand and $1,593 thousand of liabilities for unrecognized tax benefits,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recognizes interest and penalties accrued related to unrecognized tax benefits as income tax expenses. The Company recognized $39 thousand and $39 thousand of interest and penalties as income tax expense for the three months ended March 30, 2008 and April 1, 2007, respectively. Total interest and penalties accrued as of March 30, 2008, April 1, 2007 and as of the FIN No. 48 adoption date were $692 thousand, $569 thousand and $530 thousand,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r>
      <w:tr>
        <w:trPr>
          <w:trHeight w:val="129"/>
        </w:trPr>
        <w:tc>
          <w:tcPr>
            <w:tcW w:w="978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30,</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92"/>
              </w:rPr>
              <w:t>April 1,</w:t>
            </w:r>
          </w:p>
        </w:tc>
        <w:tc>
          <w:tcPr>
            <w:tcW w:w="60" w:type="dxa"/>
            <w:vAlign w:val="bottom"/>
          </w:tcPr>
          <w:p>
            <w:pPr>
              <w:spacing w:after="0"/>
              <w:rPr>
                <w:sz w:val="11"/>
                <w:szCs w:val="11"/>
                <w:color w:val="auto"/>
              </w:rPr>
            </w:pPr>
          </w:p>
        </w:tc>
      </w:tr>
      <w:tr>
        <w:trPr>
          <w:trHeight w:val="161"/>
        </w:trPr>
        <w:tc>
          <w:tcPr>
            <w:tcW w:w="9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Display Solutions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93,960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58,870</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57,755</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23,386</w:t>
            </w:r>
          </w:p>
        </w:tc>
        <w:tc>
          <w:tcPr>
            <w:tcW w:w="60" w:type="dxa"/>
            <w:vAlign w:val="bottom"/>
            <w:shd w:val="clear" w:color="auto" w:fill="CCEEFF"/>
          </w:tcPr>
          <w:p>
            <w:pPr>
              <w:spacing w:after="0"/>
              <w:rPr>
                <w:sz w:val="18"/>
                <w:szCs w:val="18"/>
                <w:color w:val="auto"/>
              </w:rPr>
            </w:pPr>
          </w:p>
        </w:tc>
      </w:tr>
      <w:tr>
        <w:trPr>
          <w:trHeight w:val="222"/>
        </w:trPr>
        <w:tc>
          <w:tcPr>
            <w:tcW w:w="9780" w:type="dxa"/>
            <w:vAlign w:val="bottom"/>
          </w:tcPr>
          <w:p>
            <w:pPr>
              <w:ind w:left="440"/>
              <w:spacing w:after="0"/>
              <w:rPr>
                <w:sz w:val="20"/>
                <w:szCs w:val="20"/>
                <w:color w:val="auto"/>
              </w:rPr>
            </w:pPr>
            <w:r>
              <w:rPr>
                <w:rFonts w:ascii="Arial" w:cs="Arial" w:eastAsia="Arial" w:hAnsi="Arial"/>
                <w:sz w:val="18"/>
                <w:szCs w:val="18"/>
                <w:color w:val="auto"/>
              </w:rPr>
              <w:t>Total segment net sales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203,052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151,783</w:t>
            </w:r>
          </w:p>
        </w:tc>
        <w:tc>
          <w:tcPr>
            <w:tcW w:w="6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Display Solutions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7,089</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2,847</w:t>
            </w:r>
          </w:p>
        </w:tc>
        <w:tc>
          <w:tcPr>
            <w:tcW w:w="6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60" w:type="dxa"/>
            <w:vAlign w:val="bottom"/>
            <w:shd w:val="clear" w:color="auto" w:fill="CCEEFF"/>
          </w:tcPr>
          <w:p>
            <w:pPr>
              <w:spacing w:after="0"/>
              <w:rPr>
                <w:sz w:val="18"/>
                <w:szCs w:val="18"/>
                <w:color w:val="auto"/>
              </w:rPr>
            </w:pPr>
          </w:p>
        </w:tc>
      </w:tr>
      <w:tr>
        <w:trPr>
          <w:trHeight w:val="222"/>
        </w:trPr>
        <w:tc>
          <w:tcPr>
            <w:tcW w:w="9780" w:type="dxa"/>
            <w:vAlign w:val="bottom"/>
          </w:tcPr>
          <w:p>
            <w:pPr>
              <w:ind w:left="440"/>
              <w:spacing w:after="0"/>
              <w:rPr>
                <w:sz w:val="20"/>
                <w:szCs w:val="20"/>
                <w:color w:val="auto"/>
              </w:rPr>
            </w:pPr>
            <w:r>
              <w:rPr>
                <w:rFonts w:ascii="Arial" w:cs="Arial" w:eastAsia="Arial" w:hAnsi="Arial"/>
                <w:sz w:val="18"/>
                <w:szCs w:val="18"/>
                <w:color w:val="auto"/>
              </w:rPr>
              <w:t>Total segment gross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47,866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14,923</w:t>
            </w:r>
          </w:p>
        </w:tc>
        <w:tc>
          <w:tcPr>
            <w:tcW w:w="60" w:type="dxa"/>
            <w:vAlign w:val="bottom"/>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30, 2008, approximately 98% of the Company’s property, plant and equipment are located in Korea.</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Net sales from the Company’s ten largest customers accounted for 62.8% and 70.2% for the three months ended March 30, 2008 and April 1, 2007, respectively.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recorded $46.1 million and $42.8 million of sales to one customer within the Display Solutions segment, which represents greater than 10% of net sales, for the three months period ended March 30, 2008 and April 1, 2007,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Advisory agreements were entered into as of October 6, 2004 by and between the Company and each of the advisors including Court Square Advisor,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(successor in interest to CVC Management LLC) (“Court Square”), CVC Capital Partners Asia Limited (“CVC Capital”) and Francisco Partners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(“Francisco Partners”). The Company was to pay each of Court Square and Francisco Partners an annual advisory fee the amount of which shall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greater of $1,379,163 per annum or 0.14777% per annum of annual consolidated revenue, and is also to pay CVC Capital an annual advisory fee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shall be the greater of $741,673 per annum or 0.07946% per annum of annual consolidated revenue plus reasonable out-of-pocket expenses for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10 years (subsequently extended for an additional year), subject to termination by either party upon written notice 90 days prior to the expiration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term or any extension thereof. During the year ended December 31, 2005 and the three-month period ended December 31, 2004, the Company accrued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$3,545 thousand and $890 thousand of accrued expenses under these agreements, respectively. During the year ended December 31, 2006, due to lower financial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performances, the advisors agreed to waive the advisory fee and, therefore, the Company did not accrue any expenses. Effective June 30, 2007, the parties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advisory agreements entered into that certain the First Amendment to Advisory Agreement under which all rights and obligations of the parties terminate except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indemnity and liability provisions. The Amendment provides that upon a sale of the Company to an unaffiliated third party or a firmly underwritten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of common equity of the Company with net proceeds of $50 million or more, the Company must pay a termination fee to the advisors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all advisory fees not paid under the advisory agreements plus the net present value of all advisory fees that would have been payable through October 6, 2014 had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advisory agreements not been amended.</w:t>
      </w:r>
    </w:p>
    <w:p>
      <w:pPr>
        <w:spacing w:after="0" w:line="16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has made a contingent commitment to its employees that it will pay an incentive of approximately $30 million in total. This incentive would be distributed to all employees, other than senior management, who are employed by the Company at the closing date of the Company’s initial public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Below are condensed consolidating balance sheets as of March 30, 2008 and December 31, 2007, condensed consolidating statements of operations and of cash flows for the three months ended March 30, 2008 and April 1, 2007 of those entities that guarantee the Senior Subordinated Notes, those that do not, MagnaChip Semiconductor LLC, and the co-issuers.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Guarantors</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$193,378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$105,315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(95,641)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151,089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(87,673)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15,360</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36,846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(55,050)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(58,559)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income taxes, equity in earnings (loss) of related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12,050</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(64,092)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(64,136)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(67,897)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(80,109)</w:t>
            </w: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211,230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(67,897)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(68,102)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(64,136)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(79,527)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211,765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(67,897)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(71,015)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(68,102)</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(64,136)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(79,527)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211,765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80" w:type="dxa"/>
            <w:vAlign w:val="bottom"/>
            <w:gridSpan w:val="2"/>
          </w:tcPr>
          <w:p>
            <w:pPr>
              <w:jc w:val="right"/>
              <w:ind w:right="533"/>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MagnaChip</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Co-Issuers</w:t>
            </w:r>
          </w:p>
        </w:tc>
        <w:tc>
          <w:tcPr>
            <w:tcW w:w="4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Guarantors</w:t>
            </w:r>
          </w:p>
        </w:tc>
        <w:tc>
          <w:tcPr>
            <w:tcW w:w="122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$146,606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56,842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(51,665)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135,714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(46,854)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332</w:t>
            </w:r>
          </w:p>
        </w:tc>
        <w:tc>
          <w:tcPr>
            <w:tcW w:w="660" w:type="dxa"/>
            <w:vAlign w:val="bottom"/>
          </w:tcPr>
          <w:p>
            <w:pPr>
              <w:jc w:val="right"/>
              <w:spacing w:after="0"/>
              <w:rPr>
                <w:sz w:val="20"/>
                <w:szCs w:val="20"/>
                <w:color w:val="auto"/>
              </w:rPr>
            </w:pPr>
            <w:r>
              <w:rPr>
                <w:rFonts w:ascii="Arial" w:cs="Arial" w:eastAsia="Arial" w:hAnsi="Arial"/>
                <w:sz w:val="18"/>
                <w:szCs w:val="18"/>
                <w:color w:val="auto"/>
              </w:rPr>
              <w:t>18,802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3,412</w:t>
            </w: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(332)</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(43,208)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(42,924)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(1,106)</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15"/>
        </w:trPr>
        <w:tc>
          <w:tcPr>
            <w:tcW w:w="5000" w:type="dxa"/>
            <w:vAlign w:val="bottom"/>
            <w:gridSpan w:val="2"/>
          </w:tcPr>
          <w:p>
            <w:pPr>
              <w:spacing w:after="0"/>
              <w:rPr>
                <w:sz w:val="20"/>
                <w:szCs w:val="20"/>
                <w:color w:val="auto"/>
              </w:rPr>
            </w:pPr>
            <w:r>
              <w:rPr>
                <w:rFonts w:ascii="Arial" w:cs="Arial" w:eastAsia="Arial" w:hAnsi="Arial"/>
                <w:sz w:val="18"/>
                <w:szCs w:val="18"/>
                <w:color w:val="auto"/>
                <w:w w:val="95"/>
              </w:rPr>
              <w:t>Income (loss) before income taxes, equity in loss of related equity</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(1,438)</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(63,196)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(64,731)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(1,481)</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(63,229)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(65,445)</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(63,590)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195,961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(66,982)</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(66,926)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(63,229)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(65,632)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195,787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(69,852)</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(66,926)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 (63,229)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(65,632)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195,787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LLC (Parent)</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Co-Issuers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151,308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83,575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267,639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255,981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(395,483)</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(489,454)</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(284,650)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1,169,587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824,640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636,503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(1,461,143)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(392,280)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444,491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643,713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557,462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(559,443)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131,761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70,253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(87,608)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251,663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840,143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(1,461,143)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842,824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956,489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1,015,653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(1,728,743)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1,089,310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Unitholders’ equity</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155,962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108,045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(635,464)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(588,883)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(556,081)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(680,926)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1,825,890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(635,464)</w:t>
            </w:r>
          </w:p>
        </w:tc>
        <w:tc>
          <w:tcPr>
            <w:tcW w:w="0" w:type="dxa"/>
            <w:vAlign w:val="bottom"/>
          </w:tcPr>
          <w:p>
            <w:pPr>
              <w:spacing w:after="0"/>
              <w:rPr>
                <w:sz w:val="1"/>
                <w:szCs w:val="1"/>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(159,593)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(398,333)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(312,776)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(458,191)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(527,890)</w:t>
            </w:r>
          </w:p>
        </w:tc>
        <w:tc>
          <w:tcPr>
            <w:tcW w:w="0" w:type="dxa"/>
            <w:vAlign w:val="bottom"/>
          </w:tcPr>
          <w:p>
            <w:pPr>
              <w:spacing w:after="0"/>
              <w:rPr>
                <w:sz w:val="1"/>
                <w:szCs w:val="1"/>
                <w:color w:val="auto"/>
              </w:rPr>
            </w:pPr>
          </w:p>
        </w:tc>
      </w:tr>
      <w:tr>
        <w:trPr>
          <w:trHeight w:val="215"/>
        </w:trPr>
        <w:tc>
          <w:tcPr>
            <w:tcW w:w="4960" w:type="dxa"/>
            <w:vAlign w:val="bottom"/>
          </w:tcPr>
          <w:p>
            <w:pPr>
              <w:ind w:left="880"/>
              <w:spacing w:after="0"/>
              <w:rPr>
                <w:sz w:val="20"/>
                <w:szCs w:val="20"/>
                <w:color w:val="auto"/>
              </w:rPr>
            </w:pPr>
            <w:r>
              <w:rPr>
                <w:rFonts w:ascii="Arial" w:cs="Arial" w:eastAsia="Arial" w:hAnsi="Arial"/>
                <w:sz w:val="18"/>
                <w:szCs w:val="18"/>
                <w:color w:val="auto"/>
                <w:w w:val="94"/>
              </w:rPr>
              <w:t>Total liabilities, redeemable convertible preferred units</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(392,280)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444,491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643,713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557,462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(559,443)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693,943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LLC (Parent)</w:t>
            </w: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2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Guarantors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131,101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9,309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242,487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275,997</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86,571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(348,345)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(431,611)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(243,130)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1,023,086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809,754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634,837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(1,444,591)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(347,053)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643,921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573,666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64,389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16,412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211,563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621,000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823,591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(1,444,591)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833,897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911,130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977,853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(1,667,944)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129,405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39,005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155,888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107,946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(265,733)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(520,781)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(491,945)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(601,399)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(564,449)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29,843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(350,855)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(267,209)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(404,187)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1,022,251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15"/>
        </w:trPr>
        <w:tc>
          <w:tcPr>
            <w:tcW w:w="5200" w:type="dxa"/>
            <w:vAlign w:val="bottom"/>
          </w:tcPr>
          <w:p>
            <w:pPr>
              <w:ind w:left="880"/>
              <w:spacing w:after="0"/>
              <w:rPr>
                <w:sz w:val="20"/>
                <w:szCs w:val="20"/>
                <w:color w:val="auto"/>
              </w:rPr>
            </w:pPr>
            <w:r>
              <w:rPr>
                <w:rFonts w:ascii="Arial" w:cs="Arial" w:eastAsia="Arial" w:hAnsi="Arial"/>
                <w:sz w:val="18"/>
                <w:szCs w:val="18"/>
                <w:color w:val="auto"/>
                <w:w w:val="99"/>
              </w:rPr>
              <w:t>Total liabilities, redeemable convertible preferred units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(347,053)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483,042</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643,921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573,666</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(67,897)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(68,102)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(64,136)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(79,527)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211,765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(67,897)</w:t>
            </w: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440"/>
              <w:spacing w:after="0"/>
              <w:rPr>
                <w:sz w:val="20"/>
                <w:szCs w:val="20"/>
                <w:color w:val="auto"/>
              </w:rPr>
            </w:pPr>
            <w:r>
              <w:rPr>
                <w:rFonts w:ascii="Arial" w:cs="Arial" w:eastAsia="Arial" w:hAnsi="Arial"/>
                <w:sz w:val="18"/>
                <w:szCs w:val="18"/>
                <w:color w:val="auto"/>
                <w:w w:val="99"/>
              </w:rPr>
              <w:t>Loss (gain) on disposal of property, plant and equipments,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66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19"/>
                <w:szCs w:val="19"/>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of related investment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67,777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63,344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(211,230)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(25,463)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(25,313)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(12,139)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7,933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(10,371)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(1,967)</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300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Repurchase of common unit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(90,000)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80" w:type="dxa"/>
            <w:vAlign w:val="bottom"/>
          </w:tcPr>
          <w:p>
            <w:pPr>
              <w:ind w:left="880"/>
              <w:spacing w:after="0"/>
              <w:rPr>
                <w:sz w:val="20"/>
                <w:szCs w:val="20"/>
                <w:color w:val="auto"/>
              </w:rPr>
            </w:pPr>
            <w:r>
              <w:rPr>
                <w:rFonts w:ascii="Arial" w:cs="Arial" w:eastAsia="Arial" w:hAnsi="Arial"/>
                <w:sz w:val="18"/>
                <w:szCs w:val="18"/>
                <w:color w:val="auto"/>
                <w:w w:val="95"/>
              </w:rPr>
              <w:t>Effect of exchange rates on cash and cash equivalents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(3,620)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Net increase (decrease)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(10,869)</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163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108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$ 21,745</w:t>
            </w:r>
          </w:p>
        </w:tc>
        <w:tc>
          <w:tcPr>
            <w:tcW w:w="2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28,174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3,449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LLC (Parent)</w:t>
            </w: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(66,982)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(66,926)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(63,229)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(65,632)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195,787</w:t>
            </w:r>
          </w:p>
        </w:tc>
        <w:tc>
          <w:tcPr>
            <w:tcW w:w="22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(66,982)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loss to net cash provided by (used in)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Loss of related investment</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65,445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63,590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(195,961)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(12,370)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4,478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(9,515)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806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649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(18,689)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(20,198)</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Payments for intellectual property registration</w:t>
            </w:r>
          </w:p>
        </w:tc>
        <w:tc>
          <w:tcPr>
            <w:tcW w:w="8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(27,174)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(29,909)</w:t>
            </w:r>
          </w:p>
        </w:tc>
        <w:tc>
          <w:tcPr>
            <w:tcW w:w="0" w:type="dxa"/>
            <w:vAlign w:val="bottom"/>
          </w:tcPr>
          <w:p>
            <w:pPr>
              <w:spacing w:after="0"/>
              <w:rPr>
                <w:sz w:val="1"/>
                <w:szCs w:val="1"/>
                <w:color w:val="auto"/>
              </w:rPr>
            </w:pPr>
          </w:p>
        </w:tc>
      </w:tr>
      <w:tr>
        <w:trPr>
          <w:trHeight w:val="22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321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End of the period</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319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45,434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11,777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and the “Risk Factors” and elsewhere in this report.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Korea-based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 management.</w:t>
      </w:r>
    </w:p>
    <w:p>
      <w:pPr>
        <w:spacing w:after="0" w:line="12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maintain our position as a leading provider of semiconductor products and services in the segments in which we compete.</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For example, in some periods we are able to offset the impact of declining selling prices for existing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through the introduction of new products that command selling prices above the average selling price of our existing products. In addition, we seek to manage our inventories and manufacturing capacity so as to preclude losses from inevitable product and productive capacity obsolescence.</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 large and rapidly growing, driven by consumers seeking to enjoy rich media content, such as digital and high definition audio and video, mobile television, games and digital photography. As a company, we seek to 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 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Korea-based operations.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 Display (formerly LG.Philips LCD), Sharp, and Samsung, enhance our visibility into new product opportunities, market and technology trends and improve our ability to meet these challenges successfully.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later quarters in 2008. We have identified these segments based on how we allocate resources and assess our performance.</w:t>
      </w:r>
    </w:p>
    <w:p>
      <w:pPr>
        <w:spacing w:after="0" w:line="26" w:lineRule="exact"/>
        <w:rPr>
          <w:sz w:val="20"/>
          <w:szCs w:val="20"/>
          <w:color w:val="auto"/>
        </w:rPr>
      </w:pPr>
    </w:p>
    <w:p>
      <w:pPr>
        <w:ind w:left="900" w:right="28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mobile phones, LCD monitors, notebook computers and mobile multimedia devices, such as handheld games. Our products cover a broad range of interfaces, packages and technologies, including AMOLED, LTPS and TFT technologies.</w:t>
      </w:r>
    </w:p>
    <w:p>
      <w:pPr>
        <w:spacing w:after="0" w:line="25" w:lineRule="exact"/>
        <w:rPr>
          <w:rFonts w:ascii="Arial" w:cs="Arial" w:eastAsia="Arial" w:hAnsi="Arial"/>
          <w:sz w:val="16"/>
          <w:szCs w:val="16"/>
          <w:color w:val="auto"/>
        </w:rPr>
      </w:pPr>
    </w:p>
    <w:p>
      <w:pPr>
        <w:ind w:left="900" w:right="280" w:hanging="446"/>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covers a broad spectrum of videographics array, or VGA; 1.3, 2.1 and 3.2 megapixel, or MP;</w:t>
      </w:r>
      <w:r>
        <w:rPr>
          <w:rFonts w:ascii="Arial" w:cs="Arial" w:eastAsia="Arial" w:hAnsi="Arial"/>
          <w:sz w:val="16"/>
          <w:szCs w:val="16"/>
          <w:i w:val="1"/>
          <w:iCs w:val="1"/>
          <w:color w:val="auto"/>
        </w:rPr>
        <w:t xml:space="preserve"> </w:t>
      </w:r>
      <w:r>
        <w:rPr>
          <w:rFonts w:ascii="Arial" w:cs="Arial" w:eastAsia="Arial" w:hAnsi="Arial"/>
          <w:sz w:val="16"/>
          <w:szCs w:val="16"/>
          <w:color w:val="auto"/>
        </w:rPr>
        <w:t>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31" w:lineRule="exact"/>
        <w:rPr>
          <w:rFonts w:ascii="Arial" w:cs="Arial" w:eastAsia="Arial" w:hAnsi="Arial"/>
          <w:sz w:val="16"/>
          <w:szCs w:val="16"/>
          <w:color w:val="auto"/>
        </w:rPr>
      </w:pPr>
    </w:p>
    <w:p>
      <w:pPr>
        <w:ind w:left="900" w:right="140" w:hanging="446"/>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manufactures wafers for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based on their designs. The activities conducted within this segment are, in substance, identical to those conducted in our Display Solution and Imaging Solution businesses. The only difference is that, in the Semiconductor Manufacturing Services segment, the product designs originate from our customers. The customers provide us with their designs, and we manufacture and sell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products to the customers based upon such designs. We offer over 170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consolidated results of operations for the three months ended March 30, 2008 and April 1, 2007,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March 30, 2008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April 1, 2007</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27"/>
              <w:spacing w:after="0" w:line="12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76"/>
              </w:rPr>
              <w:t>net sales</w:t>
            </w:r>
          </w:p>
        </w:tc>
        <w:tc>
          <w:tcPr>
            <w:tcW w:w="24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0"/>
              </w:rPr>
              <w:t>net sales</w:t>
            </w:r>
          </w:p>
        </w:tc>
        <w:tc>
          <w:tcPr>
            <w:tcW w:w="1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4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3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i w:val="1"/>
                <w:iCs w:val="1"/>
                <w:color w:val="auto"/>
                <w:w w:val="93"/>
              </w:rPr>
              <w:t>%)</w:t>
            </w: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sales</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(42.9)</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(42.9)</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(35.5)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40" w:type="dxa"/>
            <w:vAlign w:val="bottom"/>
            <w:gridSpan w:val="2"/>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(65.4)</w:t>
            </w:r>
          </w:p>
        </w:tc>
        <w:tc>
          <w:tcPr>
            <w:tcW w:w="26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(64.7)</w:t>
            </w:r>
          </w:p>
        </w:tc>
        <w:tc>
          <w:tcPr>
            <w:tcW w:w="26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0" w:type="dxa"/>
            <w:vAlign w:val="bottom"/>
            <w:gridSpan w:val="4"/>
          </w:tcPr>
          <w:p>
            <w:pPr>
              <w:jc w:val="right"/>
              <w:ind w:right="40"/>
              <w:spacing w:after="0"/>
              <w:rPr>
                <w:sz w:val="20"/>
                <w:szCs w:val="20"/>
                <w:color w:val="auto"/>
              </w:rPr>
            </w:pPr>
            <w:r>
              <w:rPr>
                <w:rFonts w:ascii="Arial" w:cs="Arial" w:eastAsia="Arial" w:hAnsi="Arial"/>
                <w:sz w:val="18"/>
                <w:szCs w:val="18"/>
                <w:color w:val="auto"/>
              </w:rPr>
              <w:t>$ (67.9)</w:t>
            </w:r>
          </w:p>
        </w:tc>
        <w:tc>
          <w:tcPr>
            <w:tcW w:w="26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(33.4)%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(67.0)</w:t>
            </w:r>
          </w:p>
        </w:tc>
        <w:tc>
          <w:tcPr>
            <w:tcW w:w="260" w:type="dxa"/>
            <w:vAlign w:val="bottom"/>
          </w:tcPr>
          <w:p>
            <w:pPr>
              <w:spacing w:after="0"/>
              <w:rPr>
                <w:sz w:val="19"/>
                <w:szCs w:val="19"/>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(44.1)%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March 30, 2008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April 1, 2007</w:t>
            </w:r>
          </w:p>
        </w:tc>
        <w:tc>
          <w:tcPr>
            <w:tcW w:w="14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total</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ind w:left="4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i w:val="1"/>
                <w:iCs w:val="1"/>
                <w:color w:val="auto"/>
              </w:rPr>
              <w:t>millions; %)</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58.9</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Imaging Solutions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All other</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151.8</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sales for the three months ended March 30, 2008 increased $51.3 million, or 33.8% compared to the three months ended April 1, 2007. Net sales generated in the three operating segments during the current quarter were $201.1 million, an increase of $72.7 million or 56.6% from the net sales of the three operating segments for the prior-year quarter, primary due to increased design wins and new account development. We believe that we will continue to experience growth in future periods due to expansion of these design wins into full production.</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Net sales from Display Solutions for the three months ended March 30, 2008 were $94.0 million, a $35.1 million or 59.6%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from $58.9 million for the three months ended April 1, 2007. The increase resulted from a 76.6% sales volume increase, primarily from display driver products for LCD televisions, PC monitors and mobile devices. These increases in volume were partially offset by a 14.9% decrease in average selling prices. We believe that strong demand for display driver interfaces that manage power consumption efficiently as well as for high-resolution and feature-rich display drivers will contribute positively to the results of our Display Solutions segment in future quarters.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$12.6 million in the current quarter, or 106.6% compared to net sales generated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quarter. This increase resulted from a 145.3% sales volume increase, particularly of small form factor VGA products, and was partially offset by a 12.2% decrease in average selling prices.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Net sales from Semiconductor Manufacturing Services for the first quarter of 2008, were $82.8 million, a $25.1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43.4% increase compared to net sales of $57.8 million for the prior year quarter. This increase was primarily due to a 59.6% sales volume increase. We expect the results for our Semiconductor Manufacturing Services segment to remain stable or grow in the remainder of 2008.</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three months ended March 30, 2008 were $2.0 million compared to $23.4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2007. This decrease of $21.4 million substantially represents the revenue decrease from our unit processing service rendered to Hynix.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three months ended March 30, 2008 and April 1,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8"/>
          </w:tcPr>
          <w:p>
            <w:pPr>
              <w:jc w:val="right"/>
              <w:ind w:right="452"/>
              <w:spacing w:after="0"/>
              <w:rPr>
                <w:sz w:val="20"/>
                <w:szCs w:val="20"/>
                <w:color w:val="auto"/>
              </w:rPr>
            </w:pPr>
            <w:r>
              <w:rPr>
                <w:rFonts w:ascii="Arial" w:cs="Arial" w:eastAsia="Arial" w:hAnsi="Arial"/>
                <w:sz w:val="14"/>
                <w:szCs w:val="14"/>
                <w:b w:val="1"/>
                <w:bCs w:val="1"/>
                <w:color w:val="auto"/>
                <w:w w:val="94"/>
              </w:rPr>
              <w:t>Three months ended</w:t>
            </w:r>
          </w:p>
        </w:tc>
        <w:tc>
          <w:tcPr>
            <w:tcW w:w="60" w:type="dxa"/>
            <w:vAlign w:val="bottom"/>
          </w:tcPr>
          <w:p>
            <w:pPr>
              <w:spacing w:after="0"/>
              <w:rPr>
                <w:sz w:val="14"/>
                <w:szCs w:val="14"/>
                <w:color w:val="auto"/>
              </w:rPr>
            </w:pPr>
          </w:p>
        </w:tc>
        <w:tc>
          <w:tcPr>
            <w:tcW w:w="15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8"/>
          </w:tcPr>
          <w:p>
            <w:pPr>
              <w:jc w:val="right"/>
              <w:ind w:right="592"/>
              <w:spacing w:after="0"/>
              <w:rPr>
                <w:sz w:val="20"/>
                <w:szCs w:val="20"/>
                <w:color w:val="auto"/>
              </w:rPr>
            </w:pPr>
            <w:r>
              <w:rPr>
                <w:rFonts w:ascii="Arial" w:cs="Arial" w:eastAsia="Arial" w:hAnsi="Arial"/>
                <w:sz w:val="14"/>
                <w:szCs w:val="14"/>
                <w:b w:val="1"/>
                <w:bCs w:val="1"/>
                <w:color w:val="auto"/>
              </w:rPr>
              <w:t>March 30, 2008</w:t>
            </w:r>
          </w:p>
        </w:tc>
        <w:tc>
          <w:tcPr>
            <w:tcW w:w="60" w:type="dxa"/>
            <w:vAlign w:val="bottom"/>
          </w:tcPr>
          <w:p>
            <w:pPr>
              <w:spacing w:after="0"/>
              <w:rPr>
                <w:sz w:val="14"/>
                <w:szCs w:val="14"/>
                <w:color w:val="auto"/>
              </w:rPr>
            </w:pPr>
          </w:p>
        </w:tc>
        <w:tc>
          <w:tcPr>
            <w:tcW w:w="1120" w:type="dxa"/>
            <w:vAlign w:val="bottom"/>
            <w:gridSpan w:val="4"/>
          </w:tcPr>
          <w:p>
            <w:pPr>
              <w:jc w:val="center"/>
              <w:ind w:left="229"/>
              <w:spacing w:after="0"/>
              <w:rPr>
                <w:sz w:val="20"/>
                <w:szCs w:val="20"/>
                <w:color w:val="auto"/>
              </w:rPr>
            </w:pPr>
            <w:r>
              <w:rPr>
                <w:rFonts w:ascii="Arial" w:cs="Arial" w:eastAsia="Arial" w:hAnsi="Arial"/>
                <w:sz w:val="14"/>
                <w:szCs w:val="14"/>
                <w:b w:val="1"/>
                <w:bCs w:val="1"/>
                <w:color w:val="auto"/>
                <w:w w:val="89"/>
              </w:rPr>
              <w:t>April 1, 2007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Amount</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500" w:type="dxa"/>
            <w:vAlign w:val="bottom"/>
            <w:tcBorders>
              <w:top w:val="single" w:sz="8" w:color="auto"/>
            </w:tcBorders>
          </w:tcPr>
          <w:p>
            <w:pPr>
              <w:jc w:val="right"/>
              <w:ind w:right="229"/>
              <w:spacing w:after="0" w:line="142" w:lineRule="exact"/>
              <w:rPr>
                <w:sz w:val="20"/>
                <w:szCs w:val="20"/>
                <w:color w:val="auto"/>
              </w:rPr>
            </w:pPr>
            <w:r>
              <w:rPr>
                <w:rFonts w:ascii="Arial" w:cs="Arial" w:eastAsia="Arial" w:hAnsi="Arial"/>
                <w:sz w:val="14"/>
                <w:szCs w:val="14"/>
                <w:b w:val="1"/>
                <w:bCs w:val="1"/>
                <w:i w:val="1"/>
                <w:iCs w:val="1"/>
                <w:color w:val="auto"/>
              </w:rPr>
              <w:t>%)</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51.2%</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65.5%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Asia Pacific</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North America</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203.1</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92"/>
              <w:spacing w:after="0"/>
              <w:rPr>
                <w:sz w:val="20"/>
                <w:szCs w:val="20"/>
                <w:color w:val="auto"/>
              </w:rPr>
            </w:pPr>
            <w:r>
              <w:rPr>
                <w:rFonts w:ascii="Arial" w:cs="Arial" w:eastAsia="Arial" w:hAnsi="Arial"/>
                <w:sz w:val="18"/>
                <w:szCs w:val="18"/>
                <w:color w:val="auto"/>
                <w:w w:val="91"/>
              </w:rPr>
              <w:t>100.0%</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151.8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87"/>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March 30, 2008</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April 1, 2007</w:t>
            </w:r>
          </w:p>
        </w:tc>
        <w:tc>
          <w:tcPr>
            <w:tcW w:w="200" w:type="dxa"/>
            <w:vAlign w:val="bottom"/>
          </w:tcPr>
          <w:p>
            <w:pPr>
              <w:spacing w:after="0"/>
              <w:rPr>
                <w:sz w:val="14"/>
                <w:szCs w:val="14"/>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67"/>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69"/>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net sales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3"/>
              </w:rPr>
              <w:t>net sales</w:t>
            </w:r>
          </w:p>
        </w:tc>
        <w:tc>
          <w:tcPr>
            <w:tcW w:w="2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4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Imaging Solutions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12"/>
              <w:spacing w:after="0"/>
              <w:rPr>
                <w:sz w:val="20"/>
                <w:szCs w:val="20"/>
                <w:color w:val="auto"/>
              </w:rPr>
            </w:pPr>
            <w:r>
              <w:rPr>
                <w:rFonts w:ascii="Arial" w:cs="Arial" w:eastAsia="Arial" w:hAnsi="Arial"/>
                <w:sz w:val="18"/>
                <w:szCs w:val="18"/>
                <w:color w:val="auto"/>
              </w:rPr>
              <w:t>(1.4)</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Total gross profit increased $32.9 million in the first quarter of 2008, or 220.8%, compared to the gross profit generated in the prior-year quarter. Gross profit percentage for the current quarter was 23.6% of net sales, an increase of 13.8% from 9.8% for the prior-year quarter. This increase in gross profit percentage was primarily attributable to an overall decrease in unit costs due to increase in overall production volume and decrease in depreciation expense. We expect our gross profit to benefit in the next several quarters from the sale of inventory reflecting our reduced cost structure as well as due to increased capacity utilization.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three months ended March 30, 2008 improved to 20.7% compared to 12.0%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April 1, 2007 primarily due to a 76.6% increase in sales volume and a decrease in unit costs that resulted from an increase in overall production volume.</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Imaging Solutions increased to 3.8% in the first quarter ended March 30, 2008 compared to a gross loss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ended April 1, 2007 primarily due to a 145.3% increase in sales volume.</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for Semiconductor Manufacturing Services improved to 32.2% in the first quarter of 2008 from 4.9%</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prior-year quarter. This increase was due to a 59.6% increase in sales volume and a decrease in unit costs, resulting from an overall increase in production volume.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current quarter increased to 43.3% from 27.4% for the prior year quarter. This improvement in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percentage is mainly attributable to lower fixed cost per unit. With respect to our new power management solutions business, we expect positive gross margin, as it will generate net sales from newly introduced products which should realize relatively higher average selling prices and benefit from efficient production process technology.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$19.2 million or 9.5%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30, 2008 compared to $22.7 million or 15.0% for the three months ended April 1, 2007. The decrease of $ 3.5 million or 15.4% from the prior-year quarter was mainly due to a $3.6 million gain from the disposal of tangible assets.</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$36.3 million, an increase of $1.2 million or 3.5%</w:t>
      </w:r>
      <w:r>
        <w:rPr>
          <w:rFonts w:ascii="Arial" w:cs="Arial" w:eastAsia="Arial" w:hAnsi="Arial"/>
          <w:sz w:val="16"/>
          <w:szCs w:val="16"/>
          <w:i w:val="1"/>
          <w:iCs w:val="1"/>
          <w:color w:val="auto"/>
        </w:rPr>
        <w:t xml:space="preserve"> </w:t>
      </w:r>
      <w:r>
        <w:rPr>
          <w:rFonts w:ascii="Arial" w:cs="Arial" w:eastAsia="Arial" w:hAnsi="Arial"/>
          <w:sz w:val="16"/>
          <w:szCs w:val="16"/>
          <w:color w:val="auto"/>
        </w:rPr>
        <w:t>from $35.1 million for the prior year quarter. This increase in research and development expenses essentially represented our focus on the introduction of new products, especially for the Imaging Solutions and Display Solutions segments. As a percentage of net sales, research and development expenses for the current quarter decreased to 17.9% compared to 23.1% for the prior-year quarter. We expect research and development expenses in 2008 to be generally consistent with the levels of 2007 on a percentage of net sales basis.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three-month period ending July 1, 2007, we recognized $2.0 million of restructuring accruals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No. 146”). The restructuring charges were related to the closure of our five-inch wafer fabrication facilities, and those charges consist of one-time termination benefits, transfer of machinery and other associated costs. Prior to and during the three months ended March 30, 2008, actual payments were charged against the restructuring accruals. We believe the restructuring activities are substantially completed as of March 30, 2008. Accordingly, we reversed $0.9 million of unused restructuring accruals.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was $15.7 million during the three months ended March 30, 2008 compared to $14.4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April 1, 2007. Interest expense was incurred to service our notes in the amount of $750.0 million and drawings under our senior secured facility. At March 30, 2008, the notes bore interest at a weighted average interest rate of 7.80%</w:t>
      </w:r>
      <w:r>
        <w:rPr>
          <w:rFonts w:ascii="Arial" w:cs="Arial" w:eastAsia="Arial" w:hAnsi="Arial"/>
          <w:sz w:val="16"/>
          <w:szCs w:val="16"/>
          <w:b w:val="1"/>
          <w:bCs w:val="1"/>
          <w:color w:val="auto"/>
        </w:rPr>
        <w:t>.</w:t>
      </w:r>
      <w:r>
        <w:rPr>
          <w:rFonts w:ascii="Arial" w:cs="Arial" w:eastAsia="Arial" w:hAnsi="Arial"/>
          <w:sz w:val="16"/>
          <w:szCs w:val="16"/>
          <w:color w:val="auto"/>
        </w:rPr>
        <w:t xml:space="preserve"> Drawings under our senior secured credit facility bore interest at March 30, 2008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three months ended March 30, 2008 was $42.9 million, compared to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loss of $7.4 million for the three months ended April 1, 2007.</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A substantial portion of our net foreign currency gain or loss is non-cash translation gain or loss recorded for intercompany borrowings at our Korean subsidiary and is affected by changes in the exchange rate between the Korea won and the U.S. dollar. Foreign currency translation loss from the intercompany borrowings was included in determining our consolidated net income since the intercompany borrowings were not considered long-term investments in nature because management intended to repay these intercompany borrowings at their maturity dates. The Korean Won to U.S. dollar exchange rates were 992.4:1 and 941.1:1 using the noon buying rate in effect as of March 30, 2008 and April 1, 2007, respectively, as quoted by the Federal Reserve Bank of New York.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quarter were $2.5 million, consistent with income tax expenses of $2.3 million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2007. Income tax expense for the first quarter 2008 was comprised of $0.7 million of current income taxes incurred in various jurisdictions in which we operate, $1.4 million of withholding taxes mostly paid on intercompany interest payment and $0.4 million of income tax increase effect from the change of deferred tax assets. Due to the uncertainty of the utilization of foreign tax credits, we did not recognize these withholding taxes as deferred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March 30, 2008, we had total outstanding long-term debt of $750.0 million.</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principal sources of liquidity are our cash, cash equivalents and available borrowings under our senior secured credit facility of $100 million. As of March 30, 2008, our cash and cash equivalents balance was $53.5 million or 7.7% of our total assets, a $10.8 million decrease from $64.3 million or 9.1% of total assets as of December 31, 2007. The decrease in cash and cash equivalents during the first quarter of 2008 was primarily attributable to cash outflow of $3.5 million in operating activities, coupled with cash outflow associated with quarterly capital expenditures of $10.1 million.</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three months ended March 30, 2008, net cash used in operating activities was $3.5 million, compared to $20.2 million of net cash used by operating activities during the prior-year quarter. This difference in cash from operating activities between the two periods was primarily attributable to increase in gross profit of $32.9 million resulting mainly from higher revenue. The net operating cash outflow for the current quarter principally reflects our net loss of $67.9 million adjusted by non-cash charges of $65.9 million, which mainly consisted of depreciation and foreign currency translation loss and an increase in operating assets and liabilities of $1.5 million.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working capital balance as of March 30, 2008 was $38.2 million compared to $55.6 million as of December 31, 2007. The decrease of $17.4 million in our working capital balance was mainly due to a $27.2 million increase in current liabilities due to the timing of payments at the quarter end and a $10.9 million reduction in cash and cash equivalents which was used to support our capital investment and operations. This decrease was partially offset by an increase in accounts receivable of $23.5 million due to increase in revenue and a timing of receipts at the quarter end. .</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investing activities, net cash outlay during the first quarter of 2008 was $6.7 million, compared to $8.9 million in the prior-year quarter, primarily related to capital expenditures and partial offset by a cash inflow from the sales of tangible and intangible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30, 2008, there were no significant financing activities, consistent with the prior-year quarter.</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19, 2007, Moody’s Investor Service, Inc. downgraded the ratings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three months ended March 30, 2008, capital expenditures were $10.1 million, a $1.8 million or 20.6% increase from $8.3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April 1, 2007. This increase was used to support capacity expansion and technology improvements at our fabrication facilities in anticipation of sales growth in future periods.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meeting required debt payments and funding working capital needs. We anticipate that our operating cash flows and available borrowings, if any, under our senior secured credit facility, will be sufficient to meet these capital requirements for the foreseeable future. We may from time to time also incur additional debt.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net sales are affected by market variations from quarter to quarter due to the business cycles, and resulting product demand, of our customers. Our Imaging and Display Solutions businesses typically experience demand increases in the third and fourth calendar quarters due to increased holiday demand for the consumer products that serve as the end markets for our products. During the first quarter, by contrast, consumer products manufacturers generally reduce orders in order to burn off excess inventory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begin slowing in the fourth and first quarters.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Summarized in the table below are estimates of future payments under debt obligations and minimum lease payment obligations at March 30, 2008.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86"/>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(1)(2)</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560" w:type="dxa"/>
            <w:vAlign w:val="bottom"/>
          </w:tcPr>
          <w:p>
            <w:pPr>
              <w:spacing w:after="0" w:line="216" w:lineRule="exact"/>
              <w:rPr>
                <w:sz w:val="20"/>
                <w:szCs w:val="20"/>
                <w:color w:val="auto"/>
              </w:rPr>
            </w:pPr>
            <w:r>
              <w:rPr>
                <w:rFonts w:ascii="Arial" w:cs="Arial" w:eastAsia="Arial" w:hAnsi="Arial"/>
                <w:sz w:val="25"/>
                <w:szCs w:val="25"/>
                <w:color w:val="auto"/>
                <w:vertAlign w:val="subscript"/>
              </w:rPr>
              <w:t>Notes</w:t>
            </w:r>
            <w:r>
              <w:rPr>
                <w:rFonts w:ascii="Arial" w:cs="Arial" w:eastAsia="Arial" w:hAnsi="Arial"/>
                <w:sz w:val="10"/>
                <w:szCs w:val="10"/>
                <w:color w:val="auto"/>
              </w:rPr>
              <w:t>(1)(3)</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1,027.7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58.5</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58.5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289.4</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93"/>
        </w:trPr>
        <w:tc>
          <w:tcPr>
            <w:tcW w:w="456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22"/>
                <w:szCs w:val="22"/>
                <w:color w:val="auto"/>
                <w:vertAlign w:val="superscript"/>
              </w:rPr>
              <w:t>(1)</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20.7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6.3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interest obligations on the notes. For purposes of estimating the interest obligations under our Floating Rate Second Priority Senior Secured Notes, we used the average interest rate for such notes during the three months ended March 30, 2008.</w:t>
      </w:r>
    </w:p>
    <w:p>
      <w:pPr>
        <w:spacing w:after="0" w:line="132" w:lineRule="exact"/>
        <w:rPr>
          <w:sz w:val="20"/>
          <w:szCs w:val="20"/>
          <w:color w:val="auto"/>
        </w:rPr>
      </w:pPr>
    </w:p>
    <w:p>
      <w:pPr>
        <w:jc w:val="both"/>
        <w:ind w:right="24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our ability and that of our subsidiaries to (1) incur additional indebtedness, (2) pay dividends or make other distributions on our capital stock or repurchase, repay or redeem our capital stock, (3) make certain investments, (4) 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November 2007, the lenders under our senior secured credit facility waived certain provisions of the credit agreement to permit us to consummate our proposed corporate reorganization and proposed public offering and to use the proceeds from the public offering as described in our registration statement. Upon consummation of the proposed corporate reorganization, MagnaChip Semiconductor Corporation will become a guarantor and grant a security interest with respect to the obligations under the senior secured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Our unrecognized tax benefits totaled $1.7 million as of March 30, 2008.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March 30, 2008 and December 31, 2007 was $9.8 million and $4.5 million, respectively. The utilized portions of the credit facility are related to the issuance of letters of credit and cash drawdowns.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We are currently evaluating the potential impact, if any, of the adoption of SFAS 141R on our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We are currently evaluating the potential impact, if any, of the adoption of SFAS 160 on our consolidated financial statements.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February 2007, the FASB issued SFAS No. 159, “</w:t>
      </w:r>
      <w:r>
        <w:rPr>
          <w:rFonts w:ascii="Arial" w:cs="Arial" w:eastAsia="Arial" w:hAnsi="Arial"/>
          <w:sz w:val="18"/>
          <w:szCs w:val="18"/>
          <w:i w:val="1"/>
          <w:iCs w:val="1"/>
          <w:color w:val="auto"/>
        </w:rPr>
        <w:t>The Fair Value Option for Financial Assets and Financial Liabilities –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(“SFAS 159”), which permits all entities to choose to measure many financial instruments and certain other items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report unrealized gains and losses on these items in earnings. SFAS 159 was effective for the Company’s fiscal year beginning January 1, 2008. The Company has not elected to adopt SFAS 159.</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the Company’s adoption of this standard in 2008 was limited to financial assets and liabilities, which primarily affects the valuation of its derivative contract. The adoption of SFAS 157 did not have a material effect on the Company’s financial condition or results of operations. The Company is still in the process of evaluating this standard with respect to its effect on nonfinancial assets and liabilities and therefore has not yet determined the impact that it will have on its consolidated financial statements upon full adoption in 2009. Nonfinancial assets and liabilities for which the Company has not applied the provisions of FAS 157 include those measured at fair value in impairment testing and those initially measured at fair value in a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of assets, liabilities, revenues and expenses and related disclosures regarding contingent assets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8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In addition, as prescribed in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right="220" w:firstLine="456"/>
        <w:spacing w:after="0" w:line="284" w:lineRule="auto"/>
        <w:rPr>
          <w:sz w:val="20"/>
          <w:szCs w:val="20"/>
          <w:color w:val="auto"/>
        </w:rPr>
      </w:pPr>
      <w:r>
        <w:rPr>
          <w:rFonts w:ascii="Arial" w:cs="Arial" w:eastAsia="Arial" w:hAnsi="Arial"/>
          <w:sz w:val="16"/>
          <w:szCs w:val="16"/>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1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16"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—an interpretation of SFAS No. 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foreign currency exchange-rate fluctuations on net income from our subsidiaries denominated in currencies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30, 2008 for our Korean subsidiary, a 10% devaluation of the Korean won against the U.S. dollar would have resulted in a decrease of $1.2 million in our U.S. dollar financial instruments balance and cash balance. Based on the Japanese yen cash balance at March 30, 2008, a 10% devaluation of the Japanese yen against the U.S. dollar would have resulted in a decrease of $39 thousand in our U.S. dollar cash balance.</w:t>
      </w:r>
    </w:p>
    <w:p>
      <w:pPr>
        <w:spacing w:after="0" w:line="145" w:lineRule="exact"/>
        <w:rPr>
          <w:sz w:val="20"/>
          <w:szCs w:val="20"/>
          <w:color w:val="auto"/>
        </w:rPr>
      </w:pPr>
    </w:p>
    <w:p>
      <w:pPr>
        <w:ind w:firstLine="456"/>
        <w:spacing w:after="0" w:line="285"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$200 million 6</w:t>
      </w:r>
      <w:r>
        <w:rPr>
          <w:rFonts w:ascii="Arial" w:cs="Arial" w:eastAsia="Arial" w:hAnsi="Arial"/>
          <w:sz w:val="15"/>
          <w:szCs w:val="15"/>
          <w:i w:val="1"/>
          <w:iCs w:val="1"/>
          <w:color w:val="auto"/>
        </w:rPr>
        <w:t xml:space="preserve"> </w:t>
      </w:r>
      <w:r>
        <w:rPr>
          <w:rFonts w:ascii="Arial" w:cs="Arial" w:eastAsia="Arial" w:hAnsi="Arial"/>
          <w:sz w:val="19"/>
          <w:szCs w:val="19"/>
          <w:color w:val="auto"/>
          <w:vertAlign w:val="superscript"/>
        </w:rPr>
        <w:t>7</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second priority senior secured notes due 2011 and the $250 million 8% senior subordinated notes due 2014 are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changes in fair value due to interest rate changes. If the market interest rate had decreased by 10% and all other variables were held constant from their levels at March 30, 2008, we estimate that we would have additional interest expense costs over the market rate of $2.9 million (on a 360-day basis). The fair value of these fixed rate notes would have decreased by $6.6 million or increased by $6.8 million with a 10% increase or decrease in the interest rate, respectively.</w:t>
      </w:r>
    </w:p>
    <w:p>
      <w:pPr>
        <w:spacing w:after="0" w:line="15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Pursuant to this interest rate swap and during the duration of such swap, cash flow interest rate risk was replaced with exposure to interest rate risk.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As required by the Securities Exchange Act of 1934, as amended, or the Exchange Act, our management, including our Chief Executive Officer, or our CEO, and our Chief Financial Officer, or our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 Management necessarily applies its judgment in evaluation the cost-benefit relationship of possible controls and procedures.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Additional risks and uncertainties not currently known to us or those currently viewed by us to be immaterial may also materially and adversely affect our business, financial condition or results of operations.</w:t>
      </w:r>
    </w:p>
    <w:p>
      <w:pPr>
        <w:spacing w:after="0" w:line="182"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1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160 customers in the quarter ended March 30, 2008, net sales to our 10 largest customers represented approximately 62.8% of our net sales for the period. One customer represented greater than 10% of our net sales during the quarter ended March 30, 2008. Significant reductions in sales to any of these customers, the loss of major customers or a general curtailment in orders for our high volume products or services within a short period of time would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4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4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6"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March 30, 2008, we had an accumulated deficit of approximately $635.5 million and negative unitholders’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March 30, 2008, approximately 59.7%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18"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4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acquisition. In addition, our senior secured credit facility and the indentures governing our senior secured notes and senior subordinated notes may restrict us from making acquisitions that we may otherwise wish to pursue.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company organizational structure is based on assumptions about the various tax laws, including withholding tax, and other laws of applicable non-U.S. jurisdictions. In addition, our Korean 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in the United States until they are published.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32" w:lineRule="exact"/>
        <w:rPr>
          <w:sz w:val="20"/>
          <w:szCs w:val="20"/>
          <w:color w:val="auto"/>
        </w:rPr>
      </w:pPr>
    </w:p>
    <w:p>
      <w:pPr>
        <w:ind w:left="900" w:right="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stop our manufacture, use, sale or importation of infringing products; expend significant resources to develop or acquire non-infringing technologies;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our acquisition from Hynix, or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equityholders could suffer significant dilution, and any new securities we issue could have rights, preferences or privileges senior to those of the holders of our equity securities.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9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4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2007, more than 60%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5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March 30, 2008, our total indebtedness representing long and short-term borrowings, including the current portion of long-term borrowings, was approximately $830 million. Our substantial debt could have important consequences, including:</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900" w:right="580" w:hanging="446"/>
        <w:spacing w:after="0" w:line="357"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generate a level of cash flows from operating activities sufficient to permit us to pay the principal, premium, if any, and interest on our indebtedness. For example, in 2006 our cash interest expense exceeded the cash generated from our operating activities, and in 2007 our cash flow from operating activities was negative and did not cover any of our interest expense.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19, 2007, Moody’s Investor Service, Inc. downgraded the ratings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4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rules adopted by the SEC pursuant to Section 404 of the Sarbanes-Oxley Act of 2002, which require us to include in our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Form 10-K our management’s report on, and assessment of the effectiveness of, our internal controls over financial reporting. Beginning with our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December 31, 2008, our independent auditors will be required to attest to and report on the effectiveness of our internal controls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fail to achieve and maintain the adequacy of our internal controls, there is a risk that we will not comply with all of the requirements imposed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Moreover, effective internal controls, particularly those related to revenue recognition, are necessary for us to produce reliable financial reports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important to helping prevent financial fraud. Any of these possible outcomes could result in an adverse reaction in the financial marketplace due to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confidence in the reliability of our financial statements and could result in investigations or sanctions by the SEC, the applicable securities exchange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our securities are listed or other regulatory authorities or in securityholder litigation. Any of these factors ultimately could harm our business and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the market price of our securities. Ineffective control over financial reporting could also cause investors to lose confidence in our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adversely affect the trading price of our securities.</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need to incur impairment and other restructuring charges, which could materially affect our results of operations and financial conditions.</w:t>
      </w:r>
    </w:p>
    <w:p>
      <w:pPr>
        <w:spacing w:after="0" w:line="11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industry downturns and for other reasons, we may need to record impairment or restructuring charges. From the Original Acquisition in October 2004 through March 30, 2008, we recognized aggregate restructuring and impairment charges of $141.7 million, which consisted of $136.5 million of impairment charges and $5.2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19, 2008, two of our former employees exercised options to acquire 11,375 of our common units at an aggregate purchase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$20,890.00. Because the offering transactions took place outside the U.S. and the optionees were not U.S. persons, the issuance of these securities was exempt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registration under Regulation 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12, 2008, one of our former employees exercised options to acquire 2,437.50 of our common units at a purchase price of $7,312.50. Because the offering transaction took place outside the U.S. and the optionee was not a U.S. person, the issuance of these securities was exempt from registration under Regulation 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5(a).</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May 8, 2008, MagnaChip Semiconductor, Ltd. (the “Subsidiary”), our subsidiary, entered into an Amended and Restated Service Agreement (the “Park Restated Agreement”) with Sang Park, who serves as our Chief Executive Officer and Chairman. The Park Restated Agreement amends the initial Service Agreement entered into between Mr. Park and the Subsidiary as of May 27, 2006, to provide for (A) the payment of an additional one-time performance bonus of $900,000 on the earlier of (i) June 30, 2009 or (ii) the date (but not before January 1, 2009) which is six months after the closing of the first to occur of a change of control or first public offering of our equity securities, (B) certain expatriate, repatriation and international service benefits, (C) continued participation in our benefit plans for up to two years after any involuntary termination, and (D) additional provisions related to compliance with Section 409A of the Internal Revenue Code of 1986, as amended (the “Code”). The foregoing description is qualified in its entirety by reference to the Park Restated Agreement, a copy of which is filed as Exhibit 10.36a to this report and incorporated herein by reference.</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Effective May 8, 2008, the Subsidiary entered into an Amended and Restated Service Agreement (the “Krakauer Restated Agreement”) with Robert Krakauer, who serves as our President, Chief Financial Officer, and General Manager, Imaging Solutions Division. The Krakauer Restated Agreement amends the initial Service Agreement entered into between Mr. Krakauer and the Subsidiary as of October 6, 2004, to provide for (A) the payment of the full eligible annual incentive bonus for 2007, less any amount of the annual incentive previously paid, (B) the payment of an additional one-time performance bonus of $750,000 on the earlier of (i) June 30, 2009 or (ii) the date (but not before January 1, 2009) which is six months after the closing of the first to occur of a change of control or first public offering of our equity securities, (C) vesting of restricted units such that vested units will not be subject to forfeiture to or repurchase by us, and</w:t>
      </w:r>
    </w:p>
    <w:p>
      <w:pPr>
        <w:spacing w:after="0" w:line="1" w:lineRule="exact"/>
        <w:rPr>
          <w:sz w:val="20"/>
          <w:szCs w:val="20"/>
          <w:color w:val="auto"/>
        </w:rPr>
      </w:pPr>
    </w:p>
    <w:p>
      <w:pPr>
        <w:ind w:right="100" w:firstLine="8"/>
        <w:spacing w:after="0" w:line="261" w:lineRule="auto"/>
        <w:tabs>
          <w:tab w:leader="none" w:pos="2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provisions related to compliance with Section 409A of the Code. The foregoing description is qualified in its entirety by reference to the Krakauer Restated Agreement, a copy of which is filed as Exhibit 10.19a to this report and incorporated herein by reference.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219"/>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9"/>
                <w:szCs w:val="19"/>
                <w:color w:val="auto"/>
              </w:rPr>
            </w:pPr>
          </w:p>
        </w:tc>
        <w:tc>
          <w:tcPr>
            <w:tcW w:w="10460" w:type="dxa"/>
            <w:vAlign w:val="bottom"/>
          </w:tcPr>
          <w:p>
            <w:pPr>
              <w:spacing w:after="0"/>
              <w:rPr>
                <w:sz w:val="19"/>
                <w:szCs w:val="19"/>
                <w:color w:val="auto"/>
              </w:rPr>
            </w:pPr>
          </w:p>
        </w:tc>
      </w:t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60" w:type="dxa"/>
            <w:vAlign w:val="bottom"/>
            <w:shd w:val="clear" w:color="auto" w:fill="000000"/>
          </w:tcPr>
          <w:p>
            <w:pPr>
              <w:spacing w:after="0"/>
              <w:rPr>
                <w:sz w:val="2"/>
                <w:szCs w:val="2"/>
                <w:color w:val="auto"/>
              </w:rPr>
            </w:pPr>
          </w:p>
        </w:tc>
      </w:tr>
      <w:tr>
        <w:trPr>
          <w:trHeight w:val="322"/>
        </w:trPr>
        <w:tc>
          <w:tcPr>
            <w:tcW w:w="760" w:type="dxa"/>
            <w:vAlign w:val="bottom"/>
            <w:gridSpan w:val="2"/>
          </w:tcPr>
          <w:p>
            <w:pPr>
              <w:spacing w:after="0"/>
              <w:rPr>
                <w:sz w:val="20"/>
                <w:szCs w:val="20"/>
                <w:color w:val="auto"/>
              </w:rPr>
            </w:pPr>
            <w:r>
              <w:rPr>
                <w:rFonts w:ascii="Arial" w:cs="Arial" w:eastAsia="Arial" w:hAnsi="Arial"/>
                <w:sz w:val="18"/>
                <w:szCs w:val="18"/>
                <w:color w:val="auto"/>
              </w:rPr>
              <w:t>10.19a</w:t>
            </w: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87"/>
              </w:rPr>
              <w:t>Amended and Restated Service Agreement, dated as of May 8, 2008, by and between MagnaChip Semiconductor, Ltd. (Korea) and Robert Krakauer</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10.36a</w:t>
            </w: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91"/>
              </w:rPr>
              <w:t>Amended and Restated Service Agreement, dated as of May 8, 2008, by and between MagnaChip Semiconductor, Ltd. (Korea) and Sang Park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60" w:type="dxa"/>
            <w:vAlign w:val="bottom"/>
            <w:gridSpan w:val="2"/>
          </w:tcPr>
          <w:p>
            <w:pPr>
              <w:ind w:left="486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MAGNACHIP SEMICONDUCTOR LLC</w:t>
            </w:r>
          </w:p>
        </w:tc>
      </w:tr>
      <w:tr>
        <w:trPr>
          <w:trHeight w:val="427"/>
        </w:trPr>
        <w:tc>
          <w:tcPr>
            <w:tcW w:w="3560" w:type="dxa"/>
            <w:vAlign w:val="bottom"/>
          </w:tcPr>
          <w:p>
            <w:pPr>
              <w:spacing w:after="0"/>
              <w:rPr>
                <w:sz w:val="20"/>
                <w:szCs w:val="20"/>
                <w:color w:val="auto"/>
              </w:rPr>
            </w:pPr>
            <w:r>
              <w:rPr>
                <w:rFonts w:ascii="Arial" w:cs="Arial" w:eastAsia="Arial" w:hAnsi="Arial"/>
                <w:sz w:val="18"/>
                <w:szCs w:val="18"/>
                <w:color w:val="auto"/>
              </w:rPr>
              <w:t>Dated: May 13, 2008</w:t>
            </w: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By:  /s/ Sang Park</w:t>
            </w:r>
          </w:p>
        </w:tc>
      </w:tr>
      <w:tr>
        <w:trPr>
          <w:trHeight w:val="202"/>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784"/>
        </w:trPr>
        <w:tc>
          <w:tcPr>
            <w:tcW w:w="3560" w:type="dxa"/>
            <w:vAlign w:val="bottom"/>
          </w:tcPr>
          <w:p>
            <w:pPr>
              <w:spacing w:after="0"/>
              <w:rPr>
                <w:sz w:val="20"/>
                <w:szCs w:val="20"/>
                <w:color w:val="auto"/>
              </w:rPr>
            </w:pPr>
            <w:r>
              <w:rPr>
                <w:rFonts w:ascii="Arial" w:cs="Arial" w:eastAsia="Arial" w:hAnsi="Arial"/>
                <w:sz w:val="18"/>
                <w:szCs w:val="18"/>
                <w:color w:val="auto"/>
              </w:rPr>
              <w:t>Dated: May 13, 2008</w:t>
            </w:r>
          </w:p>
        </w:tc>
        <w:tc>
          <w:tcPr>
            <w:tcW w:w="7860" w:type="dxa"/>
            <w:vAlign w:val="bottom"/>
            <w:gridSpan w:val="2"/>
          </w:tcPr>
          <w:p>
            <w:pPr>
              <w:ind w:left="2480"/>
              <w:spacing w:after="0"/>
              <w:rPr>
                <w:sz w:val="20"/>
                <w:szCs w:val="20"/>
                <w:color w:val="auto"/>
              </w:rPr>
            </w:pPr>
            <w:r>
              <w:rPr>
                <w:rFonts w:ascii="Arial" w:cs="Arial" w:eastAsia="Arial" w:hAnsi="Arial"/>
                <w:sz w:val="18"/>
                <w:szCs w:val="18"/>
                <w:color w:val="auto"/>
              </w:rPr>
              <w:t>By:  /s/ Robert J. Krakauer</w:t>
            </w:r>
          </w:p>
        </w:tc>
      </w:tr>
      <w:tr>
        <w:trPr>
          <w:trHeight w:val="202"/>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22"/>
        </w:trPr>
        <w:tc>
          <w:tcPr>
            <w:tcW w:w="3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Financial Officer</w:t>
            </w:r>
          </w:p>
        </w:tc>
      </w:tr>
      <w:tr>
        <w:trPr>
          <w:trHeight w:val="365"/>
        </w:trPr>
        <w:tc>
          <w:tcPr>
            <w:tcW w:w="3560" w:type="dxa"/>
            <w:vAlign w:val="bottom"/>
          </w:tcPr>
          <w:p>
            <w:pPr>
              <w:spacing w:after="0"/>
              <w:rPr>
                <w:sz w:val="24"/>
                <w:szCs w:val="24"/>
                <w:color w:val="auto"/>
              </w:rPr>
            </w:pPr>
          </w:p>
        </w:tc>
        <w:tc>
          <w:tcPr>
            <w:tcW w:w="2740" w:type="dxa"/>
            <w:vAlign w:val="bottom"/>
          </w:tcPr>
          <w:p>
            <w:pPr>
              <w:jc w:val="right"/>
              <w:ind w:right="412"/>
              <w:spacing w:after="0"/>
              <w:rPr>
                <w:sz w:val="20"/>
                <w:szCs w:val="20"/>
                <w:color w:val="auto"/>
              </w:rPr>
            </w:pPr>
            <w:r>
              <w:rPr>
                <w:rFonts w:ascii="Arial" w:cs="Arial" w:eastAsia="Arial" w:hAnsi="Arial"/>
                <w:sz w:val="18"/>
                <w:szCs w:val="18"/>
                <w:color w:val="auto"/>
              </w:rPr>
              <w:t>44</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60" w:type="dxa"/>
            <w:vAlign w:val="bottom"/>
          </w:tcPr>
          <w:p>
            <w:pPr>
              <w:ind w:left="3920"/>
              <w:spacing w:after="0"/>
              <w:rPr>
                <w:sz w:val="20"/>
                <w:szCs w:val="20"/>
                <w:color w:val="auto"/>
              </w:rPr>
            </w:pPr>
            <w:r>
              <w:rPr>
                <w:rFonts w:ascii="Arial" w:cs="Arial" w:eastAsia="Arial" w:hAnsi="Arial"/>
                <w:sz w:val="18"/>
                <w:szCs w:val="18"/>
                <w:color w:val="auto"/>
              </w:rPr>
              <w:t>INDEX TO EXHIBITS</w:t>
            </w:r>
          </w:p>
        </w:tc>
      </w:tr>
      <w:tr>
        <w:trPr>
          <w:trHeight w:val="340"/>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10460" w:type="dxa"/>
            <w:vAlign w:val="bottom"/>
          </w:tcPr>
          <w:p>
            <w:pPr>
              <w:spacing w:after="0"/>
              <w:rPr>
                <w:sz w:val="24"/>
                <w:szCs w:val="24"/>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60" w:type="dxa"/>
            <w:vAlign w:val="bottom"/>
            <w:shd w:val="clear" w:color="auto" w:fill="000000"/>
          </w:tcPr>
          <w:p>
            <w:pPr>
              <w:spacing w:after="0"/>
              <w:rPr>
                <w:sz w:val="2"/>
                <w:szCs w:val="2"/>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w w:val="87"/>
              </w:rPr>
              <w:t>10.19a</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87"/>
              </w:rPr>
              <w:t>Amended and Restated Service Agreement, dated as of May 8, 2008, by and between MagnaChip Semiconductor, Ltd. (Korea) and Robert Krakauer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10.36a</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Amended and Restated Service Agreement, dated as of May 8, 2008, by and between MagnaChip Semiconductor, Ltd. (Korea) and Sang Park</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Executive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 Chief Financial</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460"/>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10920" w:type="dxa"/>
            <w:vAlign w:val="bottom"/>
            <w:gridSpan w:val="2"/>
          </w:tcPr>
          <w:p>
            <w:pPr>
              <w:ind w:left="51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45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10.19a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6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AMENDED AND RESTATED SERVICE AGREEMENT (the “Agreement”) is dated as of this 8th day of May 2008 (the “Effective Date”) by and between MagnaChip Semiconductor, Ltd., a Korean limited liability company (the “Company”), and Robert Krakauer, an individual (the “Officer”).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WHEREAS, the Company and the Officer entered into a Service Agreement, dated as of October 6, 2004, (the “Original Agreement”) pursuant to which the Officer has been employed by the Company as its Chief Financial Officer, Chief Administrative Officer and Senior Vice President of Strategic Operations, and is currently employed as its President, Chief Financial Officer, and General Manager, Imaging Solutions Division; and</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WHEREAS, the Company desires to continue to have the benefits of the Officer’s knowledge and experience as a full-time officer and to employ the Officer in the manner hereinafter specified and to make provision for payment of reasonable compensation to the Officer for such services, and the Officer is willing to continue to be employed by the Company to perform the duties incident to such employment upon the terms and conditions hereinafter set forth.</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NOW, THEREFORE, in consideration of the foregoing premises, the mutual covenants, terms and conditions set forth herein, and other valuable consideration, the receipt and sufficiency of which are hereby acknowledged, the parties hereto hereby and restate the Original Agreement as this Amended and Restated Service Agreement as follows: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EFFECTIVENESS OF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constitute a binding obligation of the Officer and the Company upon the execution of this Agreement.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EMPLOYMENT AND DUTIES</w:t>
      </w:r>
    </w:p>
    <w:p>
      <w:pPr>
        <w:spacing w:after="0" w:line="96" w:lineRule="exact"/>
        <w:rPr>
          <w:sz w:val="20"/>
          <w:szCs w:val="20"/>
          <w:color w:val="auto"/>
        </w:rPr>
      </w:pPr>
    </w:p>
    <w:p>
      <w:pPr>
        <w:ind w:firstLine="464"/>
        <w:spacing w:after="0" w:line="290"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Effective as of the closing under the Business Transfer Agreement, dated as of June 12, 2004, by and between Hynix Semiconductor, Inc. and System Semiconductor, Ltd. (the “Original Effective Date”), the Company has employed the Officer as Chief Financial Officer, Chief Administrative Officer and Senior Vice President of Strategic Operations of the Company and currently employs the Officer as its President, Chief Financial Officer, and General Manager, Imaging Solutions Division. From the Effective Date, the Company shall continue to employ the Officer as President, Chief Financial Officer, and General Manager, Imaging Solutions Division, of the Company, and the Officer agrees upon the terms and conditions herein set forth to be employed by the Company. The Officer shall diligently perform such duties and have such responsibilities as the Board of Directors of the Company (the “Board”) may establish from time to time, and the Officer shall report to the Chief Executive Officer and the Board.</w:t>
      </w:r>
    </w:p>
    <w:p>
      <w:pPr>
        <w:spacing w:after="0" w:line="118" w:lineRule="exact"/>
        <w:rPr>
          <w:rFonts w:ascii="Arial" w:cs="Arial" w:eastAsia="Arial" w:hAnsi="Arial"/>
          <w:sz w:val="16"/>
          <w:szCs w:val="16"/>
          <w:color w:val="auto"/>
        </w:rPr>
      </w:pPr>
    </w:p>
    <w:p>
      <w:pPr>
        <w:ind w:right="60" w:firstLine="464"/>
        <w:spacing w:after="0" w:line="291"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Unless terminated at an earlier date in accordance with Section 4 hereof, the term of the Officer’s employment with the Company the Original Agreement and continuing under this Agreement shall be for a term commencing on the Original Effective Date and ending on the third anniversary of the Original Effective Date (the “Initial Term”). Thereafter, unless terminated at an earlier date in accordance with Section 4 hereof, the Initial Term and each Additional Term shall be automatically extended for successive one-year periods (each, an “Additional Term”), in each case, commencing upon the expiration of the Initial Term or the then current Additional Term, unless at least 90 days prior to the expiration of such term, either party gives written notice to the other party of its intention not to extend the term of the Officer’s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right="60" w:firstLine="464"/>
        <w:spacing w:after="0" w:line="291"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Services</w:t>
      </w:r>
      <w:r>
        <w:rPr>
          <w:rFonts w:ascii="Arial" w:cs="Arial" w:eastAsia="Arial" w:hAnsi="Arial"/>
          <w:sz w:val="16"/>
          <w:szCs w:val="16"/>
          <w:color w:val="auto"/>
        </w:rPr>
        <w:t>. The Officer shall well and faithfully serve the Company, and shall devote all of his business time and attention to the performance of the duties of such employment and the advancement of the best interests of the Company and shall not, directly or indirectly, render services to any other person or organization for which the Officer receives compensation without the prior written approval of the Company. The Officer hereby agrees to refrain from engaging in any activity that does, shall or could reasonably be deemed to conflict with the best interests of the Company. The Officer shall be entitled to serve on a maximum of two other company boards of directors, provided those companies are not competitors of the Company and the Company shall make reasonable accommodation for travel and service in connection with these outside boards of directors.</w:t>
      </w:r>
    </w:p>
    <w:p>
      <w:pPr>
        <w:spacing w:after="0" w:line="120" w:lineRule="exact"/>
        <w:rPr>
          <w:rFonts w:ascii="Arial" w:cs="Arial" w:eastAsia="Arial" w:hAnsi="Arial"/>
          <w:sz w:val="16"/>
          <w:szCs w:val="16"/>
          <w:color w:val="auto"/>
        </w:rPr>
      </w:pPr>
    </w:p>
    <w:p>
      <w:pPr>
        <w:ind w:right="52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Location of Employment</w:t>
      </w:r>
      <w:r>
        <w:rPr>
          <w:rFonts w:ascii="Arial" w:cs="Arial" w:eastAsia="Arial" w:hAnsi="Arial"/>
          <w:sz w:val="18"/>
          <w:szCs w:val="18"/>
          <w:color w:val="auto"/>
        </w:rPr>
        <w:t>. The Officer’s place of employment shall be at the Company’s facility located in Seoul, Korea and such other places as determined by the Officer in consultation with the Board.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COMPENSATION AND OTHER BENEFITS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Subject to the provisions of this Agreement, including, without limitation, the termination provisions contained in Section 4, the Company shall pay and provide the following compensation and other benefits to the Officer as compensation for all services rendered hereunder:</w:t>
      </w:r>
    </w:p>
    <w:p>
      <w:pPr>
        <w:spacing w:after="0" w:line="85" w:lineRule="exact"/>
        <w:rPr>
          <w:sz w:val="20"/>
          <w:szCs w:val="20"/>
          <w:color w:val="auto"/>
        </w:rPr>
      </w:pPr>
    </w:p>
    <w:p>
      <w:pPr>
        <w:ind w:right="40" w:firstLine="464"/>
        <w:spacing w:after="0" w:line="256"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the Officer a base salary at the rate of US$375,000.00 per annum (the “Salary”), payable to the Officer in accordance with the standard payroll practices of the Company as are in effect from time to time, less all such deductions or withholdings required by applicable law. Annual increases in Salary will be determined by the compensation committee of the Board (the “Committee”) in accordance with the Committee’s policies and procedures.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6" w:lineRule="auto"/>
        <w:tabs>
          <w:tab w:leader="none" w:pos="66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 Incentive. The Officer shall be eligible to earn an annual cash bonus (the “Annual Incentive”) equal to 100% of the Officer’s annual Salary as in effect for the performance year to which the Annual Incentive pertains, subject to satisfaction of the applicable performance objectives established by the Committee and the continuous employment of the Officer through the date of payment of the Annual Incentive; provided, however, that upon execution of this Agreement, the Officer shall receive the full eligible Annual Incentive for 2007, less any amount of the Annual Incentive previously paid. Notwithstanding the foregoing, for the 2009 annual bonus plan year only, the amount of the Annual Incentive determined by the Committee to be otherwise payable to the Officer for the plan year ending in 2009 on the basis of the actual achievement by the Company of the performance objectives applicable to such plan year shall be paid on a pro rata basis determined by the number of days the Officer was actually employed during the 2009 plan year in the event that the Officer’s employment with the Company terminates prior to the end of the 2009 plan year; provided, however, that no Annual Incentive shall be paid pursuant to this Section to the Officer with respect to the 2009 plan year in the event that the Officer becomes entitled (without regard to the requirement of an effective release of claims pursuant to Section 4(g)) to a payment pursuant to Section 4(b)(i)(3), Section 4(c)(iii) or Section 4(d)(iii). Any Annual Incentive earned by the Officer shall be shall be paid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w:t>
      </w:r>
    </w:p>
    <w:p>
      <w:pPr>
        <w:spacing w:after="0" w:line="124" w:lineRule="exact"/>
        <w:rPr>
          <w:rFonts w:ascii="Arial" w:cs="Arial" w:eastAsia="Arial" w:hAnsi="Arial"/>
          <w:sz w:val="16"/>
          <w:szCs w:val="16"/>
          <w:color w:val="auto"/>
        </w:rPr>
      </w:pPr>
    </w:p>
    <w:p>
      <w:pPr>
        <w:ind w:firstLine="464"/>
        <w:spacing w:after="0" w:line="268"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Bonus. The Officer shall be paid an additional, one-time cash bonus (the “Performance Bonus”) in an amount equal to US$750,000 on the earlier of (A) June 30,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47" w:name="page48"/>
    <w:bookmarkEnd w:id="47"/>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2009 or (B) the date (but not before January 1, 2009) which is six months after a closing of the first to occur of a “Change of Control” or the Company’s “First Public Offering” (as such terms are defined in that certain Second Amended and Restated Securityholders’ Agreement dated as of October 6, 2004 among MagnaChip Semiconductor LLC and the other signatories thereto, as amended from time to time), provided the Officer remains in continuous employment with the Company through the applicable date.</w:t>
      </w:r>
    </w:p>
    <w:p>
      <w:pPr>
        <w:spacing w:after="0" w:line="143"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Expatriate Benefits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255" w:lineRule="auto"/>
        <w:tabs>
          <w:tab w:leader="none" w:pos="6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Reimbursements and In-kind Benefits. Except as otherwise provided in Section 4, during the term of this Agreement, the Officer shall be entitled to the expatriate, repatriation, and international service benefits that are described in Schedule A attached hereto. Any reimbursement or in-kind benefit the Officer is entitled to receive pursuant to Schedule A shall (A) be paid no later than the last day of the Officer’s taxable year following the taxable year in which the expense was incurred, (B) not be affected by the amount of expenses eligible for reimbursement or in-kind benefits provided in any other taxable year, and (C) not be subject to liquidation or exchange for another benefit.</w:t>
      </w:r>
    </w:p>
    <w:p>
      <w:pPr>
        <w:spacing w:after="0" w:line="142" w:lineRule="exact"/>
        <w:rPr>
          <w:rFonts w:ascii="Arial" w:cs="Arial" w:eastAsia="Arial" w:hAnsi="Arial"/>
          <w:sz w:val="18"/>
          <w:szCs w:val="18"/>
          <w:color w:val="auto"/>
        </w:rPr>
      </w:pPr>
    </w:p>
    <w:p>
      <w:pPr>
        <w:ind w:right="60" w:firstLine="464"/>
        <w:spacing w:after="0" w:line="288" w:lineRule="auto"/>
        <w:tabs>
          <w:tab w:leader="none" w:pos="7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Gross-Up Payments. To the extent that any reimbursements, stipends, or in-kind benefits provided under Section 3(c)(i) are taxable in the U.S. or Korea, such reimbursements or in-kind benefits shall be “grossed up” or increased to take into account any such tax liability incurred by the Officer as a result of such reimbursement or in-kind benefit. In determining the amount of any tax liability incurred by the Officer, the Officer shall minimize U.S. taxes as permitted by Section 911 (relating to exclusions from gross income of certain foreign earned income and housing costs) of the Internal Revenue Code of 1986, as amended (the “Code”) and Section 901 (relating to the foreign tax credit) of the Code. The payment pursuant to this Section 3(c)(ii) (the “Gross-Up Payment”) shall be in an amount equal to the U.S. federal, state, local and foreign taxes imposed on the Officer as a result of the benefits provided pursuant to Section 3(c)(i), including the amount of additional taxes imposed on the Officer as a result of the Company’s reimbursement of taxes pursuant to this Section 3(c)(ii). The Company shall pay the Gross-Up Payment to the Officer no later than the last day of the Officer’s taxable year following the taxable year in which the Officer remits the applicable tax.</w:t>
      </w:r>
    </w:p>
    <w:p>
      <w:pPr>
        <w:spacing w:after="0" w:line="120" w:lineRule="exact"/>
        <w:rPr>
          <w:sz w:val="20"/>
          <w:szCs w:val="20"/>
          <w:color w:val="auto"/>
        </w:rPr>
      </w:pPr>
    </w:p>
    <w:p>
      <w:pPr>
        <w:ind w:right="40" w:firstLine="464"/>
        <w:spacing w:after="0" w:line="294"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pay or reimburse the Officer for all reasonable out-of-pocket expenses incurred by the Officer in connection with his employment hereunder upon submission of appropriate documentation or receipts in accordance with the policies and procedures of the Company as are in effect from time to time. Any reimbursement or expense payment the Officer is entitled to receive pursuant to this Section 3(d) shall (i) be paid no later than the last day of Executive’s taxable year following the taxable year in which the expense was incurred, (ii) not be affected by the amount of expenses eligible for reimbursement or payment in any other taxable year and (iii) not be subject to liquidation or exchange for another benefit.</w:t>
      </w:r>
    </w:p>
    <w:p>
      <w:pPr>
        <w:spacing w:after="0" w:line="115" w:lineRule="exact"/>
        <w:rPr>
          <w:rFonts w:ascii="Arial" w:cs="Arial" w:eastAsia="Arial" w:hAnsi="Arial"/>
          <w:sz w:val="16"/>
          <w:szCs w:val="16"/>
          <w:color w:val="auto"/>
        </w:rPr>
      </w:pPr>
    </w:p>
    <w:p>
      <w:pPr>
        <w:ind w:right="40" w:firstLine="464"/>
        <w:spacing w:after="0" w:line="306"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The Officer shall be eligible to participate in or purchase as necessary and be reimbursed for medical, disability and life insurance plans and to receive other benefits applicable to senior officers of the Company generally in accordance with the terms of such plans as are in effect from time to time. While serving in an expatriate status, the Officer shall be entitled to the health and life insurance coverage listed on Schedule A.</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The Officer shall be entitled to annual vacation of four weeks per year.</w:t>
      </w:r>
    </w:p>
    <w:p>
      <w:pPr>
        <w:spacing w:after="0" w:line="171" w:lineRule="exact"/>
        <w:rPr>
          <w:rFonts w:ascii="Arial" w:cs="Arial" w:eastAsia="Arial" w:hAnsi="Arial"/>
          <w:sz w:val="18"/>
          <w:szCs w:val="18"/>
          <w:color w:val="auto"/>
        </w:rPr>
      </w:pPr>
    </w:p>
    <w:p>
      <w:pPr>
        <w:ind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Co-investment right</w:t>
      </w:r>
      <w:r>
        <w:rPr>
          <w:rFonts w:ascii="Arial" w:cs="Arial" w:eastAsia="Arial" w:hAnsi="Arial"/>
          <w:sz w:val="18"/>
          <w:szCs w:val="18"/>
          <w:color w:val="auto"/>
        </w:rPr>
        <w:t>. For ninety days following the Original Effective Date, the Officer shall have the right to invest up to US$1,000,000 in the equity of MagnaChip Semiconductor LLC, a Delaware limited liability company (“MagnaChip LLC”), at the same price per unit as that paid by Citicorp Venture Capital Equity Partners, L.P. (“CVC”) and with respect to the same strip of equity securities being acquired by CVC.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8" w:name="page49"/>
    <w:bookmarkEnd w:id="48"/>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90" w:lineRule="auto"/>
        <w:tabs>
          <w:tab w:leader="none" w:pos="6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Promptly following the closing of the Business Transfer Agreement, the Officer shall be granted options immediately exerciseable for 677,293 restricted Common Units of MagnaChip LLC (the “Initial Options”) at a purchase price equal to $1.00 per Common Unit. The restricted Common Units issued upon the exercise of the Initial Options (the “Initial Promote Units”), shall be subject to restrictions contained in an equity incentive plan to be approved by MagnaChip LLC (the “Incentive Plan”). Upon the exercise of the Initial Options by the Officer, the Company shall pay the Officer a bonus, which the Officer agrees will be retained by the Company in satisfaction of the exercise price of the Initial Options. In connection with the payment of the bonus described in the preceding sentence, the Company shall pay the Officer US$380,977.14 to cover U.S. federal withholding relating to such bonus. The Officer hereby authorizes and directs the Company to withhold the full amount of such payment to satisfy such withholding requirements.</w:t>
      </w:r>
    </w:p>
    <w:p>
      <w:pPr>
        <w:spacing w:after="0" w:line="118" w:lineRule="exact"/>
        <w:rPr>
          <w:sz w:val="20"/>
          <w:szCs w:val="20"/>
          <w:color w:val="auto"/>
        </w:rPr>
      </w:pPr>
    </w:p>
    <w:p>
      <w:pPr>
        <w:ind w:right="20" w:firstLine="464"/>
        <w:spacing w:after="0" w:line="284" w:lineRule="auto"/>
        <w:tabs>
          <w:tab w:leader="none" w:pos="71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Following the closing of the Business Transfer Agreement but no sooner than the 91st day after the closing, the Officer shall be granted an option to purchase the number of restricted Common Units equal to the difference between the number of Initial Promote Units and the number of units representing 1.25% of the value of MagnaChip LLC’s Common Units outstanding on such date, after giving effect to the exercise of such options and to options provided to</w:t>
      </w:r>
    </w:p>
    <w:p>
      <w:pPr>
        <w:spacing w:after="0" w:line="1" w:lineRule="exact"/>
        <w:rPr>
          <w:rFonts w:ascii="Arial" w:cs="Arial" w:eastAsia="Arial" w:hAnsi="Arial"/>
          <w:sz w:val="16"/>
          <w:szCs w:val="16"/>
          <w:color w:val="auto"/>
        </w:rPr>
      </w:pP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Dr. Youm Huh under a corresponding provision in his employment agreement, but prior to giving effect to the exercise of any other warrants or options granted by the Company, including the warrant held by Hynix Semiconductor Inc. and employee options, whether or not then exerciseable or exercised (the “Incremental Options,” and the restricted Common Units issued upon exercise of the Incremental Options shall be “Incremental Promote Units”), at a purchase price equal to US$1.00 per Common Unit.</w:t>
      </w:r>
    </w:p>
    <w:p>
      <w:pPr>
        <w:spacing w:after="0" w:line="143" w:lineRule="exact"/>
        <w:rPr>
          <w:rFonts w:ascii="Arial" w:cs="Arial" w:eastAsia="Arial" w:hAnsi="Arial"/>
          <w:sz w:val="16"/>
          <w:szCs w:val="16"/>
          <w:color w:val="auto"/>
        </w:rPr>
      </w:pPr>
    </w:p>
    <w:p>
      <w:pPr>
        <w:ind w:firstLine="464"/>
        <w:spacing w:after="0" w:line="288" w:lineRule="auto"/>
        <w:tabs>
          <w:tab w:leader="none" w:pos="7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Initial Promote Units or Incremental Promote Units (together, the “Promote Units”) remaining unvested on the date of the Officer’s termination of employment with Company for any reason or no reason shall be subject to forfeiture or to repurchase by the Company as follows and otherwise in accordance with the terms of the Incentive Plan: (A) unvested Initial Promote Units shall be subject to forfeiture to the Company and (B) unvested Incremental Promote Units shall be subject to repurchase by the Company at a repurchase price of US$1.00 per Unit. Vested Promote Units shall not be subject to forfeiture to or repurchase by the Company. The Promote Units shall vest in accordance with the schedule set forth in the Incentive Plan, but generally 25% of the covered units shall be scheduled to vest on the first anniversary of the Officer’s purchase of the Promote Units and an additional 6.25% of the covered units shall be scheduled to vest each calendar quarter thereafter. The Promote Units shall vest in full upon a Change of Control of the Company after which the Officer is no longer the Chief Financial Officer. On any scheduled vesting date, the Promote Units shall vest only if the Officer is still employed by the Company (except as otherwise provided in this Agreement).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TERMINATION OF EMPLOYMENT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the notice and other provisions of this Section 4, the Company shall have the right to terminate the Officer’s employment hereunder, at any time for any reason or for no stated reason, and the Officer shall have the right to resign, at any time for any reason or for no stated reason.</w:t>
      </w:r>
    </w:p>
    <w:p>
      <w:pPr>
        <w:spacing w:after="0" w:line="85"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 Other Than for Good Reason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68"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prior to the expiration of the Initial Term or any Additional Term, the Officer’s employment is terminated by the Company for “Cause” (as hereinafter defined) or if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9" w:name="page50"/>
    <w:bookmarkEnd w:id="4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resigns for any reason other than Good Reason (as hereinafter defined) from his employment hereunder, the Officer shall be entitled to payment of (A) his Salary accrued up to and including the date of termination or resignation, (B) for the applicable 2009 plan year only, any Annual Incentive earned in accordance with Section 3(b)(i) through the date of termination or resignation, and (C) any unreimbursed expenses. Except as required by Section 4(a)(ii) below and except to the extent required by the terms of the benefits provided under Section 3(e) or applicable law, the Officer shall have no right under this Agreement or otherwise to receive any other compensation, including, without limitation, any Annual Incentive or Performance Bonus which has not been paid prior to the date of such termination or resignation, or to participate in any other plan, program or arrangement after such termination or resignation of employment with respect to the year of such termination or resignation and later years. The treatment of any outstanding options held by the Officer as of the date of the termination shall be governed by the option agreements and option plans pursuant to which the options were granted.</w:t>
      </w:r>
    </w:p>
    <w:p>
      <w:pPr>
        <w:spacing w:after="0" w:line="118" w:lineRule="exact"/>
        <w:rPr>
          <w:sz w:val="20"/>
          <w:szCs w:val="20"/>
          <w:color w:val="auto"/>
        </w:rPr>
      </w:pPr>
    </w:p>
    <w:p>
      <w:pPr>
        <w:ind w:right="100" w:firstLine="464"/>
        <w:spacing w:after="0" w:line="291" w:lineRule="auto"/>
        <w:tabs>
          <w:tab w:leader="none" w:pos="7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Section 4(g) below, in the event of the Officer’s resignation from employment with the Company for any reason other than “Good Reason,” as defined below (but not in the event of the Officer’s termination of employment by the Company for Cause) and provided that the Officer elects to receive coverage for medical benefits under the Consolidated Omnibus Budget Reconciliation Act of 1985 (“COBRA Coverage”), the Company shall pay the cost of the COBRA Coverage for the Officer and the dependants with respect to which the Officer was receiving benefits under the medical plan as of the date of the Officer’s resignation for a period ending twelve (12) months following the date of such resignation from employment, or until the Officer becomes eligible to participate in a subsequent employer’s medical plan, whichever occurs first.</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Termination for “Cause” shall mean a termination of the Officer’s employment with the Company because of (A) a failure by the Officer to</w:t>
      </w:r>
    </w:p>
    <w:p>
      <w:pPr>
        <w:spacing w:after="0" w:line="38"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substantially perform the Officer’s customary duties with the Company in the ordinary course (other than such failure resulting from the Officer’s incapacity due to physical or mental illness or any such actual or anticipated failure after the Officer provides written notification to the Company of resignation of employment for Good Reason under this Agreement) that, if susceptible to cure, has not been cured as determined by the Company within 30 days after a written demand for substantial performance is delivered to the Officer by the Company, which demand specifically identifies the manner in which the Company believes that the Officer has not substantially performed the Officer’s duties; (B) the Officer’s gross negligence, intentional misconduct or fraud in the performance of his or her employment; (C) the Officer’s indictment for a felony or to a crime involving fraud or dishonesty; (D) a judicial determination that the Officer committed fraud or dishonesty against any natural person, firm, partnership, limited liability company, association, corporation, company, trust, business trust, governmental authority or other entity (each, a “Person”); or (e) the Officer’s material violation of one or more of the Company’s policies applicable to the Officer’s employment as may be in effect from time to time.</w:t>
      </w:r>
    </w:p>
    <w:p>
      <w:pPr>
        <w:spacing w:after="0" w:line="120" w:lineRule="exact"/>
        <w:rPr>
          <w:rFonts w:ascii="Arial" w:cs="Arial" w:eastAsia="Arial" w:hAnsi="Arial"/>
          <w:sz w:val="16"/>
          <w:szCs w:val="16"/>
          <w:color w:val="auto"/>
        </w:rPr>
      </w:pPr>
    </w:p>
    <w:p>
      <w:pPr>
        <w:ind w:right="40" w:firstLine="464"/>
        <w:spacing w:after="0" w:line="256" w:lineRule="auto"/>
        <w:tabs>
          <w:tab w:leader="none" w:pos="7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the Officer’s employment for Cause shall be communicated by delivery to the Officer of a written notice from the Company stating that the Officer will be terminated for Cause, specifying the particulars thereof and the effective date of such termination. The date of a resignation other than for Good Reason by the Officer shall be the date specified in a written notice of resignation from the Officer to the Company provided that the Officer shall provide at least 90 days’ advance written notice of his resignation other than for Good Reason.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0" w:name="page51"/>
    <w:bookmarkEnd w:id="50"/>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Involuntary Termination</w:t>
      </w:r>
      <w:r>
        <w:rPr>
          <w:rFonts w:ascii="Arial" w:cs="Arial" w:eastAsia="Arial" w:hAnsi="Arial"/>
          <w:sz w:val="18"/>
          <w:szCs w:val="18"/>
          <w:color w:val="auto"/>
        </w:rPr>
        <w:t>.</w:t>
      </w:r>
    </w:p>
    <w:p>
      <w:pPr>
        <w:spacing w:after="0" w:line="171" w:lineRule="exact"/>
        <w:rPr>
          <w:sz w:val="20"/>
          <w:szCs w:val="20"/>
          <w:color w:val="auto"/>
        </w:rPr>
      </w:pPr>
    </w:p>
    <w:p>
      <w:pPr>
        <w:ind w:right="400" w:firstLine="464"/>
        <w:spacing w:after="0" w:line="284" w:lineRule="auto"/>
        <w:tabs>
          <w:tab w:leader="none" w:pos="666"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prior to the expiration of the Initial Term or any Additional Term, the Company terminates the Officer’s employment for any reason other than Disability, death or Cause or if the Officer resigns from his employment for Good Reason (such termination or resignation being hereinafter referred to as an “Involuntary Termination”), the Officer shall be entitled to (A) payment of his Salary accrued up to and including the date of the Involuntary Termination,</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any unreimbursed expenses and (C) subject to Section 4(g) below, severance (the “Severance”), consisting of the following:</w:t>
      </w:r>
    </w:p>
    <w:p>
      <w:pPr>
        <w:spacing w:after="0" w:line="83" w:lineRule="exact"/>
        <w:rPr>
          <w:rFonts w:ascii="Arial" w:cs="Arial" w:eastAsia="Arial" w:hAnsi="Arial"/>
          <w:sz w:val="18"/>
          <w:szCs w:val="18"/>
          <w:color w:val="auto"/>
        </w:rPr>
      </w:pPr>
    </w:p>
    <w:p>
      <w:pPr>
        <w:ind w:left="460" w:right="40" w:firstLine="443"/>
        <w:spacing w:after="0" w:line="291" w:lineRule="auto"/>
        <w:tabs>
          <w:tab w:leader="none" w:pos="1147" w:val="left"/>
        </w:tabs>
        <w:numPr>
          <w:ilvl w:val="2"/>
          <w:numId w:val="26"/>
        </w:numPr>
        <w:rPr>
          <w:rFonts w:ascii="Arial" w:cs="Arial" w:eastAsia="Arial" w:hAnsi="Arial"/>
          <w:sz w:val="16"/>
          <w:szCs w:val="16"/>
          <w:color w:val="auto"/>
        </w:rPr>
      </w:pPr>
      <w:r>
        <w:rPr>
          <w:rFonts w:ascii="Arial" w:cs="Arial" w:eastAsia="Arial" w:hAnsi="Arial"/>
          <w:sz w:val="16"/>
          <w:szCs w:val="16"/>
          <w:color w:val="auto"/>
        </w:rPr>
        <w:t>Provided that the Officer has not become entitled to the Performance Bonus on or prior to the date of the Involuntary termination, the Company shall pay to the Officer an amount equal to twelve months of Salary at the monthly rate in effect on the date of the Involuntary Termination. Such amount shall be paid over a period of twelve months, which, subject to Section 4(f), shall be payable to the Officer in accordance with the Company’s normal payroll schedule as in effect on the date of the Involuntary Termination, commencing with the first payroll date occurring at least thirty (30) days following the date of the Involuntary Termination. The Company and the Officer agree that for purposes of Section 409A of the Code, the payments pursuant to this Section shall be treated as a right to a series of separate payments.</w:t>
      </w:r>
    </w:p>
    <w:p>
      <w:pPr>
        <w:spacing w:after="0" w:line="39"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 the event that the Officer elects to receive coverage for medical benefits under COBRA, the Company shall pay the cost of the COBRA Coverage for the Officer and the dependants with respect to which the Officer was receiving benefits under the medical plan as of the date of the Involuntary Termination, for a period ending twelve (12) months following the date of such Involuntary Termination, or until the Officer becomes eligible to participate in a subsequent employer’s medical plan, whichever occurs first.</w:t>
      </w:r>
    </w:p>
    <w:p>
      <w:pPr>
        <w:spacing w:after="0" w:line="62" w:lineRule="exact"/>
        <w:rPr>
          <w:rFonts w:ascii="Arial" w:cs="Arial" w:eastAsia="Arial" w:hAnsi="Arial"/>
          <w:sz w:val="18"/>
          <w:szCs w:val="18"/>
          <w:color w:val="auto"/>
        </w:rPr>
      </w:pPr>
    </w:p>
    <w:p>
      <w:pPr>
        <w:ind w:left="460" w:firstLine="443"/>
        <w:spacing w:after="0" w:line="255" w:lineRule="auto"/>
        <w:tabs>
          <w:tab w:leader="none" w:pos="1147"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 shall pay to the Officer the Annual Incentive, in a prorated amount based on the number of days the Officer was actually employed during the applicable plan year and on deemed satisfactory performance by the Officer, but based on actual performance objectives satisfied by the Company. Such amount shall be shall be paid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w:t>
      </w:r>
    </w:p>
    <w:p>
      <w:pPr>
        <w:spacing w:after="0" w:line="61"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2"/>
          <w:numId w:val="26"/>
        </w:numPr>
        <w:rPr>
          <w:rFonts w:ascii="Arial" w:cs="Arial" w:eastAsia="Arial" w:hAnsi="Arial"/>
          <w:sz w:val="16"/>
          <w:szCs w:val="16"/>
          <w:color w:val="auto"/>
        </w:rPr>
      </w:pPr>
      <w:r>
        <w:rPr>
          <w:rFonts w:ascii="Arial" w:cs="Arial" w:eastAsia="Arial" w:hAnsi="Arial"/>
          <w:sz w:val="16"/>
          <w:szCs w:val="16"/>
          <w:color w:val="auto"/>
        </w:rPr>
        <w:t>To the extent the Officer’s place of employment is located outside the United States on the date of the Involuntary Termination, the Company shall pay the cost to repatriate the Officer and his immediate family in accordance with the repatriation provisions set forth in Schedule A.</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provisions of Section 5(c) and 5(d) shall cease to apply.</w:t>
      </w:r>
    </w:p>
    <w:p>
      <w:pPr>
        <w:spacing w:after="0" w:line="171" w:lineRule="exact"/>
        <w:rPr>
          <w:rFonts w:ascii="Arial" w:cs="Arial" w:eastAsia="Arial" w:hAnsi="Arial"/>
          <w:sz w:val="18"/>
          <w:szCs w:val="18"/>
          <w:color w:val="auto"/>
        </w:rPr>
      </w:pPr>
    </w:p>
    <w:p>
      <w:pPr>
        <w:ind w:right="200" w:firstLine="464"/>
        <w:spacing w:after="0" w:line="255" w:lineRule="auto"/>
        <w:tabs>
          <w:tab w:leader="none" w:pos="7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Resignation for “Good Reason” shall mean resignation by the Officer because of, unless the Officer otherwise consents in writing, one or more of the following circumstances if and only if the Officer informs the Company in writing within 30 days following its initial occurrence that one or more of such circumstances has occurred and such circumstances have not, if susceptible to cure, been cured as determined by the Company within 30 days after a written demand for substantial performance is delivered to the Company by the Officer, which demand specifically identifies the manner in which the Officer believes that the Company has not performed its obligations:</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reduction in the Officer’s base Salary;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nature or status of the Officer’s authorities, duties or responsibilities has been materially and adversely altered.</w:t>
      </w:r>
    </w:p>
    <w:p>
      <w:pPr>
        <w:spacing w:after="0" w:line="171" w:lineRule="exact"/>
        <w:rPr>
          <w:rFonts w:ascii="Arial" w:cs="Arial" w:eastAsia="Arial" w:hAnsi="Arial"/>
          <w:sz w:val="18"/>
          <w:szCs w:val="18"/>
          <w:color w:val="auto"/>
        </w:rPr>
      </w:pPr>
    </w:p>
    <w:p>
      <w:pPr>
        <w:ind w:right="240" w:firstLine="464"/>
        <w:spacing w:after="0" w:line="268" w:lineRule="auto"/>
        <w:tabs>
          <w:tab w:leader="none" w:pos="764"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Resignation for Good Reason shall be communicated by delivery to the Company of a written notice from the Officer stating that the Officer will be resigning for Good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1" w:name="page52"/>
    <w:bookmarkEnd w:id="5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specifying the particulars thereof and the effective date of such resignation, which shall be a date no later than six months after the first occurrence of the circumstance(s) constituting Good Reason. If the Officer provides such written notice to the Company, the Company shall have 30 days from the date of receipt of such notice to effect a cure of the material breach described therein and, upon cure thereof by the Company, such material breach shall no longer constitute Good Reason for purposes of this Agreement.</w:t>
      </w:r>
    </w:p>
    <w:p>
      <w:pPr>
        <w:spacing w:after="0" w:line="143" w:lineRule="exact"/>
        <w:rPr>
          <w:sz w:val="20"/>
          <w:szCs w:val="20"/>
          <w:color w:val="auto"/>
        </w:rPr>
      </w:pPr>
    </w:p>
    <w:p>
      <w:pPr>
        <w:ind w:right="160" w:firstLine="464"/>
        <w:spacing w:after="0" w:line="256" w:lineRule="auto"/>
        <w:tabs>
          <w:tab w:leader="none" w:pos="7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of termination of employment without Cause shall be the date specified in a written notice of termination to the Officer. The date of resignation for Good Reason shall be the date specified in a written notice of resignation from the Officer to the Company; provided, however, that no such written notice shall be effective unless the cure period specified in Section 4(b)(ii) above has expired without the Company having corrected the event or events subject to cure.</w:t>
      </w:r>
    </w:p>
    <w:p>
      <w:pPr>
        <w:spacing w:after="0" w:line="143" w:lineRule="exact"/>
        <w:rPr>
          <w:sz w:val="20"/>
          <w:szCs w:val="20"/>
          <w:color w:val="auto"/>
        </w:rPr>
      </w:pPr>
    </w:p>
    <w:p>
      <w:pPr>
        <w:ind w:firstLine="464"/>
        <w:spacing w:after="0" w:line="285"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In the event of the Officer’s Disability, the Company shall be entitled to terminate his employment. In the case that the Company terminates the Officer’s employment due to Disability, the Officer shall be entitled to (i) payment of his Salary up to and including the date of termination, (ii) payment of any unpaid expense reimbursements, (iii) subject to Section 4(g) below, payment of the Annual Incentive, in a prorated amount based on the number of days the Officer was actually employed during the applicable plan year, based on actual performance objectives satisfied by the Company, and payable in a lump sum payment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 and (iv) to the extent the Officer’s place of employment is located outside the United States on the date of termination, payment by the Company of the cost to repatriate the Officer and his immediate family in accordance with the repatriation provisions set forth in Schedule A. As used in this Section 4(c), the term “Disability” shall mean that the Company determines that due to physical or mental illness or incapacity, whether total or partial, the Officer is substantially unable to perform his duties hereunder for a period of 90 consecutive days or shorter periods aggregating 90 days during any period of 180 consecutive days. The Officer shall permit a licensed physician agreed to by the Company and the Officer (or, in the event that the Company and the Officer cannot agree, by a licensed physician agreed upon by a physician selected by the Company and a physician selected by the Officer) to examine the Officer from time to time prior to the Officer’s being determined to be Disabled, as reasonably requested by the Company, to determine whether the Officer has suffered a Disability hereunder.</w:t>
      </w:r>
    </w:p>
    <w:p>
      <w:pPr>
        <w:spacing w:after="0" w:line="128" w:lineRule="exact"/>
        <w:rPr>
          <w:rFonts w:ascii="Arial" w:cs="Arial" w:eastAsia="Arial" w:hAnsi="Arial"/>
          <w:sz w:val="16"/>
          <w:szCs w:val="16"/>
          <w:color w:val="auto"/>
        </w:rPr>
      </w:pPr>
    </w:p>
    <w:p>
      <w:pPr>
        <w:ind w:firstLine="464"/>
        <w:spacing w:after="0" w:line="289"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Officer’s death while employed by the Company, the Officer’s estate or named beneficiary shall be entitled to (i) payment of his Salary up to and including the date of termination (ii) payment of any unpaid expense reimbursements, (iii) payment of the Annual Incentive, in a prorated amount based on the number of days the Officer was actually employed during the applicable plan year, based on actual performance objectives satisfied by the Company, and payable in a lump sum payment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 and (iv) to the extent the Officer’s place of employment is located outside the United States on the date of the Officer’s death, payment by the Company of the cost to repatriate the Officer’s immediate family to the city of their choice in the United States in accordance with the repatriation provisions set forth in Schedule A.</w:t>
      </w:r>
    </w:p>
    <w:p>
      <w:pPr>
        <w:spacing w:after="0" w:line="118" w:lineRule="exact"/>
        <w:rPr>
          <w:rFonts w:ascii="Arial" w:cs="Arial" w:eastAsia="Arial" w:hAnsi="Arial"/>
          <w:sz w:val="16"/>
          <w:szCs w:val="16"/>
          <w:color w:val="auto"/>
        </w:rPr>
      </w:pPr>
    </w:p>
    <w:p>
      <w:pPr>
        <w:ind w:right="40" w:firstLine="464"/>
        <w:spacing w:after="0" w:line="256"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Parachutes</w:t>
      </w:r>
      <w:r>
        <w:rPr>
          <w:rFonts w:ascii="Arial" w:cs="Arial" w:eastAsia="Arial" w:hAnsi="Arial"/>
          <w:sz w:val="18"/>
          <w:szCs w:val="18"/>
          <w:color w:val="auto"/>
        </w:rPr>
        <w:t>. Notwithstanding any other provisions of this Agreement to the contrary, in the event that any payments or benefits received or to be received by the Officer in connection with the Officer’s employment with the Company (or termination thereof) would subject the Officer to the excise tax (the “Excise Tax”) imposed under Section 4999 of the Internal Revenue Code of 1986, as amended (the “Code”), the Company shall make a cash “gross-up payment” to put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2" w:name="page53"/>
    <w:bookmarkEnd w:id="5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Officer in the same after tax position, after considering all relevant state, federal, local or other jurisdiction income, employment or other taxes, as would apply to the Officer if no Excise Tax were payable (the “Excise Tax Gross-Up”). The amount of the Excise Tax Gross-Up shall be determined by the Company’s accountants. The Company shall pay the Excise Tax Gross-Up to the Officer no later than the last day of the Officer’s taxable year following the taxable year in which Officer remits the Excise Tax.</w:t>
      </w:r>
    </w:p>
    <w:p>
      <w:pPr>
        <w:spacing w:after="0" w:line="143" w:lineRule="exact"/>
        <w:rPr>
          <w:sz w:val="20"/>
          <w:szCs w:val="20"/>
          <w:color w:val="auto"/>
        </w:rPr>
      </w:pPr>
    </w:p>
    <w:p>
      <w:pPr>
        <w:ind w:firstLine="464"/>
        <w:spacing w:after="0" w:line="289"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Notwithstanding anything set forth herein to the contrary, no amount payable pursuant to this Agreement on account of the Officer’s termination of employment with the Company which constitutes a “deferral of compensation” within the meaning of the Treasury Regulations issued pursuant to Section 409A of the Code (the “Section 409A Regulations”) shall be paid unless and until the Officer has incurred a “separation from service” within the meaning of the Section 409A Regulations. Furthermore, to the extent that the Officer is a “specified employee” within the meaning of the Section 409A Regulations as of the date of the Officer’s separation from service, no amount that constitutes a deferral of compensation which is payable on account of the Officer’s separation from service shall paid to the Officer before the date (the “Delayed Payment Date”) which is first day of the seventh month after the date of the Officer’s separation from service or, if earlier, the date of the Officer’s death following such separation from service. All such amounts that would, but for this Section, become payable prior to the Delayed Payment Date will be accumulated and paid on the Delayed Payment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Benefits Subject to Effective Release of Claims</w:t>
      </w:r>
      <w:r>
        <w:rPr>
          <w:rFonts w:ascii="Arial" w:cs="Arial" w:eastAsia="Arial" w:hAnsi="Arial"/>
          <w:sz w:val="16"/>
          <w:szCs w:val="16"/>
          <w:color w:val="auto"/>
        </w:rPr>
        <w:t>. The Officer’s right to the payments and benefits provided pursuant to Section 4(a)(ii), Section 4(b)(i)</w:t>
      </w:r>
    </w:p>
    <w:p>
      <w:pPr>
        <w:spacing w:after="0" w:line="38" w:lineRule="exact"/>
        <w:rPr>
          <w:rFonts w:ascii="Arial" w:cs="Arial" w:eastAsia="Arial" w:hAnsi="Arial"/>
          <w:sz w:val="16"/>
          <w:szCs w:val="16"/>
          <w:color w:val="auto"/>
        </w:rPr>
      </w:pPr>
    </w:p>
    <w:p>
      <w:pPr>
        <w:ind w:right="120" w:firstLine="8"/>
        <w:spacing w:after="0" w:line="295" w:lineRule="auto"/>
        <w:tabs>
          <w:tab w:leader="none" w:pos="278"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 Section 4(c)(iii) above shall be conditioned upon the Officer’s execution of a full general release in a form satisfactory to the Company, releasing all claims, known and unknown, that the Officer may have against the Company arising out of or in any way related to the Officer’s employment or termination of employment with the Company, which release shall have become effective in accordance with its terms on or before the date on which the applicable payment is due to be made or the applicable benefit due to be provided in accordance with this Agreement.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COVENANTS</w:t>
      </w:r>
    </w:p>
    <w:p>
      <w:pPr>
        <w:spacing w:after="0" w:line="96" w:lineRule="exact"/>
        <w:rPr>
          <w:sz w:val="20"/>
          <w:szCs w:val="20"/>
          <w:color w:val="auto"/>
        </w:rPr>
      </w:pPr>
    </w:p>
    <w:p>
      <w:pPr>
        <w:ind w:right="140" w:firstLine="464"/>
        <w:spacing w:after="0" w:line="312" w:lineRule="auto"/>
        <w:tabs>
          <w:tab w:leader="none" w:pos="695"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an officer of the Company, the Officer acknowledges that he has had and will have access to confidential or proprietary information or both relating to the business of, or belonging to, the Company or any affiliates or third parties including, but not limited to, proprietary or confidential information, technical data, trade secrets, or know-how in respect of research, product plans, products, services, customer lists, customers, markets, computer software (including object code and source code), data and databases, outcomes research, documentation, instructional material, developments, inventions, processes, formulas, technology, designs, drawings, engineering, hardware, configuration information, models, manufacturing processes, sales information, cost information, business plans, business opportunities, marketing, finances or other business information disclosed to the Officer in any manner including by drawings or observations of parts or equipment, etc., all of which have substantial value to the Company (collectively, “Confidential Information”).</w:t>
      </w:r>
    </w:p>
    <w:p>
      <w:pPr>
        <w:spacing w:after="0" w:line="105" w:lineRule="exact"/>
        <w:rPr>
          <w:sz w:val="20"/>
          <w:szCs w:val="20"/>
          <w:color w:val="auto"/>
        </w:rPr>
      </w:pPr>
    </w:p>
    <w:p>
      <w:pPr>
        <w:ind w:left="680" w:hanging="216"/>
        <w:spacing w:after="0"/>
        <w:tabs>
          <w:tab w:leader="none" w:pos="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Officer agrees that while employed with the Company and after the termination of the Officer’s employment for any reason, the Officer shall not:</w:t>
      </w:r>
    </w:p>
    <w:p>
      <w:pPr>
        <w:spacing w:after="0" w:line="38" w:lineRule="exact"/>
        <w:rPr>
          <w:rFonts w:ascii="Arial" w:cs="Arial" w:eastAsia="Arial" w:hAnsi="Arial"/>
          <w:sz w:val="16"/>
          <w:szCs w:val="16"/>
          <w:color w:val="auto"/>
        </w:rPr>
      </w:pPr>
    </w:p>
    <w:p>
      <w:pPr>
        <w:jc w:val="both"/>
        <w:ind w:right="160" w:firstLine="8"/>
        <w:spacing w:after="0" w:line="255" w:lineRule="auto"/>
        <w:tabs>
          <w:tab w:leader="none" w:pos="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any Confidential Information except in the course of his employment by the Company; or (B) disclose any Confidential Information to any other person or entity, except to personnel of the Company utilizing it in the course of their employment by the Company or to persons identified to the Officer in writing by the Company, without the prior written consent of the Company.</w:t>
      </w:r>
    </w:p>
    <w:p>
      <w:pPr>
        <w:spacing w:after="0" w:line="144" w:lineRule="exact"/>
        <w:rPr>
          <w:rFonts w:ascii="Arial" w:cs="Arial" w:eastAsia="Arial" w:hAnsi="Arial"/>
          <w:sz w:val="18"/>
          <w:szCs w:val="18"/>
          <w:color w:val="auto"/>
        </w:rPr>
      </w:pPr>
    </w:p>
    <w:p>
      <w:pPr>
        <w:ind w:right="300" w:firstLine="464"/>
        <w:spacing w:after="0" w:line="256" w:lineRule="auto"/>
        <w:tabs>
          <w:tab w:leader="none" w:pos="7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While the Officer is employed with the Company and after the termination of the Officer’s employment for any reason, the Officer shall respect and adhere to any non-disclosure, confidentiality or similar agreements to which the Company or any of its affiliates are, or during the period of the Officer’s employment by the Company, become, a party or subject. Upon the request of the Officer, the Company shall disclose to the Officer any such agreements to which it is a party or is subject.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53" w:name="page54"/>
    <w:bookmarkEnd w:id="53"/>
    <w:p>
      <w:pPr>
        <w:ind w:left="-8" w:firstLine="464"/>
        <w:spacing w:after="0" w:line="318" w:lineRule="auto"/>
        <w:tabs>
          <w:tab w:leader="none" w:pos="756" w:val="left"/>
        </w:tabs>
        <w:numPr>
          <w:ilvl w:val="0"/>
          <w:numId w:val="3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Officer hereby confirms that all Confidential Information and “Company Materials” (as hereinafter defined) are and shall remain the exclusive property of the Company. Immediately upon the termination of the Officer’s employment for any reason, or during the Officer’s employment with the Company upon the request of the Company, the Officer shall return all Company Materials, or any reproduction of such materials, apparatus, equipment and other physical property. For purposes of this Agreement, “Company Materials” are documents or other media or tangible items that contain or embody Confidential Information or any other information concerning the business, operations or plans of the Company, whether such documents have been prepared by the Officer or others.</w:t>
      </w:r>
    </w:p>
    <w:p>
      <w:pPr>
        <w:spacing w:after="0" w:line="100" w:lineRule="exact"/>
        <w:rPr>
          <w:sz w:val="20"/>
          <w:szCs w:val="20"/>
          <w:color w:val="auto"/>
        </w:rPr>
      </w:pPr>
    </w:p>
    <w:p>
      <w:pPr>
        <w:ind w:left="-8" w:firstLine="464"/>
        <w:spacing w:after="0" w:line="332" w:lineRule="auto"/>
        <w:tabs>
          <w:tab w:leader="none" w:pos="697"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Disclosure of Previously Acquired Information to Company</w:t>
      </w:r>
      <w:r>
        <w:rPr>
          <w:rFonts w:ascii="Arial" w:cs="Arial" w:eastAsia="Arial" w:hAnsi="Arial"/>
          <w:sz w:val="16"/>
          <w:szCs w:val="16"/>
          <w:color w:val="auto"/>
        </w:rPr>
        <w:t>. The Officer hereby agrees not to disclose to the Company, and not to induce the Company to utilize, any proprietary information or trade secrets of any other party that are in his possession, unless and to the extent that he has authority to do so.</w:t>
      </w:r>
    </w:p>
    <w:p>
      <w:pPr>
        <w:spacing w:after="0" w:line="85" w:lineRule="exact"/>
        <w:rPr>
          <w:rFonts w:ascii="Arial" w:cs="Arial" w:eastAsia="Arial" w:hAnsi="Arial"/>
          <w:sz w:val="16"/>
          <w:szCs w:val="16"/>
          <w:color w:val="auto"/>
        </w:rPr>
      </w:pPr>
    </w:p>
    <w:p>
      <w:pPr>
        <w:ind w:left="692" w:hanging="236"/>
        <w:spacing w:after="0"/>
        <w:tabs>
          <w:tab w:leader="none" w:pos="69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the Officer is employed by the Company and, after the Officer’s termination of employment for any reason, until the earlier of</w:t>
      </w:r>
    </w:p>
    <w:p>
      <w:pPr>
        <w:spacing w:after="0" w:line="38" w:lineRule="exact"/>
        <w:rPr>
          <w:rFonts w:ascii="Arial" w:cs="Arial" w:eastAsia="Arial" w:hAnsi="Arial"/>
          <w:sz w:val="16"/>
          <w:szCs w:val="16"/>
          <w:color w:val="auto"/>
        </w:rPr>
      </w:pPr>
    </w:p>
    <w:p>
      <w:pPr>
        <w:ind w:left="-8" w:right="20" w:firstLine="8"/>
        <w:spacing w:after="0" w:line="288" w:lineRule="auto"/>
        <w:tabs>
          <w:tab w:leader="none" w:pos="20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first anniversary of the date of termination and (ii) the third anniversary of the Effective Date, the Officer (and any entity or business in which the Officer or any affiliate of the Officer has any direct or indirect ownership or financial interest) shall not, except with the prior written consent of the Board of Directors, directly or indirectly, own any interest in, operate, join, control or participate as a partner, director, principal, officer, or agent of, enter into any employment of, act as a consultant to, or perform any services for any business which at any time during such period is in competition with any business in which the Company, or any of its affiliates, is planning to be engaged in the near future or is engaged on or prior to the termination of Officer’s employment by the Company, anywhere in the world. This provision shall not be construed to prohibit the ownership by the Officer of less than 2% of any class of securities of any corporation that has a class of securities registered pursuant to the Securities Exchange Act of 1934, as amended, so long as he remains a passive investor in such entity.</w:t>
      </w:r>
    </w:p>
    <w:p>
      <w:pPr>
        <w:spacing w:after="0" w:line="122" w:lineRule="exact"/>
        <w:rPr>
          <w:rFonts w:ascii="Arial" w:cs="Arial" w:eastAsia="Arial" w:hAnsi="Arial"/>
          <w:sz w:val="16"/>
          <w:szCs w:val="16"/>
          <w:color w:val="auto"/>
        </w:rPr>
      </w:pPr>
    </w:p>
    <w:p>
      <w:pPr>
        <w:jc w:val="both"/>
        <w:ind w:left="-8" w:firstLine="464"/>
        <w:spacing w:after="0" w:line="283" w:lineRule="auto"/>
        <w:tabs>
          <w:tab w:leader="none" w:pos="69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While the Officer is employed by the Company and for a two-year period thereafter, the Officer shall not, directly or indirectly, for the Officer’s own account or for the account of any other Person (i) solicit, employ, retain as a consultant, interfere with or attempt to entice away from the Company or any of its affiliates, or any successor to any of the foregoing, any individual who is, has agreed to be or within one year of such solicitation, employment, retention, interference or enticement has been, employed or retained by the Company or any of its subsidiaries or any successor to any of the foregoing or</w:t>
      </w:r>
    </w:p>
    <w:p>
      <w:pPr>
        <w:spacing w:after="0" w:line="2" w:lineRule="exact"/>
        <w:rPr>
          <w:rFonts w:ascii="Arial" w:cs="Arial" w:eastAsia="Arial" w:hAnsi="Arial"/>
          <w:sz w:val="16"/>
          <w:szCs w:val="16"/>
          <w:color w:val="auto"/>
        </w:rPr>
      </w:pPr>
    </w:p>
    <w:p>
      <w:pPr>
        <w:ind w:left="-8" w:right="60" w:firstLine="8"/>
        <w:spacing w:after="0" w:line="295" w:lineRule="auto"/>
        <w:tabs>
          <w:tab w:leader="none" w:pos="2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solicit or attempt to solicit the trade of any Person which, at the time of such solicitation, is a customer of the Company or its affiliates, or any successor to any of the foregoing, or which the Company or its affiliates, or any successor to any of the foregoing, is undertaking reasonable steps to procure as a customer at the time of or immediately preceding the termination of Officer’s employment by the Company; provided, however, that this limitation shall only apply to any product or service which is in competition with a product or service of the Company or its affiliates.</w:t>
      </w:r>
    </w:p>
    <w:p>
      <w:pPr>
        <w:spacing w:after="0" w:line="115" w:lineRule="exact"/>
        <w:rPr>
          <w:rFonts w:ascii="Arial" w:cs="Arial" w:eastAsia="Arial" w:hAnsi="Arial"/>
          <w:sz w:val="16"/>
          <w:szCs w:val="16"/>
          <w:color w:val="auto"/>
        </w:rPr>
      </w:pPr>
    </w:p>
    <w:p>
      <w:pPr>
        <w:ind w:left="-8" w:right="180" w:firstLine="464"/>
        <w:spacing w:after="0" w:line="323" w:lineRule="auto"/>
        <w:tabs>
          <w:tab w:leader="none" w:pos="687" w:val="left"/>
        </w:tabs>
        <w:numPr>
          <w:ilvl w:val="1"/>
          <w:numId w:val="37"/>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The Officer and the Company agree that at any time during his employment with the Company or at any time thereafter, neither the Company nor the Officer shall make, or cause or assist any other person to make, any statement or other communication which impugns or attacks, or is otherwise critical of, the reputation, business or character of the other, any subsidiary or any of their respective officers, directors, employees, products or services. The foregoing restrictions shall not apply to any statements that are made truthfully in response to a subpoena or other compulsory legal process.</w:t>
      </w:r>
    </w:p>
    <w:p>
      <w:pPr>
        <w:spacing w:after="0" w:line="8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52"/>
          </w:cols>
          <w:pgMar w:left="248" w:top="280" w:right="299" w:bottom="1440" w:gutter="0" w:footer="0" w:header="0"/>
        </w:sectPr>
      </w:pPr>
    </w:p>
    <w:bookmarkStart w:id="54" w:name="page55"/>
    <w:bookmarkEnd w:id="54"/>
    <w:p>
      <w:pPr>
        <w:ind w:right="80" w:firstLine="464"/>
        <w:spacing w:after="0" w:line="255" w:lineRule="auto"/>
        <w:tabs>
          <w:tab w:leader="none" w:pos="6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Enforcement</w:t>
      </w:r>
      <w:r>
        <w:rPr>
          <w:rFonts w:ascii="Arial" w:cs="Arial" w:eastAsia="Arial" w:hAnsi="Arial"/>
          <w:sz w:val="18"/>
          <w:szCs w:val="18"/>
          <w:color w:val="auto"/>
        </w:rPr>
        <w:t>. The Officer hereby acknowledges that he has carefully reviewed the provisions of this Agreement and agrees that the provisions are fair and equitable. However, in light of the possibility of differing interpretations of law and change in circumstances, the parties hereto agree that if any one or more of the provisions of this Agreement is determined by a court of competent jurisdiction to be invalid, void or unenforceable under circumstances then existing, the parties hereto agree that the maximum period, scope or geographical area reasonable or enforceable under such circumstances shall be substituted for the stated period, scope or area.</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GENERAL PROVISIONS</w:t>
      </w:r>
    </w:p>
    <w:p>
      <w:pPr>
        <w:spacing w:after="0" w:line="96"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amounts paid to Officer hereunder shall be subject to all applicable federal, state and local wage withholding.</w:t>
      </w:r>
    </w:p>
    <w:p>
      <w:pPr>
        <w:spacing w:after="0" w:line="171" w:lineRule="exact"/>
        <w:rPr>
          <w:rFonts w:ascii="Arial" w:cs="Arial" w:eastAsia="Arial" w:hAnsi="Arial"/>
          <w:sz w:val="18"/>
          <w:szCs w:val="18"/>
          <w:color w:val="auto"/>
        </w:rPr>
      </w:pPr>
    </w:p>
    <w:p>
      <w:pPr>
        <w:ind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hereunder by either party to the other shall be given in writing by personal delivery, or certified mail, return receipt requested, or (if to the Company) by telex or facsimile, in any case delivered to the applicable address set forth below:</w:t>
      </w:r>
    </w:p>
    <w:p>
      <w:pPr>
        <w:sectPr>
          <w:pgSz w:w="11900" w:h="16838" w:orient="portrait"/>
          <w:cols w:equalWidth="0" w:num="1">
            <w:col w:w="11400"/>
          </w:cols>
          <w:pgMar w:left="240" w:top="280" w:right="259" w:bottom="1440" w:gutter="0" w:footer="0" w:header="0"/>
        </w:sectPr>
      </w:pPr>
    </w:p>
    <w:p>
      <w:pPr>
        <w:spacing w:after="0" w:line="172"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891 Daechi-dong, Gangnam-gu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+82-2-6903-3898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11" w:lineRule="exact"/>
        <w:rPr>
          <w:sz w:val="20"/>
          <w:szCs w:val="20"/>
          <w:color w:val="auto"/>
        </w:rPr>
      </w:pPr>
    </w:p>
    <w:p>
      <w:pPr>
        <w:sectPr>
          <w:pgSz w:w="11900" w:h="16838" w:orient="portrait"/>
          <w:cols w:equalWidth="0" w:num="2">
            <w:col w:w="3140" w:space="720"/>
            <w:col w:w="7540"/>
          </w:cols>
          <w:pgMar w:left="240" w:top="280" w:right="25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Court Square Capital Partners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Park Avenue Plaza, 34th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10055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+1-212-752-6184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David Thomas</w:t>
      </w:r>
    </w:p>
    <w:p>
      <w:pPr>
        <w:spacing w:after="0" w:line="111" w:lineRule="exact"/>
        <w:rPr>
          <w:sz w:val="20"/>
          <w:szCs w:val="20"/>
          <w:color w:val="auto"/>
        </w:rPr>
      </w:pPr>
    </w:p>
    <w:p>
      <w:pPr>
        <w:sectPr>
          <w:pgSz w:w="11900" w:h="16838" w:orient="portrait"/>
          <w:cols w:equalWidth="0" w:num="2">
            <w:col w:w="3140" w:space="720"/>
            <w:col w:w="7540"/>
          </w:cols>
          <w:pgMar w:left="240" w:top="280" w:right="259" w:bottom="1440" w:gutter="0" w:footer="0" w:header="0"/>
          <w:type w:val="continuous"/>
        </w:sectPr>
      </w:pPr>
    </w:p>
    <w:p>
      <w:pPr>
        <w:ind w:left="38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Francisco Partners, L.P.</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Building C, Suite 410</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San Francisco, CA 94129 USA</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Facsimile No.: +1-415-418-2999</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Dipanjan Deb</w:t>
      </w:r>
    </w:p>
    <w:p>
      <w:pPr>
        <w:spacing w:after="0" w:line="11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DLA Piper US LLP</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2000 University Avenue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East Palo Alto, CA 94303</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Facsimile No.: +1-650-833-2001</w:t>
      </w:r>
    </w:p>
    <w:p>
      <w:pPr>
        <w:spacing w:after="0" w:line="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Micheal Reagan, Esq.</w:t>
      </w:r>
    </w:p>
    <w:p>
      <w:pPr>
        <w:sectPr>
          <w:pgSz w:w="11900" w:h="16838" w:orient="portrait"/>
          <w:cols w:equalWidth="0" w:num="1">
            <w:col w:w="11400"/>
          </w:cols>
          <w:pgMar w:left="240" w:top="280" w:right="259" w:bottom="1440" w:gutter="0" w:footer="0" w:header="0"/>
          <w:type w:val="continuous"/>
        </w:sectPr>
      </w:pPr>
    </w:p>
    <w:p>
      <w:pPr>
        <w:spacing w:after="0" w:line="111" w:lineRule="exact"/>
        <w:rPr>
          <w:sz w:val="20"/>
          <w:szCs w:val="20"/>
          <w:color w:val="auto"/>
        </w:rPr>
      </w:pPr>
    </w:p>
    <w:p>
      <w:pPr>
        <w:ind w:left="520"/>
        <w:spacing w:after="0"/>
        <w:tabs>
          <w:tab w:leader="none" w:pos="940" w:val="left"/>
        </w:tabs>
        <w:rPr>
          <w:sz w:val="20"/>
          <w:szCs w:val="20"/>
          <w:color w:val="auto"/>
        </w:rPr>
      </w:pPr>
      <w:r>
        <w:rPr>
          <w:rFonts w:ascii="Arial" w:cs="Arial" w:eastAsia="Arial" w:hAnsi="Arial"/>
          <w:sz w:val="16"/>
          <w:szCs w:val="16"/>
          <w:color w:val="auto"/>
        </w:rPr>
        <w:t>(ii)</w:t>
        <w:tab/>
        <w:t>To the Officer: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Robert Krakauer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 MagnaChip Semiconductor,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+82-2-6903-3689</w:t>
      </w:r>
    </w:p>
    <w:p>
      <w:pPr>
        <w:spacing w:after="0" w:line="111" w:lineRule="exact"/>
        <w:rPr>
          <w:sz w:val="20"/>
          <w:szCs w:val="20"/>
          <w:color w:val="auto"/>
        </w:rPr>
      </w:pPr>
    </w:p>
    <w:p>
      <w:pPr>
        <w:sectPr>
          <w:pgSz w:w="11900" w:h="16838" w:orient="portrait"/>
          <w:cols w:equalWidth="0" w:num="2">
            <w:col w:w="3140" w:space="720"/>
            <w:col w:w="7540"/>
          </w:cols>
          <w:pgMar w:left="240" w:top="280" w:right="25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Greenberg Traurig,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1900 University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East Palo Alto, CA 94303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+1-650-328-8508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Garth Gartrell, Esq.</w:t>
      </w:r>
    </w:p>
    <w:p>
      <w:pPr>
        <w:spacing w:after="0" w:line="165" w:lineRule="exact"/>
        <w:rPr>
          <w:sz w:val="20"/>
          <w:szCs w:val="20"/>
          <w:color w:val="auto"/>
        </w:rPr>
      </w:pPr>
    </w:p>
    <w:p>
      <w:pPr>
        <w:sectPr>
          <w:pgSz w:w="11900" w:h="16838" w:orient="portrait"/>
          <w:cols w:equalWidth="0" w:num="2">
            <w:col w:w="3140" w:space="720"/>
            <w:col w:w="7540"/>
          </w:cols>
          <w:pgMar w:left="240" w:top="280" w:right="259" w:bottom="1440" w:gutter="0" w:footer="0" w:header="0"/>
          <w:type w:val="continuous"/>
        </w:sectPr>
      </w:pPr>
    </w:p>
    <w:p>
      <w:pPr>
        <w:spacing w:after="0"/>
        <w:rPr>
          <w:sz w:val="20"/>
          <w:szCs w:val="20"/>
          <w:color w:val="auto"/>
        </w:rPr>
      </w:pPr>
      <w:r>
        <w:rPr>
          <w:rFonts w:ascii="Arial" w:cs="Arial" w:eastAsia="Arial" w:hAnsi="Arial"/>
          <w:sz w:val="15"/>
          <w:szCs w:val="15"/>
          <w:color w:val="auto"/>
        </w:rPr>
        <w:t>or to such other persons or other addresses as either party may specify to the other in writing.</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type w:val="continuous"/>
        </w:sectPr>
      </w:pPr>
    </w:p>
    <w:bookmarkStart w:id="55" w:name="page56"/>
    <w:bookmarkEnd w:id="55"/>
    <w:p>
      <w:pPr>
        <w:ind w:left="-8" w:right="20" w:firstLine="464"/>
        <w:spacing w:after="0" w:line="286" w:lineRule="auto"/>
        <w:tabs>
          <w:tab w:leader="none" w:pos="687"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Assumption of Agreement</w:t>
      </w:r>
      <w:r>
        <w:rPr>
          <w:rFonts w:ascii="Arial" w:cs="Arial" w:eastAsia="Arial" w:hAnsi="Arial"/>
          <w:sz w:val="16"/>
          <w:szCs w:val="16"/>
          <w:color w:val="auto"/>
        </w:rPr>
        <w:t>. This Agreement shall not be assignable, in whole or in part, by either party without the prior written consent or the other party, except as provided herein. The Company may assign its rights and obligations under this Agreement to any corporation or other business entity</w:t>
      </w:r>
    </w:p>
    <w:p>
      <w:pPr>
        <w:ind w:left="-8" w:right="20" w:firstLine="8"/>
        <w:spacing w:after="0" w:line="290" w:lineRule="auto"/>
        <w:tabs>
          <w:tab w:leader="none" w:pos="2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which is an affiliate of the Company, (ii) with which the Company may merge or consolidate, or (iii) to which the Company may sell or transfer all or substantially all of its assets or 50% or more of the voting stock entitled to elect the members of the Board of Directors of the Company, provided that in each case such successor company expressly assumes the Company’s obligations hereunder in writing. After any such assignment by the Company, the Company shall be discharged from all further liability hereunder and such assignee shall thereafter be deemed to be the “Company” for purposes of all terms and conditions of this Agreement, including this Section 6(c). For purposes of this Section 6(c), “affiliate” means any company that the Company controls, that controls the Company, or that is under common control with the Company.</w:t>
      </w:r>
    </w:p>
    <w:p>
      <w:pPr>
        <w:spacing w:after="0" w:line="118" w:lineRule="exact"/>
        <w:rPr>
          <w:rFonts w:ascii="Arial" w:cs="Arial" w:eastAsia="Arial" w:hAnsi="Arial"/>
          <w:sz w:val="16"/>
          <w:szCs w:val="16"/>
          <w:color w:val="auto"/>
        </w:rPr>
      </w:pPr>
    </w:p>
    <w:p>
      <w:pPr>
        <w:ind w:left="-8" w:right="60" w:firstLine="464"/>
        <w:spacing w:after="0" w:line="256" w:lineRule="auto"/>
        <w:tabs>
          <w:tab w:leader="none" w:pos="69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modified, waived or discharged unless such amendment, modification, waiver or discharge is agreed to in writing and signed by the parties.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43" w:lineRule="exact"/>
        <w:rPr>
          <w:rFonts w:ascii="Arial" w:cs="Arial" w:eastAsia="Arial" w:hAnsi="Arial"/>
          <w:sz w:val="18"/>
          <w:szCs w:val="18"/>
          <w:color w:val="auto"/>
        </w:rPr>
      </w:pPr>
    </w:p>
    <w:p>
      <w:pPr>
        <w:jc w:val="both"/>
        <w:ind w:left="-8" w:right="280" w:firstLine="464"/>
        <w:spacing w:after="0" w:line="306" w:lineRule="auto"/>
        <w:tabs>
          <w:tab w:leader="none" w:pos="68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hereof is determined to be invalid or unenforceable in a final court or arbitration proceeding, (i) the remaining terms and provisions hereof shall be unimpaired and (ii) the invalid or unenforceable term or provision shall be deemed replaced by a term or provision that is valid and enforceable and that comes closest to expressing the intention of the invalid or unenforceable term or provision.</w:t>
      </w:r>
    </w:p>
    <w:p>
      <w:pPr>
        <w:spacing w:after="0" w:line="106" w:lineRule="exact"/>
        <w:rPr>
          <w:rFonts w:ascii="Arial" w:cs="Arial" w:eastAsia="Arial" w:hAnsi="Arial"/>
          <w:sz w:val="16"/>
          <w:szCs w:val="16"/>
          <w:color w:val="auto"/>
        </w:rPr>
      </w:pPr>
    </w:p>
    <w:p>
      <w:pPr>
        <w:ind w:left="-8" w:firstLine="464"/>
        <w:spacing w:after="0" w:line="268" w:lineRule="auto"/>
        <w:tabs>
          <w:tab w:leader="none" w:pos="668"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governed by and construed in accordance with the laws of the State of Delaware and venue shall be Wilmington, Delaware.</w:t>
      </w:r>
    </w:p>
    <w:p>
      <w:pPr>
        <w:spacing w:after="0" w:line="131" w:lineRule="exact"/>
        <w:rPr>
          <w:rFonts w:ascii="Arial" w:cs="Arial" w:eastAsia="Arial" w:hAnsi="Arial"/>
          <w:sz w:val="18"/>
          <w:szCs w:val="18"/>
          <w:color w:val="auto"/>
        </w:rPr>
      </w:pPr>
    </w:p>
    <w:p>
      <w:pPr>
        <w:jc w:val="both"/>
        <w:ind w:left="-8" w:firstLine="464"/>
        <w:spacing w:after="0" w:line="306" w:lineRule="auto"/>
        <w:tabs>
          <w:tab w:leader="none" w:pos="69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Schedule A hereto, the Incentive Plan and the award agreements thereunder evidencing the equity awards granted in accordance with this Agreement, contain the entire agreement of the Officer, the Company and any predecessors or affiliates thereof with respect to the subject matter hereof and all prior agreements and negotiations are superseded hereby as of the date of this Agreement.</w:t>
      </w:r>
    </w:p>
    <w:p>
      <w:pPr>
        <w:spacing w:after="0" w:line="106" w:lineRule="exact"/>
        <w:rPr>
          <w:rFonts w:ascii="Arial" w:cs="Arial" w:eastAsia="Arial" w:hAnsi="Arial"/>
          <w:sz w:val="16"/>
          <w:szCs w:val="16"/>
          <w:color w:val="auto"/>
        </w:rPr>
      </w:pPr>
    </w:p>
    <w:p>
      <w:pPr>
        <w:ind w:left="-8" w:right="680" w:firstLine="464"/>
        <w:spacing w:after="0" w:line="268" w:lineRule="auto"/>
        <w:tabs>
          <w:tab w:leader="none" w:pos="69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counterparts, each of which shall be deemed an original, but both such counterparts shall together constitute one and the same document.</w:t>
      </w:r>
    </w:p>
    <w:p>
      <w:pPr>
        <w:spacing w:after="0" w:line="131" w:lineRule="exact"/>
        <w:rPr>
          <w:rFonts w:ascii="Arial" w:cs="Arial" w:eastAsia="Arial" w:hAnsi="Arial"/>
          <w:sz w:val="18"/>
          <w:szCs w:val="18"/>
          <w:color w:val="auto"/>
        </w:rPr>
      </w:pPr>
    </w:p>
    <w:p>
      <w:pPr>
        <w:ind w:left="-8" w:right="80" w:firstLine="464"/>
        <w:spacing w:after="0" w:line="291" w:lineRule="auto"/>
        <w:tabs>
          <w:tab w:leader="none" w:pos="65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Section 409A</w:t>
      </w:r>
      <w:r>
        <w:rPr>
          <w:rFonts w:ascii="Arial" w:cs="Arial" w:eastAsia="Arial" w:hAnsi="Arial"/>
          <w:sz w:val="16"/>
          <w:szCs w:val="16"/>
          <w:color w:val="auto"/>
        </w:rPr>
        <w:t>. The Company intends that income provided to the Officer pursuant to this Agreement will not be subject to taxation under Section 409A of the Code. The provisions of this Agreement shall be interpreted and construed in favor of satisfying any applicable requirements of Section 409A of the Code. However, the Company does not guarantee any particular tax effect for income provided to the Officer pursuant to this Agreement. In any event, except for the Company’s responsibility to withhold applicable income and employment taxes from compensation paid or provided to the Officer and except with regard to the Gross-Up Payment and the Excise Tax Gross-Up, the Company shall not be responsible for the payment of any applicable taxes incurred by the Employee on compensation paid or provided to the Employee pursuant to this Agreement.</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effective as of the day and year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LTD.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Dipanjan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Dipanjan Deb</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Robert Krakauer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759"/>
          </w:cols>
          <w:pgMar w:left="700" w:top="280"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10.36a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59" w:lineRule="exact"/>
        <w:rPr>
          <w:sz w:val="20"/>
          <w:szCs w:val="20"/>
          <w:color w:val="auto"/>
        </w:rPr>
      </w:pPr>
    </w:p>
    <w:p>
      <w:pPr>
        <w:ind w:right="240" w:firstLine="456"/>
        <w:spacing w:after="0" w:line="339" w:lineRule="auto"/>
        <w:rPr>
          <w:sz w:val="20"/>
          <w:szCs w:val="20"/>
          <w:color w:val="auto"/>
        </w:rPr>
      </w:pPr>
      <w:r>
        <w:rPr>
          <w:rFonts w:ascii="Arial" w:cs="Arial" w:eastAsia="Arial" w:hAnsi="Arial"/>
          <w:sz w:val="16"/>
          <w:szCs w:val="16"/>
          <w:b w:val="1"/>
          <w:bCs w:val="1"/>
          <w:color w:val="auto"/>
        </w:rPr>
        <w:t xml:space="preserve">THIS AMENDED AND RESTATED SERVICE AGREEMENT </w:t>
      </w:r>
      <w:r>
        <w:rPr>
          <w:rFonts w:ascii="Arial" w:cs="Arial" w:eastAsia="Arial" w:hAnsi="Arial"/>
          <w:sz w:val="16"/>
          <w:szCs w:val="16"/>
          <w:color w:val="auto"/>
        </w:rPr>
        <w:t>(the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this 8th day of May 2008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w:t>
      </w:r>
      <w:r>
        <w:rPr>
          <w:rFonts w:ascii="Arial" w:cs="Arial" w:eastAsia="Arial" w:hAnsi="Arial"/>
          <w:sz w:val="16"/>
          <w:szCs w:val="16"/>
          <w:b w:val="1"/>
          <w:bCs w:val="1"/>
          <w:color w:val="auto"/>
        </w:rPr>
        <w:t xml:space="preserve"> </w:t>
      </w:r>
      <w:r>
        <w:rPr>
          <w:rFonts w:ascii="Arial" w:cs="Arial" w:eastAsia="Arial" w:hAnsi="Arial"/>
          <w:sz w:val="16"/>
          <w:szCs w:val="16"/>
          <w:color w:val="auto"/>
        </w:rPr>
        <w:t>and between MagnaChip Semiconductor, Ltd., a Korean yuhan hoesa (the “</w:t>
      </w:r>
      <w:r>
        <w:rPr>
          <w:rFonts w:ascii="Arial" w:cs="Arial" w:eastAsia="Arial" w:hAnsi="Arial"/>
          <w:sz w:val="16"/>
          <w:szCs w:val="16"/>
          <w:u w:val="single" w:color="auto"/>
          <w:color w:val="auto"/>
        </w:rPr>
        <w:t>Company</w:t>
      </w:r>
      <w:r>
        <w:rPr>
          <w:rFonts w:ascii="Arial" w:cs="Arial" w:eastAsia="Arial" w:hAnsi="Arial"/>
          <w:sz w:val="16"/>
          <w:szCs w:val="16"/>
          <w:color w:val="auto"/>
        </w:rPr>
        <w:t>”), and Sang Park, an individual (the “</w:t>
      </w:r>
      <w:r>
        <w:rPr>
          <w:rFonts w:ascii="Arial" w:cs="Arial" w:eastAsia="Arial" w:hAnsi="Arial"/>
          <w:sz w:val="16"/>
          <w:szCs w:val="16"/>
          <w:u w:val="single" w:color="auto"/>
          <w:color w:val="auto"/>
        </w:rPr>
        <w:t>Officer</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Officer entered into a Service Agreement, dated as of the 27th day of May 2006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Officer was employed by the Company as its President and Chief Executive Officer and is currently employed as its Chairman of the Board of Directors and Chief Executive Officer; and</w:t>
      </w:r>
    </w:p>
    <w:p>
      <w:pPr>
        <w:spacing w:after="0" w:line="132" w:lineRule="exact"/>
        <w:rPr>
          <w:sz w:val="20"/>
          <w:szCs w:val="20"/>
          <w:color w:val="auto"/>
        </w:rPr>
      </w:pPr>
    </w:p>
    <w:p>
      <w:pPr>
        <w:jc w:val="both"/>
        <w:ind w:right="38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continue to have the benefits of the Officer’s knowledge and experience as a full-time officer and to employ the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the manner hereinafter specified and to make provision for payment of reasonable compensation to the Officer for such services, and the Officer is willing to continue to be employed by the Company to perform the duties incident to such employment upon the terms and conditions hereinafter set forth.</w:t>
      </w:r>
    </w:p>
    <w:p>
      <w:pPr>
        <w:spacing w:after="0" w:line="97" w:lineRule="exact"/>
        <w:rPr>
          <w:sz w:val="20"/>
          <w:szCs w:val="20"/>
          <w:color w:val="auto"/>
        </w:rPr>
      </w:pPr>
    </w:p>
    <w:p>
      <w:pPr>
        <w:jc w:val="both"/>
        <w:ind w:right="660" w:firstLine="456"/>
        <w:spacing w:after="0" w:line="26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the mutual covenants, terms and conditions set forth herein, and other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hereby amend and restate the Original Agreement as this Amended and Restated Service Agreement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EFFECTIVENESS OF THIS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constitute a binding obligation of the Officer and the Company upon the execution of this Agreement.</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EMPLOYMENT AND DUTIES</w:t>
      </w:r>
    </w:p>
    <w:p>
      <w:pPr>
        <w:spacing w:after="0" w:line="96" w:lineRule="exact"/>
        <w:rPr>
          <w:sz w:val="20"/>
          <w:szCs w:val="20"/>
          <w:color w:val="auto"/>
        </w:rPr>
      </w:pPr>
    </w:p>
    <w:p>
      <w:pPr>
        <w:ind w:right="40" w:firstLine="464"/>
        <w:spacing w:after="0" w:line="286"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Effective as of the date of the Original Agreement (the “</w:t>
      </w:r>
      <w:r>
        <w:rPr>
          <w:rFonts w:ascii="Arial" w:cs="Arial" w:eastAsia="Arial" w:hAnsi="Arial"/>
          <w:sz w:val="16"/>
          <w:szCs w:val="16"/>
          <w:u w:val="single" w:color="auto"/>
          <w:color w:val="auto"/>
        </w:rPr>
        <w:t>Original Effective Date</w:t>
      </w:r>
      <w:r>
        <w:rPr>
          <w:rFonts w:ascii="Arial" w:cs="Arial" w:eastAsia="Arial" w:hAnsi="Arial"/>
          <w:sz w:val="16"/>
          <w:szCs w:val="16"/>
          <w:color w:val="auto"/>
        </w:rPr>
        <w:t>”), on the terms and conditions set forth herein, the Company has employed the Officer as President and Chief Executive Officer of the Company, and the Company currently employs the Officer as its Chief Executive Officer and Chairman. From the Effective Date, the Company shall hereby employ the Officer as the Chairman of the Board of Directors and Chief Executive Officer of the Company, and the Officer agrees upon the terms and conditions herein set forth to be employed by the Company. The Officer has been appointed as a member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and from the Effective Date, the Company agrees that the Officer shall continue to serve as a member of the Board and that, for so long as the Officer is employed by the Company, the Company shall nominate the Officer to serve as a director at each annual stockholder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has a class of equity securities registered pursuant to the Securities Exchange Act of 1934, as amended, the Company shall not be obligated to nominate the Officer to serve as a director if the Officer has previously been nominated as a director at an annual or special stockholder meeting and the stockholders holding a majority of the voting power of the Company at such meeting shall not have voted to elect the Officer. The Officer agrees that upon the termination of his employment as President and Chief Executive Officer of the Company, he shall resign from the Board and from all other Boards of Directors of the Company’s affiliates of which he is a member. The Officer shall diligently perform such duties and have such responsibilities as the Board may establish from time to time, and the Officer shall report to the Board.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8" w:name="page59"/>
    <w:bookmarkEnd w:id="58"/>
    <w:p>
      <w:pPr>
        <w:ind w:firstLine="464"/>
        <w:spacing w:after="0" w:line="290"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w:t>
      </w:r>
      <w:r>
        <w:rPr>
          <w:rFonts w:ascii="Arial" w:cs="Arial" w:eastAsia="Arial" w:hAnsi="Arial"/>
          <w:sz w:val="16"/>
          <w:szCs w:val="16"/>
          <w:color w:val="auto"/>
        </w:rPr>
        <w:t>. Unless terminated at an earlier date in accordance with Section 4 hereof, the term of the Officer’s employment with the Company under the Original Agreement and continuing under this Agreement shall be for a term commencing on the Original Effective Date and ending on the second anniversary of the Original Effective Date (the “</w:t>
      </w:r>
      <w:r>
        <w:rPr>
          <w:rFonts w:ascii="Arial" w:cs="Arial" w:eastAsia="Arial" w:hAnsi="Arial"/>
          <w:sz w:val="16"/>
          <w:szCs w:val="16"/>
          <w:u w:val="single" w:color="auto"/>
          <w:color w:val="auto"/>
        </w:rPr>
        <w:t>Initial Term</w:t>
      </w:r>
      <w:r>
        <w:rPr>
          <w:rFonts w:ascii="Arial" w:cs="Arial" w:eastAsia="Arial" w:hAnsi="Arial"/>
          <w:sz w:val="16"/>
          <w:szCs w:val="16"/>
          <w:color w:val="auto"/>
        </w:rPr>
        <w:t>”). Thereafter, unless terminated at an earlier date in accordance with Section 4 hereof, the Initial Term and each Additional Term shall be automatically extended for successive two-year periods (each, an “</w:t>
      </w:r>
      <w:r>
        <w:rPr>
          <w:rFonts w:ascii="Arial" w:cs="Arial" w:eastAsia="Arial" w:hAnsi="Arial"/>
          <w:sz w:val="16"/>
          <w:szCs w:val="16"/>
          <w:u w:val="single" w:color="auto"/>
          <w:color w:val="auto"/>
        </w:rPr>
        <w:t>Additional Term</w:t>
      </w:r>
      <w:r>
        <w:rPr>
          <w:rFonts w:ascii="Arial" w:cs="Arial" w:eastAsia="Arial" w:hAnsi="Arial"/>
          <w:sz w:val="16"/>
          <w:szCs w:val="16"/>
          <w:color w:val="auto"/>
        </w:rPr>
        <w:t>”), in each case, commencing upon the expiration of the Initial Term or the then current Additional Term, unless at least 90 days prior to the expiration of such term, either party gives written notice to the other party of its intention not to extend the term of the Officer’s employment. The Company’s delivery of a notice of its intention not to extend the term of the Officer’s employment shall not be deemed to be an Involuntary Termination (as defined below).</w:t>
      </w:r>
    </w:p>
    <w:p>
      <w:pPr>
        <w:spacing w:after="0" w:line="118" w:lineRule="exact"/>
        <w:rPr>
          <w:rFonts w:ascii="Arial" w:cs="Arial" w:eastAsia="Arial" w:hAnsi="Arial"/>
          <w:sz w:val="16"/>
          <w:szCs w:val="16"/>
          <w:color w:val="auto"/>
        </w:rPr>
      </w:pPr>
    </w:p>
    <w:p>
      <w:pPr>
        <w:ind w:right="80" w:firstLine="464"/>
        <w:spacing w:after="0" w:line="291" w:lineRule="auto"/>
        <w:tabs>
          <w:tab w:leader="none" w:pos="69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The Officer shall well and faithfully serve the Company, and shall devote all of his business time and attention to the performance of the duties of such employment and the advancement of the best interests of the Company and shall not, directly or indirectly, render services to any other person or organization for which the Officer receives compensation without the prior written approval of the Company. The Officer hereby agrees to refrain from engaging in any activity that does, shall or could reasonably be deemed to conflict with the best interests of the Company. The Officer shall be entitled to serve on a maximum of two other company boards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those companies are not competitors of the Company and the Company shall make reasonable accommodation for travel and service in connection with these outside boards of directors.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COMPENSATION AND OTHER BENEFITS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Subject to the provisions of this Agreement, including, without limitation, the termination provisions contained in Section 4, the Company shall pay and provide the following compensation and other benefits to the Officer as compensation for all services rendered hereunder:</w:t>
      </w:r>
    </w:p>
    <w:p>
      <w:pPr>
        <w:spacing w:after="0" w:line="85" w:lineRule="exact"/>
        <w:rPr>
          <w:sz w:val="20"/>
          <w:szCs w:val="20"/>
          <w:color w:val="auto"/>
        </w:rPr>
      </w:pPr>
    </w:p>
    <w:p>
      <w:pPr>
        <w:ind w:right="60" w:firstLine="464"/>
        <w:spacing w:after="0" w:line="256"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the Officer a base salary at the rate of US$450,000.00 per annum (the “</w:t>
      </w:r>
      <w:r>
        <w:rPr>
          <w:rFonts w:ascii="Arial" w:cs="Arial" w:eastAsia="Arial" w:hAnsi="Arial"/>
          <w:sz w:val="18"/>
          <w:szCs w:val="18"/>
          <w:u w:val="single" w:color="auto"/>
          <w:color w:val="auto"/>
        </w:rPr>
        <w:t>Salary</w:t>
      </w:r>
      <w:r>
        <w:rPr>
          <w:rFonts w:ascii="Arial" w:cs="Arial" w:eastAsia="Arial" w:hAnsi="Arial"/>
          <w:sz w:val="18"/>
          <w:szCs w:val="18"/>
          <w:color w:val="auto"/>
        </w:rPr>
        <w:t>”), payable to the Officer in accordance with the standard payroll practices of the Company as are in effect from time to time, less all such deductions or withholdings required by applicable law. Annual increases in the Salary will be determined by the compensation committee of the Board (the “</w:t>
      </w:r>
      <w:r>
        <w:rPr>
          <w:rFonts w:ascii="Arial" w:cs="Arial" w:eastAsia="Arial" w:hAnsi="Arial"/>
          <w:sz w:val="18"/>
          <w:szCs w:val="18"/>
          <w:u w:val="single" w:color="auto"/>
          <w:color w:val="auto"/>
        </w:rPr>
        <w:t>Committee</w:t>
      </w:r>
      <w:r>
        <w:rPr>
          <w:rFonts w:ascii="Arial" w:cs="Arial" w:eastAsia="Arial" w:hAnsi="Arial"/>
          <w:sz w:val="18"/>
          <w:szCs w:val="18"/>
          <w:color w:val="auto"/>
        </w:rPr>
        <w:t>”) in accordance with the Committee’s policies and procedures.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3" w:lineRule="auto"/>
        <w:tabs>
          <w:tab w:leader="none" w:pos="66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 </w:t>
      </w:r>
      <w:r>
        <w:rPr>
          <w:rFonts w:ascii="Arial" w:cs="Arial" w:eastAsia="Arial" w:hAnsi="Arial"/>
          <w:sz w:val="18"/>
          <w:szCs w:val="18"/>
          <w:color w:val="auto"/>
        </w:rPr>
        <w:t>The Officer shall be eligible to earn an annual cash bonus (the “</w:t>
      </w:r>
      <w:r>
        <w:rPr>
          <w:rFonts w:ascii="Arial" w:cs="Arial" w:eastAsia="Arial" w:hAnsi="Arial"/>
          <w:sz w:val="18"/>
          <w:szCs w:val="18"/>
          <w:u w:val="single" w:color="auto"/>
          <w:color w:val="auto"/>
        </w:rPr>
        <w:t>Annual Incentive</w:t>
      </w:r>
      <w:r>
        <w:rPr>
          <w:rFonts w:ascii="Arial" w:cs="Arial" w:eastAsia="Arial" w:hAnsi="Arial"/>
          <w:sz w:val="18"/>
          <w:szCs w:val="18"/>
          <w:color w:val="auto"/>
        </w:rPr>
        <w:t>”). The Annual Incentive shall be 100%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Salary. The Officer’s Annual Incentive shall be payable upon achievement of performance goals set by the Committee, after consultation with the Officer, and ratified by the Board. The actual bonus paid may be higher or lower than the Annual Incentive for over- or under-achievement of the Officer’s performance goals, as determined by the Committee. Any Annual Incentive earned by the Officer shall be shall be paid in accordance with the terms of the applicable plans and policies of the Company following the determination by the Committee of the extent of achievement of the applicable performance goals, but in any event no earlier than January 1 or later than March 15 of the year following the applicable plan year. The amount of the Annual Incentive in respect of the 2006 plan year shall be pro-rated to reflect the number of days the Officer was actually employed with the Company during the 2006 plan year following the Effective Date.</w:t>
      </w:r>
    </w:p>
    <w:p>
      <w:pPr>
        <w:spacing w:after="0" w:line="145" w:lineRule="exact"/>
        <w:rPr>
          <w:rFonts w:ascii="Arial" w:cs="Arial" w:eastAsia="Arial" w:hAnsi="Arial"/>
          <w:sz w:val="18"/>
          <w:szCs w:val="18"/>
          <w:color w:val="auto"/>
        </w:rPr>
      </w:pPr>
    </w:p>
    <w:p>
      <w:pPr>
        <w:ind w:right="20" w:firstLine="464"/>
        <w:spacing w:after="0" w:line="268"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Performance Bonus</w:t>
      </w:r>
      <w:r>
        <w:rPr>
          <w:rFonts w:ascii="Arial" w:cs="Arial" w:eastAsia="Arial" w:hAnsi="Arial"/>
          <w:sz w:val="18"/>
          <w:szCs w:val="18"/>
          <w:color w:val="auto"/>
        </w:rPr>
        <w:t>. The Officer shall be paid an additional, one-time cash bonus (the “</w:t>
      </w:r>
      <w:r>
        <w:rPr>
          <w:rFonts w:ascii="Arial" w:cs="Arial" w:eastAsia="Arial" w:hAnsi="Arial"/>
          <w:sz w:val="18"/>
          <w:szCs w:val="18"/>
          <w:u w:val="single" w:color="auto"/>
          <w:color w:val="auto"/>
        </w:rPr>
        <w:t>Performance Bonus</w:t>
      </w:r>
      <w:r>
        <w:rPr>
          <w:rFonts w:ascii="Arial" w:cs="Arial" w:eastAsia="Arial" w:hAnsi="Arial"/>
          <w:sz w:val="18"/>
          <w:szCs w:val="18"/>
          <w:color w:val="auto"/>
        </w:rPr>
        <w:t>”) in an amount equal to US$900,000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of (A) June 30, 2009 or (B) the date (but not before January 1, 2009) which is six months after a closing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9" w:name="page60"/>
    <w:bookmarkEnd w:id="59"/>
    <w:p>
      <w:pPr>
        <w:jc w:val="both"/>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to occur of a “Change of Control” or the Company’s “First Public Offering” (as such terms are defined in that certain Second Amended and Restated Securityholders’ Agreement dated as of October 6, 2004, among MagnaChip Semiconductor LLC and the other signatories thereto, as amended from time to time), provided the Officer remains in continuous employment with the Company through the applicable date.</w:t>
      </w:r>
    </w:p>
    <w:p>
      <w:pPr>
        <w:spacing w:after="0" w:line="107" w:lineRule="exact"/>
        <w:rPr>
          <w:sz w:val="20"/>
          <w:szCs w:val="20"/>
          <w:color w:val="auto"/>
        </w:rPr>
      </w:pPr>
    </w:p>
    <w:p>
      <w:pPr>
        <w:ind w:firstLine="464"/>
        <w:spacing w:after="0" w:line="289"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The Officer shall be eligible to participate in or purchase as necessary and be reimbursed for medical, disability and life insurance plans and to receive other benefits applicable to senior officers of the Company generally in accordance with the terms of such plans as are in effect from time to time. In addition, the Company shall pay for the cost of housing accommodations and expenses related thereto in accordance with the policies currently applicable to senior executive officers of the Company and as set forth on Schedule A attached hereto (the “</w:t>
      </w:r>
      <w:r>
        <w:rPr>
          <w:rFonts w:ascii="Arial" w:cs="Arial" w:eastAsia="Arial" w:hAnsi="Arial"/>
          <w:sz w:val="16"/>
          <w:szCs w:val="16"/>
          <w:u w:val="single" w:color="auto"/>
          <w:color w:val="auto"/>
        </w:rPr>
        <w:t>Housing Accommodation</w:t>
      </w:r>
      <w:r>
        <w:rPr>
          <w:rFonts w:ascii="Arial" w:cs="Arial" w:eastAsia="Arial" w:hAnsi="Arial"/>
          <w:sz w:val="16"/>
          <w:szCs w:val="16"/>
          <w:color w:val="auto"/>
        </w:rPr>
        <w:t>”), and except as otherwise provided in Section 4, during the term of this Agreement, the Officer shall be entitled to the expatriate, repatriation, and international service benefits that are described in Schedule A. Any reimbursement or in-kind benefit the Officer is entitled to receive pursuant to Schedule A shall (A) be paid no later than the last day of the Officer’s taxable year following the taxable year in which the expense was incurred, (B) not be affected by the amount of expenses eligible for reimbursement or in-kind benefits provided in any other taxable year, and (C) not be subject to liquidation or exchange for another benefit.</w:t>
      </w:r>
    </w:p>
    <w:p>
      <w:pPr>
        <w:spacing w:after="0" w:line="118" w:lineRule="exact"/>
        <w:rPr>
          <w:rFonts w:ascii="Arial" w:cs="Arial" w:eastAsia="Arial" w:hAnsi="Arial"/>
          <w:sz w:val="16"/>
          <w:szCs w:val="16"/>
          <w:color w:val="auto"/>
        </w:rPr>
      </w:pPr>
    </w:p>
    <w:p>
      <w:pPr>
        <w:ind w:firstLine="464"/>
        <w:spacing w:after="0" w:line="294" w:lineRule="auto"/>
        <w:tabs>
          <w:tab w:leader="none" w:pos="70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shall pay or reimburse the Officer for all reasonable out-of-pocket expenses incurred by the Officer in connection with his employment hereunder upon submission of appropriate documentation or receipts in accordance with the policies and procedures of the Company as are in effect from time to time. Any reimbursement or expense payment the Officer is entitled to receive pursuant to this Section 3(d) shall (i) be paid no later than the last day of the Officer’s taxable year following the taxable year in which the expense was incurred, (ii) not be affected by the amount of expenses eligible for reimbursement or payment in any other taxable year and (iii) not be subject to liquidation or exchange for another benefit.</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The Officer shall be entitled to annual vacation of three calendar weeks per year.</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98"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the Effective Date, the Officer shall be granted options to purchase 800,000 restricted Common Units (the “</w:t>
      </w:r>
      <w:r>
        <w:rPr>
          <w:rFonts w:ascii="Arial" w:cs="Arial" w:eastAsia="Arial" w:hAnsi="Arial"/>
          <w:sz w:val="16"/>
          <w:szCs w:val="16"/>
          <w:u w:val="single" w:color="auto"/>
          <w:color w:val="auto"/>
        </w:rPr>
        <w:t>Options</w:t>
      </w:r>
      <w:r>
        <w:rPr>
          <w:rFonts w:ascii="Arial" w:cs="Arial" w:eastAsia="Arial" w:hAnsi="Arial"/>
          <w:sz w:val="16"/>
          <w:szCs w:val="16"/>
          <w:color w:val="auto"/>
        </w:rPr>
        <w:t>”) of MagnaChip Semiconductor LLC, a Delaware limited liability company (“</w:t>
      </w:r>
      <w:r>
        <w:rPr>
          <w:rFonts w:ascii="Arial" w:cs="Arial" w:eastAsia="Arial" w:hAnsi="Arial"/>
          <w:sz w:val="16"/>
          <w:szCs w:val="16"/>
          <w:u w:val="single" w:color="auto"/>
          <w:color w:val="auto"/>
        </w:rPr>
        <w:t>MagnaChip LLC</w:t>
      </w:r>
      <w:r>
        <w:rPr>
          <w:rFonts w:ascii="Arial" w:cs="Arial" w:eastAsia="Arial" w:hAnsi="Arial"/>
          <w:sz w:val="16"/>
          <w:szCs w:val="16"/>
          <w:color w:val="auto"/>
        </w:rPr>
        <w:t>”), at a purchase price equal to US$1.02 per Common Unit. The Options, and the restricted Common Units issued upon the exercise of the Options (the “</w:t>
      </w:r>
      <w:r>
        <w:rPr>
          <w:rFonts w:ascii="Arial" w:cs="Arial" w:eastAsia="Arial" w:hAnsi="Arial"/>
          <w:sz w:val="16"/>
          <w:szCs w:val="16"/>
          <w:u w:val="single" w:color="auto"/>
          <w:color w:val="auto"/>
        </w:rPr>
        <w:t>Restricted Units</w:t>
      </w:r>
      <w:r>
        <w:rPr>
          <w:rFonts w:ascii="Arial" w:cs="Arial" w:eastAsia="Arial" w:hAnsi="Arial"/>
          <w:sz w:val="16"/>
          <w:szCs w:val="16"/>
          <w:color w:val="auto"/>
        </w:rPr>
        <w:t>”), shall be subject to restrictions contained in the MagnaChip Semiconductor LLC California Equity Incentive Plan (as the same may be amended from time to time, the “</w:t>
      </w:r>
      <w:r>
        <w:rPr>
          <w:rFonts w:ascii="Arial" w:cs="Arial" w:eastAsia="Arial" w:hAnsi="Arial"/>
          <w:sz w:val="16"/>
          <w:szCs w:val="16"/>
          <w:u w:val="single" w:color="auto"/>
          <w:color w:val="auto"/>
        </w:rPr>
        <w:t>Incentive Plan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100" w:firstLine="464"/>
        <w:spacing w:after="0" w:line="288" w:lineRule="auto"/>
        <w:tabs>
          <w:tab w:leader="none" w:pos="7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Options and the Restricted Units shall be subject to forfeiture or to repurchase by the Company upon the Officer’s termination of service in accordance with the terms of the Incentive Plan, but, generally, upon the Officer’s termination of service (other than for Cause) (1) unvested Options shall be subject to repurchase by the Company at a repurchase price of US$1.02 per Option and (2) vested Options and Restricted Units shall be subject to repurchase by the Company at a repurchase price equal to fair market value, as determined by the Board of Directors of MagnaChip LLC in good faith at the time of the repurchase. Upon a termination of service for Cause, the unvested and vested Options and Restricted Units shall be subject to repurchase by the Company at a repurchase price of US$1.02 per Option or Restricted Unit, as the case may be. The Options shall vest in accordance with the schedule set forth in the Incentive Plan, but generally 25% of the Options shall be scheduled to vest on the first anniversary of the date hereof and an additional 6.25% of the Options shall be scheduled to vest each calendar quarter thereafter. On any scheduled vesting date, the Options shall vest only if the Officer is still employed by the Company (except as otherwise provided in this Agreement).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0" w:name="page61"/>
    <w:bookmarkEnd w:id="6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TERMINATION OF EMPLOYMENT</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the notice and other provisions of this Section 4, the Company shall have the right to terminate the Officer’s employment hereunder, at any time for any reason or for no stated reason, and the Officer shall have the right to resign, at any time for any reason or for no stated reason.</w:t>
      </w:r>
    </w:p>
    <w:p>
      <w:pPr>
        <w:spacing w:after="0" w:line="85"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Resignation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prior to the expiration of the Initial Term or any Additional Term, the Officer’s employment is terminated by the Company for “</w:t>
      </w:r>
      <w:r>
        <w:rPr>
          <w:rFonts w:ascii="Arial" w:cs="Arial" w:eastAsia="Arial" w:hAnsi="Arial"/>
          <w:sz w:val="16"/>
          <w:szCs w:val="16"/>
          <w:u w:val="single" w:color="auto"/>
          <w:color w:val="auto"/>
        </w:rPr>
        <w:t>Cause</w:t>
      </w:r>
      <w:r>
        <w:rPr>
          <w:rFonts w:ascii="Arial" w:cs="Arial" w:eastAsia="Arial" w:hAnsi="Arial"/>
          <w:sz w:val="16"/>
          <w:szCs w:val="16"/>
          <w:color w:val="auto"/>
        </w:rPr>
        <w:t>” (as hereinafter defined) or if the Officer resigns for any reason other than Good Reason (as hereinafter defined) from his employment hereunder, the Officer shall be paid all accrued but unpaid Salary, vacation, expense reimbursements, and other benefits due to the Officer through his termination date under any Company-provided or paid plans, policies and arrangements, in accordance with their terms. Except to the extent required by the terms of the benefits provided under Section 3(f) or applicable law, the Officer shall have no right under this Agreement or otherwise to receive any other compensation or to participate in any other plan, program or arrangement after such termination or resignation of employment with respect to the year of such termination or resignation and later years. The treatment of any outstanding Options held by the Officer as of the date of the termination shall be governed by the agreements and equity incentive plans pursuant to which the Options were granted.</w:t>
      </w:r>
    </w:p>
    <w:p>
      <w:pPr>
        <w:spacing w:after="0" w:line="118" w:lineRule="exact"/>
        <w:rPr>
          <w:rFonts w:ascii="Arial" w:cs="Arial" w:eastAsia="Arial" w:hAnsi="Arial"/>
          <w:sz w:val="16"/>
          <w:szCs w:val="16"/>
          <w:color w:val="auto"/>
        </w:rPr>
      </w:pPr>
    </w:p>
    <w:p>
      <w:pPr>
        <w:ind w:right="60" w:firstLine="464"/>
        <w:spacing w:after="0" w:line="287" w:lineRule="auto"/>
        <w:tabs>
          <w:tab w:leader="none" w:pos="7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Termination for “</w:t>
      </w:r>
      <w:r>
        <w:rPr>
          <w:rFonts w:ascii="Arial" w:cs="Arial" w:eastAsia="Arial" w:hAnsi="Arial"/>
          <w:sz w:val="16"/>
          <w:szCs w:val="16"/>
          <w:u w:val="single" w:color="auto"/>
          <w:color w:val="auto"/>
        </w:rPr>
        <w:t>Cause</w:t>
      </w:r>
      <w:r>
        <w:rPr>
          <w:rFonts w:ascii="Arial" w:cs="Arial" w:eastAsia="Arial" w:hAnsi="Arial"/>
          <w:sz w:val="16"/>
          <w:szCs w:val="16"/>
          <w:color w:val="auto"/>
        </w:rPr>
        <w:t>” shall mean a termination of the Officer’s employment with the Company because of (A) a failure by the Officer to substantially perform the Officer’s customary duties with the Company in the ordinary course (other than such failure resulting from the Officer’s incapacity due to physical or mental illness or any such actual or anticipated failure after the Officer provides written notification to the Company of resignation of employment for Good Reason under this Agreement) that, if susceptible to cure, has not been cured as determined by the Company within 30 days after a written demand for substantial performance is delivered to the Officer by the Company, which demand specifically identifies the manner in which the Company believes that the Officer has not substantially performed the Officer’s duties; (B) the Officer’s gross negligence, intentional misconduct or material fraud in the performance of his employment; (C) the Officer’s conviction of, or plea of nolo contendere to, a felony or to a crime involving fraud or dishonesty; (D) a judicial determination that the Officer committed fraud or dishonesty against any natural person, firm, partnership, limited liability company, association, corporation, company, trust, business trust, governmental authority or other entity (each, a “</w:t>
      </w:r>
      <w:r>
        <w:rPr>
          <w:rFonts w:ascii="Arial" w:cs="Arial" w:eastAsia="Arial" w:hAnsi="Arial"/>
          <w:sz w:val="16"/>
          <w:szCs w:val="16"/>
          <w:u w:val="single" w:color="auto"/>
          <w:color w:val="auto"/>
        </w:rPr>
        <w:t>Person</w:t>
      </w:r>
      <w:r>
        <w:rPr>
          <w:rFonts w:ascii="Arial" w:cs="Arial" w:eastAsia="Arial" w:hAnsi="Arial"/>
          <w:sz w:val="16"/>
          <w:szCs w:val="16"/>
          <w:color w:val="auto"/>
        </w:rPr>
        <w:t>”); or (E) the Officer’s material violation of this Agreement or of one or more of the Company’s material policies applicable to the Officer’s employment as may be in effect from time to time.</w:t>
      </w:r>
    </w:p>
    <w:p>
      <w:pPr>
        <w:spacing w:after="0" w:line="122" w:lineRule="exact"/>
        <w:rPr>
          <w:rFonts w:ascii="Arial" w:cs="Arial" w:eastAsia="Arial" w:hAnsi="Arial"/>
          <w:sz w:val="16"/>
          <w:szCs w:val="16"/>
          <w:color w:val="auto"/>
        </w:rPr>
      </w:pPr>
    </w:p>
    <w:p>
      <w:pPr>
        <w:ind w:right="20" w:firstLine="464"/>
        <w:spacing w:after="0" w:line="256" w:lineRule="auto"/>
        <w:tabs>
          <w:tab w:leader="none" w:pos="7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the Officer’s employment for Cause shall be communicated by delivery to the Officer of a written notice from the Company stating that the Officer will be terminated for Cause, specifying the particulars thereof and the effective date of such termination. The date of a resignation other than for Good Reason by the Officer shall be the date specified in a written notice of resignation from the Officer to the Company provided that the Officer shall provide at least 30 days’ advance written notice of his resignation other than for Good Reason.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1" w:name="page62"/>
    <w:bookmarkEnd w:id="61"/>
    <w:p>
      <w:pPr>
        <w:ind w:left="700" w:hanging="2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Involuntary Termination</w:t>
      </w:r>
      <w:r>
        <w:rPr>
          <w:rFonts w:ascii="Arial" w:cs="Arial" w:eastAsia="Arial" w:hAnsi="Arial"/>
          <w:sz w:val="18"/>
          <w:szCs w:val="18"/>
          <w:color w:val="auto"/>
        </w:rPr>
        <w:t>.</w:t>
      </w:r>
    </w:p>
    <w:p>
      <w:pPr>
        <w:spacing w:after="0" w:line="171" w:lineRule="exact"/>
        <w:rPr>
          <w:sz w:val="20"/>
          <w:szCs w:val="20"/>
          <w:color w:val="auto"/>
        </w:rPr>
      </w:pPr>
    </w:p>
    <w:p>
      <w:pPr>
        <w:ind w:left="-20" w:right="380" w:firstLine="464"/>
        <w:spacing w:after="0" w:line="298" w:lineRule="auto"/>
        <w:tabs>
          <w:tab w:leader="none" w:pos="6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prior to the expiration of the Initial Term or any Additional Term, the Company terminates the Officer’s employment for any reason other than Disability, death or Cause or if the Officer resigns from his employment for Good Reason (such termination or resignation being hereinafter referred to as an “</w:t>
      </w:r>
      <w:r>
        <w:rPr>
          <w:rFonts w:ascii="Arial" w:cs="Arial" w:eastAsia="Arial" w:hAnsi="Arial"/>
          <w:sz w:val="16"/>
          <w:szCs w:val="16"/>
          <w:u w:val="single" w:color="auto"/>
          <w:color w:val="auto"/>
        </w:rPr>
        <w:t>Involuntary Termination</w:t>
      </w:r>
      <w:r>
        <w:rPr>
          <w:rFonts w:ascii="Arial" w:cs="Arial" w:eastAsia="Arial" w:hAnsi="Arial"/>
          <w:sz w:val="16"/>
          <w:szCs w:val="16"/>
          <w:color w:val="auto"/>
        </w:rPr>
        <w:t>”), the Officer shall be entitled to (A) payment of his Salary and vacation accrued up to and including the date of the Involuntary Termination, (B) payment of any unreimbursed expenses and (C) severance (the “</w:t>
      </w:r>
      <w:r>
        <w:rPr>
          <w:rFonts w:ascii="Arial" w:cs="Arial" w:eastAsia="Arial" w:hAnsi="Arial"/>
          <w:sz w:val="16"/>
          <w:szCs w:val="16"/>
          <w:u w:val="single" w:color="auto"/>
          <w:color w:val="auto"/>
        </w:rPr>
        <w:t>Severance</w:t>
      </w:r>
      <w:r>
        <w:rPr>
          <w:rFonts w:ascii="Arial" w:cs="Arial" w:eastAsia="Arial" w:hAnsi="Arial"/>
          <w:sz w:val="16"/>
          <w:szCs w:val="16"/>
          <w:color w:val="auto"/>
        </w:rPr>
        <w:t>”), consisting of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Involuntary Termination is not in connection with a Change of Control then:</w:t>
      </w:r>
    </w:p>
    <w:p>
      <w:pPr>
        <w:spacing w:after="0" w:line="90" w:lineRule="exact"/>
        <w:rPr>
          <w:sz w:val="20"/>
          <w:szCs w:val="20"/>
          <w:color w:val="auto"/>
        </w:rPr>
      </w:pPr>
    </w:p>
    <w:p>
      <w:pPr>
        <w:ind w:left="440" w:right="20" w:firstLine="443"/>
        <w:spacing w:after="0" w:line="291" w:lineRule="auto"/>
        <w:tabs>
          <w:tab w:leader="none" w:pos="11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Provided that the Officer has not become entitled to the Performance Bonus on or prior to the date of the Involuntary Termination, the Company shall pay to the Officer an amount equal to twelve months of Salary at the monthly rate in effect on the date of the Involuntary Termination. Such amount shall be paid over a period of twelve months, which, subject to Section 4(f), shall be payable to the Officer in accordance with the Company’s normal payroll schedule as in effect on the date of the Involuntary Termination, commencing with the first payroll date occurring at least thirty (30) days following the date of the Involuntary Termination. The Company and the Officer agree that for purposes of Section 409A of the Code, the payments pursuant to this Section shall be treated as a right to a series of separate payments.</w:t>
      </w:r>
    </w:p>
    <w:p>
      <w:pPr>
        <w:spacing w:after="0" w:line="39" w:lineRule="exact"/>
        <w:rPr>
          <w:rFonts w:ascii="Arial" w:cs="Arial" w:eastAsia="Arial" w:hAnsi="Arial"/>
          <w:sz w:val="16"/>
          <w:szCs w:val="16"/>
          <w:color w:val="auto"/>
        </w:rPr>
      </w:pPr>
    </w:p>
    <w:p>
      <w:pPr>
        <w:ind w:left="440" w:firstLine="443"/>
        <w:spacing w:after="0" w:line="256" w:lineRule="auto"/>
        <w:tabs>
          <w:tab w:leader="none" w:pos="11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pay to the Officer the Annual Incentive for the year in which the Involuntary Termination occurs. Such amount shall be paid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w:t>
      </w:r>
    </w:p>
    <w:p>
      <w:pPr>
        <w:spacing w:after="0" w:line="62" w:lineRule="exact"/>
        <w:rPr>
          <w:rFonts w:ascii="Arial" w:cs="Arial" w:eastAsia="Arial" w:hAnsi="Arial"/>
          <w:sz w:val="18"/>
          <w:szCs w:val="18"/>
          <w:color w:val="auto"/>
        </w:rPr>
      </w:pPr>
    </w:p>
    <w:p>
      <w:pPr>
        <w:ind w:left="440" w:right="40" w:firstLine="443"/>
        <w:spacing w:after="0" w:line="268" w:lineRule="auto"/>
        <w:tabs>
          <w:tab w:leader="none" w:pos="11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Officer shall receive 12 months’ accelerated vesting with respect to the Officer’s outstanding equity awards and a 12-month post-termination equity award exercise period.</w:t>
      </w:r>
    </w:p>
    <w:p>
      <w:pPr>
        <w:spacing w:after="0" w:line="50" w:lineRule="exact"/>
        <w:rPr>
          <w:rFonts w:ascii="Arial" w:cs="Arial" w:eastAsia="Arial" w:hAnsi="Arial"/>
          <w:sz w:val="18"/>
          <w:szCs w:val="18"/>
          <w:color w:val="auto"/>
        </w:rPr>
      </w:pPr>
    </w:p>
    <w:p>
      <w:pPr>
        <w:ind w:left="440" w:firstLine="443"/>
        <w:spacing w:after="0" w:line="286" w:lineRule="auto"/>
        <w:tabs>
          <w:tab w:leader="none" w:pos="11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continue to provide the “Enumerated Benefits” to the Officer and his eligible dependents for a period of twelve (12) months commencing on the date of the Involuntary Termination. To the extent that all or any portion of the Company’s payment of the cost of the Enumerated Benefits would be for a type of benefit or exceed an amount for which, or continue for a period of time in excess of which, such Enumerated Benefits would qualify for an exemption from treatment as a deferral of compensation within the meaning of the Treasury Regulations issued pursuant to Section 409A of the Internal Revenue Code (the “Section 409A Regulations”), the Company shall, for the duration of the twelve month period, pay for the Enumerated Benefits in an amount not to exceed US$600,000 per calendar year or any portion thereof. The amount of the Enumerate Benefits furnished in any taxable year of the Officer shall not affect the amount of Enumerated Benefits furnished by the Company in any other taxable year of the Officer. Any right of the Officer to Enumerated Benefits shall not be subject to liquidation or exchange for another benefit. Any reimbursement for Enumerated Benefits to which the Officer is entitled shall be paid no later than the last day of the Officer’s taxable year following the taxable year in which the Officer’s expense for the Enumerated Benefits was incurred. The “Enumerated Benefits” shall consist of medical benefits, tax equalization (taking into account only U.S. federal taxes), tax preparation services, international health insurance, home leave flights, company-paid housing and a driver.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Involuntary Termination is in connection with a Change of Control then:</w:t>
      </w:r>
    </w:p>
    <w:p>
      <w:pPr>
        <w:spacing w:after="0" w:line="90" w:lineRule="exact"/>
        <w:rPr>
          <w:sz w:val="20"/>
          <w:szCs w:val="20"/>
          <w:color w:val="auto"/>
        </w:rPr>
      </w:pPr>
    </w:p>
    <w:p>
      <w:pPr>
        <w:ind w:left="1140" w:hanging="257"/>
        <w:spacing w:after="0"/>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Provided that the Officer has not become entitled to the Performance Bonus on or prior to the date of the Involuntary Termination, the Company</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shall pay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62" w:name="page63"/>
    <w:bookmarkEnd w:id="62"/>
    <w:p>
      <w:pPr>
        <w:ind w:left="460"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Officer an amount equal to twenty-four months of Salary at the monthly rate in effect on the date of the Involuntary Termination. Such amount shall be paid over a period of twenty-four months, which, subject to Section 4(f), shall be payable to the Officer in accordance with the Company’s normal payroll schedule as in effect on the date of the Involuntary Termination, commencing with the first payroll date occurring at least thirty (30) days following the date of the Involuntary Termination. The Company and the Officer agree that for purposes of Section 409A of the Code, the payments pursuant to this Section shall be treated as a right to a series of separate payments.</w:t>
      </w:r>
    </w:p>
    <w:p>
      <w:pPr>
        <w:spacing w:after="0" w:line="35" w:lineRule="exact"/>
        <w:rPr>
          <w:sz w:val="20"/>
          <w:szCs w:val="20"/>
          <w:color w:val="auto"/>
        </w:rPr>
      </w:pPr>
    </w:p>
    <w:p>
      <w:pPr>
        <w:ind w:left="460" w:firstLine="443"/>
        <w:spacing w:after="0" w:line="256"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shall pay to the Officer the Annual Incentive for the year in which the Involuntary Termination occurs. Such amount shall be paid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Officer shall receive 24 months’ accelerated vesting with respect to the Officer’s outstanding equity awards and a 12 month post-termination equity award exercise period.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shall continue to provide the Enumerated Benefits to the Officer and his eligible dependents for a period of twenty-four</w:t>
      </w:r>
    </w:p>
    <w:p>
      <w:pPr>
        <w:spacing w:after="0" w:line="38" w:lineRule="exact"/>
        <w:rPr>
          <w:rFonts w:ascii="Arial" w:cs="Arial" w:eastAsia="Arial" w:hAnsi="Arial"/>
          <w:sz w:val="16"/>
          <w:szCs w:val="16"/>
          <w:color w:val="auto"/>
        </w:rPr>
      </w:pPr>
    </w:p>
    <w:p>
      <w:pPr>
        <w:ind w:left="460" w:right="120" w:firstLine="4"/>
        <w:spacing w:after="0" w:line="287" w:lineRule="auto"/>
        <w:tabs>
          <w:tab w:leader="none" w:pos="7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months commencing on the date of the Involuntary Termination. To the extent that all or any portion of the Company’s payment of the cost of the Enumerated Benefits would be for a type of benefit or exceed an amount for which, or continue for a period of time in excess of which, such Enumerated Benefits would qualify for an exemption from treatment as a deferral of compensation within the meaning of the Section 409A Regulations, the Company shall, for the duration of the twenty-four month period, pay for the Enumerated Benefits in an amount not to exceed US$600,000 per calendar year or any portion thereof. The amount of the Enumerate Benefits furnished in any taxable year of the Officer shall not affect the amount of Enumerated Benefits furnished by the Company in any other taxable year of the Officer. Any right of the Officer to Enumerated Benefits shall not be subject to liquidation or exchange for another benefit. Any reimbursement for Enumerated Benefits to which the Officer is entitled shall be paid no later than the last day of the Officer’s taxable year following the taxable year in which the Officer’s expense for the Enumerated Benefits was incurred.</w:t>
      </w:r>
    </w:p>
    <w:p>
      <w:pPr>
        <w:spacing w:after="0" w:line="12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Severance payable to the Officer pursuant to this section shall be reduced to the extent that the Company makes any severance payments pursuant to the Korean Commercial Code or any other statute.</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Without the prior consent of the Officer, neither the Company nor any affiliate shall enter into a severance arrangement with any other officer of the Company that provides such officer with severance payments and/or benefits greater than those to which the Officer is entitled pursuant to this Agreement. In addition, if the Company or any affiliate already has entered into such a severance arrangement, the Officer shall be entitled to receive equivalent severance payments and benefits.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purposes of this Section 4(b)(i), an Involuntary Termination is “in connection with a Change of Control” if the date of the Involuntary Termination (or, if applicable, the commencement of the cure period that leads to the Involuntary Termination) is within nine months following a Change of Control.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3" w:name="page64"/>
    <w:bookmarkEnd w:id="63"/>
    <w:p>
      <w:pPr>
        <w:ind w:left="-20" w:right="200" w:firstLine="464"/>
        <w:spacing w:after="0" w:line="255"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Resignation for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resignation by the Officer because of, unless the Officer otherwise consents in writing, one or more of the following circumstances if and only if the Officer informs the Company in writing within 30 days following its initial occurrence that one or more of such circumstances has occurred and such circumstances have not, if susceptible to cure, been cured as determined by the Company within 30 days after a written demand for substantial performance is delivered to the Company by the Officer, which demand specifically identifies the manner in which the Officer believes that the Company has not performed its obligations:</w:t>
      </w:r>
    </w:p>
    <w:p>
      <w:pPr>
        <w:spacing w:after="0" w:line="61" w:lineRule="exact"/>
        <w:rPr>
          <w:rFonts w:ascii="Arial" w:cs="Arial" w:eastAsia="Arial" w:hAnsi="Arial"/>
          <w:sz w:val="18"/>
          <w:szCs w:val="18"/>
          <w:color w:val="auto"/>
        </w:rPr>
      </w:pPr>
    </w:p>
    <w:p>
      <w:pPr>
        <w:ind w:left="440" w:right="280" w:firstLine="443"/>
        <w:spacing w:after="0" w:line="268" w:lineRule="auto"/>
        <w:tabs>
          <w:tab w:leader="none" w:pos="11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reduction in the Officer’s base Salary or Annual Incentive target other than a one-time reduction of not more than 10% that also is applied to substantially all of the other Company executive officers;</w:t>
      </w:r>
    </w:p>
    <w:p>
      <w:pPr>
        <w:spacing w:after="0" w:line="50" w:lineRule="exact"/>
        <w:rPr>
          <w:rFonts w:ascii="Arial" w:cs="Arial" w:eastAsia="Arial" w:hAnsi="Arial"/>
          <w:sz w:val="18"/>
          <w:szCs w:val="18"/>
          <w:color w:val="auto"/>
        </w:rPr>
      </w:pPr>
    </w:p>
    <w:p>
      <w:pPr>
        <w:ind w:left="440" w:firstLine="443"/>
        <w:spacing w:after="0" w:line="268" w:lineRule="auto"/>
        <w:tabs>
          <w:tab w:leader="none" w:pos="11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material reduction in the kind or level of benefits and perquisites (including office space and location) that the Officer is eligible to receive other than a reduction that also is applied to substantially all other Company executive officers;</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failure to provide, or any reduction in, the Housing Accommodation;</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nature or status of the Officer’s authorities, duties or responsibilities has been materially and adversely altered;</w:t>
      </w:r>
    </w:p>
    <w:p>
      <w:pPr>
        <w:spacing w:after="0" w:line="90" w:lineRule="exact"/>
        <w:rPr>
          <w:rFonts w:ascii="Arial" w:cs="Arial" w:eastAsia="Arial" w:hAnsi="Arial"/>
          <w:sz w:val="18"/>
          <w:szCs w:val="18"/>
          <w:color w:val="auto"/>
        </w:rPr>
      </w:pPr>
    </w:p>
    <w:p>
      <w:pPr>
        <w:ind w:left="440" w:right="60" w:firstLine="443"/>
        <w:spacing w:after="0" w:line="268" w:lineRule="auto"/>
        <w:tabs>
          <w:tab w:leader="none" w:pos="11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fails to initially appoint or, subject to the proviso contained in Section 2(a), subsequently nominate the Officer to serve as a director as required by this Agreement;</w:t>
      </w:r>
    </w:p>
    <w:p>
      <w:pPr>
        <w:spacing w:after="0" w:line="50" w:lineRule="exact"/>
        <w:rPr>
          <w:rFonts w:ascii="Arial" w:cs="Arial" w:eastAsia="Arial" w:hAnsi="Arial"/>
          <w:sz w:val="18"/>
          <w:szCs w:val="18"/>
          <w:color w:val="auto"/>
        </w:rPr>
      </w:pPr>
    </w:p>
    <w:p>
      <w:pPr>
        <w:ind w:left="440" w:right="60" w:firstLine="443"/>
        <w:spacing w:after="0" w:line="259" w:lineRule="auto"/>
        <w:tabs>
          <w:tab w:leader="none" w:pos="11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members of MagnaChip LLC have removed the Officer from the Board of Directors of MagnaChip LLC, unless the Officer shall have been removed for “cause” (as such term is defined in the Second Amended and Restated Securityholders Agreement, dated October 6, 2004, among MagnaChip LLC and the members of MagnaChip LLC); or</w:t>
      </w:r>
    </w:p>
    <w:p>
      <w:pPr>
        <w:spacing w:after="0" w:line="59" w:lineRule="exact"/>
        <w:rPr>
          <w:rFonts w:ascii="Arial" w:cs="Arial" w:eastAsia="Arial" w:hAnsi="Arial"/>
          <w:sz w:val="18"/>
          <w:szCs w:val="18"/>
          <w:color w:val="auto"/>
        </w:rPr>
      </w:pPr>
    </w:p>
    <w:p>
      <w:pPr>
        <w:ind w:left="440" w:right="280" w:firstLine="443"/>
        <w:spacing w:after="0" w:line="268" w:lineRule="auto"/>
        <w:tabs>
          <w:tab w:leader="none" w:pos="11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Officer has not been appointed chief executive officer of MagnaChip LLC or any other affiliate of the Company immediately following an initial public offering of the equity securities of such entity.</w:t>
      </w:r>
    </w:p>
    <w:p>
      <w:pPr>
        <w:spacing w:after="0" w:line="131" w:lineRule="exact"/>
        <w:rPr>
          <w:rFonts w:ascii="Arial" w:cs="Arial" w:eastAsia="Arial" w:hAnsi="Arial"/>
          <w:sz w:val="18"/>
          <w:szCs w:val="18"/>
          <w:color w:val="auto"/>
        </w:rPr>
      </w:pPr>
    </w:p>
    <w:p>
      <w:pPr>
        <w:ind w:left="-20" w:right="80" w:firstLine="464"/>
        <w:spacing w:after="0" w:line="255" w:lineRule="auto"/>
        <w:tabs>
          <w:tab w:leader="none" w:pos="7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Resignation for Good Reason shall be communicated by delivery to the Company of a written notice from the Officer stating that the Officer will be resigning for Good Reason, specifying the particulars thereof and the effective date of such resignation, which shall be a date no later than six months after the first occurrence of the circumstance(s) constituting Good Reason. If the Officer provides such written notice to the Company, the Company shall have 30 days from the date of receipt of such notice to effect a cure of the material breach described therein and, upon cure thereof by the Company, such material breach shall no longer constitute Good Reason for purposes of this Agreement.</w:t>
      </w:r>
    </w:p>
    <w:p>
      <w:pPr>
        <w:spacing w:after="0" w:line="142" w:lineRule="exact"/>
        <w:rPr>
          <w:rFonts w:ascii="Arial" w:cs="Arial" w:eastAsia="Arial" w:hAnsi="Arial"/>
          <w:sz w:val="18"/>
          <w:szCs w:val="18"/>
          <w:color w:val="auto"/>
        </w:rPr>
      </w:pPr>
    </w:p>
    <w:p>
      <w:pPr>
        <w:ind w:left="-20" w:right="180" w:firstLine="464"/>
        <w:spacing w:after="0" w:line="256" w:lineRule="auto"/>
        <w:tabs>
          <w:tab w:leader="none" w:pos="7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date of termination of employment without Cause shall be the date specified in a written notice of termination to the Officer. The date of resignation for Good Reason shall be the date specified in a written notice of resignation from the Officer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written notice shall be effective unless the cure period specified in Section 4(b)(ii) above has expired without the Company having corrected the event or events subject to cure.</w:t>
      </w:r>
    </w:p>
    <w:p>
      <w:pPr>
        <w:spacing w:after="0" w:line="143" w:lineRule="exact"/>
        <w:rPr>
          <w:sz w:val="20"/>
          <w:szCs w:val="20"/>
          <w:color w:val="auto"/>
        </w:rPr>
      </w:pPr>
    </w:p>
    <w:p>
      <w:pPr>
        <w:ind w:left="-20" w:right="200" w:firstLine="464"/>
        <w:spacing w:after="0" w:line="268" w:lineRule="auto"/>
        <w:tabs>
          <w:tab w:leader="none" w:pos="6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of the Officer’s Disability, the Company shall be entitled to terminate his employment. In the case that the Company terminates the Officer’s employment due to Disability, the Officer shall be entitled to (i) payment of his Salary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64" w:name="page65"/>
    <w:bookmarkEnd w:id="6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vacation up to and including the date of termination, (ii) payment of any unpaid expense reimbursements, (iii) payment of the Annual Incentive, in a prorated amount based on the number of days the Officer was actually employed during the applicable plan year, based on actual performance objectives satisfied by the Company, and payable in a lump sum payment in accordance with the terms of the applicable plans and policies of the Company following the determination by the Committee of the extent of achievement of the applicable performance objectives, but in any event, no earlier than January 1 or later than Marcy 15 of the year following the applicable plan year, and (iv) other benefits due to the Officer through his termination date under any Company-provided or paid plans, policies and arrangements, in accordance with their terms. As used herein,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that the Company determines that due to physical or mental illness or incapacity, whether total or partial, the Officer is substantially unable to perform his duties hereunder for a period of 180 consecutive days or shorter periods aggregating 180 days during any period of 365 consecutive days. The Officer shall permit a licensed physician agreed to by the Company and the Officer (or, in the event that the Company and the Officer cannot agree, by a licensed physician agreed upon by a physician selected by the Company and a physician selected by the Officer) to examine the Officer from time to time prior to the Officer’s being determined to be Disabled, as reasonably requested by the Company, to determine whether the Officer has suffered a Disability hereunder.</w:t>
      </w:r>
    </w:p>
    <w:p>
      <w:pPr>
        <w:spacing w:after="0" w:line="127" w:lineRule="exact"/>
        <w:rPr>
          <w:sz w:val="20"/>
          <w:szCs w:val="20"/>
          <w:color w:val="auto"/>
        </w:rPr>
      </w:pPr>
    </w:p>
    <w:p>
      <w:pPr>
        <w:ind w:right="80" w:firstLine="464"/>
        <w:spacing w:after="0" w:line="290"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Officer’s death while employed by the Company, the Officer’s estate or named beneficiary shall be entitled to (i) payment of his Salary and accrued vacation up to and including the date of termination (ii) payment of any unpaid expense reimbursements, (iii) payment of the Annual Incentive, in a prorated amount based on the number of days the Officer was actually employed during the applicable plan year, based on actual performance objectives satisfied by the Company, and payable in a lump sum payment in accordance with the terms of the applicable plans and policies of the Company following the determination by the Committee of the extent of achievement of the applicable performance objectives, but in any event, no earlier than January 1 or later than March 15 of the year following the applicable plan year, and (iv) other benefits due to the Officer through his termination date under any Company-provided or paid plans, policies and arrangements, in accordance with their terms.</w:t>
      </w:r>
    </w:p>
    <w:p>
      <w:pPr>
        <w:spacing w:after="0" w:line="118" w:lineRule="exact"/>
        <w:rPr>
          <w:rFonts w:ascii="Arial" w:cs="Arial" w:eastAsia="Arial" w:hAnsi="Arial"/>
          <w:sz w:val="16"/>
          <w:szCs w:val="16"/>
          <w:color w:val="auto"/>
        </w:rPr>
      </w:pPr>
    </w:p>
    <w:p>
      <w:pPr>
        <w:ind w:firstLine="464"/>
        <w:spacing w:after="0" w:line="290"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Parachutes</w:t>
      </w:r>
      <w:r>
        <w:rPr>
          <w:rFonts w:ascii="Arial" w:cs="Arial" w:eastAsia="Arial" w:hAnsi="Arial"/>
          <w:sz w:val="16"/>
          <w:szCs w:val="16"/>
          <w:color w:val="auto"/>
        </w:rPr>
        <w:t>. Notwithstanding any other provisions of this Agreement to the contrary, in the event that any payments or benefits received or to be received by the Officer in connection with the Officer’s employment with the Company (or termination thereof) would subject the Officer to the excise tax imposed under Section 4999 of the Internal Revenue Code of 1986, as amended (the “</w:t>
      </w:r>
      <w:r>
        <w:rPr>
          <w:rFonts w:ascii="Arial" w:cs="Arial" w:eastAsia="Arial" w:hAnsi="Arial"/>
          <w:sz w:val="16"/>
          <w:szCs w:val="16"/>
          <w:u w:val="single" w:color="auto"/>
          <w:color w:val="auto"/>
        </w:rPr>
        <w:t>Excise Tax</w:t>
      </w:r>
      <w:r>
        <w:rPr>
          <w:rFonts w:ascii="Arial" w:cs="Arial" w:eastAsia="Arial" w:hAnsi="Arial"/>
          <w:sz w:val="16"/>
          <w:szCs w:val="16"/>
          <w:color w:val="auto"/>
        </w:rPr>
        <w:t>”), and if the net-after tax amount (taking into account all applicable taxes payable by the Officer, including without limitation any Excise Tax) that the Officer would receive with respect to such payments or benefits does not exceed the net-after tax amount the Officer would receive if the amount of such payments and benefits were reduced to the maximum amount which could otherwise be payable to the Officer without the imposition of the Excise Tax, then, only the to the extent necessary to eliminate the imposition of the Excise Tax, such payments and benefits shall be reduced.</w:t>
      </w:r>
    </w:p>
    <w:p>
      <w:pPr>
        <w:spacing w:after="0" w:line="118" w:lineRule="exact"/>
        <w:rPr>
          <w:rFonts w:ascii="Arial" w:cs="Arial" w:eastAsia="Arial" w:hAnsi="Arial"/>
          <w:sz w:val="16"/>
          <w:szCs w:val="16"/>
          <w:color w:val="auto"/>
        </w:rPr>
      </w:pPr>
    </w:p>
    <w:p>
      <w:pPr>
        <w:ind w:firstLine="464"/>
        <w:spacing w:after="0" w:line="289" w:lineRule="auto"/>
        <w:tabs>
          <w:tab w:leader="none" w:pos="67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Compliance with Section 409A</w:t>
      </w:r>
      <w:r>
        <w:rPr>
          <w:rFonts w:ascii="Arial" w:cs="Arial" w:eastAsia="Arial" w:hAnsi="Arial"/>
          <w:sz w:val="16"/>
          <w:szCs w:val="16"/>
          <w:color w:val="auto"/>
        </w:rPr>
        <w:t>. Notwithstanding anything set forth herein to the contrary, no amount payable pursuant to this Agreement on account of the Officer’s termination of employment with the Company which constitutes a “deferral of compensation” within the meaning of the Section 409A Regulations shall be paid unless and until the Officer has incurred a “separation from service” within the meaning of the Section 409A Regulations. Furthermore, to the extent that the Officer is a “specified employee” within the meaning of the Section 409A Regulations as of the date of the Officer’s separation from service, no amount that constitutes a deferral of compensation which is payable on account of the Officer’s separation from service shall paid to the Officer before the date (the “</w:t>
      </w:r>
      <w:r>
        <w:rPr>
          <w:rFonts w:ascii="Arial" w:cs="Arial" w:eastAsia="Arial" w:hAnsi="Arial"/>
          <w:sz w:val="16"/>
          <w:szCs w:val="16"/>
          <w:u w:val="single" w:color="auto"/>
          <w:color w:val="auto"/>
        </w:rPr>
        <w:t>Delayed Payment Date</w:t>
      </w:r>
      <w:r>
        <w:rPr>
          <w:rFonts w:ascii="Arial" w:cs="Arial" w:eastAsia="Arial" w:hAnsi="Arial"/>
          <w:sz w:val="16"/>
          <w:szCs w:val="16"/>
          <w:color w:val="auto"/>
        </w:rPr>
        <w:t>”) which is first day of the seventh month after the date of the Officer’s separation from service or, if earlier, the date of the Officer’s death following such separation from service. All such amounts that would, but for this Section, become payable prior to the Delayed Payment Date will be accumulated and paid on the Delayed Payment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65" w:name="page66"/>
    <w:bookmarkEnd w:id="65"/>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COVENANTS</w:t>
      </w:r>
    </w:p>
    <w:p>
      <w:pPr>
        <w:spacing w:after="0" w:line="96" w:lineRule="exact"/>
        <w:rPr>
          <w:sz w:val="20"/>
          <w:szCs w:val="20"/>
          <w:color w:val="auto"/>
        </w:rPr>
      </w:pPr>
    </w:p>
    <w:p>
      <w:pPr>
        <w:ind w:left="-8" w:right="120" w:firstLine="464"/>
        <w:spacing w:after="0" w:line="312" w:lineRule="auto"/>
        <w:tabs>
          <w:tab w:leader="none" w:pos="687"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an officer of the Company, the Officer acknowledges that he has had and will have access to confidential or proprietary information or both relating to the business of, or belonging to, the Company or any affiliates or third parties including, but not limited to, proprietary or confidential information, technical data, trade secrets, or know-how in respect of research, product plans, products, services, customer lists, customers, markets, computer software (including object code and source code), data and databases, outcomes research, documentation, instructional material, developments, inventions, processes, formulas, technology, designs, drawings, engineering, hardware, configuration information, models, manufacturing processes, sales information, cost information, business plans, business opportunities, marketing, finances or other business information disclosed to the Officer in any manner including by drawings or observations of parts or equipment, etc., all of which have substantial value to the Company (collectively,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105" w:lineRule="exact"/>
        <w:rPr>
          <w:sz w:val="20"/>
          <w:szCs w:val="20"/>
          <w:color w:val="auto"/>
        </w:rPr>
      </w:pPr>
    </w:p>
    <w:p>
      <w:pPr>
        <w:ind w:left="672" w:hanging="216"/>
        <w:spacing w:after="0"/>
        <w:tabs>
          <w:tab w:leader="none" w:pos="67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Officer agrees that while employed with the Company and after the termination of the Officer’s employment for any reason, the Officer shall not:</w:t>
      </w:r>
    </w:p>
    <w:p>
      <w:pPr>
        <w:spacing w:after="0" w:line="38" w:lineRule="exact"/>
        <w:rPr>
          <w:rFonts w:ascii="Arial" w:cs="Arial" w:eastAsia="Arial" w:hAnsi="Arial"/>
          <w:sz w:val="16"/>
          <w:szCs w:val="16"/>
          <w:color w:val="auto"/>
        </w:rPr>
      </w:pPr>
    </w:p>
    <w:p>
      <w:pPr>
        <w:jc w:val="both"/>
        <w:ind w:left="-8" w:right="140" w:firstLine="8"/>
        <w:spacing w:after="0" w:line="255" w:lineRule="auto"/>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use any Confidential Information except in the course of his employment by the Company; or (B) disclose any Confidential Information to any other person or entity, except to personnel of the Company utilizing it in the course of their employment by the Company or to persons identified to the Officer in writing by the Company, without the prior written consent of the Company.</w:t>
      </w:r>
    </w:p>
    <w:p>
      <w:pPr>
        <w:spacing w:after="0" w:line="144" w:lineRule="exact"/>
        <w:rPr>
          <w:rFonts w:ascii="Arial" w:cs="Arial" w:eastAsia="Arial" w:hAnsi="Arial"/>
          <w:sz w:val="18"/>
          <w:szCs w:val="18"/>
          <w:color w:val="auto"/>
        </w:rPr>
      </w:pPr>
    </w:p>
    <w:p>
      <w:pPr>
        <w:ind w:left="-8" w:right="280" w:firstLine="464"/>
        <w:spacing w:after="0" w:line="256" w:lineRule="auto"/>
        <w:tabs>
          <w:tab w:leader="none" w:pos="7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While the Officer is employed with the Company and after the termination of the Officer’s employment for any reason, the Officer shall respect and adhere to any non-disclosure, confidentiality or similar agreements to which the Company or any of its affiliates are, or during the period of the Officer’s employment by the Company, become, a party or subject. Upon the request of the Officer, the Company shall disclose to the Officer any such agreements to which it is a party or is subject.</w:t>
      </w:r>
    </w:p>
    <w:p>
      <w:pPr>
        <w:spacing w:after="0" w:line="143" w:lineRule="exact"/>
        <w:rPr>
          <w:rFonts w:ascii="Arial" w:cs="Arial" w:eastAsia="Arial" w:hAnsi="Arial"/>
          <w:sz w:val="18"/>
          <w:szCs w:val="18"/>
          <w:color w:val="auto"/>
        </w:rPr>
      </w:pPr>
    </w:p>
    <w:p>
      <w:pPr>
        <w:ind w:left="-8" w:right="40" w:firstLine="464"/>
        <w:spacing w:after="0" w:line="254" w:lineRule="auto"/>
        <w:tabs>
          <w:tab w:leader="none" w:pos="7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Officer hereby confirms that all Confidential Information and “Company Materials” (as hereinafter defined) are and shall remain the exclusive property of the Company. Immediately upon the termination of the Officer’s employment for any reason, or during the Officer’s employment with the Company upon the request of the Company, the Officer shall return all Company Materials, or any reproduction of such materials, apparatus, equipment and other physical property. For purposes of this Agreement, “</w:t>
      </w:r>
      <w:r>
        <w:rPr>
          <w:rFonts w:ascii="Arial" w:cs="Arial" w:eastAsia="Arial" w:hAnsi="Arial"/>
          <w:sz w:val="18"/>
          <w:szCs w:val="18"/>
          <w:u w:val="single" w:color="auto"/>
          <w:color w:val="auto"/>
        </w:rPr>
        <w:t>Company Materials</w:t>
      </w:r>
      <w:r>
        <w:rPr>
          <w:rFonts w:ascii="Arial" w:cs="Arial" w:eastAsia="Arial" w:hAnsi="Arial"/>
          <w:sz w:val="18"/>
          <w:szCs w:val="18"/>
          <w:color w:val="auto"/>
        </w:rPr>
        <w:t>” are documents or other media or tangible items that contain or embody Confidential Information or any other information concerning the business, operations or plans of the Company or its affiliates, whether such documents have been prepared by the Officer or others.</w:t>
      </w:r>
    </w:p>
    <w:p>
      <w:pPr>
        <w:spacing w:after="0" w:line="144" w:lineRule="exact"/>
        <w:rPr>
          <w:sz w:val="20"/>
          <w:szCs w:val="20"/>
          <w:color w:val="auto"/>
        </w:rPr>
      </w:pPr>
    </w:p>
    <w:p>
      <w:pPr>
        <w:ind w:left="-8" w:right="40" w:firstLine="464"/>
        <w:spacing w:after="0" w:line="332" w:lineRule="auto"/>
        <w:tabs>
          <w:tab w:leader="none" w:pos="69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Disclosure of Previously Acquired Information to Company</w:t>
      </w:r>
      <w:r>
        <w:rPr>
          <w:rFonts w:ascii="Arial" w:cs="Arial" w:eastAsia="Arial" w:hAnsi="Arial"/>
          <w:sz w:val="16"/>
          <w:szCs w:val="16"/>
          <w:color w:val="auto"/>
        </w:rPr>
        <w:t>. The Officer hereby agrees not to disclose to the Company, and not to induce the Company to utilize, any proprietary information or trade secrets of any other party that are in his possession, unless and to the extent that he has authority to do so.</w:t>
      </w:r>
    </w:p>
    <w:p>
      <w:pPr>
        <w:spacing w:after="0" w:line="85" w:lineRule="exact"/>
        <w:rPr>
          <w:rFonts w:ascii="Arial" w:cs="Arial" w:eastAsia="Arial" w:hAnsi="Arial"/>
          <w:sz w:val="16"/>
          <w:szCs w:val="16"/>
          <w:color w:val="auto"/>
        </w:rPr>
      </w:pPr>
    </w:p>
    <w:p>
      <w:pPr>
        <w:ind w:left="-8" w:firstLine="464"/>
        <w:spacing w:after="0" w:line="290" w:lineRule="auto"/>
        <w:tabs>
          <w:tab w:leader="none" w:pos="68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the Officer is employed by the Company and for a two-year period thereafter, the Officer (and any entity or business in which the Officer or any affiliate of the Officer has any direct or indirect ownership or financial interest) shall not, except with the prior written consent of the Board of Directors, directly or indirectly, own any interest in, operate, join, control or participate as a partner, director, principal, officer, or agent of, enter into any employment of, act as a consultant to, or perform any services for, any business which at any time during such period is in competition with any material business in which the Company, or any of its affiliates, has taken substantial steps to engage or is engaged on or prior to the termination of Officer’s employment by the Company, anywhere in the world. This provision shall not be construed to prohibit the ownership by the Officer of less than 2% of any class of securities of any corporation, so long as he remains a passive investor in such entity</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66" w:name="page67"/>
    <w:bookmarkEnd w:id="66"/>
    <w:p>
      <w:pPr>
        <w:ind w:left="-460" w:firstLine="464"/>
        <w:spacing w:after="0" w:line="287" w:lineRule="auto"/>
        <w:tabs>
          <w:tab w:leader="none" w:pos="24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Solicitation</w:t>
      </w:r>
      <w:r>
        <w:rPr>
          <w:rFonts w:ascii="Arial" w:cs="Arial" w:eastAsia="Arial" w:hAnsi="Arial"/>
          <w:sz w:val="16"/>
          <w:szCs w:val="16"/>
          <w:color w:val="auto"/>
        </w:rPr>
        <w:t>. While the Officer is employed by the Company and for a three-year period thereafter, the Officer shall not, directly or indirectly, for the Officer’s own account or for the account of any other Person (i) solicit, employ, retain as a consultant, interfere with or attempt to entice away from the Company or any of its affiliates, or any successor to any of the foregoing, any individual who is, has agreed to be or within one year of such solicitation, employment, retention, interference or enticement has been, employed or retained by the Company or any of its subsidiaries or any successor to any of the foregoing and who had frequent contact with the Officer during the Officer’s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it shall not be a violation of this provision if the Officer solicits or employs his administrative assistant) or (ii) solicit or attempt to solicit the trade of any Person which, at the time of such solicitation, is a significant customer of the Company or its affiliates, or any successor to any of the foregoing, or which the Company or its affiliates, or any successor to any of the foregoing, is undertaking reasonable steps to procure as a customer at the time of or immediately preceding the termination of Officer’s employment by the Company and which the Company reasonably believes could become a significant customer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limitation shall only apply to any product or service which is in competition with a product or service of the Company or its affiliates).</w:t>
      </w:r>
    </w:p>
    <w:p>
      <w:pPr>
        <w:spacing w:after="0" w:line="122" w:lineRule="exact"/>
        <w:rPr>
          <w:rFonts w:ascii="Arial" w:cs="Arial" w:eastAsia="Arial" w:hAnsi="Arial"/>
          <w:sz w:val="16"/>
          <w:szCs w:val="16"/>
          <w:color w:val="auto"/>
        </w:rPr>
      </w:pPr>
    </w:p>
    <w:p>
      <w:pPr>
        <w:ind w:left="-460" w:right="220" w:firstLine="464"/>
        <w:spacing w:after="0" w:line="323" w:lineRule="auto"/>
        <w:tabs>
          <w:tab w:leader="none" w:pos="235"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The Officer and the Company agree that at any time during his employment with the Company or at any time thereafter, neither the Company nor the Officer shall make, or cause or assist any other person to make, any statement or other communication which impugns or attacks, or is otherwise critical of, the reputation, business or character of the other, any subsidiary or any of their respective officers, directors, employees, products or services. The foregoing restrictions shall not apply to any statements that are made truthfully in response to a subpoena or other compulsory legal process.</w:t>
      </w:r>
    </w:p>
    <w:p>
      <w:pPr>
        <w:spacing w:after="0" w:line="97" w:lineRule="exact"/>
        <w:rPr>
          <w:rFonts w:ascii="Arial" w:cs="Arial" w:eastAsia="Arial" w:hAnsi="Arial"/>
          <w:sz w:val="15"/>
          <w:szCs w:val="15"/>
          <w:color w:val="auto"/>
        </w:rPr>
      </w:pPr>
    </w:p>
    <w:p>
      <w:pPr>
        <w:ind w:left="-460" w:right="60" w:firstLine="464"/>
        <w:spacing w:after="0" w:line="255" w:lineRule="auto"/>
        <w:tabs>
          <w:tab w:leader="none" w:pos="21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The Officer hereby acknowledges that he has carefully reviewed the provisions of this Agreement and agrees that the provisions are fair and equitable. However, in light of the possibility of differing interpretations of law and change in circumstances, the parties hereto agree that if any one or more of the provisions of this Agreement is determined by a court of competent jurisdiction to be invalid, void or unenforceable under circumstances then existing, the parties hereto agree that the maximum period, scope or geographical area reasonable or enforceable under such circumstances shall be substituted for the stated period, scope or area.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GENERAL PROVISIONS</w:t>
      </w:r>
    </w:p>
    <w:p>
      <w:pPr>
        <w:spacing w:after="0" w:line="96" w:lineRule="exact"/>
        <w:rPr>
          <w:sz w:val="20"/>
          <w:szCs w:val="20"/>
          <w:color w:val="auto"/>
        </w:rPr>
      </w:pPr>
    </w:p>
    <w:p>
      <w:pPr>
        <w:ind w:left="240" w:hanging="236"/>
        <w:spacing w:after="0"/>
        <w:tabs>
          <w:tab w:leader="none" w:pos="2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amounts paid to Officer hereunder shall be subject to all applicable wage withholding.</w:t>
      </w:r>
    </w:p>
    <w:p>
      <w:pPr>
        <w:spacing w:after="0" w:line="171" w:lineRule="exact"/>
        <w:rPr>
          <w:rFonts w:ascii="Arial" w:cs="Arial" w:eastAsia="Arial" w:hAnsi="Arial"/>
          <w:sz w:val="18"/>
          <w:szCs w:val="18"/>
          <w:color w:val="auto"/>
        </w:rPr>
      </w:pPr>
    </w:p>
    <w:p>
      <w:pPr>
        <w:ind w:left="-460" w:firstLine="464"/>
        <w:spacing w:after="0" w:line="268" w:lineRule="auto"/>
        <w:tabs>
          <w:tab w:leader="none" w:pos="24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hereunder by either party to the other shall be given in writing by personal delivery, or certified mail, return receipt requested, or (if to the Company) by telex or facsimile, in any case delivered to the applicable address set forth below:</w:t>
      </w:r>
    </w:p>
    <w:p>
      <w:pPr>
        <w:sectPr>
          <w:pgSz w:w="11900" w:h="16838" w:orient="portrait"/>
          <w:cols w:equalWidth="0" w:num="1">
            <w:col w:w="10940"/>
          </w:cols>
          <w:pgMar w:left="700" w:top="280" w:right="259" w:bottom="1440" w:gutter="0" w:footer="0" w:header="0"/>
        </w:sectPr>
      </w:pPr>
    </w:p>
    <w:p>
      <w:pPr>
        <w:spacing w:after="0" w:line="172"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5"/>
          <w:szCs w:val="15"/>
          <w:color w:val="auto"/>
        </w:rPr>
        <w:t>To the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891 Daechi-dong, Gangnam-gu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+82-2-6903-3898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11" w:lineRule="exact"/>
        <w:rPr>
          <w:sz w:val="20"/>
          <w:szCs w:val="20"/>
          <w:color w:val="auto"/>
        </w:rPr>
      </w:pPr>
    </w:p>
    <w:p>
      <w:pPr>
        <w:sectPr>
          <w:pgSz w:w="11900" w:h="16838" w:orient="portrait"/>
          <w:cols w:equalWidth="0" w:num="2">
            <w:col w:w="2680" w:space="720"/>
            <w:col w:w="7540"/>
          </w:cols>
          <w:pgMar w:left="700" w:top="28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Court Square Capital Partners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Park Avenue Plaza, 34th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10055 USA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+1-212-752-6184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David Thomas</w:t>
      </w:r>
    </w:p>
    <w:p>
      <w:pPr>
        <w:spacing w:after="0" w:line="151" w:lineRule="exact"/>
        <w:rPr>
          <w:sz w:val="20"/>
          <w:szCs w:val="20"/>
          <w:color w:val="auto"/>
        </w:rPr>
      </w:pPr>
    </w:p>
    <w:p>
      <w:pPr>
        <w:sectPr>
          <w:pgSz w:w="11900" w:h="16838" w:orient="portrait"/>
          <w:cols w:equalWidth="0" w:num="2">
            <w:col w:w="2680" w:space="720"/>
            <w:col w:w="7540"/>
          </w:cols>
          <w:pgMar w:left="700" w:top="280" w:right="259" w:bottom="1440" w:gutter="0" w:footer="0" w:header="0"/>
          <w:type w:val="continuous"/>
        </w:sectPr>
      </w:pPr>
    </w:p>
    <w:p>
      <w:pPr>
        <w:jc w:val="center"/>
        <w:ind w:right="4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700" w:top="280" w:right="259" w:bottom="1440" w:gutter="0" w:footer="0" w:header="0"/>
          <w:type w:val="continuous"/>
        </w:sectPr>
      </w:pPr>
    </w:p>
    <w:bookmarkStart w:id="67" w:name="page68"/>
    <w:bookmarkEnd w:id="67"/>
    <w:p>
      <w:pPr>
        <w:ind w:left="3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Francisco Partners, L.P.</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One Letterman Drive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Building C, Suite 410</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San Francisco, CA 94129 USA</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Facsimile No.: +1-415-418-2999</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Dipanjan Deb</w:t>
      </w:r>
    </w:p>
    <w:p>
      <w:pPr>
        <w:spacing w:after="0" w:line="11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DLA Piper US LLP</w:t>
      </w:r>
    </w:p>
    <w:p>
      <w:pPr>
        <w:spacing w:after="0" w:line="1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2000 University Avenue</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East Palo Alto, CA 94303</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Facsimile No.: +1-650-833-2001</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Attn: Micheal Reagan, Esq.</w:t>
      </w:r>
    </w:p>
    <w:p>
      <w:pPr>
        <w:spacing w:after="0" w:line="111" w:lineRule="exact"/>
        <w:rPr>
          <w:sz w:val="20"/>
          <w:szCs w:val="20"/>
          <w:color w:val="auto"/>
        </w:rPr>
      </w:pPr>
    </w:p>
    <w:p>
      <w:pPr>
        <w:ind w:left="520"/>
        <w:spacing w:after="0"/>
        <w:tabs>
          <w:tab w:leader="none" w:pos="940" w:val="left"/>
          <w:tab w:leader="none" w:pos="3840" w:val="left"/>
        </w:tabs>
        <w:rPr>
          <w:sz w:val="20"/>
          <w:szCs w:val="20"/>
          <w:color w:val="auto"/>
        </w:rPr>
      </w:pPr>
      <w:r>
        <w:rPr>
          <w:rFonts w:ascii="Arial" w:cs="Arial" w:eastAsia="Arial" w:hAnsi="Arial"/>
          <w:sz w:val="18"/>
          <w:szCs w:val="18"/>
          <w:color w:val="auto"/>
        </w:rPr>
        <w:t>(ii)</w:t>
        <w:tab/>
        <w:t>To the Officer:</w:t>
      </w:r>
      <w:r>
        <w:rPr>
          <w:sz w:val="20"/>
          <w:szCs w:val="20"/>
          <w:color w:val="auto"/>
        </w:rPr>
        <w:tab/>
      </w:r>
      <w:r>
        <w:rPr>
          <w:rFonts w:ascii="Arial" w:cs="Arial" w:eastAsia="Arial" w:hAnsi="Arial"/>
          <w:sz w:val="15"/>
          <w:szCs w:val="15"/>
          <w:color w:val="auto"/>
        </w:rPr>
        <w:t>at the last known residential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other addresses as either party may specify to the other in writing.</w:t>
      </w:r>
    </w:p>
    <w:p>
      <w:pPr>
        <w:spacing w:after="0" w:line="171" w:lineRule="exact"/>
        <w:rPr>
          <w:sz w:val="20"/>
          <w:szCs w:val="20"/>
          <w:color w:val="auto"/>
        </w:rPr>
      </w:pPr>
    </w:p>
    <w:p>
      <w:pPr>
        <w:ind w:left="700" w:hanging="236"/>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Assignment; Assumption of Agreement.</w:t>
      </w:r>
      <w:r>
        <w:rPr>
          <w:rFonts w:ascii="Arial" w:cs="Arial" w:eastAsia="Arial" w:hAnsi="Arial"/>
          <w:sz w:val="16"/>
          <w:szCs w:val="16"/>
          <w:color w:val="auto"/>
        </w:rPr>
        <w:t xml:space="preserve"> This Agreement shall be binding upon and inure to the benefit of (i) the heirs, executors, and legal</w:t>
      </w:r>
    </w:p>
    <w:p>
      <w:pPr>
        <w:spacing w:after="0" w:line="38"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representatives of the Officer upon the Officer’s death, and (ii) any successor of the Company. Any such successor of the Company shall be deemed substituted for the Company under the terms of this Agreement for all purposes. For this purpose, “successor” means (i) any person, firm, corporation, or other business entity which at any time, whether by purchase, merger, or otherwise, directly or indirectly acquires all or substantially all of the assets or business of the Company or (ii) any corporation or business entity which is an affiliate of the Company and which expressly assumes the Company’s obligations hereunder in writing. None of the rights of the Officer to receive any form of compensation payable pursuant to this Agreement may be assigned or transferred except by will or the laws of descent and distribution. Any other attempted assignment, transfer, conveyance, or other disposition of the Officer’s right to compensation or other benefits will be null and void.</w:t>
      </w:r>
    </w:p>
    <w:p>
      <w:pPr>
        <w:spacing w:after="0" w:line="146" w:lineRule="exact"/>
        <w:rPr>
          <w:rFonts w:ascii="Arial" w:cs="Arial" w:eastAsia="Arial" w:hAnsi="Arial"/>
          <w:sz w:val="16"/>
          <w:szCs w:val="16"/>
          <w:color w:val="auto"/>
        </w:rPr>
      </w:pPr>
    </w:p>
    <w:p>
      <w:pPr>
        <w:ind w:right="80" w:firstLine="464"/>
        <w:spacing w:after="0" w:line="256"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modified, waived or discharged unless such amendment, modification, waiver or discharge is agreed to in writing and signed by the parties.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43" w:lineRule="exact"/>
        <w:rPr>
          <w:rFonts w:ascii="Arial" w:cs="Arial" w:eastAsia="Arial" w:hAnsi="Arial"/>
          <w:sz w:val="18"/>
          <w:szCs w:val="18"/>
          <w:color w:val="auto"/>
        </w:rPr>
      </w:pPr>
    </w:p>
    <w:p>
      <w:pPr>
        <w:jc w:val="both"/>
        <w:ind w:right="300" w:firstLine="464"/>
        <w:spacing w:after="0" w:line="306"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hereof is determined to be invalid or unenforceable in a final court or arbitration proceeding, (i) the remaining terms and provisions hereof shall be unimpaired and (ii) the invalid or unenforceable term or provision shall be deemed replaced by a term or provision that is valid and enforceable and that comes closest to expressing the intention of the invalid or unenforceable term or provision.</w:t>
      </w:r>
    </w:p>
    <w:p>
      <w:pPr>
        <w:spacing w:after="0" w:line="106" w:lineRule="exact"/>
        <w:rPr>
          <w:rFonts w:ascii="Arial" w:cs="Arial" w:eastAsia="Arial" w:hAnsi="Arial"/>
          <w:sz w:val="16"/>
          <w:szCs w:val="16"/>
          <w:color w:val="auto"/>
        </w:rPr>
      </w:pPr>
    </w:p>
    <w:p>
      <w:pPr>
        <w:ind w:firstLine="464"/>
        <w:spacing w:after="0" w:line="268" w:lineRule="auto"/>
        <w:tabs>
          <w:tab w:leader="none" w:pos="67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governed by and construed in accordance with the laws of the State of Delaware and venue shall be Wilmington, Delaware.</w:t>
      </w:r>
    </w:p>
    <w:p>
      <w:pPr>
        <w:spacing w:after="0" w:line="131"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Relocation Expenses</w:t>
      </w:r>
      <w:r>
        <w:rPr>
          <w:rFonts w:ascii="Arial" w:cs="Arial" w:eastAsia="Arial" w:hAnsi="Arial"/>
          <w:sz w:val="18"/>
          <w:szCs w:val="18"/>
          <w:color w:val="auto"/>
        </w:rPr>
        <w:t>. The Company shall reimburse the Officer up to US$200,000 for reasonable relocation expenses incurred by him in connection with his relocation to Korea.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68" w:name="page69"/>
    <w:bookmarkEnd w:id="68"/>
    <w:p>
      <w:pPr>
        <w:jc w:val="both"/>
        <w:ind w:left="-100" w:right="60" w:firstLine="464"/>
        <w:spacing w:after="0" w:line="259" w:lineRule="auto"/>
        <w:tabs>
          <w:tab w:leader="none" w:pos="60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8"/>
          <w:szCs w:val="18"/>
          <w:color w:val="auto"/>
        </w:rPr>
        <w:t>. This Agreement, the Incentive Plan and the award agreements thereunder evidencing the equity awards granted in accordance with this Agreement, contain the entire agreement of the Officer, the Company and any predecessors or affiliates thereof with respect to the subject matter hereof and all prior agreements and negotiations are superseded hereby as of the date of this Agreement.</w:t>
      </w:r>
    </w:p>
    <w:p>
      <w:pPr>
        <w:spacing w:after="0" w:line="140" w:lineRule="exact"/>
        <w:rPr>
          <w:rFonts w:ascii="Arial" w:cs="Arial" w:eastAsia="Arial" w:hAnsi="Arial"/>
          <w:sz w:val="18"/>
          <w:szCs w:val="18"/>
          <w:color w:val="auto"/>
        </w:rPr>
      </w:pPr>
    </w:p>
    <w:p>
      <w:pPr>
        <w:ind w:left="-100" w:right="640" w:firstLine="464"/>
        <w:spacing w:after="0" w:line="268" w:lineRule="auto"/>
        <w:tabs>
          <w:tab w:leader="none" w:pos="56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counterparts, each of which shall be deemed an original, but both such counterparts shall together constitute one and the same document.</w:t>
      </w:r>
    </w:p>
    <w:p>
      <w:pPr>
        <w:spacing w:after="0" w:line="131" w:lineRule="exact"/>
        <w:rPr>
          <w:rFonts w:ascii="Arial" w:cs="Arial" w:eastAsia="Arial" w:hAnsi="Arial"/>
          <w:sz w:val="18"/>
          <w:szCs w:val="18"/>
          <w:color w:val="auto"/>
        </w:rPr>
      </w:pPr>
    </w:p>
    <w:p>
      <w:pPr>
        <w:ind w:left="-100" w:firstLine="464"/>
        <w:spacing w:after="0" w:line="254" w:lineRule="auto"/>
        <w:tabs>
          <w:tab w:leader="none" w:pos="56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Section 409A</w:t>
      </w:r>
      <w:r>
        <w:rPr>
          <w:rFonts w:ascii="Arial" w:cs="Arial" w:eastAsia="Arial" w:hAnsi="Arial"/>
          <w:sz w:val="18"/>
          <w:szCs w:val="18"/>
          <w:color w:val="auto"/>
        </w:rPr>
        <w:t>. The Company intends that income provided to the Officer pursuant to this Agreement will not be subject to taxation under Section 409A of the Code. The provisions of this Agreement shall be interpreted and construed in favor of satisfying any applicable requirements of Section 409A of the Code. However, the Company does not guarantee any particular tax effect for income provided to the Officer pursuant to this Agreement. In any event, except for the Company’s responsibility to withhold applicable income and employment taxes from compensation paid or provided to the Officer, the Company shall not be responsible for the payment of any applicable taxes incurred by the Employee on compensation paid or provided to the Employee pursuant to this Agreement.</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effective as of the day and year first written above.</w:t>
      </w:r>
    </w:p>
    <w:p>
      <w:pPr>
        <w:spacing w:after="0" w:line="21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Dipanjan 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10795</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Dipanjan Deb</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Director</w:t>
      </w:r>
    </w:p>
    <w:p>
      <w:pPr>
        <w:spacing w:after="0" w:line="20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Sang Park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40" w:top="28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171"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71"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March 30, 2008,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2008</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March 30, 2008,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13,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upperLetter"/>
      <w:start w:val="4"/>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1)"/>
      <w:numFmt w:val="lowerLetter"/>
      <w:start w:val="3"/>
    </w:lvl>
  </w:abstractNum>
  <w:abstractNum w:abstractNumId="13">
    <w:nsid w:val="70A64E2A"/>
    <w:multiLevelType w:val="hybridMultilevel"/>
    <w:lvl w:ilvl="0">
      <w:lvlJc w:val="left"/>
      <w:lvlText w:val="(%1)"/>
      <w:numFmt w:val="lowerLetter"/>
      <w:start w:val="1"/>
    </w:lvl>
  </w:abstractNum>
  <w:abstractNum w:abstractNumId="14">
    <w:nsid w:val="6A2342EC"/>
    <w:multiLevelType w:val="hybridMultilevel"/>
    <w:lvl w:ilvl="0">
      <w:lvlJc w:val="left"/>
      <w:lvlText w:val="(%1)"/>
      <w:numFmt w:val="lowerRoman"/>
      <w:start w:val="1"/>
    </w:lvl>
  </w:abstractNum>
  <w:abstractNum w:abstractNumId="15">
    <w:nsid w:val="2A487CB0"/>
    <w:multiLevelType w:val="hybridMultilevel"/>
    <w:lvl w:ilvl="0">
      <w:lvlJc w:val="left"/>
      <w:lvlText w:val="(%1)"/>
      <w:numFmt w:val="lowerLetter"/>
      <w:start w:val="3"/>
    </w:lvl>
  </w:abstractNum>
  <w:abstractNum w:abstractNumId="16">
    <w:nsid w:val="1D4ED43B"/>
    <w:multiLevelType w:val="hybridMultilevel"/>
    <w:lvl w:ilvl="0">
      <w:lvlJc w:val="left"/>
      <w:lvlText w:val="(%1)"/>
      <w:numFmt w:val="lowerRoman"/>
      <w:start w:val="1"/>
    </w:lvl>
  </w:abstractNum>
  <w:abstractNum w:abstractNumId="17">
    <w:nsid w:val="725A06FB"/>
    <w:multiLevelType w:val="hybridMultilevel"/>
    <w:lvl w:ilvl="0">
      <w:lvlJc w:val="left"/>
      <w:lvlText w:val="(%1)"/>
      <w:numFmt w:val="lowerLetter"/>
      <w:start w:val="4"/>
    </w:lvl>
  </w:abstractNum>
  <w:abstractNum w:abstractNumId="18">
    <w:nsid w:val="2CD89A32"/>
    <w:multiLevelType w:val="hybridMultilevel"/>
    <w:lvl w:ilvl="0">
      <w:lvlJc w:val="left"/>
      <w:lvlText w:val="(%1)"/>
      <w:numFmt w:val="lowerLetter"/>
      <w:start w:val="8"/>
    </w:lvl>
  </w:abstractNum>
  <w:abstractNum w:abstractNumId="19">
    <w:nsid w:val="57E4CCAF"/>
    <w:multiLevelType w:val="hybridMultilevel"/>
    <w:lvl w:ilvl="0">
      <w:lvlJc w:val="left"/>
      <w:lvlText w:val="(%1)"/>
      <w:numFmt w:val="lowerRoman"/>
      <w:start w:val="2"/>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Roman"/>
      <w:start w:val="1"/>
    </w:lvl>
  </w:abstractNum>
  <w:abstractNum w:abstractNumId="22">
    <w:nsid w:val="542289EC"/>
    <w:multiLevelType w:val="hybridMultilevel"/>
    <w:lvl w:ilvl="0">
      <w:lvlJc w:val="left"/>
      <w:lvlText w:val="(%1)"/>
      <w:numFmt w:val="lowerRoman"/>
      <w:start w:val="2"/>
    </w:lvl>
  </w:abstractNum>
  <w:abstractNum w:abstractNumId="23">
    <w:nsid w:val="6DE91B18"/>
    <w:multiLevelType w:val="hybridMultilevel"/>
    <w:lvl w:ilvl="0">
      <w:lvlJc w:val="left"/>
      <w:lvlText w:val="(%1)"/>
      <w:numFmt w:val="lowerLetter"/>
      <w:start w:val="2"/>
    </w:lvl>
  </w:abstractNum>
  <w:abstractNum w:abstractNumId="24">
    <w:nsid w:val="38437FD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25">
    <w:nsid w:val="7644A45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6">
    <w:nsid w:val="32FFF902"/>
    <w:multiLevelType w:val="hybridMultilevel"/>
    <w:lvl w:ilvl="0">
      <w:lvlJc w:val="left"/>
      <w:lvlText w:val="(%1)"/>
      <w:numFmt w:val="lowerRoman"/>
      <w:start w:val="4"/>
    </w:lvl>
  </w:abstractNum>
  <w:abstractNum w:abstractNumId="27">
    <w:nsid w:val="684A481A"/>
    <w:multiLevelType w:val="hybridMultilevel"/>
    <w:lvl w:ilvl="0">
      <w:lvlJc w:val="left"/>
      <w:lvlText w:val="(%1)"/>
      <w:numFmt w:val="lowerLetter"/>
      <w:start w:val="3"/>
    </w:lvl>
  </w:abstractNum>
  <w:abstractNum w:abstractNumId="28">
    <w:nsid w:val="579478FE"/>
    <w:multiLevelType w:val="hybridMultilevel"/>
    <w:lvl w:ilvl="0">
      <w:lvlJc w:val="left"/>
      <w:lvlText w:val="%1"/>
      <w:numFmt w:val="upperLetter"/>
      <w:start w:val="1"/>
    </w:lvl>
    <w:lvl w:ilvl="1">
      <w:lvlJc w:val="left"/>
      <w:lvlText w:val="(%2)"/>
      <w:numFmt w:val="lowerLetter"/>
      <w:start w:val="6"/>
    </w:lvl>
  </w:abstractNum>
  <w:abstractNum w:abstractNumId="29">
    <w:nsid w:val="749ABB43"/>
    <w:multiLevelType w:val="hybridMultilevel"/>
    <w:lvl w:ilvl="0">
      <w:lvlJc w:val="left"/>
      <w:lvlText w:val="(%1)"/>
      <w:numFmt w:val="upperLetter"/>
      <w:start w:val="3"/>
    </w:lvl>
    <w:lvl w:ilvl="1">
      <w:lvlJc w:val="left"/>
      <w:lvlText w:val="%2"/>
      <w:numFmt w:val="lowerLetter"/>
      <w:start w:val="1"/>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upperLetter"/>
      <w:start w:val="1"/>
    </w:lvl>
    <w:lvl w:ilvl="1">
      <w:lvlJc w:val="left"/>
      <w:lvlText w:val="(%2)"/>
      <w:numFmt w:val="lowerRoman"/>
      <w:start w:val="1"/>
    </w:lvl>
  </w:abstractNum>
  <w:abstractNum w:abstractNumId="32">
    <w:nsid w:val="79A1DEAA"/>
    <w:multiLevelType w:val="hybridMultilevel"/>
    <w:lvl w:ilvl="0">
      <w:lvlJc w:val="left"/>
      <w:lvlText w:val="(%1)"/>
      <w:numFmt w:val="upperLetter"/>
      <w:start w:val="1"/>
    </w:lvl>
    <w:lvl w:ilvl="1">
      <w:lvlJc w:val="left"/>
      <w:lvlText w:val="(%2)"/>
      <w:numFmt w:val="lowerRoman"/>
      <w:start w:val="2"/>
    </w:lvl>
  </w:abstractNum>
  <w:abstractNum w:abstractNumId="33">
    <w:nsid w:val="75C6C33A"/>
    <w:multiLevelType w:val="hybridMultilevel"/>
    <w:lvl w:ilvl="0">
      <w:lvlJc w:val="left"/>
      <w:lvlText w:val="(%1)"/>
      <w:numFmt w:val="lowerRoman"/>
      <w:start w:val="3"/>
    </w:lvl>
  </w:abstractNum>
  <w:abstractNum w:abstractNumId="34">
    <w:nsid w:val="12E685FB"/>
    <w:multiLevelType w:val="hybridMultilevel"/>
    <w:lvl w:ilvl="0">
      <w:lvlJc w:val="left"/>
      <w:lvlText w:val="%1"/>
      <w:numFmt w:val="lowerLetter"/>
      <w:start w:val="1"/>
    </w:lvl>
    <w:lvl w:ilvl="1">
      <w:lvlJc w:val="left"/>
      <w:lvlText w:val="(%2)"/>
      <w:numFmt w:val="lowerLetter"/>
      <w:start w:val="2"/>
    </w:lvl>
  </w:abstractNum>
  <w:abstractNum w:abstractNumId="35">
    <w:nsid w:val="70C6A529"/>
    <w:multiLevelType w:val="hybridMultilevel"/>
    <w:lvl w:ilvl="0">
      <w:lvlJc w:val="left"/>
      <w:lvlText w:val="(%1)"/>
      <w:numFmt w:val="lowerLetter"/>
      <w:start w:val="9"/>
    </w:lvl>
    <w:lvl w:ilvl="1">
      <w:lvlJc w:val="left"/>
      <w:lvlText w:val="(%2)"/>
      <w:numFmt w:val="lowerLetter"/>
      <w:start w:val="4"/>
    </w:lvl>
  </w:abstractNum>
  <w:abstractNum w:abstractNumId="36">
    <w:nsid w:val="520EEDD1"/>
    <w:multiLevelType w:val="hybridMultilevel"/>
    <w:lvl w:ilvl="0">
      <w:lvlJc w:val="left"/>
      <w:lvlText w:val="(%1)"/>
      <w:numFmt w:val="lowerLetter"/>
      <w:start w:val="35"/>
    </w:lvl>
    <w:lvl w:ilvl="1">
      <w:lvlJc w:val="left"/>
      <w:lvlText w:val="(%2)"/>
      <w:numFmt w:val="lowerLetter"/>
      <w:start w:val="5"/>
    </w:lvl>
  </w:abstractNum>
  <w:abstractNum w:abstractNumId="37">
    <w:nsid w:val="374A3FE6"/>
    <w:multiLevelType w:val="hybridMultilevel"/>
    <w:lvl w:ilvl="0">
      <w:lvlJc w:val="left"/>
      <w:lvlText w:val="(%1)"/>
      <w:numFmt w:val="lowerLetter"/>
      <w:start w:val="6"/>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1"/>
    </w:lvl>
    <w:lvl w:ilvl="1">
      <w:lvlJc w:val="left"/>
      <w:lvlText w:val="(%2)"/>
      <w:numFmt w:val="lowerLetter"/>
      <w:start w:val="3"/>
    </w:lvl>
  </w:abstractNum>
  <w:abstractNum w:abstractNumId="40">
    <w:nsid w:val="649BB77C"/>
    <w:multiLevelType w:val="hybridMultilevel"/>
    <w:lvl w:ilvl="0">
      <w:lvlJc w:val="left"/>
      <w:lvlText w:val="(%1)"/>
      <w:numFmt w:val="lowerLetter"/>
      <w:start w:val="9"/>
    </w:lvl>
    <w:lvl w:ilvl="1">
      <w:lvlJc w:val="left"/>
      <w:lvlText w:val="(%2)"/>
      <w:numFmt w:val="lowerLetter"/>
      <w:start w:val="4"/>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2"/>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lowerRoman"/>
      <w:start w:val="1"/>
    </w:lvl>
  </w:abstractNum>
  <w:abstractNum w:abstractNumId="45">
    <w:nsid w:val="235BA861"/>
    <w:multiLevelType w:val="hybridMultilevel"/>
    <w:lvl w:ilvl="0">
      <w:lvlJc w:val="left"/>
      <w:lvlText w:val="(%1)"/>
      <w:numFmt w:val="lowerLetter"/>
      <w:start w:val="3"/>
    </w:lvl>
  </w:abstractNum>
  <w:abstractNum w:abstractNumId="46">
    <w:nsid w:val="47398C89"/>
    <w:multiLevelType w:val="hybridMultilevel"/>
    <w:lvl w:ilvl="0">
      <w:lvlJc w:val="left"/>
      <w:lvlText w:val="(%1)"/>
      <w:numFmt w:val="lowerRoman"/>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Roman"/>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lowerRoman"/>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lvl w:ilvl="1">
      <w:lvlJc w:val="left"/>
      <w:lvlText w:val="(%2)"/>
      <w:numFmt w:val="decimal"/>
      <w:start w:val="2"/>
    </w:lvl>
  </w:abstractNum>
  <w:abstractNum w:abstractNumId="54">
    <w:nsid w:val="7E0C57B1"/>
    <w:multiLevelType w:val="hybridMultilevel"/>
    <w:lvl w:ilvl="0">
      <w:lvlJc w:val="left"/>
      <w:lvlText w:val="(%1)"/>
      <w:numFmt w:val="decimal"/>
      <w:start w:val="24"/>
    </w:lvl>
    <w:lvl w:ilvl="1">
      <w:lvlJc w:val="left"/>
      <w:lvlText w:val="%2"/>
      <w:numFmt w:val="decimal"/>
      <w:start w:val="1"/>
    </w:lvl>
  </w:abstractNum>
  <w:abstractNum w:abstractNumId="55">
    <w:nsid w:val="77AE35EB"/>
    <w:multiLevelType w:val="hybridMultilevel"/>
    <w:lvl w:ilvl="0">
      <w:lvlJc w:val="left"/>
      <w:lvlText w:val="(%1)"/>
      <w:numFmt w:val="lowerRoman"/>
      <w:start w:val="2"/>
    </w:lvl>
    <w:lvl w:ilvl="1">
      <w:lvlJc w:val="left"/>
      <w:lvlText w:val="(%2)"/>
      <w:numFmt w:val="decimal"/>
      <w:start w:val="1"/>
    </w:lvl>
  </w:abstractNum>
  <w:abstractNum w:abstractNumId="56">
    <w:nsid w:val="579BE4F1"/>
    <w:multiLevelType w:val="hybridMultilevel"/>
    <w:lvl w:ilvl="0">
      <w:lvlJc w:val="left"/>
      <w:lvlText w:val="(%1)"/>
      <w:numFmt w:val="lowerLetter"/>
      <w:start w:val="3"/>
    </w:lvl>
  </w:abstractNum>
  <w:abstractNum w:abstractNumId="57">
    <w:nsid w:val="310C50B3"/>
    <w:multiLevelType w:val="hybridMultilevel"/>
    <w:lvl w:ilvl="0">
      <w:lvlJc w:val="left"/>
      <w:lvlText w:val="(%1)"/>
      <w:numFmt w:val="lowerLetter"/>
      <w:start w:val="4"/>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upperLetter"/>
      <w:start w:val="1"/>
    </w:lvl>
    <w:lvl w:ilvl="1">
      <w:lvlJc w:val="left"/>
      <w:lvlText w:val="(%2)"/>
      <w:numFmt w:val="lowerRoman"/>
      <w:start w:val="1"/>
    </w:lvl>
  </w:abstractNum>
  <w:abstractNum w:abstractNumId="60">
    <w:nsid w:val="25A70BF7"/>
    <w:multiLevelType w:val="hybridMultilevel"/>
    <w:lvl w:ilvl="0">
      <w:lvlJc w:val="left"/>
      <w:lvlText w:val="(%1)"/>
      <w:numFmt w:val="upperLetter"/>
      <w:start w:val="1"/>
    </w:lvl>
    <w:lvl w:ilvl="1">
      <w:lvlJc w:val="left"/>
      <w:lvlText w:val="(%2)"/>
      <w:numFmt w:val="lowerRoman"/>
      <w:start w:val="2"/>
    </w:lvl>
  </w:abstractNum>
  <w:abstractNum w:abstractNumId="61">
    <w:nsid w:val="1DBABF00"/>
    <w:multiLevelType w:val="hybridMultilevel"/>
    <w:lvl w:ilvl="0">
      <w:lvlJc w:val="left"/>
      <w:lvlText w:val="(%1)"/>
      <w:numFmt w:val="lowerLetter"/>
      <w:start w:val="2"/>
    </w:lvl>
  </w:abstractNum>
  <w:abstractNum w:abstractNumId="62">
    <w:nsid w:val="4AD084E9"/>
    <w:multiLevelType w:val="hybridMultilevel"/>
    <w:lvl w:ilvl="0">
      <w:lvlJc w:val="left"/>
      <w:lvlText w:val="(%1)"/>
      <w:numFmt w:val="lowerLetter"/>
      <w:start w:val="4"/>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3"/>
    </w:lvl>
  </w:abstractNum>
  <w:abstractNum w:abstractNumId="65">
    <w:nsid w:val="5DB70AE5"/>
    <w:multiLevelType w:val="hybridMultilevel"/>
    <w:lvl w:ilvl="0">
      <w:lvlJc w:val="left"/>
      <w:lvlText w:val="(%1)"/>
      <w:numFmt w:val="lowerLetter"/>
      <w:start w:val="8"/>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2019-12-11T16:03:35Z</dcterms:created>
  <dcterms:modified xsi:type="dcterms:W3CDTF">2019-12-11T16:03:35Z</dcterms:modified>
</cp:coreProperties>
</file>