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120" w:type="dxa"/>
            <w:vAlign w:val="bottom"/>
          </w:tcPr>
          <w:p>
            <w:pPr>
              <w:jc w:val="center"/>
              <w:ind w:right="23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3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8"/>
                <w:szCs w:val="18"/>
                <w:b w:val="1"/>
                <w:bCs w:val="1"/>
                <w:color w:val="auto"/>
                <w:w w:val="99"/>
              </w:rPr>
              <w:t>c/o Magnachip Semiconductor, Ltd.</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15F, 76 Jikji-daero 436beon-gil, Heungdeok-gu</w:t>
            </w:r>
          </w:p>
        </w:tc>
        <w:tc>
          <w:tcPr>
            <w:tcW w:w="2460" w:type="dxa"/>
            <w:vAlign w:val="bottom"/>
          </w:tcPr>
          <w:p>
            <w:pPr>
              <w:spacing w:after="0"/>
              <w:rPr>
                <w:sz w:val="18"/>
                <w:szCs w:val="18"/>
                <w:color w:val="auto"/>
              </w:rPr>
            </w:pPr>
          </w:p>
        </w:tc>
      </w:tr>
      <w:tr>
        <w:trPr>
          <w:trHeight w:val="227"/>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Cheongju-si, Chungcheongbuk-do, 28581, Republic of Korea</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90"/>
        </w:trPr>
        <w:tc>
          <w:tcPr>
            <w:tcW w:w="4120" w:type="dxa"/>
            <w:vAlign w:val="bottom"/>
          </w:tcPr>
          <w:p>
            <w:pPr>
              <w:jc w:val="center"/>
              <w:ind w:left="11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165735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herein is financial information for Magnachip Semiconductor Corporation and its consolidated subsidiaries for the second quarter ended June 30, 2025, as presented in a press release dated July 31, 2025.</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300" w:type="dxa"/>
            <w:vAlign w:val="bottom"/>
            <w:gridSpan w:val="3"/>
            <w:vMerge w:val="restart"/>
          </w:tcPr>
          <w:p>
            <w:pPr>
              <w:ind w:left="3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3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3"/>
                <w:szCs w:val="23"/>
                <w:color w:val="auto"/>
              </w:rPr>
            </w:pPr>
          </w:p>
        </w:tc>
        <w:tc>
          <w:tcPr>
            <w:tcW w:w="9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Press release for Magnachip Semiconductor Corporation dated July 31, 2025, announcing the results for the second quarter ended</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June 30, 2025.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804"/>
          </w:cols>
          <w:pgMar w:left="436" w:top="293" w:right="6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July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3710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3710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Reports Results for Second Quarter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Results Summary</w:t>
      </w:r>
    </w:p>
    <w:p>
      <w:pPr>
        <w:spacing w:after="0" w:line="135" w:lineRule="exact"/>
        <w:rPr>
          <w:sz w:val="20"/>
          <w:szCs w:val="20"/>
          <w:color w:val="auto"/>
        </w:rPr>
      </w:pPr>
    </w:p>
    <w:p>
      <w:pPr>
        <w:ind w:left="960" w:right="340" w:hanging="532"/>
        <w:spacing w:after="0" w:line="312"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revenue from continuing operations (which includes Power Analog Solutions (“PAS”) and Power IC (“PIC”) businesses) increased 8.1% year-over-year to $47.6 million and was above the mid-point of our guidance range of $45.0 to $49.0 million.</w:t>
      </w:r>
    </w:p>
    <w:p>
      <w:pPr>
        <w:spacing w:after="0" w:line="45"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of 20.4% was within our guidance range of 19.5% to 21.5%.</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0.7 million shares for an aggregate purchase price of $2.3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2025 Highlights</w:t>
      </w:r>
    </w:p>
    <w:p>
      <w:pPr>
        <w:spacing w:after="0" w:line="135" w:lineRule="exact"/>
        <w:rPr>
          <w:sz w:val="20"/>
          <w:szCs w:val="20"/>
          <w:color w:val="auto"/>
        </w:rPr>
      </w:pPr>
    </w:p>
    <w:p>
      <w:pPr>
        <w:ind w:left="960" w:right="34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was the fifth consecutive quarter of year-over-year growth from continuing operations primarily driven by Power Analog Solutions (PAS) growth in communications and computing applications, as well as strength in Power IC products.</w:t>
      </w:r>
    </w:p>
    <w:p>
      <w:pPr>
        <w:spacing w:after="0" w:line="67" w:lineRule="exact"/>
        <w:rPr>
          <w:rFonts w:ascii="Times New Roman" w:cs="Times New Roman" w:eastAsia="Times New Roman" w:hAnsi="Times New Roman"/>
          <w:sz w:val="18"/>
          <w:szCs w:val="18"/>
          <w:color w:val="auto"/>
        </w:rPr>
      </w:pPr>
    </w:p>
    <w:p>
      <w:pPr>
        <w:ind w:left="960" w:right="50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 revenue from the communication applications market increased 46.7% year-over-year, representing 20% of PAS revenue, while computing applications market revenue grew 45.1% year-over year and represented 8% of PAS revenue.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IC (PIC) business increased 11.1% year-over-year in Q2 driven by strength for both TV-LED and OLED power ICs.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28 new-generation PAS products in the first half of 2025.</w:t>
      </w:r>
    </w:p>
    <w:p>
      <w:pPr>
        <w:spacing w:after="0" w:line="130" w:lineRule="exact"/>
        <w:rPr>
          <w:rFonts w:ascii="Times New Roman" w:cs="Times New Roman" w:eastAsia="Times New Roman" w:hAnsi="Times New Roman"/>
          <w:sz w:val="18"/>
          <w:szCs w:val="18"/>
          <w:color w:val="auto"/>
        </w:rPr>
      </w:pPr>
    </w:p>
    <w:p>
      <w:pPr>
        <w:ind w:left="960" w:right="260" w:hanging="532"/>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71 design-wins in Q2, up 61% from the 44 wins achieved in the year ago quarter. The design-wins include both our new generation Gen 6 Super Junction products and low-voltage Gen 8 MOSFETs, as well as our prior generation medium-voltage and Super Junction products.</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SEOUL, South Korea, July 31, 2025 </w:t>
      </w:r>
      <w:r>
        <w:rPr>
          <w:rFonts w:ascii="Times New Roman" w:cs="Times New Roman" w:eastAsia="Times New Roman" w:hAnsi="Times New Roman"/>
          <w:sz w:val="18"/>
          <w:szCs w:val="18"/>
          <w:color w:val="auto"/>
        </w:rPr>
        <w:t>– Magnachip Semiconductor Corporation (NYSE: MX) (“Magnachip”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second quarter 2025.</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Y.J. Kim, Magnachip’s CEO said, “In Q2, Magnachip delivered our fifth consecutive quarter of year-over-year revenue growth from continuing operations, driven primarily by strong performances in our communications and computing applications businesses. The quarter also benefited from some pull-in activity by customers, which contributed to the overall strength of the results. In industrial applications, we continued to see solid demand across key end markets, including e-motors, LED lighting, and 5G battery management systems.”</w:t>
      </w:r>
    </w:p>
    <w:p>
      <w:pPr>
        <w:spacing w:after="0" w:line="180"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Mr. Kim added, “Looking to the back half of the year, we face an uncertain environment due to tariffs and pricing pressures on older-generation products, particularly in China. As a result, we currently anticipate a softer second half of the year relative to our prior expectations, and we now forecast 2025 revenue from continuing operations to be flattish as compared to our prior outlook for mid-to-high single-digit growth.”</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Mr. Kim added, “While headwinds are impacting our near-term outlook, we are being proactive and decisive by taking structural actions to optimize operational efficiency and we are accelerating the development of a full array of a new generation of feature-rich power products which we expect will command higher prices and margins to drive future growth and profitability. We remain firmly committed to our 3-3-3 strategy of achieving $300 million in revenue with 30% gross margin, although the exact timing will depend largely upon various macroeconomic factors.”</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183515</wp:posOffset>
            </wp:positionV>
            <wp:extent cx="136334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6865"/>
                    </a:xfrm>
                    <a:prstGeom prst="rect">
                      <a:avLst/>
                    </a:prstGeom>
                    <a:noFill/>
                  </pic:spPr>
                </pic:pic>
              </a:graphicData>
            </a:graphic>
          </wp:anchor>
        </w:drawing>
        <w:t>Q2 2025 Financial Highlights</w:t>
      </w:r>
    </w:p>
    <w:p>
      <w:pPr>
        <w:spacing w:after="0" w:line="13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0"/>
                <w:szCs w:val="10"/>
                <w:b w:val="1"/>
                <w:bCs w:val="1"/>
                <w:color w:val="auto"/>
              </w:rPr>
              <w:t>(1)</w:t>
            </w:r>
          </w:p>
        </w:tc>
        <w:tc>
          <w:tcPr>
            <w:tcW w:w="6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Q2 2025</w:t>
            </w:r>
          </w:p>
        </w:tc>
        <w:tc>
          <w:tcPr>
            <w:tcW w:w="30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Q1 2025</w:t>
            </w:r>
          </w:p>
        </w:tc>
        <w:tc>
          <w:tcPr>
            <w:tcW w:w="220" w:type="dxa"/>
            <w:vAlign w:val="bottom"/>
          </w:tcPr>
          <w:p>
            <w:pPr>
              <w:spacing w:after="0"/>
              <w:rPr>
                <w:sz w:val="12"/>
                <w:szCs w:val="12"/>
                <w:color w:val="auto"/>
              </w:rPr>
            </w:pPr>
          </w:p>
        </w:tc>
        <w:tc>
          <w:tcPr>
            <w:tcW w:w="14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9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Q2 2024</w:t>
            </w:r>
            <w:r>
              <w:rPr>
                <w:rFonts w:ascii="Times New Roman" w:cs="Times New Roman" w:eastAsia="Times New Roman" w:hAnsi="Times New Roman"/>
                <w:sz w:val="10"/>
                <w:szCs w:val="10"/>
                <w:b w:val="1"/>
                <w:bCs w:val="1"/>
                <w:color w:val="auto"/>
              </w:rPr>
              <w:t>(1)</w:t>
            </w:r>
          </w:p>
        </w:tc>
        <w:tc>
          <w:tcPr>
            <w:tcW w:w="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Revenues</w:t>
            </w: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47,622</w:t>
            </w:r>
          </w:p>
        </w:tc>
        <w:tc>
          <w:tcPr>
            <w:tcW w:w="3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44,722</w:t>
            </w:r>
          </w:p>
        </w:tc>
        <w:tc>
          <w:tcPr>
            <w:tcW w:w="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340" w:type="dxa"/>
            <w:vAlign w:val="bottom"/>
            <w:tcBorders>
              <w:right w:val="single" w:sz="8" w:color="CCEEFF"/>
            </w:tcBorders>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Power solutions business</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47,622</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44,722</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44,064</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42,261</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39,857</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39,240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IC</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5,361</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4,865</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4,824</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(2)</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2,336</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Gross Profit Margin</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0.5%pts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0.7%pts</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 solutions business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0.5%pts</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2.1%pts</w:t>
            </w: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Power Analog Solutions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0.4%pts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1.5%pts</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Power IC</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9.1%pts</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45.5%</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8.1%pts</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Transitional Fab 3 foundry services</w:t>
            </w:r>
            <w:r>
              <w:rPr>
                <w:rFonts w:ascii="Times New Roman" w:cs="Times New Roman" w:eastAsia="Times New Roman" w:hAnsi="Times New Roman"/>
                <w:sz w:val="25"/>
                <w:szCs w:val="25"/>
                <w:color w:val="auto"/>
                <w:vertAlign w:val="superscript"/>
              </w:rPr>
              <w:t>(2)</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(7,438)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(6,288)</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(5,723)</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8,486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(5,082)</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(2,208)</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(Loss) per Common Share</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9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(Loss) per Common Share</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(0.14)</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up</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342"/>
        </w:trPr>
        <w:tc>
          <w:tcPr>
            <w:tcW w:w="56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color w:val="auto"/>
              </w:rPr>
              <w:t>In thousands of U.S. dollars, except share data</w:t>
            </w: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Non-GAAP</w:t>
            </w:r>
            <w:r>
              <w:rPr>
                <w:rFonts w:ascii="Times New Roman" w:cs="Times New Roman" w:eastAsia="Times New Roman" w:hAnsi="Times New Roman"/>
                <w:sz w:val="10"/>
                <w:szCs w:val="10"/>
                <w:b w:val="1"/>
                <w:bCs w:val="1"/>
                <w:color w:val="auto"/>
              </w:rPr>
              <w:t>(1)(3)</w:t>
            </w:r>
          </w:p>
        </w:tc>
        <w:tc>
          <w:tcPr>
            <w:tcW w:w="6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Q2 2025</w:t>
            </w:r>
          </w:p>
        </w:tc>
        <w:tc>
          <w:tcPr>
            <w:tcW w:w="78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Q1 2025</w:t>
            </w:r>
          </w:p>
        </w:tc>
        <w:tc>
          <w:tcPr>
            <w:tcW w:w="14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Q/Q change</w:t>
            </w:r>
          </w:p>
        </w:tc>
        <w:tc>
          <w:tcPr>
            <w:tcW w:w="9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Q2 2024</w:t>
            </w:r>
            <w:r>
              <w:rPr>
                <w:rFonts w:ascii="Times New Roman" w:cs="Times New Roman" w:eastAsia="Times New Roman" w:hAnsi="Times New Roman"/>
                <w:sz w:val="10"/>
                <w:szCs w:val="10"/>
                <w:b w:val="1"/>
                <w:bCs w:val="1"/>
                <w:color w:val="auto"/>
              </w:rPr>
              <w:t>(1)</w:t>
            </w:r>
          </w:p>
        </w:tc>
        <w:tc>
          <w:tcPr>
            <w:tcW w:w="8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Y/Y change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Loss</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(5,616)</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440" w:type="dxa"/>
            <w:vAlign w:val="bottom"/>
            <w:tcBorders>
              <w:top w:val="single" w:sz="8" w:color="auto"/>
            </w:tcBorders>
            <w:shd w:val="clear" w:color="auto" w:fill="CCEEFF"/>
          </w:tcPr>
          <w:p>
            <w:pPr>
              <w:jc w:val="center"/>
              <w:ind w:left="131"/>
              <w:spacing w:after="0"/>
              <w:rPr>
                <w:sz w:val="20"/>
                <w:szCs w:val="20"/>
                <w:color w:val="auto"/>
              </w:rPr>
            </w:pPr>
            <w:r>
              <w:rPr>
                <w:rFonts w:ascii="Times New Roman" w:cs="Times New Roman" w:eastAsia="Times New Roman" w:hAnsi="Times New Roman"/>
                <w:sz w:val="18"/>
                <w:szCs w:val="18"/>
                <w:color w:val="auto"/>
                <w:w w:val="99"/>
              </w:rPr>
              <w:t>n/a</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(2,093)</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(2,073)</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down</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(992)</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Income (Loss)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(2,708)</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(3,815)</w:t>
            </w: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9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(Loss) per Common Share—Diluted</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up</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n/a</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4" w:right="48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and non-GAAP metrics summarized herein do not include any amounts relating to the Display business, which has been classified as discontinued operations from Q1 2025, and we have reclassified certain prior year amounts to conform to the current year’s presentation.</w:t>
      </w:r>
    </w:p>
    <w:p>
      <w:pPr>
        <w:ind w:left="424" w:right="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had wound down these foundry services by the end of 2024. Because these foundry services during the wind-down period had still been provided to the same buyer by us using our Fab 3 based on mutually agreed terms and conditions, we continued to report our revenue from providing these foundry services and related cost of sales within the Transitional Fab 3 Foundry Services line in our consolidated statement of operations until such wind down was completed. Management believes that disclosing revenue of Transitional Fab 3 Foundry Services separately from the Power solutions business allows investors to better understand the results of our core PAS and Power IC businesses.</w:t>
      </w:r>
    </w:p>
    <w:p>
      <w:pPr>
        <w:spacing w:after="0" w:line="3" w:lineRule="exact"/>
        <w:rPr>
          <w:rFonts w:ascii="Times New Roman" w:cs="Times New Roman" w:eastAsia="Times New Roman" w:hAnsi="Times New Roman"/>
          <w:sz w:val="18"/>
          <w:szCs w:val="18"/>
          <w:color w:val="auto"/>
        </w:rPr>
      </w:pPr>
    </w:p>
    <w:p>
      <w:pPr>
        <w:ind w:left="424" w:right="240"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is included in this press release.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Q3 and Full-year 2025 Financial Guidance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While actual results may vary, Magnachip currently expects the following:</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Q3 2025:</w:t>
      </w:r>
    </w:p>
    <w:p>
      <w:pPr>
        <w:spacing w:after="0" w:line="135" w:lineRule="exact"/>
        <w:rPr>
          <w:sz w:val="20"/>
          <w:szCs w:val="20"/>
          <w:color w:val="auto"/>
        </w:rPr>
      </w:pPr>
    </w:p>
    <w:p>
      <w:pPr>
        <w:ind w:left="964" w:right="100" w:hanging="532"/>
        <w:spacing w:after="0" w:line="261"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(which includes Power Analog Solutions and Power IC businesses) to be in the range of $44 to $48 million, down 3.5% sequentially and down 13.2% year-over-year at the mid-point on an equivalent basis due to pull-ins in Q2 from the second half of the year as well as competitive pricing pressure on its older generation products. This compares with equivalent revenue of $47.6 million in Q2 2025 and $53.0 million in Q3 2024.</w:t>
      </w:r>
    </w:p>
    <w:p>
      <w:pPr>
        <w:spacing w:after="0" w:line="85"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to be in the range of 18.5% to 20.5%. This compares with equivalent gross profit margin of 20.4% in Q2 2025 and 22.0% in Q3 2024.</w:t>
      </w:r>
    </w:p>
    <w:p>
      <w:pPr>
        <w:sectPr>
          <w:pgSz w:w="11900" w:h="16838" w:orient="portrait"/>
          <w:cols w:equalWidth="0" w:num="1">
            <w:col w:w="11024"/>
          </w:cols>
          <w:pgMar w:left="436" w:top="1089"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316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6865"/>
                    </a:xfrm>
                    <a:prstGeom prst="rect">
                      <a:avLst/>
                    </a:prstGeom>
                    <a:noFill/>
                  </pic:spPr>
                </pic:pic>
              </a:graphicData>
            </a:graphic>
          </wp:anchor>
        </w:drawing>
        <w:t>For the full-year 2025:</w:t>
      </w:r>
    </w:p>
    <w:p>
      <w:pPr>
        <w:spacing w:after="0" w:line="135" w:lineRule="exact"/>
        <w:rPr>
          <w:sz w:val="20"/>
          <w:szCs w:val="20"/>
          <w:color w:val="auto"/>
        </w:rPr>
      </w:pPr>
    </w:p>
    <w:p>
      <w:pPr>
        <w:ind w:left="960" w:right="40" w:hanging="532"/>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from continuing operations is now expected to be flattish as compared to our previous forecast of mid-to-high single digit growth year-over-year, due to a challenging macroeconomic environment related to tariff uncertainty and pricing pressure on older generation products in China. This compares with equivalent revenue of $185.8 million in 2024.</w:t>
      </w:r>
    </w:p>
    <w:p>
      <w:pPr>
        <w:spacing w:after="0" w:line="81" w:lineRule="exact"/>
        <w:rPr>
          <w:rFonts w:ascii="Times New Roman" w:cs="Times New Roman" w:eastAsia="Times New Roman" w:hAnsi="Times New Roman"/>
          <w:sz w:val="18"/>
          <w:szCs w:val="18"/>
          <w:color w:val="auto"/>
        </w:rPr>
      </w:pPr>
    </w:p>
    <w:p>
      <w:pPr>
        <w:ind w:left="960" w:right="440" w:hanging="532"/>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margin from continuing operations between 19% to 20%, as compared to our previous forecast of 19.5% to 21.5%. The equivalent gross profit margin was 21.5% in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Q2 2025 Earnings Conference Call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Magnachip will host a corresponding conference call at 2:00 p.m. PT / 5:00 p.m. ET on Thursday, July 31, 2025,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auto"/>
        </w:rPr>
        <w:t>https://register-conf.media-server.com/register/BIb2356d591003457bb5c262089f689a13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12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third quarter and full year 2025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including between Russia-Ukraine and between Israel-Hamas and Iran, sustained military action and conflict in the Red Sea, and global macroeconomic conditions resulting from trade and tariff actions instituted between the U.S. and other countries on Magnachip’s future operating results and financial performance.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recent trade and tariff actions announced by the U.S. globally and the related retaliatory tariffs and disruptions in supply chains and global trade as a result thereof, inflation, potential recessions or other deteriorations, economic instability or civil unrest; geopolitical conflicts, including between Russia-Ukraine and between Israel-Hamas and Iran and sustained military action and conflict in the Red Sea;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U.S. Securities and Exchange Commission (the “SEC”), including our Form 10-K filed on March 14, 2025,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ectPr>
          <w:pgSz w:w="11900" w:h="16838" w:orient="portrait"/>
          <w:cols w:equalWidth="0" w:num="1">
            <w:col w:w="11000"/>
          </w:cols>
          <w:pgMar w:left="440" w:top="981"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6865"/>
                    </a:xfrm>
                    <a:prstGeom prst="rect">
                      <a:avLst/>
                    </a:prstGeom>
                    <a:noFill/>
                  </pic:spPr>
                </pic:pic>
              </a:graphicData>
            </a:graphic>
          </wp:anchor>
        </w:drawing>
        <w:t>About Magnachip Semiconductor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C. Pelayo,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(360) 808-5154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steven@blueshirtgroup.co</w:t>
      </w:r>
    </w:p>
    <w:p>
      <w:pPr>
        <w:sectPr>
          <w:pgSz w:w="11900" w:h="16838" w:orient="portrait"/>
          <w:cols w:equalWidth="0" w:num="1">
            <w:col w:w="10820"/>
          </w:cols>
          <w:pgMar w:left="440" w:top="981" w:right="639" w:bottom="1440" w:gutter="0" w:footer="0" w:header="0"/>
        </w:sectPr>
      </w:pPr>
    </w:p>
    <w:bookmarkStart w:id="7" w:name="page8"/>
    <w:bookmarkEnd w:id="7"/>
    <w:p>
      <w:pPr>
        <w:jc w:val="center"/>
        <w:ind w:left="440" w:right="2520"/>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316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686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r>
      <w:tr>
        <w:trPr>
          <w:trHeight w:val="173"/>
        </w:trPr>
        <w:tc>
          <w:tcPr>
            <w:tcW w:w="4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220" w:type="dxa"/>
            <w:vAlign w:val="bottom"/>
            <w:tcBorders>
              <w:bottom w:val="single" w:sz="8" w:color="CCEEFF"/>
            </w:tcBorders>
          </w:tcPr>
          <w:p>
            <w:pPr>
              <w:spacing w:after="0"/>
              <w:rPr>
                <w:sz w:val="15"/>
                <w:szCs w:val="15"/>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Power solutions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47,622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44,722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44,064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92,344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83,976</w:t>
            </w: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5,862</w:t>
            </w:r>
          </w:p>
        </w:tc>
      </w:tr>
      <w:tr>
        <w:trPr>
          <w:trHeight w:val="223"/>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44,722</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22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Power solutions business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35,360</w:t>
            </w:r>
          </w:p>
        </w:tc>
        <w:tc>
          <w:tcPr>
            <w:tcW w:w="8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34,157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73,270</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67,025</w:t>
            </w:r>
          </w:p>
        </w:tc>
      </w:tr>
      <w:tr>
        <w:trPr>
          <w:trHeight w:val="198"/>
        </w:trPr>
        <w:tc>
          <w:tcPr>
            <w:tcW w:w="41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 of sales – Transitional Fab 3 foundry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4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2,457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6,668</w:t>
            </w:r>
          </w:p>
        </w:tc>
      </w:tr>
      <w:tr>
        <w:trPr>
          <w:trHeight w:val="230"/>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35,360</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73,270</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73,693</w:t>
            </w:r>
          </w:p>
        </w:tc>
        <w:tc>
          <w:tcPr>
            <w:tcW w:w="220" w:type="dxa"/>
            <w:vAlign w:val="bottom"/>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9,362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9,786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19,074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16,145</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profit as a percentage of Power solutions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net sales</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9,714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9,735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19,035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19,275</w:t>
            </w: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6,983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5,936</w:t>
            </w:r>
          </w:p>
        </w:tc>
        <w:tc>
          <w:tcPr>
            <w:tcW w:w="8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11,984</w:t>
            </w: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31,259</w:t>
            </w:r>
          </w:p>
        </w:tc>
        <w:tc>
          <w:tcPr>
            <w:tcW w:w="220" w:type="dxa"/>
            <w:vAlign w:val="bottom"/>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(6,288)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(5,723)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(13,726)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(15,114)</w:t>
            </w: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4,275</w:t>
            </w: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10,810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(8,613)</w:t>
            </w: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r>
      <w:tr>
        <w:trPr>
          <w:trHeight w:val="205"/>
        </w:trPr>
        <w:tc>
          <w:tcPr>
            <w:tcW w:w="4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net</w:t>
            </w: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4,350</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(5,483)</w:t>
            </w:r>
          </w:p>
        </w:tc>
        <w:tc>
          <w:tcPr>
            <w:tcW w:w="8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(19,972)</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(3,480)</w:t>
            </w: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220" w:type="dxa"/>
            <w:vAlign w:val="bottom"/>
          </w:tcPr>
          <w:p>
            <w:pPr>
              <w:spacing w:after="0"/>
              <w:rPr>
                <w:sz w:val="19"/>
                <w:szCs w:val="19"/>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(8,163)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(3,796)</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(10,789)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(11,922)</w:t>
            </w: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Discontinuing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Discontinuing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(0.31)</w:t>
            </w: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(0.34)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(0.74)</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36,083,703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36,887,841</w:t>
            </w:r>
          </w:p>
        </w:tc>
        <w:tc>
          <w:tcPr>
            <w:tcW w:w="8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w w:val="98"/>
              </w:rPr>
              <w:t>38,174,920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6"/>
              </w:rPr>
              <w:t>36,483,551</w:t>
            </w:r>
          </w:p>
        </w:tc>
        <w:tc>
          <w:tcPr>
            <w:tcW w:w="1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6"/>
              </w:rPr>
              <w:t>38,359,851</w:t>
            </w: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36,768,647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36,887,841</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8"/>
              </w:rPr>
              <w:t>38,174,920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37,209,622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38,359,851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3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reclassified prior period financial information to conform to the current year presentation that reflects the classification of the Display business as discontinued operations from Q1 2025.</w:t>
      </w:r>
    </w:p>
    <w:p>
      <w:pPr>
        <w:sectPr>
          <w:pgSz w:w="11900" w:h="16838" w:orient="portrait"/>
          <w:cols w:equalWidth="0" w:num="1">
            <w:col w:w="11024"/>
          </w:cols>
          <w:pgMar w:left="436" w:top="981" w:right="439" w:bottom="1440" w:gutter="0" w:footer="0" w:header="0"/>
        </w:sectPr>
      </w:pPr>
    </w:p>
    <w:bookmarkStart w:id="8" w:name="page9"/>
    <w:bookmarkEnd w:id="8"/>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316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686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0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113,326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138,610</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28,784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28,402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37,571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30,535</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10,379</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4,779</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199,454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94,262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81,463</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3,107</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57,298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52,889</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15,804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21,956</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370,531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379,316</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19,448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21,642</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8,648</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30"/>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36,508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27,211</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14,248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17,094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10,123</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102,519</w:t>
            </w: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57,581,275 shares issued and 35,954,038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June 30, 2025 and 57,498,507 shares issued and 36,912,118 outstanding at December 31, 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280,853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279,423</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236,021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244,576</w:t>
            </w: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21,627,237 shares at June 30, 2025 and 20,586,389 shares at December 31, 2024,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(229,381)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(225,883)</w:t>
            </w:r>
          </w:p>
        </w:tc>
        <w:tc>
          <w:tcPr>
            <w:tcW w:w="0" w:type="dxa"/>
            <w:vAlign w:val="bottom"/>
          </w:tcPr>
          <w:p>
            <w:pPr>
              <w:spacing w:after="0"/>
              <w:rPr>
                <w:sz w:val="1"/>
                <w:szCs w:val="1"/>
                <w:color w:val="auto"/>
              </w:rPr>
            </w:pPr>
          </w:p>
        </w:tc>
      </w:tr>
      <w:tr>
        <w:trPr>
          <w:trHeight w:val="216"/>
        </w:trPr>
        <w:tc>
          <w:tcPr>
            <w:tcW w:w="9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(17,906)</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(21,893)</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276,797</w:t>
            </w:r>
          </w:p>
        </w:tc>
        <w:tc>
          <w:tcPr>
            <w:tcW w:w="0" w:type="dxa"/>
            <w:vAlign w:val="bottom"/>
          </w:tcPr>
          <w:p>
            <w:pPr>
              <w:spacing w:after="0"/>
              <w:rPr>
                <w:sz w:val="1"/>
                <w:szCs w:val="1"/>
                <w:color w:val="auto"/>
              </w:rPr>
            </w:pPr>
          </w:p>
        </w:tc>
      </w:tr>
      <w:tr>
        <w:trPr>
          <w:trHeight w:val="223"/>
        </w:trPr>
        <w:tc>
          <w:tcPr>
            <w:tcW w:w="9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370,531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81"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182880</wp:posOffset>
            </wp:positionV>
            <wp:extent cx="1363345" cy="316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686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6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1"/>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6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90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(8,555)</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(28,414)</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6,661</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8,115</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severance benefits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2,175</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2,970</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(gain) on foreign currency, net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(18,085)</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16,848</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(reversal) for inventory reserves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845</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1,492</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charges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7,362</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3,158</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(4,979)</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(3,449)</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(5,835)</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4,621</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3,827</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675</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(2,931)</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2,559</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1,944</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(6,676)</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taxes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severance benefits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(9,843)</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(1,362)</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3,389</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(29,801)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2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settlement of hedge collateral</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2,237</w:t>
            </w: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hedge collateral</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(12,083)</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(1,566)</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intellectual property registration</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of guarantee deposits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2,336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1,138</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guarantee deposits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(1,910)</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short-term financial instruments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(33,128)</w:t>
            </w:r>
          </w:p>
        </w:tc>
        <w:tc>
          <w:tcPr>
            <w:tcW w:w="12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6,964</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30,059</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(6,859)</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financing related to water treatment facility arrangement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22,893</w:t>
            </w:r>
          </w:p>
        </w:tc>
        <w:tc>
          <w:tcPr>
            <w:tcW w:w="12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9,590</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(10,306)</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(25,284)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(25,625)</w:t>
            </w:r>
          </w:p>
        </w:tc>
        <w:tc>
          <w:tcPr>
            <w:tcW w:w="12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132,654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138,610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158,092</w:t>
            </w:r>
          </w:p>
        </w:tc>
      </w:tr>
      <w:tr>
        <w:trPr>
          <w:trHeight w:val="27"/>
        </w:trPr>
        <w:tc>
          <w:tcPr>
            <w:tcW w:w="6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the period</w:t>
            </w: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113,326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113,326</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132,467</w:t>
            </w:r>
          </w:p>
        </w:tc>
      </w:tr>
      <w:tr>
        <w:trPr>
          <w:trHeight w:val="20"/>
        </w:trPr>
        <w:tc>
          <w:tcPr>
            <w:tcW w:w="6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81" w:right="439" w:bottom="1440" w:gutter="0" w:footer="0" w:header="0"/>
        </w:sectPr>
      </w:pPr>
    </w:p>
    <w:bookmarkStart w:id="10" w:name="page11"/>
    <w:bookmarkEnd w:id="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183515</wp:posOffset>
            </wp:positionV>
            <wp:extent cx="1363345"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750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OPERATING LOSS FROM CONTINUING OPERATIONS TO ADJUSTED OPERATING LOSS FROM</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CONTINUING OPERATIONS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2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52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5220" w:type="dxa"/>
            <w:vAlign w:val="bottom"/>
          </w:tcPr>
          <w:p>
            <w:pPr>
              <w:spacing w:after="0"/>
              <w:rPr>
                <w:sz w:val="15"/>
                <w:szCs w:val="15"/>
                <w:color w:val="auto"/>
              </w:rPr>
            </w:pPr>
          </w:p>
        </w:tc>
        <w:tc>
          <w:tcPr>
            <w:tcW w:w="23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66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5"/>
                <w:szCs w:val="15"/>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continuing operations</w:t>
            </w:r>
          </w:p>
        </w:tc>
        <w:tc>
          <w:tcPr>
            <w:tcW w:w="1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$(7,438)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3"/>
              </w:rPr>
              <w:t>(6,288)</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$(5,723)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$(13,726)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(15,114)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2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868</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1,844</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1,881</w:t>
            </w: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1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Loss– continuing operations</w:t>
            </w:r>
          </w:p>
        </w:tc>
        <w:tc>
          <w:tcPr>
            <w:tcW w:w="17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(5,616)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(5,420)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(4,670)</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(11,036)</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(13,233)</w:t>
            </w:r>
          </w:p>
        </w:tc>
      </w:tr>
      <w:tr>
        <w:trPr>
          <w:trHeight w:val="20"/>
        </w:trPr>
        <w:tc>
          <w:tcPr>
            <w:tcW w:w="5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30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reclassified prior period financial information to conform to the current year presentation that reflects the classification of the Display business as discontinued operations from Q1 2025.</w:t>
      </w:r>
    </w:p>
    <w:p>
      <w:pPr>
        <w:spacing w:after="0" w:line="162"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We present Adjusted Operating Loss from continuing operations as a supplemental measure of our performance. We define Adjusted Operating Loss from continuing operations for the periods indicated as operating loss from continuing operations adjusted to exclude (i) Equity-based compensation expense and (ii) Other charges.</w:t>
      </w:r>
    </w:p>
    <w:p>
      <w:pPr>
        <w:spacing w:after="0" w:line="176"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we recorded $496 thousand of one-time employee incentives and $350 thousand of certain executive separation benefit related accruals.</w:t>
      </w:r>
    </w:p>
    <w:p>
      <w:pPr>
        <w:sectPr>
          <w:pgSz w:w="11900" w:h="16838" w:orient="portrait"/>
          <w:cols w:equalWidth="0" w:num="1">
            <w:col w:w="11024"/>
          </w:cols>
          <w:pgMar w:left="436" w:top="981" w:right="439" w:bottom="1440" w:gutter="0" w:footer="0" w:header="0"/>
        </w:sectPr>
      </w:pPr>
    </w:p>
    <w:bookmarkStart w:id="11" w:name="page12"/>
    <w:bookmarkEnd w:id="1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5908675</wp:posOffset>
            </wp:positionH>
            <wp:positionV relativeFrom="page">
              <wp:posOffset>183515</wp:posOffset>
            </wp:positionV>
            <wp:extent cx="1363345"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363345" cy="31750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RECONCILIATION OF INCOME (LOSS) FROM CONTINUING OPERATIONS TO ADJUSTED EBITDA FROM CONTINUING</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OPERATIONS AND ADJUSTED INCOME (LOSS) FROM CONTINUING OPERATIONS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17"/>
        </w:trPr>
        <w:tc>
          <w:tcPr>
            <w:tcW w:w="4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4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120" w:type="dxa"/>
            <w:vAlign w:val="bottom"/>
            <w:tcBorders>
              <w:bottom w:val="single" w:sz="8" w:color="CCEEFF"/>
            </w:tcBorders>
          </w:tcPr>
          <w:p>
            <w:pPr>
              <w:spacing w:after="0"/>
              <w:rPr>
                <w:sz w:val="15"/>
                <w:szCs w:val="15"/>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2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(4,275)</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(3,480)</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7,396</w:t>
            </w:r>
          </w:p>
        </w:tc>
      </w:tr>
      <w:tr>
        <w:trPr>
          <w:trHeight w:val="27"/>
        </w:trPr>
        <w:tc>
          <w:tcPr>
            <w:tcW w:w="4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 continuing operations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(16,179)</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1,881</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8,613</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 continuing operations</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8,486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(5,082)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3,404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(16,492)</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1,881</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8,613</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valuation loss (gain), net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effect on non-GAAP adjustments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(1,168)</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(Loss) – continuing operations</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w:t>
            </w:r>
          </w:p>
        </w:tc>
        <w:tc>
          <w:tcPr>
            <w:tcW w:w="12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41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Adjusted Income (Loss) – continuing operations per</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 basic</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36,083,703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36,887,841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6"/>
              </w:rPr>
              <w:t>38,174,920</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36,483,551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38,359,851</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36,083,703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36,887,841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38,529,789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36,483,551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38,359,851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30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reclassified prior period financial information to conform to the current year presentation that reflects the classification of the Display business as discontinued operations from Q1 2025.</w:t>
      </w:r>
    </w:p>
    <w:p>
      <w:pPr>
        <w:spacing w:after="0" w:line="162" w:lineRule="exact"/>
        <w:rPr>
          <w:sz w:val="20"/>
          <w:szCs w:val="20"/>
          <w:color w:val="auto"/>
        </w:rPr>
      </w:pPr>
    </w:p>
    <w:p>
      <w:pPr>
        <w:ind w:left="4" w:right="180" w:firstLine="440"/>
        <w:spacing w:after="0" w:line="272" w:lineRule="auto"/>
        <w:rPr>
          <w:sz w:val="20"/>
          <w:szCs w:val="20"/>
          <w:color w:val="auto"/>
        </w:rPr>
      </w:pPr>
      <w:r>
        <w:rPr>
          <w:rFonts w:ascii="Times New Roman" w:cs="Times New Roman" w:eastAsia="Times New Roman" w:hAnsi="Times New Roman"/>
          <w:sz w:val="17"/>
          <w:szCs w:val="17"/>
          <w:color w:val="auto"/>
        </w:rPr>
        <w:t>We present Adjusted EBITDA from continuing operations and Adjusted Income (Loss) from continuing operations as supplemental measures of our performance. We define Adjusted EBITDA from continuing operations for the periods indicated as EBITDA – continuing operations (as defined below), adjusted to exclude (i) Equity-based compensation expense, (ii) Foreign currency loss (gain), net, (iii) Derivative valuation loss (gain), net and</w:t>
      </w:r>
    </w:p>
    <w:p>
      <w:pPr>
        <w:spacing w:after="0" w:line="2" w:lineRule="exact"/>
        <w:rPr>
          <w:sz w:val="20"/>
          <w:szCs w:val="20"/>
          <w:color w:val="auto"/>
        </w:rPr>
      </w:pPr>
    </w:p>
    <w:p>
      <w:pPr>
        <w:ind w:left="4" w:right="380" w:hanging="4"/>
        <w:spacing w:after="0" w:line="260"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EBITDA – continuing operations for the periods indicated is defined as income (loss) from continuing operations before interest income, interest expense, income tax benefit, net and depreciation and amortization.</w:t>
      </w:r>
    </w:p>
    <w:p>
      <w:pPr>
        <w:spacing w:after="0" w:line="181"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We prepare Adjusted Income (Loss) from continuing operations by adjusting income (loss) from continuing operations to eliminate the impact of a number of non-cash expenses and other items that may be either one time or recurring that we do not consider to be indicative of our core ongoing operating performance. We believe that Adjusted Income (Loss) from continuing operations is particularly useful because it reflects the impact of our asset base and capital structure on our operating performance. We define Adjusted Income (Loss) from continuing operations for the periods as net income (loss), adjusted to exclude (i) Equity-based compensation expense, (ii) Foreign currency loss (gain), net, (iii) Derivative valuation loss (gain), net, (iv) Other charges and (v) Income tax effect on non-GAAP adjustments.</w:t>
      </w:r>
    </w:p>
    <w:p>
      <w:pPr>
        <w:spacing w:after="0" w:line="187"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2025, we recorded $496 thousand of one-time employee incentives and $350 thousand of certain executive separation benefit related accruals.</w:t>
      </w:r>
    </w:p>
    <w:sectPr>
      <w:pgSz w:w="11900" w:h="16838" w:orient="portrait"/>
      <w:cols w:equalWidth="0" w:num="1">
        <w:col w:w="11024"/>
      </w:cols>
      <w:pgMar w:left="436" w:top="98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2025-07-31T15:29:40Z</dcterms:created>
  <dcterms:modified xsi:type="dcterms:W3CDTF">2025-07-31T15:29:40Z</dcterms:modified>
</cp:coreProperties>
</file>