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8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94"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As previously disclosed, on June 11, 2021, the Company confirmed by press release receipt of a proposal from Cornucopia Investment Partners (“Cornucopia”) on behalf of itself and a group of investors to acquire all of the outstanding shares of common stock of the Company for $35.00 per share in cash (assuming the number of shares on a fully diluted basis at closing of the transaction will be 47,470,416, as shown in the Company’s Form 10-Q filed on May 10, 2021) (the “Proposal”) and that the Company, Parent and Merger Sub agreed to the terms in a letter agreement, pursuant to which, among other things, the parties agreed that, notwithstanding the provisions of the Merger Agreement, the Company may, from the time that the press release discussed in Item 8.01 of the Company’s Form 8-K filed with the SEC on June 14, 2021 was issued through 5:00 p.m. New York City time on June 16, 2021, participate in discussions with Cornucopia regarding the Proposal for the sole purpose of making the determination as to whether the Proposal constitutes or could reasonably be expected to lead to a Superior Proposal (as defined in the Merger Agreement).</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On June 17, 2021, Cornucopia wrote a letter to the Board noting that in light of recent U.S. regulatory developments since their submission of the Proposal, they will have to modify their financing plan. The Company has not received any further communications from Cornucopia since their letter dated June 17, 2021.</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Company remains committed to consummating the Merger, which remains subject to certain conditions, including the receipt of authorization from the Committee on Foreign Investment in the United States (“CFIUS”) and the Korean Ministry of Trade, Industry and Energy (“MOTIE”), in each case without the imposition of a burdensome condition as defined in the Merger Agreement. The Company will continue to use its reasonable best efforts to promptly obtain authorization from CFIUS and MOTIE in order to satisfy the conditions to the closing of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an “Order Establishing Interim Mitigation Measures” (the “Interim Order”) from the U.S. Department of Treasury on behalf of the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at the Company’s website at </w:t>
      </w:r>
      <w:r>
        <w:rPr>
          <w:rFonts w:ascii="Arial" w:cs="Arial" w:eastAsia="Arial" w:hAnsi="Arial"/>
          <w:sz w:val="16"/>
          <w:szCs w:val="16"/>
          <w:u w:val="single" w:color="auto"/>
          <w:color w:val="auto"/>
        </w:rPr>
        <w:t>www.magnachip.com</w:t>
      </w:r>
      <w:r>
        <w:rPr>
          <w:rFonts w:ascii="Arial" w:cs="Arial" w:eastAsia="Arial" w:hAnsi="Arial"/>
          <w:sz w:val="16"/>
          <w:szCs w:val="16"/>
          <w:color w:val="auto"/>
        </w:rPr>
        <w: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9, 2021</w:t>
      </w:r>
    </w:p>
    <w:p>
      <w:pPr>
        <w:spacing w:after="0" w:line="248" w:lineRule="exact"/>
        <w:rPr>
          <w:sz w:val="20"/>
          <w:szCs w:val="20"/>
          <w:color w:val="auto"/>
        </w:rPr>
      </w:pPr>
    </w:p>
    <w:p>
      <w:pPr>
        <w:jc w:val="right"/>
        <w:ind w:right="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Compliance Officer, General</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2021-07-09T15:46:02Z</dcterms:created>
  <dcterms:modified xsi:type="dcterms:W3CDTF">2021-07-09T15:46:02Z</dcterms:modified>
</cp:coreProperties>
</file>