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MagnaChip Semiconductor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 MagnaChip Semiconductor S.A.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 Allée Scheffer, L-2520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Luxembourg, Grand Duchy of Luxembourg</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May 9, 2017</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Judiciary Plaza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tab/>
        <w:t>MagnaChip Semiconductor Corporation</w:t>
      </w:r>
    </w:p>
    <w:p>
      <w:pPr>
        <w:spacing w:after="0" w:line="23" w:lineRule="exact"/>
        <w:rPr>
          <w:sz w:val="24"/>
          <w:szCs w:val="24"/>
          <w:color w:val="auto"/>
        </w:rPr>
      </w:pPr>
    </w:p>
    <w:p>
      <w:pPr>
        <w:ind w:left="460"/>
        <w:spacing w:after="0"/>
        <w:rPr>
          <w:sz w:val="20"/>
          <w:szCs w:val="20"/>
          <w:color w:val="auto"/>
        </w:rPr>
      </w:pPr>
      <w:r>
        <w:rPr>
          <w:rFonts w:ascii="Arial" w:cs="Arial" w:eastAsia="Arial" w:hAnsi="Arial"/>
          <w:sz w:val="18"/>
          <w:szCs w:val="18"/>
          <w:color w:val="auto"/>
        </w:rPr>
        <w:t>Registration Statement on Form S-3</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 No. 333-217576)</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4"/>
          <w:szCs w:val="24"/>
          <w:color w:val="auto"/>
        </w:rPr>
      </w:pPr>
    </w:p>
    <w:p>
      <w:pPr>
        <w:jc w:val="both"/>
        <w:ind w:right="100" w:firstLine="456"/>
        <w:spacing w:after="0" w:line="266" w:lineRule="auto"/>
        <w:rPr>
          <w:sz w:val="20"/>
          <w:szCs w:val="20"/>
          <w:color w:val="auto"/>
        </w:rPr>
      </w:pPr>
      <w:r>
        <w:rPr>
          <w:rFonts w:ascii="Arial" w:cs="Arial" w:eastAsia="Arial" w:hAnsi="Arial"/>
          <w:sz w:val="18"/>
          <w:szCs w:val="18"/>
          <w:color w:val="auto"/>
        </w:rPr>
        <w:t>Pursuant to Rule 461 of the Securities Act of 1933, as amended, MagnaChip Semiconductor Corporation, a Delaware corporation (the “</w:t>
      </w:r>
      <w:r>
        <w:rPr>
          <w:rFonts w:ascii="Arial" w:cs="Arial" w:eastAsia="Arial" w:hAnsi="Arial"/>
          <w:sz w:val="18"/>
          <w:szCs w:val="18"/>
          <w:b w:val="1"/>
          <w:bCs w:val="1"/>
          <w:u w:val="single" w:color="auto"/>
          <w:color w:val="auto"/>
        </w:rPr>
        <w:t>Registrant</w:t>
      </w:r>
      <w:r>
        <w:rPr>
          <w:rFonts w:ascii="Arial" w:cs="Arial" w:eastAsia="Arial" w:hAnsi="Arial"/>
          <w:sz w:val="18"/>
          <w:szCs w:val="18"/>
          <w:color w:val="auto"/>
        </w:rPr>
        <w:t>”), hereby requests that the effective date of the above-captioned Registration Statement on Form S-3 (the “</w:t>
      </w:r>
      <w:r>
        <w:rPr>
          <w:rFonts w:ascii="Arial" w:cs="Arial" w:eastAsia="Arial" w:hAnsi="Arial"/>
          <w:sz w:val="18"/>
          <w:szCs w:val="18"/>
          <w:b w:val="1"/>
          <w:bCs w:val="1"/>
          <w:u w:val="single" w:color="auto"/>
          <w:color w:val="auto"/>
        </w:rPr>
        <w:t>Registration Statement</w:t>
      </w:r>
      <w:r>
        <w:rPr>
          <w:rFonts w:ascii="Arial" w:cs="Arial" w:eastAsia="Arial" w:hAnsi="Arial"/>
          <w:sz w:val="18"/>
          <w:szCs w:val="18"/>
          <w:color w:val="auto"/>
        </w:rPr>
        <w:t>”) be accelerated to May 11, 2017 at 4:00 p.m. Eastern time or as soon thereafter as may be practicable.</w:t>
      </w:r>
    </w:p>
    <w:p>
      <w:pPr>
        <w:spacing w:after="0" w:line="180" w:lineRule="exact"/>
        <w:rPr>
          <w:sz w:val="24"/>
          <w:szCs w:val="24"/>
          <w:color w:val="auto"/>
        </w:rPr>
      </w:pPr>
    </w:p>
    <w:p>
      <w:pPr>
        <w:ind w:right="140" w:firstLine="456"/>
        <w:spacing w:after="0" w:line="264" w:lineRule="auto"/>
        <w:rPr>
          <w:sz w:val="20"/>
          <w:szCs w:val="20"/>
          <w:color w:val="auto"/>
        </w:rPr>
      </w:pPr>
      <w:r>
        <w:rPr>
          <w:rFonts w:ascii="Arial" w:cs="Arial" w:eastAsia="Arial" w:hAnsi="Arial"/>
          <w:sz w:val="18"/>
          <w:szCs w:val="18"/>
          <w:color w:val="auto"/>
        </w:rPr>
        <w:t>We understand that the Staff will consider this request as confirmation by the Registrant of its awareness of its responsibilities under the federal securities laws of the United States as they relate to the issuance of the securities covered by the Registration Statement. If you have any questions regarding the foregoing, please contact David Huntington of Paul, Weiss, Rifkind, Wharton &amp; Garrison LLP at (212) 373-3124.</w:t>
      </w:r>
    </w:p>
    <w:p>
      <w:pPr>
        <w:sectPr>
          <w:pgSz w:w="11900" w:h="16838" w:orient="portrait"/>
          <w:cols w:equalWidth="0" w:num="1">
            <w:col w:w="11420"/>
          </w:cols>
          <w:pgMar w:left="240" w:top="233" w:right="239" w:bottom="1440" w:gutter="0" w:footer="0" w:header="0"/>
        </w:sectPr>
      </w:pPr>
    </w:p>
    <w:bookmarkStart w:id="1" w:name="page2"/>
    <w:bookmarkEnd w:id="1"/>
    <w:p>
      <w:pPr>
        <w:ind w:left="6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Sincerely,</w:t>
      </w:r>
    </w:p>
    <w:p>
      <w:pPr>
        <w:spacing w:after="0" w:line="225" w:lineRule="exact"/>
        <w:rPr>
          <w:sz w:val="20"/>
          <w:szCs w:val="20"/>
          <w:color w:val="auto"/>
        </w:rPr>
      </w:pPr>
    </w:p>
    <w:p>
      <w:pPr>
        <w:jc w:val="right"/>
        <w:ind w:right="166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Theodore S. Kim</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Theodore S. Kim</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2"/>
              </w:rPr>
              <w:t>Chief Compliance Officer, EVP, General Counsel and</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229"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David S. Huntington, Esq.</w:t>
      </w:r>
    </w:p>
    <w:p>
      <w:pPr>
        <w:spacing w:after="0" w:line="2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Paul, Weiss, Rifkind, Wharton &amp; Garrison LLP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Acceleration Request</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2019-12-06T23:36:37Z</dcterms:created>
  <dcterms:modified xsi:type="dcterms:W3CDTF">2019-12-06T23:36:37Z</dcterms:modified>
</cp:coreProperties>
</file>