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5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286385</wp:posOffset>
            </wp:positionH>
            <wp:positionV relativeFrom="page">
              <wp:posOffset>166370</wp:posOffset>
            </wp:positionV>
            <wp:extent cx="699770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7700" cy="8890"/>
                    </a:xfrm>
                    <a:prstGeom prst="rect">
                      <a:avLst/>
                    </a:prstGeom>
                    <a:noFill/>
                  </pic:spPr>
                </pic:pic>
              </a:graphicData>
            </a:graphic>
          </wp:anchor>
        </w:drawing>
        <w:drawing>
          <wp:anchor simplePos="0" relativeHeight="251657728" behindDoc="1" locked="0" layoutInCell="0" allowOverlap="1">
            <wp:simplePos x="0" y="0"/>
            <wp:positionH relativeFrom="page">
              <wp:posOffset>286385</wp:posOffset>
            </wp:positionH>
            <wp:positionV relativeFrom="page">
              <wp:posOffset>208915</wp:posOffset>
            </wp:positionV>
            <wp:extent cx="699770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7700" cy="8890"/>
                    </a:xfrm>
                    <a:prstGeom prst="rect">
                      <a:avLst/>
                    </a:prstGeom>
                    <a:noFill/>
                  </pic:spPr>
                </pic:pic>
              </a:graphicData>
            </a:graphic>
          </wp:anchor>
        </w:drawing>
        <w:t>UNITED STATES</w:t>
      </w:r>
    </w:p>
    <w:p>
      <w:pPr>
        <w:spacing w:after="0" w:line="31" w:lineRule="exact"/>
        <w:rPr>
          <w:sz w:val="24"/>
          <w:szCs w:val="24"/>
          <w:color w:val="auto"/>
        </w:rPr>
      </w:pPr>
    </w:p>
    <w:p>
      <w:pPr>
        <w:jc w:val="center"/>
        <w:ind w:right="-25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25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2767965</wp:posOffset>
            </wp:positionH>
            <wp:positionV relativeFrom="paragraph">
              <wp:posOffset>227330</wp:posOffset>
            </wp:positionV>
            <wp:extent cx="146621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4"/>
          <w:szCs w:val="24"/>
          <w:color w:val="auto"/>
        </w:rPr>
      </w:pPr>
    </w:p>
    <w:p>
      <w:pPr>
        <w:spacing w:after="0" w:line="327" w:lineRule="exact"/>
        <w:rPr>
          <w:sz w:val="24"/>
          <w:szCs w:val="24"/>
          <w:color w:val="auto"/>
        </w:rPr>
      </w:pPr>
    </w:p>
    <w:p>
      <w:pPr>
        <w:jc w:val="center"/>
        <w:ind w:right="-259"/>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2767965</wp:posOffset>
            </wp:positionH>
            <wp:positionV relativeFrom="paragraph">
              <wp:posOffset>247015</wp:posOffset>
            </wp:positionV>
            <wp:extent cx="146621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4"/>
          <w:szCs w:val="24"/>
          <w:color w:val="auto"/>
        </w:rPr>
      </w:pPr>
    </w:p>
    <w:p>
      <w:pPr>
        <w:spacing w:after="0" w:line="371" w:lineRule="exact"/>
        <w:rPr>
          <w:sz w:val="24"/>
          <w:szCs w:val="24"/>
          <w:color w:val="auto"/>
        </w:rPr>
      </w:pPr>
    </w:p>
    <w:p>
      <w:pPr>
        <w:jc w:val="center"/>
        <w:ind w:right="-259"/>
        <w:spacing w:after="0"/>
        <w:rPr>
          <w:sz w:val="20"/>
          <w:szCs w:val="20"/>
          <w:color w:val="auto"/>
        </w:rPr>
      </w:pPr>
      <w:r>
        <w:rPr>
          <w:rFonts w:ascii="Arial" w:cs="Arial" w:eastAsia="Arial" w:hAnsi="Arial"/>
          <w:sz w:val="22"/>
          <w:szCs w:val="22"/>
          <w:b w:val="1"/>
          <w:bCs w:val="1"/>
          <w:color w:val="auto"/>
        </w:rPr>
        <w:t>CURRENT REPORT</w:t>
      </w:r>
    </w:p>
    <w:p>
      <w:pPr>
        <w:spacing w:after="0" w:line="4" w:lineRule="exact"/>
        <w:rPr>
          <w:sz w:val="24"/>
          <w:szCs w:val="24"/>
          <w:color w:val="auto"/>
        </w:rPr>
      </w:pPr>
    </w:p>
    <w:p>
      <w:pPr>
        <w:jc w:val="center"/>
        <w:ind w:right="-259"/>
        <w:spacing w:after="0"/>
        <w:rPr>
          <w:sz w:val="20"/>
          <w:szCs w:val="20"/>
          <w:color w:val="auto"/>
        </w:rPr>
      </w:pPr>
      <w:r>
        <w:rPr>
          <w:rFonts w:ascii="Arial" w:cs="Arial" w:eastAsia="Arial" w:hAnsi="Arial"/>
          <w:sz w:val="22"/>
          <w:szCs w:val="22"/>
          <w:b w:val="1"/>
          <w:bCs w:val="1"/>
          <w:color w:val="auto"/>
        </w:rPr>
        <w:t>Pursuant to Section 13 or 15(d)</w:t>
      </w:r>
    </w:p>
    <w:p>
      <w:pPr>
        <w:jc w:val="center"/>
        <w:ind w:right="-259"/>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182" w:lineRule="exact"/>
        <w:rPr>
          <w:sz w:val="24"/>
          <w:szCs w:val="24"/>
          <w:color w:val="auto"/>
        </w:rPr>
      </w:pPr>
    </w:p>
    <w:p>
      <w:pPr>
        <w:jc w:val="center"/>
        <w:ind w:right="-259"/>
        <w:spacing w:after="0"/>
        <w:rPr>
          <w:sz w:val="20"/>
          <w:szCs w:val="20"/>
          <w:color w:val="auto"/>
        </w:rPr>
      </w:pPr>
      <w:r>
        <w:rPr>
          <w:rFonts w:ascii="Arial" w:cs="Arial" w:eastAsia="Arial" w:hAnsi="Arial"/>
          <w:sz w:val="22"/>
          <w:szCs w:val="22"/>
          <w:b w:val="1"/>
          <w:bCs w:val="1"/>
          <w:color w:val="auto"/>
        </w:rPr>
        <w:t>Date of report (Date of earliest event reported): August 3, 2018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2767965</wp:posOffset>
            </wp:positionH>
            <wp:positionV relativeFrom="paragraph">
              <wp:posOffset>234315</wp:posOffset>
            </wp:positionV>
            <wp:extent cx="146621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4"/>
          <w:szCs w:val="24"/>
          <w:color w:val="auto"/>
        </w:rPr>
      </w:pPr>
    </w:p>
    <w:p>
      <w:pPr>
        <w:spacing w:after="0" w:line="335" w:lineRule="exact"/>
        <w:rPr>
          <w:sz w:val="24"/>
          <w:szCs w:val="24"/>
          <w:color w:val="auto"/>
        </w:rPr>
      </w:pPr>
    </w:p>
    <w:p>
      <w:pPr>
        <w:jc w:val="center"/>
        <w:ind w:right="-259"/>
        <w:spacing w:after="0"/>
        <w:rPr>
          <w:sz w:val="20"/>
          <w:szCs w:val="20"/>
          <w:color w:val="auto"/>
        </w:rPr>
      </w:pPr>
      <w:r>
        <w:rPr>
          <w:rFonts w:ascii="Arial" w:cs="Arial" w:eastAsia="Arial" w:hAnsi="Arial"/>
          <w:sz w:val="43"/>
          <w:szCs w:val="43"/>
          <w:b w:val="1"/>
          <w:bCs w:val="1"/>
          <w:color w:val="auto"/>
        </w:rPr>
        <w:t>MagnaChip Semiconductor Corporation</w:t>
      </w:r>
    </w:p>
    <w:p>
      <w:pPr>
        <w:spacing w:after="0" w:line="50" w:lineRule="exact"/>
        <w:rPr>
          <w:sz w:val="24"/>
          <w:szCs w:val="24"/>
          <w:color w:val="auto"/>
        </w:rPr>
      </w:pPr>
    </w:p>
    <w:p>
      <w:pPr>
        <w:jc w:val="center"/>
        <w:ind w:right="-25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2767965</wp:posOffset>
            </wp:positionH>
            <wp:positionV relativeFrom="paragraph">
              <wp:posOffset>236220</wp:posOffset>
            </wp:positionV>
            <wp:extent cx="146621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tbl>
      <w:tblPr>
        <w:tblLayout w:type="fixed"/>
        <w:tblInd w:w="1020" w:type="dxa"/>
        <w:tblCellMar>
          <w:top w:w="0" w:type="dxa"/>
          <w:left w:w="0" w:type="dxa"/>
          <w:bottom w:w="0" w:type="dxa"/>
          <w:right w:w="0" w:type="dxa"/>
        </w:tblCellMar>
      </w:tblPr>
      <w:tr>
        <w:trPr>
          <w:trHeight w:val="212"/>
        </w:trPr>
        <w:tc>
          <w:tcPr>
            <w:tcW w:w="3820" w:type="dxa"/>
            <w:vAlign w:val="bottom"/>
          </w:tcPr>
          <w:p>
            <w:pPr>
              <w:jc w:val="center"/>
              <w:ind w:right="2018"/>
              <w:spacing w:after="0"/>
              <w:rPr>
                <w:sz w:val="20"/>
                <w:szCs w:val="20"/>
                <w:color w:val="auto"/>
              </w:rPr>
            </w:pPr>
            <w:r>
              <w:rPr>
                <w:rFonts w:ascii="Arial" w:cs="Arial" w:eastAsia="Arial" w:hAnsi="Arial"/>
                <w:sz w:val="18"/>
                <w:szCs w:val="18"/>
                <w:b w:val="1"/>
                <w:bCs w:val="1"/>
                <w:color w:val="auto"/>
                <w:w w:val="91"/>
              </w:rPr>
              <w:t>Delaware</w:t>
            </w:r>
          </w:p>
        </w:tc>
        <w:tc>
          <w:tcPr>
            <w:tcW w:w="2060" w:type="dxa"/>
            <w:vAlign w:val="bottom"/>
          </w:tcPr>
          <w:p>
            <w:pPr>
              <w:ind w:left="400"/>
              <w:spacing w:after="0"/>
              <w:rPr>
                <w:sz w:val="20"/>
                <w:szCs w:val="20"/>
                <w:color w:val="auto"/>
              </w:rPr>
            </w:pPr>
            <w:r>
              <w:rPr>
                <w:rFonts w:ascii="Arial" w:cs="Arial" w:eastAsia="Arial" w:hAnsi="Arial"/>
                <w:sz w:val="18"/>
                <w:szCs w:val="18"/>
                <w:b w:val="1"/>
                <w:bCs w:val="1"/>
                <w:color w:val="auto"/>
              </w:rPr>
              <w:t>001-34791</w:t>
            </w:r>
          </w:p>
        </w:tc>
        <w:tc>
          <w:tcPr>
            <w:tcW w:w="2920" w:type="dxa"/>
            <w:vAlign w:val="bottom"/>
          </w:tcPr>
          <w:p>
            <w:pPr>
              <w:jc w:val="center"/>
              <w:ind w:left="1721"/>
              <w:spacing w:after="0"/>
              <w:rPr>
                <w:sz w:val="20"/>
                <w:szCs w:val="20"/>
                <w:color w:val="auto"/>
              </w:rPr>
            </w:pPr>
            <w:r>
              <w:rPr>
                <w:rFonts w:ascii="Arial" w:cs="Arial" w:eastAsia="Arial" w:hAnsi="Arial"/>
                <w:sz w:val="18"/>
                <w:szCs w:val="18"/>
                <w:b w:val="1"/>
                <w:bCs w:val="1"/>
                <w:color w:val="auto"/>
                <w:w w:val="91"/>
              </w:rPr>
              <w:t>83-0406195</w:t>
            </w:r>
          </w:p>
        </w:tc>
      </w:tr>
      <w:tr>
        <w:trPr>
          <w:trHeight w:val="149"/>
        </w:trPr>
        <w:tc>
          <w:tcPr>
            <w:tcW w:w="3820" w:type="dxa"/>
            <w:vAlign w:val="bottom"/>
          </w:tcPr>
          <w:p>
            <w:pPr>
              <w:jc w:val="center"/>
              <w:ind w:right="2038"/>
              <w:spacing w:after="0" w:line="149" w:lineRule="exact"/>
              <w:rPr>
                <w:sz w:val="20"/>
                <w:szCs w:val="20"/>
                <w:color w:val="auto"/>
              </w:rPr>
            </w:pPr>
            <w:r>
              <w:rPr>
                <w:rFonts w:ascii="Arial" w:cs="Arial" w:eastAsia="Arial" w:hAnsi="Arial"/>
                <w:sz w:val="14"/>
                <w:szCs w:val="14"/>
                <w:b w:val="1"/>
                <w:bCs w:val="1"/>
                <w:color w:val="auto"/>
                <w:w w:val="93"/>
              </w:rPr>
              <w:t>(State or Other Jurisdiction</w:t>
            </w:r>
          </w:p>
        </w:tc>
        <w:tc>
          <w:tcPr>
            <w:tcW w:w="2060" w:type="dxa"/>
            <w:vAlign w:val="bottom"/>
          </w:tcPr>
          <w:p>
            <w:pPr>
              <w:ind w:left="380"/>
              <w:spacing w:after="0" w:line="149" w:lineRule="exact"/>
              <w:rPr>
                <w:sz w:val="20"/>
                <w:szCs w:val="20"/>
                <w:color w:val="auto"/>
              </w:rPr>
            </w:pPr>
            <w:r>
              <w:rPr>
                <w:rFonts w:ascii="Arial" w:cs="Arial" w:eastAsia="Arial" w:hAnsi="Arial"/>
                <w:sz w:val="14"/>
                <w:szCs w:val="14"/>
                <w:b w:val="1"/>
                <w:bCs w:val="1"/>
                <w:color w:val="auto"/>
              </w:rPr>
              <w:t>(Commission</w:t>
            </w:r>
          </w:p>
        </w:tc>
        <w:tc>
          <w:tcPr>
            <w:tcW w:w="2920" w:type="dxa"/>
            <w:vAlign w:val="bottom"/>
          </w:tcPr>
          <w:p>
            <w:pPr>
              <w:jc w:val="center"/>
              <w:ind w:left="1721"/>
              <w:spacing w:after="0" w:line="149" w:lineRule="exact"/>
              <w:rPr>
                <w:sz w:val="20"/>
                <w:szCs w:val="20"/>
                <w:color w:val="auto"/>
              </w:rPr>
            </w:pPr>
            <w:r>
              <w:rPr>
                <w:rFonts w:ascii="Arial" w:cs="Arial" w:eastAsia="Arial" w:hAnsi="Arial"/>
                <w:sz w:val="14"/>
                <w:szCs w:val="14"/>
                <w:b w:val="1"/>
                <w:bCs w:val="1"/>
                <w:color w:val="auto"/>
                <w:w w:val="96"/>
              </w:rPr>
              <w:t>(IRS Employer</w:t>
            </w:r>
          </w:p>
        </w:tc>
      </w:tr>
      <w:tr>
        <w:trPr>
          <w:trHeight w:val="186"/>
        </w:trPr>
        <w:tc>
          <w:tcPr>
            <w:tcW w:w="3820" w:type="dxa"/>
            <w:vAlign w:val="bottom"/>
          </w:tcPr>
          <w:p>
            <w:pPr>
              <w:jc w:val="center"/>
              <w:ind w:right="2038"/>
              <w:spacing w:after="0"/>
              <w:rPr>
                <w:sz w:val="20"/>
                <w:szCs w:val="20"/>
                <w:color w:val="auto"/>
              </w:rPr>
            </w:pPr>
            <w:r>
              <w:rPr>
                <w:rFonts w:ascii="Arial" w:cs="Arial" w:eastAsia="Arial" w:hAnsi="Arial"/>
                <w:sz w:val="14"/>
                <w:szCs w:val="14"/>
                <w:b w:val="1"/>
                <w:bCs w:val="1"/>
                <w:color w:val="auto"/>
                <w:w w:val="94"/>
              </w:rPr>
              <w:t>of Incorporation)</w:t>
            </w:r>
          </w:p>
        </w:tc>
        <w:tc>
          <w:tcPr>
            <w:tcW w:w="2060" w:type="dxa"/>
            <w:vAlign w:val="bottom"/>
          </w:tcPr>
          <w:p>
            <w:pPr>
              <w:ind w:left="380"/>
              <w:spacing w:after="0"/>
              <w:rPr>
                <w:sz w:val="20"/>
                <w:szCs w:val="20"/>
                <w:color w:val="auto"/>
              </w:rPr>
            </w:pPr>
            <w:r>
              <w:rPr>
                <w:rFonts w:ascii="Arial" w:cs="Arial" w:eastAsia="Arial" w:hAnsi="Arial"/>
                <w:sz w:val="14"/>
                <w:szCs w:val="14"/>
                <w:b w:val="1"/>
                <w:bCs w:val="1"/>
                <w:color w:val="auto"/>
              </w:rPr>
              <w:t>File Number)</w:t>
            </w:r>
          </w:p>
        </w:tc>
        <w:tc>
          <w:tcPr>
            <w:tcW w:w="2920" w:type="dxa"/>
            <w:vAlign w:val="bottom"/>
          </w:tcPr>
          <w:p>
            <w:pPr>
              <w:jc w:val="center"/>
              <w:ind w:left="1721"/>
              <w:spacing w:after="0"/>
              <w:rPr>
                <w:sz w:val="20"/>
                <w:szCs w:val="20"/>
                <w:color w:val="auto"/>
              </w:rPr>
            </w:pPr>
            <w:r>
              <w:rPr>
                <w:rFonts w:ascii="Arial" w:cs="Arial" w:eastAsia="Arial" w:hAnsi="Arial"/>
                <w:sz w:val="14"/>
                <w:szCs w:val="14"/>
                <w:b w:val="1"/>
                <w:bCs w:val="1"/>
                <w:color w:val="auto"/>
                <w:w w:val="94"/>
              </w:rPr>
              <w:t>Identification No.)</w:t>
            </w:r>
          </w:p>
        </w:tc>
      </w:tr>
      <w:tr>
        <w:trPr>
          <w:trHeight w:val="655"/>
        </w:trPr>
        <w:tc>
          <w:tcPr>
            <w:tcW w:w="3820" w:type="dxa"/>
            <w:vAlign w:val="bottom"/>
          </w:tcPr>
          <w:p>
            <w:pPr>
              <w:jc w:val="center"/>
              <w:ind w:right="258"/>
              <w:spacing w:after="0"/>
              <w:rPr>
                <w:sz w:val="20"/>
                <w:szCs w:val="20"/>
                <w:color w:val="auto"/>
              </w:rPr>
            </w:pPr>
            <w:r>
              <w:rPr>
                <w:rFonts w:ascii="Arial" w:cs="Arial" w:eastAsia="Arial" w:hAnsi="Arial"/>
                <w:sz w:val="18"/>
                <w:szCs w:val="18"/>
                <w:b w:val="1"/>
                <w:bCs w:val="1"/>
                <w:color w:val="auto"/>
                <w:w w:val="90"/>
              </w:rPr>
              <w:t>c/o MagnaChip Semiconductor S.A.</w:t>
            </w:r>
          </w:p>
        </w:tc>
        <w:tc>
          <w:tcPr>
            <w:tcW w:w="2060" w:type="dxa"/>
            <w:vAlign w:val="bottom"/>
          </w:tcPr>
          <w:p>
            <w:pPr>
              <w:spacing w:after="0"/>
              <w:rPr>
                <w:sz w:val="24"/>
                <w:szCs w:val="24"/>
                <w:color w:val="auto"/>
              </w:rPr>
            </w:pPr>
          </w:p>
        </w:tc>
        <w:tc>
          <w:tcPr>
            <w:tcW w:w="2920" w:type="dxa"/>
            <w:vAlign w:val="bottom"/>
          </w:tcPr>
          <w:p>
            <w:pPr>
              <w:spacing w:after="0"/>
              <w:rPr>
                <w:sz w:val="24"/>
                <w:szCs w:val="24"/>
                <w:color w:val="auto"/>
              </w:rPr>
            </w:pPr>
          </w:p>
        </w:tc>
      </w:tr>
      <w:tr>
        <w:trPr>
          <w:trHeight w:val="216"/>
        </w:trPr>
        <w:tc>
          <w:tcPr>
            <w:tcW w:w="3820" w:type="dxa"/>
            <w:vAlign w:val="bottom"/>
          </w:tcPr>
          <w:p>
            <w:pPr>
              <w:jc w:val="center"/>
              <w:ind w:right="238"/>
              <w:spacing w:after="0"/>
              <w:rPr>
                <w:sz w:val="20"/>
                <w:szCs w:val="20"/>
                <w:color w:val="auto"/>
              </w:rPr>
            </w:pPr>
            <w:r>
              <w:rPr>
                <w:rFonts w:ascii="Arial" w:cs="Arial" w:eastAsia="Arial" w:hAnsi="Arial"/>
                <w:sz w:val="18"/>
                <w:szCs w:val="18"/>
                <w:b w:val="1"/>
                <w:bCs w:val="1"/>
                <w:color w:val="auto"/>
                <w:w w:val="89"/>
              </w:rPr>
              <w:t>1, Allée Scheffer, L-2520</w:t>
            </w:r>
          </w:p>
        </w:tc>
        <w:tc>
          <w:tcPr>
            <w:tcW w:w="2060" w:type="dxa"/>
            <w:vAlign w:val="bottom"/>
          </w:tcPr>
          <w:p>
            <w:pPr>
              <w:spacing w:after="0"/>
              <w:rPr>
                <w:sz w:val="18"/>
                <w:szCs w:val="18"/>
                <w:color w:val="auto"/>
              </w:rPr>
            </w:pPr>
          </w:p>
        </w:tc>
        <w:tc>
          <w:tcPr>
            <w:tcW w:w="2920" w:type="dxa"/>
            <w:vAlign w:val="bottom"/>
          </w:tcPr>
          <w:p>
            <w:pPr>
              <w:spacing w:after="0"/>
              <w:rPr>
                <w:sz w:val="18"/>
                <w:szCs w:val="18"/>
                <w:color w:val="auto"/>
              </w:rPr>
            </w:pPr>
          </w:p>
        </w:tc>
      </w:tr>
      <w:tr>
        <w:trPr>
          <w:trHeight w:val="225"/>
        </w:trPr>
        <w:tc>
          <w:tcPr>
            <w:tcW w:w="3820" w:type="dxa"/>
            <w:vAlign w:val="bottom"/>
          </w:tcPr>
          <w:p>
            <w:pPr>
              <w:jc w:val="center"/>
              <w:ind w:right="238"/>
              <w:spacing w:after="0"/>
              <w:rPr>
                <w:sz w:val="20"/>
                <w:szCs w:val="20"/>
                <w:color w:val="auto"/>
              </w:rPr>
            </w:pPr>
            <w:r>
              <w:rPr>
                <w:rFonts w:ascii="Arial" w:cs="Arial" w:eastAsia="Arial" w:hAnsi="Arial"/>
                <w:sz w:val="18"/>
                <w:szCs w:val="18"/>
                <w:b w:val="1"/>
                <w:bCs w:val="1"/>
                <w:color w:val="auto"/>
                <w:w w:val="91"/>
              </w:rPr>
              <w:t>Luxembourg, Grand Duchy of Luxembourg</w:t>
            </w:r>
          </w:p>
        </w:tc>
        <w:tc>
          <w:tcPr>
            <w:tcW w:w="2060" w:type="dxa"/>
            <w:vAlign w:val="bottom"/>
          </w:tcPr>
          <w:p>
            <w:pPr>
              <w:spacing w:after="0"/>
              <w:rPr>
                <w:sz w:val="19"/>
                <w:szCs w:val="19"/>
                <w:color w:val="auto"/>
              </w:rPr>
            </w:pPr>
          </w:p>
        </w:tc>
        <w:tc>
          <w:tcPr>
            <w:tcW w:w="2920" w:type="dxa"/>
            <w:vAlign w:val="bottom"/>
          </w:tcPr>
          <w:p>
            <w:pPr>
              <w:jc w:val="center"/>
              <w:spacing w:after="0"/>
              <w:rPr>
                <w:sz w:val="20"/>
                <w:szCs w:val="20"/>
                <w:color w:val="auto"/>
              </w:rPr>
            </w:pPr>
            <w:r>
              <w:rPr>
                <w:rFonts w:ascii="Arial" w:cs="Arial" w:eastAsia="Arial" w:hAnsi="Arial"/>
                <w:sz w:val="18"/>
                <w:szCs w:val="18"/>
                <w:b w:val="1"/>
                <w:bCs w:val="1"/>
                <w:color w:val="auto"/>
                <w:w w:val="90"/>
              </w:rPr>
              <w:t>Not Applicable</w:t>
            </w:r>
          </w:p>
        </w:tc>
      </w:tr>
      <w:tr>
        <w:trPr>
          <w:trHeight w:val="186"/>
        </w:trPr>
        <w:tc>
          <w:tcPr>
            <w:tcW w:w="3820" w:type="dxa"/>
            <w:vAlign w:val="bottom"/>
          </w:tcPr>
          <w:p>
            <w:pPr>
              <w:jc w:val="center"/>
              <w:ind w:right="238"/>
              <w:spacing w:after="0"/>
              <w:rPr>
                <w:sz w:val="20"/>
                <w:szCs w:val="20"/>
                <w:color w:val="auto"/>
              </w:rPr>
            </w:pPr>
            <w:r>
              <w:rPr>
                <w:rFonts w:ascii="Arial" w:cs="Arial" w:eastAsia="Arial" w:hAnsi="Arial"/>
                <w:sz w:val="14"/>
                <w:szCs w:val="14"/>
                <w:b w:val="1"/>
                <w:bCs w:val="1"/>
                <w:color w:val="auto"/>
                <w:w w:val="92"/>
              </w:rPr>
              <w:t>(Address of Principal Executive Offices)</w:t>
            </w:r>
          </w:p>
        </w:tc>
        <w:tc>
          <w:tcPr>
            <w:tcW w:w="2060" w:type="dxa"/>
            <w:vAlign w:val="bottom"/>
          </w:tcPr>
          <w:p>
            <w:pPr>
              <w:spacing w:after="0"/>
              <w:rPr>
                <w:sz w:val="16"/>
                <w:szCs w:val="16"/>
                <w:color w:val="auto"/>
              </w:rPr>
            </w:pPr>
          </w:p>
        </w:tc>
        <w:tc>
          <w:tcPr>
            <w:tcW w:w="2920" w:type="dxa"/>
            <w:vAlign w:val="bottom"/>
          </w:tcPr>
          <w:p>
            <w:pPr>
              <w:jc w:val="center"/>
              <w:spacing w:after="0"/>
              <w:rPr>
                <w:sz w:val="20"/>
                <w:szCs w:val="20"/>
                <w:color w:val="auto"/>
              </w:rPr>
            </w:pPr>
            <w:r>
              <w:rPr>
                <w:rFonts w:ascii="Arial" w:cs="Arial" w:eastAsia="Arial" w:hAnsi="Arial"/>
                <w:sz w:val="14"/>
                <w:szCs w:val="14"/>
                <w:b w:val="1"/>
                <w:bCs w:val="1"/>
                <w:color w:val="auto"/>
                <w:w w:val="95"/>
              </w:rPr>
              <w:t>(Zip Code)</w:t>
            </w:r>
          </w:p>
        </w:tc>
      </w:tr>
    </w:tbl>
    <w:p>
      <w:pPr>
        <w:spacing w:after="0" w:line="183" w:lineRule="exact"/>
        <w:rPr>
          <w:sz w:val="24"/>
          <w:szCs w:val="24"/>
          <w:color w:val="auto"/>
        </w:rPr>
      </w:pPr>
    </w:p>
    <w:p>
      <w:pPr>
        <w:jc w:val="center"/>
        <w:ind w:right="-259"/>
        <w:spacing w:after="0"/>
        <w:rPr>
          <w:sz w:val="20"/>
          <w:szCs w:val="20"/>
          <w:color w:val="auto"/>
        </w:rPr>
      </w:pPr>
      <w:r>
        <w:rPr>
          <w:rFonts w:ascii="Arial" w:cs="Arial" w:eastAsia="Arial" w:hAnsi="Arial"/>
          <w:sz w:val="18"/>
          <w:szCs w:val="18"/>
          <w:b w:val="1"/>
          <w:bCs w:val="1"/>
          <w:color w:val="auto"/>
        </w:rPr>
        <w:t>Registrant’s telephone number, including area code: (352) 45-62-62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2767965</wp:posOffset>
            </wp:positionH>
            <wp:positionV relativeFrom="paragraph">
              <wp:posOffset>248920</wp:posOffset>
            </wp:positionV>
            <wp:extent cx="146621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4"/>
          <w:szCs w:val="24"/>
          <w:color w:val="auto"/>
        </w:rPr>
      </w:pPr>
    </w:p>
    <w:p>
      <w:pPr>
        <w:spacing w:after="0" w:line="387" w:lineRule="exact"/>
        <w:rPr>
          <w:sz w:val="24"/>
          <w:szCs w:val="24"/>
          <w:color w:val="auto"/>
        </w:rPr>
      </w:pPr>
    </w:p>
    <w:p>
      <w:pPr>
        <w:ind w:right="22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76" w:lineRule="exact"/>
        <w:rPr>
          <w:sz w:val="24"/>
          <w:szCs w:val="24"/>
          <w:color w:val="auto"/>
        </w:rPr>
      </w:pPr>
    </w:p>
    <w:p>
      <w:pPr>
        <w:ind w:left="440" w:hanging="436"/>
        <w:spacing w:after="0"/>
        <w:tabs>
          <w:tab w:leader="none" w:pos="4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40" w:hanging="436"/>
        <w:spacing w:after="0"/>
        <w:tabs>
          <w:tab w:leader="none" w:pos="4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40" w:hanging="436"/>
        <w:spacing w:after="0"/>
        <w:tabs>
          <w:tab w:leader="none" w:pos="4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40" w:hanging="436"/>
        <w:spacing w:after="0"/>
        <w:tabs>
          <w:tab w:leader="none" w:pos="4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25"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 230.405 of this chapter) or Rule 12b-2 of the Securities Exchange Act of 1934 (§ 240.12b-2 of this chapter).</w:t>
      </w:r>
    </w:p>
    <w:p>
      <w:pPr>
        <w:spacing w:after="0" w:line="30"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58" w:lineRule="exact"/>
        <w:rPr>
          <w:sz w:val="24"/>
          <w:szCs w:val="24"/>
          <w:color w:val="auto"/>
        </w:rPr>
      </w:pPr>
    </w:p>
    <w:p>
      <w:pPr>
        <w:ind w:right="4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133350</wp:posOffset>
            </wp:positionV>
            <wp:extent cx="699770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770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176530</wp:posOffset>
            </wp:positionV>
            <wp:extent cx="699770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ectPr>
          <w:pgSz w:w="11900" w:h="16838" w:orient="portrait"/>
          <w:cols w:equalWidth="0" w:num="1">
            <w:col w:w="10780"/>
          </w:cols>
          <w:pgMar w:left="440" w:top="368" w:right="679" w:bottom="1440" w:gutter="0" w:footer="0" w:header="0"/>
        </w:sectPr>
      </w:pPr>
    </w:p>
    <w:bookmarkStart w:id="1" w:name="page2"/>
    <w:bookmarkEnd w:id="1"/>
    <w:p>
      <w:pPr>
        <w:spacing w:after="0" w:line="282"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Item 5.02. Departure of Directors or Certain Officers; Election of Directors; Appointment of Certain Officers; Compensatory Arrangements of Certain Officers.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w:t>
      </w:r>
    </w:p>
    <w:p>
      <w:pPr>
        <w:spacing w:after="0" w:line="229" w:lineRule="exact"/>
        <w:rPr>
          <w:sz w:val="20"/>
          <w:szCs w:val="20"/>
          <w:color w:val="auto"/>
        </w:rPr>
      </w:pPr>
    </w:p>
    <w:p>
      <w:pPr>
        <w:ind w:right="200"/>
        <w:spacing w:after="0" w:line="286" w:lineRule="auto"/>
        <w:rPr>
          <w:sz w:val="20"/>
          <w:szCs w:val="20"/>
          <w:color w:val="auto"/>
        </w:rPr>
      </w:pPr>
      <w:r>
        <w:rPr>
          <w:rFonts w:ascii="Arial" w:cs="Arial" w:eastAsia="Arial" w:hAnsi="Arial"/>
          <w:sz w:val="17"/>
          <w:szCs w:val="17"/>
          <w:color w:val="auto"/>
        </w:rPr>
        <w:t>On August 3, 2018, Randal Klein resigned from his position as a director of MagnaChip Semiconductor Corporation (the “Company”), effective immediately. Mr. Klein served on the Company’s Audit Committee and Risk Committee. Mr. Klein’s decision to resign from the Company’s board of directors was not the result of any disagreement with the Company on any matter relating to its operations, policies or practices.</w:t>
      </w:r>
    </w:p>
    <w:p>
      <w:pPr>
        <w:sectPr>
          <w:pgSz w:w="11900" w:h="16838" w:orient="portrait"/>
          <w:cols w:equalWidth="0" w:num="1">
            <w:col w:w="10980"/>
          </w:cols>
          <w:pgMar w:left="440" w:top="270" w:right="479" w:bottom="1440" w:gutter="0" w:footer="0" w:header="0"/>
        </w:sectPr>
      </w:pPr>
    </w:p>
    <w:bookmarkStart w:id="2" w:name="page3"/>
    <w:bookmarkEnd w:id="2"/>
    <w:p>
      <w:pPr>
        <w:jc w:val="center"/>
        <w:ind w:right="-29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SIGNATURE</w:t>
      </w:r>
    </w:p>
    <w:p>
      <w:pPr>
        <w:spacing w:after="0" w:line="229" w:lineRule="exact"/>
        <w:rPr>
          <w:sz w:val="20"/>
          <w:szCs w:val="20"/>
          <w:color w:val="auto"/>
        </w:rPr>
      </w:pPr>
    </w:p>
    <w:p>
      <w:pPr>
        <w:ind w:firstLine="441"/>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97" w:lineRule="exact"/>
        <w:rPr>
          <w:sz w:val="20"/>
          <w:szCs w:val="20"/>
          <w:color w:val="auto"/>
        </w:rPr>
      </w:pPr>
    </w:p>
    <w:p>
      <w:pPr>
        <w:ind w:left="5680"/>
        <w:spacing w:after="0"/>
        <w:rPr>
          <w:sz w:val="20"/>
          <w:szCs w:val="20"/>
          <w:color w:val="auto"/>
        </w:rPr>
      </w:pPr>
      <w:r>
        <w:rPr>
          <w:rFonts w:ascii="Arial" w:cs="Arial" w:eastAsia="Arial" w:hAnsi="Arial"/>
          <w:sz w:val="18"/>
          <w:szCs w:val="18"/>
          <w:color w:val="auto"/>
        </w:rPr>
        <w:t>MAGNACHIP SEMICONDUCTOR CORPORATION</w:t>
      </w:r>
    </w:p>
    <w:p>
      <w:pPr>
        <w:spacing w:after="0" w:line="225" w:lineRule="exact"/>
        <w:rPr>
          <w:sz w:val="20"/>
          <w:szCs w:val="20"/>
          <w:color w:val="auto"/>
        </w:rPr>
      </w:pPr>
    </w:p>
    <w:p>
      <w:pPr>
        <w:spacing w:after="0"/>
        <w:tabs>
          <w:tab w:leader="none" w:pos="5660" w:val="left"/>
        </w:tabs>
        <w:rPr>
          <w:sz w:val="20"/>
          <w:szCs w:val="20"/>
          <w:color w:val="auto"/>
        </w:rPr>
      </w:pPr>
      <w:r>
        <w:rPr>
          <w:rFonts w:ascii="Arial" w:cs="Arial" w:eastAsia="Arial" w:hAnsi="Arial"/>
          <w:sz w:val="18"/>
          <w:szCs w:val="18"/>
          <w:color w:val="auto"/>
        </w:rPr>
        <w:t>Dated: August 3, 2018</w:t>
      </w:r>
      <w:r>
        <w:rPr>
          <w:sz w:val="20"/>
          <w:szCs w:val="20"/>
          <w:color w:val="auto"/>
        </w:rPr>
        <w:tab/>
      </w:r>
      <w:r>
        <w:rPr>
          <w:rFonts w:ascii="Arial" w:cs="Arial" w:eastAsia="Arial" w:hAnsi="Arial"/>
          <w:sz w:val="17"/>
          <w:szCs w:val="17"/>
          <w:color w:val="auto"/>
        </w:rPr>
        <w:t>By:  /s/ Theodore Kim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3856990</wp:posOffset>
            </wp:positionH>
            <wp:positionV relativeFrom="paragraph">
              <wp:posOffset>14605</wp:posOffset>
            </wp:positionV>
            <wp:extent cx="314706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147060" cy="8890"/>
                    </a:xfrm>
                    <a:prstGeom prst="rect">
                      <a:avLst/>
                    </a:prstGeom>
                    <a:noFill/>
                  </pic:spPr>
                </pic:pic>
              </a:graphicData>
            </a:graphic>
          </wp:anchor>
        </w:drawing>
      </w:r>
    </w:p>
    <w:p>
      <w:pPr>
        <w:spacing w:after="0" w:line="16"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Theodore Kim</w:t>
      </w:r>
    </w:p>
    <w:p>
      <w:pPr>
        <w:spacing w:after="0" w:line="23"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Chief Compliance Officer, Executive Vice President,</w:t>
      </w:r>
    </w:p>
    <w:p>
      <w:pPr>
        <w:spacing w:after="0" w:line="9"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General Counsel and Secretary</w:t>
      </w:r>
    </w:p>
    <w:sectPr>
      <w:pgSz w:w="11900" w:h="16838" w:orient="portrait"/>
      <w:cols w:equalWidth="0" w:num="1">
        <w:col w:w="10720"/>
      </w:cols>
      <w:pgMar w:left="440" w:top="270" w:right="7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2019-12-07T01:33:48Z</dcterms:created>
  <dcterms:modified xsi:type="dcterms:W3CDTF">2019-12-07T01:33:48Z</dcterms:modified>
</cp:coreProperties>
</file>