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Lee Woung Moo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57" w:lineRule="auto"/>
        <w:rPr>
          <w:sz w:val="20"/>
          <w:szCs w:val="20"/>
          <w:color w:val="auto"/>
        </w:rPr>
      </w:pPr>
      <w:r>
        <w:rPr>
          <w:rFonts w:ascii="Arial" w:cs="Arial" w:eastAsia="Arial" w:hAnsi="Arial"/>
          <w:sz w:val="17"/>
          <w:szCs w:val="17"/>
          <w:color w:val="0000FF"/>
        </w:rPr>
        <w:t>C/O MAGNACHIP SEMICONDUCTOR, LTD. 501, TEHERAN-RO, GANGNAM-GU</w:t>
      </w:r>
    </w:p>
    <w:p>
      <w:pPr>
        <w:spacing w:after="0" w:line="1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SEOUL,</w:t>
      </w:r>
    </w:p>
    <w:p>
      <w:pPr>
        <w:spacing w:after="0" w:line="25" w:lineRule="exact"/>
        <w:rPr>
          <w:sz w:val="24"/>
          <w:szCs w:val="24"/>
          <w:color w:val="auto"/>
        </w:rPr>
      </w:pPr>
    </w:p>
    <w:p>
      <w:pPr>
        <w:ind w:left="120" w:right="500"/>
        <w:spacing w:after="0" w:line="261" w:lineRule="auto"/>
        <w:rPr>
          <w:sz w:val="20"/>
          <w:szCs w:val="20"/>
          <w:color w:val="auto"/>
        </w:rPr>
      </w:pPr>
      <w:r>
        <w:rPr>
          <w:rFonts w:ascii="Arial" w:cs="Arial" w:eastAsia="Arial" w:hAnsi="Arial"/>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80"/>
              <w:spacing w:after="0"/>
              <w:rPr>
                <w:sz w:val="20"/>
                <w:szCs w:val="20"/>
                <w:color w:val="auto"/>
              </w:rPr>
            </w:pPr>
            <w:r>
              <w:rPr>
                <w:rFonts w:ascii="Arial" w:cs="Arial" w:eastAsia="Arial" w:hAnsi="Arial"/>
                <w:sz w:val="13"/>
                <w:szCs w:val="13"/>
                <w:color w:val="auto"/>
                <w:w w:val="73"/>
              </w:rPr>
              <w:t>2.</w:t>
            </w:r>
          </w:p>
        </w:tc>
        <w:tc>
          <w:tcPr>
            <w:tcW w:w="3640" w:type="dxa"/>
            <w:vAlign w:val="bottom"/>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u w:val="single" w:color="auto"/>
                <w:color w:val="0000EE"/>
                <w:w w:val="99"/>
              </w:rPr>
            </w:pPr>
            <w:hyperlink r:id="rId14">
              <w:r>
                <w:rPr>
                  <w:rFonts w:ascii="Arial" w:cs="Arial" w:eastAsia="Arial" w:hAnsi="Arial"/>
                  <w:sz w:val="21"/>
                  <w:szCs w:val="21"/>
                  <w:u w:val="single" w:color="auto"/>
                  <w:color w:val="0000EE"/>
                  <w:w w:val="99"/>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180" w:type="dxa"/>
            <w:vAlign w:val="bottom"/>
            <w:vMerge w:val="restart"/>
          </w:tcPr>
          <w:p>
            <w:pPr>
              <w:ind w:left="80"/>
              <w:spacing w:after="0"/>
              <w:rPr>
                <w:sz w:val="20"/>
                <w:szCs w:val="20"/>
                <w:color w:val="auto"/>
              </w:rPr>
            </w:pPr>
            <w:r>
              <w:rPr>
                <w:rFonts w:ascii="Arial" w:cs="Arial" w:eastAsia="Arial" w:hAnsi="Arial"/>
                <w:sz w:val="21"/>
                <w:szCs w:val="21"/>
                <w:color w:val="auto"/>
              </w:rPr>
              <w:t>[</w:t>
            </w:r>
          </w:p>
        </w:tc>
        <w:tc>
          <w:tcPr>
            <w:tcW w:w="3640" w:type="dxa"/>
            <w:vAlign w:val="bottom"/>
            <w:vMerge w:val="restart"/>
          </w:tcPr>
          <w:p>
            <w:pPr>
              <w:ind w:left="20"/>
              <w:spacing w:after="0"/>
              <w:rPr>
                <w:sz w:val="20"/>
                <w:szCs w:val="20"/>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tc>
        <w:tc>
          <w:tcPr>
            <w:tcW w:w="500" w:type="dxa"/>
            <w:vAlign w:val="bottom"/>
          </w:tcPr>
          <w:p>
            <w:pPr>
              <w:spacing w:after="0"/>
              <w:rPr>
                <w:sz w:val="13"/>
                <w:szCs w:val="13"/>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0" w:type="dxa"/>
            <w:vAlign w:val="bottom"/>
            <w:vMerge w:val="continue"/>
          </w:tcPr>
          <w:p>
            <w:pPr>
              <w:spacing w:after="0"/>
              <w:rPr>
                <w:sz w:val="12"/>
                <w:szCs w:val="12"/>
                <w:color w:val="auto"/>
              </w:rPr>
            </w:pPr>
          </w:p>
        </w:tc>
        <w:tc>
          <w:tcPr>
            <w:tcW w:w="3640" w:type="dxa"/>
            <w:vAlign w:val="bottom"/>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1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18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80" w:type="dxa"/>
            <w:vAlign w:val="bottom"/>
            <w:vMerge w:val="restart"/>
          </w:tcPr>
          <w:p>
            <w:pPr>
              <w:ind w:left="80"/>
              <w:spacing w:after="0"/>
              <w:rPr>
                <w:sz w:val="20"/>
                <w:szCs w:val="20"/>
                <w:color w:val="auto"/>
              </w:rPr>
            </w:pPr>
            <w:r>
              <w:rPr>
                <w:rFonts w:ascii="Arial" w:cs="Arial" w:eastAsia="Arial" w:hAnsi="Arial"/>
                <w:sz w:val="13"/>
                <w:szCs w:val="13"/>
                <w:color w:val="auto"/>
                <w:w w:val="73"/>
              </w:rPr>
              <w:t>3.</w:t>
            </w:r>
          </w:p>
        </w:tc>
        <w:tc>
          <w:tcPr>
            <w:tcW w:w="3640" w:type="dxa"/>
            <w:vAlign w:val="bottom"/>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80" w:type="dxa"/>
            <w:vAlign w:val="bottom"/>
            <w:vMerge w:val="continue"/>
          </w:tcPr>
          <w:p>
            <w:pPr>
              <w:spacing w:after="0"/>
              <w:rPr>
                <w:sz w:val="8"/>
                <w:szCs w:val="8"/>
                <w:color w:val="auto"/>
              </w:rPr>
            </w:pPr>
          </w:p>
        </w:tc>
        <w:tc>
          <w:tcPr>
            <w:tcW w:w="36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12/31/2020</w:t>
            </w: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3300" w:type="dxa"/>
            <w:vAlign w:val="bottom"/>
            <w:tcBorders>
              <w:bottom w:val="single" w:sz="8" w:color="2C2C2C"/>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180" w:type="dxa"/>
            <w:vAlign w:val="bottom"/>
          </w:tcPr>
          <w:p>
            <w:pPr>
              <w:ind w:left="80"/>
              <w:spacing w:after="0"/>
              <w:rPr>
                <w:sz w:val="20"/>
                <w:szCs w:val="20"/>
                <w:color w:val="auto"/>
              </w:rPr>
            </w:pPr>
            <w:r>
              <w:rPr>
                <w:rFonts w:ascii="Arial" w:cs="Arial" w:eastAsia="Arial" w:hAnsi="Arial"/>
                <w:sz w:val="13"/>
                <w:szCs w:val="13"/>
                <w:color w:val="auto"/>
                <w:w w:val="73"/>
              </w:rPr>
              <w:t>4.</w:t>
            </w:r>
          </w:p>
        </w:tc>
        <w:tc>
          <w:tcPr>
            <w:tcW w:w="3640" w:type="dxa"/>
            <w:vAlign w:val="bottom"/>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500" w:space="340"/>
            <w:col w:w="7240"/>
          </w:cols>
          <w:pgMar w:left="460" w:top="225" w:right="359" w:bottom="1440" w:gutter="0" w:footer="0" w:header="0"/>
          <w:type w:val="continuous"/>
        </w:sectPr>
      </w:pPr>
    </w:p>
    <w:p>
      <w:pPr>
        <w:spacing w:after="0" w:line="7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6964045" cy="1565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65275"/>
                    </a:xfrm>
                    <a:prstGeom prst="rect">
                      <a:avLst/>
                    </a:prstGeom>
                    <a:noFill/>
                  </pic:spPr>
                </pic:pic>
              </a:graphicData>
            </a:graphic>
          </wp:anchor>
        </w:drawing>
      </w:r>
    </w:p>
    <w:p>
      <w:pPr>
        <w:spacing w:after="0" w:line="15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4,680</w:t>
            </w:r>
            <w:r>
              <w:rPr>
                <w:rFonts w:ascii="Arial" w:cs="Arial" w:eastAsia="Arial" w:hAnsi="Arial"/>
                <w:sz w:val="22"/>
                <w:szCs w:val="22"/>
                <w:color w:val="008000"/>
                <w:w w:val="92"/>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13.52</w:t>
            </w: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105,499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3,491</w:t>
            </w:r>
            <w:r>
              <w:rPr>
                <w:rFonts w:ascii="Arial" w:cs="Arial" w:eastAsia="Arial" w:hAnsi="Arial"/>
                <w:sz w:val="22"/>
                <w:szCs w:val="22"/>
                <w:color w:val="008000"/>
                <w:w w:val="92"/>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13.52</w:t>
            </w: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102,008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2,600</w:t>
            </w:r>
            <w:r>
              <w:rPr>
                <w:rFonts w:ascii="Arial" w:cs="Arial" w:eastAsia="Arial" w:hAnsi="Arial"/>
                <w:sz w:val="22"/>
                <w:szCs w:val="22"/>
                <w:color w:val="008000"/>
                <w:w w:val="92"/>
                <w:vertAlign w:val="superscript"/>
              </w:rPr>
              <w:t>(3)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13.52</w:t>
            </w: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2"/>
              </w:rPr>
              <w:t>99,408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4,680 shares of common stock to satisfy tax withholding obligations incurred by the Reporting Person upon the vesting of 10,500 shares of common stock originally awarded to the Reporting Person on October 22, 2018.</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3,491 shares of common stock to satisfy tax withholding obligations incurred by the Reporting Person upon the vesting of 7,833 shares of common stock originally awarded to the Reporting Person on October 22, 2019.</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2,600 shares of common stock to satisfy tax withholding obligations incurred by the Reporting Person upon the vesting of 5,833 shares of common stock originally awarded to the Reporting Person on May 7, 2020.</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General Manager of Worldwide Sales</w:t>
      </w:r>
    </w:p>
    <w:p>
      <w:pPr>
        <w:ind w:left="6580"/>
        <w:spacing w:after="0" w:line="186"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01/05/2021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58198"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2021-01-05T15:23:22Z</dcterms:created>
  <dcterms:modified xsi:type="dcterms:W3CDTF">2021-01-05T15:23:22Z</dcterms:modified>
</cp:coreProperties>
</file>