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100" w:type="dxa"/>
            <w:vAlign w:val="bottom"/>
          </w:tcPr>
          <w:p>
            <w:pPr>
              <w:jc w:val="center"/>
              <w:ind w:right="23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520" w:type="dxa"/>
            <w:vAlign w:val="bottom"/>
          </w:tcPr>
          <w:p>
            <w:pPr>
              <w:jc w:val="center"/>
              <w:ind w:left="1181"/>
              <w:spacing w:after="0"/>
              <w:rPr>
                <w:sz w:val="20"/>
                <w:szCs w:val="20"/>
                <w:color w:val="auto"/>
              </w:rPr>
            </w:pPr>
            <w:r>
              <w:rPr>
                <w:rFonts w:ascii="Times New Roman" w:cs="Times New Roman" w:eastAsia="Times New Roman" w:hAnsi="Times New Roman"/>
                <w:sz w:val="18"/>
                <w:szCs w:val="18"/>
                <w:b w:val="1"/>
                <w:bCs w:val="1"/>
                <w:color w:val="auto"/>
                <w:w w:val="98"/>
              </w:rPr>
              <w:t>83-0406195</w:t>
            </w:r>
          </w:p>
        </w:tc>
      </w:tr>
      <w:tr>
        <w:trPr>
          <w:trHeight w:val="148"/>
        </w:trPr>
        <w:tc>
          <w:tcPr>
            <w:tcW w:w="4100" w:type="dxa"/>
            <w:vAlign w:val="bottom"/>
          </w:tcPr>
          <w:p>
            <w:pPr>
              <w:jc w:val="center"/>
              <w:ind w:right="23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1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00" w:type="dxa"/>
            <w:vAlign w:val="bottom"/>
          </w:tcPr>
          <w:p>
            <w:pPr>
              <w:jc w:val="center"/>
              <w:ind w:left="1158"/>
              <w:spacing w:after="0"/>
              <w:rPr>
                <w:sz w:val="20"/>
                <w:szCs w:val="20"/>
                <w:color w:val="auto"/>
              </w:rPr>
            </w:pPr>
            <w:r>
              <w:rPr>
                <w:rFonts w:ascii="Times New Roman" w:cs="Times New Roman" w:eastAsia="Times New Roman" w:hAnsi="Times New Roman"/>
                <w:sz w:val="18"/>
                <w:szCs w:val="18"/>
                <w:b w:val="1"/>
                <w:bCs w:val="1"/>
                <w:color w:val="auto"/>
                <w:w w:val="99"/>
              </w:rPr>
              <w:t>c/o Magnachip Semiconductor, Ltd.</w:t>
            </w:r>
          </w:p>
        </w:tc>
        <w:tc>
          <w:tcPr>
            <w:tcW w:w="22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634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w w:val="99"/>
              </w:rPr>
              <w:t>15F, 76 Jikji-daero 436beon-gil, Heungdeok-gu</w:t>
            </w:r>
          </w:p>
        </w:tc>
        <w:tc>
          <w:tcPr>
            <w:tcW w:w="2520" w:type="dxa"/>
            <w:vAlign w:val="bottom"/>
          </w:tcPr>
          <w:p>
            <w:pPr>
              <w:spacing w:after="0"/>
              <w:rPr>
                <w:sz w:val="18"/>
                <w:szCs w:val="18"/>
                <w:color w:val="auto"/>
              </w:rPr>
            </w:pPr>
          </w:p>
        </w:tc>
      </w:tr>
      <w:tr>
        <w:trPr>
          <w:trHeight w:val="227"/>
        </w:trPr>
        <w:tc>
          <w:tcPr>
            <w:tcW w:w="634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Cheongju-si, Chungcheongbuk-do, 28581, Republic of Korea</w:t>
            </w: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0"/>
        </w:trPr>
        <w:tc>
          <w:tcPr>
            <w:tcW w:w="4100" w:type="dxa"/>
            <w:vAlign w:val="bottom"/>
          </w:tcPr>
          <w:p>
            <w:pPr>
              <w:jc w:val="center"/>
              <w:ind w:left="11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Attached hereto as Exhibit 99.1 and incorporated by reference herein is financial information for Magnachip Semiconductor Corporation and its consolidated subsidiaries for the third quarter ended September 30, 2024, as presented in a press release dated October 30, 2024.</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12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6"/>
              </w:rPr>
              <w:t>   No. </w:t>
            </w:r>
          </w:p>
        </w:tc>
        <w:tc>
          <w:tcPr>
            <w:tcW w:w="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8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9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for Magnachip Semiconductor Corporation dated October 30, 2024, announcing the results for the third quarter ended</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804"/>
          </w:cols>
          <w:pgMar w:left="436" w:top="293" w:right="6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53746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74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Reports Results for Third Quarter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consolidated revenue was $66.5 million, at the high-end of guidance range of $61.5-66.5 million.</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standard product business revenue was up 25.9% sequentially.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consolidated gross profit margin of 23.3% was in-line with the mid-point of guidance range of 22.5-24.5%.</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standard product business gross profit margin was 24.4%, up 1.3 percentage points sequentially.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Q3 with cash of $121.1 million; and an additional non-redeemable short-term financial investment of $30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0.5 million shares for aggregate purchase price of $2.5 million during the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35" w:lineRule="exact"/>
        <w:rPr>
          <w:sz w:val="20"/>
          <w:szCs w:val="20"/>
          <w:color w:val="auto"/>
        </w:rPr>
      </w:pPr>
    </w:p>
    <w:p>
      <w:pPr>
        <w:ind w:left="960" w:right="8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Broad-based sequential revenue growth in our PAS business was driven by leaner distribution channels and better-than-typical seasonality. Relative strength was more evident in industrial, computing, and consumer applications. Automotive continues to show strength with additional design wins in Japan and China.</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initial DDIC production and shipments for a premium smartphone model from a leading China OEM.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purchase order from a second leading China smartphone OEM and commenced shipments in October 2024.</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sampling our new OLED driver designed with next-generation IP, including sub-pixel rendering (SPR), refined color enhancement, color filter, brightness uniformity control and more than 20% reduction in power consumption than previous generation.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IC revenue increased sequentially, driven primarily by demand for LCD TVs and OLED IT in tablets and notebooks.</w:t>
      </w:r>
    </w:p>
    <w:p>
      <w:pPr>
        <w:spacing w:after="0" w:line="1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SEOUL, South Korea, October 30, 2024 </w:t>
      </w:r>
      <w:r>
        <w:rPr>
          <w:rFonts w:ascii="Times New Roman" w:cs="Times New Roman" w:eastAsia="Times New Roman" w:hAnsi="Times New Roman"/>
          <w:sz w:val="18"/>
          <w:szCs w:val="18"/>
          <w:color w:val="auto"/>
        </w:rPr>
        <w:t>– Magnachip Semiconductor Corporation (NYSE: MX) (“Magnachip”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third quarter 2024.</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YJ Kim, Magnachip’s CEO, commented, “Our Q3 revenue was at the high-end of guidance driven by broad-based growth in our Standard Product businesses, which is comprised of our MSS and PAS businesses. Standard Product revenue increased 25.9% sequentially and 24% year-over-year. Our discrete Power business benefited from leaner inventory in distribution channels as well as new product designs wins resulting in better-than-seasonal growth. In MSS, the strong sequential growth was due to increased demand for products targeted for China smartphone OEMs, automotive displays, and OLED IT.”</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YJ Kim added, “Looking ahead, we expect our Standard Product business revenue in Q4 will modestly decline sequentially, which is better than typical seasonality experienced in past years. We reiterate our full-year guidance for double-digit growth in both MSS and PAS businesses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2024 Financial Highlights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4"/>
                <w:szCs w:val="14"/>
                <w:color w:val="auto"/>
              </w:rPr>
              <w:t>In thousands of U.S. dollars, except share data</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Q3 2024</w:t>
            </w:r>
          </w:p>
        </w:tc>
        <w:tc>
          <w:tcPr>
            <w:tcW w:w="3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Q2 2024</w:t>
            </w:r>
          </w:p>
        </w:tc>
        <w:tc>
          <w:tcPr>
            <w:tcW w:w="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5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Q3 2023</w:t>
            </w:r>
          </w:p>
        </w:tc>
        <w:tc>
          <w:tcPr>
            <w:tcW w:w="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420" w:type="dxa"/>
            <w:vAlign w:val="bottom"/>
            <w:tcBorders>
              <w:bottom w:val="single" w:sz="8" w:color="CCEEFF"/>
            </w:tcBorders>
          </w:tcPr>
          <w:p>
            <w:pPr>
              <w:spacing w:after="0"/>
              <w:rPr>
                <w:sz w:val="12"/>
                <w:szCs w:val="12"/>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53,171</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61,245</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64,020</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50,835</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51,619</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5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Mixed-Signal Solutions</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16,446</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11,595</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41.8%</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10,644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5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47,574</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39,240</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21.2%</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40,975</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56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(1)</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2,440</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2,336</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9,626</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Gross Profit Margin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1.5%pts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0.3%pts</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1.3%pts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4.3%pts</w:t>
            </w:r>
          </w:p>
        </w:tc>
      </w:tr>
      <w:tr>
        <w:trPr>
          <w:trHeight w:val="216"/>
        </w:trPr>
        <w:tc>
          <w:tcPr>
            <w:tcW w:w="5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Mixed-Signal Solutions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4.1%pts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9.9%pts</w:t>
            </w:r>
          </w:p>
        </w:tc>
      </w:tr>
      <w:tr>
        <w:trPr>
          <w:trHeight w:val="216"/>
        </w:trPr>
        <w:tc>
          <w:tcPr>
            <w:tcW w:w="5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down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0.3%pts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9.2%pts</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(12,824)</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(9,235)</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(9,617)</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(12,997)</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(5,165)</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(0.26)</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(0.34)</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(0.13)</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(0.26)</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(0.34)</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(0.13)</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183515</wp:posOffset>
            </wp:positionV>
            <wp:extent cx="1534795" cy="334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3401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1"/>
          </w:tcPr>
          <w:p>
            <w:pPr>
              <w:jc w:val="center"/>
              <w:ind w:right="319"/>
              <w:spacing w:after="0"/>
              <w:rPr>
                <w:sz w:val="20"/>
                <w:szCs w:val="20"/>
                <w:color w:val="auto"/>
              </w:rPr>
            </w:pPr>
            <w:r>
              <w:rPr>
                <w:rFonts w:ascii="Times New Roman" w:cs="Times New Roman" w:eastAsia="Times New Roman" w:hAnsi="Times New Roman"/>
                <w:sz w:val="14"/>
                <w:szCs w:val="14"/>
                <w:color w:val="auto"/>
              </w:rPr>
              <w:t>In thousands of U.S. dollars, except share data</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0"/>
                <w:szCs w:val="10"/>
                <w:b w:val="1"/>
                <w:bCs w:val="1"/>
                <w:color w:val="auto"/>
              </w:rPr>
              <w:t>(2)</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7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Q3 2024</w:t>
            </w:r>
          </w:p>
        </w:tc>
        <w:tc>
          <w:tcPr>
            <w:tcW w:w="12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Q2 2024</w:t>
            </w:r>
          </w:p>
        </w:tc>
        <w:tc>
          <w:tcPr>
            <w:tcW w:w="80" w:type="dxa"/>
            <w:vAlign w:val="bottom"/>
          </w:tcPr>
          <w:p>
            <w:pPr>
              <w:spacing w:after="0"/>
              <w:rPr>
                <w:sz w:val="12"/>
                <w:szCs w:val="12"/>
                <w:color w:val="auto"/>
              </w:rPr>
            </w:pPr>
          </w:p>
        </w:tc>
        <w:tc>
          <w:tcPr>
            <w:tcW w:w="9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6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Q3 2023</w:t>
            </w:r>
          </w:p>
        </w:tc>
        <w:tc>
          <w:tcPr>
            <w:tcW w:w="8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60" w:type="dxa"/>
            <w:vAlign w:val="bottom"/>
          </w:tcPr>
          <w:p>
            <w:pPr>
              <w:spacing w:after="0"/>
              <w:rPr>
                <w:sz w:val="12"/>
                <w:szCs w:val="12"/>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Loss</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(11,608)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3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0"/>
              </w:rPr>
              <w:t>n/a</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3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0"/>
              </w:rPr>
              <w:t>n/a</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(4,949)</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(7,569)</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(2,735)</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(12,797)</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(8,134)</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(1,591)</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Loss per Common Share—Diluted</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424" w:right="40" w:hanging="424"/>
        <w:spacing w:after="0" w:line="25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sale of the Foundry Services Group business and Fab 4 in Q3 2020, we provided transitional foundry services to the buyer for foundry products manufactured in our fabrication facility located in Gumi, Korea, known as “Fab 3” (“Transitional Fab 3 Foundry Services”). The contractual obligation to provide the Transitional Fab 3 Foundry Services ended August 31, 2023, and we are winding down these foundry services and have begun to convert portions of the idle capacity to PAS products during the second half of 2024. Because these foundry services during the wind-down period are still provided to the same buyer by us using our Fab 3 based on mutually agreed terms and conditions, we will continue to report our revenue from providing these foundry services and related cost of sales within the Transitional Fab 3 Foundry Services line in our consolidated statement of operations until such wind down is completed. Management believes that disclosing revenue of Transitional Fab 3 Foundry Services separately from the standard products business allows investors to better understand the results of our core standard products MSS and PAS businesses.</w:t>
      </w:r>
    </w:p>
    <w:p>
      <w:pPr>
        <w:spacing w:after="0" w:line="6" w:lineRule="exact"/>
        <w:rPr>
          <w:rFonts w:ascii="Times New Roman" w:cs="Times New Roman" w:eastAsia="Times New Roman" w:hAnsi="Times New Roman"/>
          <w:sz w:val="18"/>
          <w:szCs w:val="18"/>
          <w:color w:val="auto"/>
        </w:rPr>
      </w:pPr>
    </w:p>
    <w:p>
      <w:pPr>
        <w:ind w:left="424" w:right="240"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GAAP results to non-GAAP results is included in this press release.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Q4 and Full-year 2024 Financial Guidance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Beginning in Q1 of 2024, the Company began reporting results under its newly organized businesses: MSS (Mixed-Signal Solutions) and PAS (Power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Analog Solutions). While actual results may vary, Magnachip currently expects the following:</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Q4 2024:</w:t>
      </w:r>
    </w:p>
    <w:p>
      <w:pPr>
        <w:spacing w:after="0" w:line="135" w:lineRule="exact"/>
        <w:rPr>
          <w:sz w:val="20"/>
          <w:szCs w:val="20"/>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to be in the range of $59.0 to $64.0 million, including approximately $2.0 million of Transitional Foundry Services.</w:t>
      </w:r>
    </w:p>
    <w:p>
      <w:pPr>
        <w:spacing w:after="0" w:line="130" w:lineRule="exact"/>
        <w:rPr>
          <w:rFonts w:ascii="Times New Roman" w:cs="Times New Roman" w:eastAsia="Times New Roman" w:hAnsi="Times New Roman"/>
          <w:sz w:val="18"/>
          <w:szCs w:val="18"/>
          <w:color w:val="auto"/>
        </w:rPr>
      </w:pPr>
    </w:p>
    <w:p>
      <w:pPr>
        <w:ind w:left="1424" w:right="360" w:hanging="331"/>
        <w:spacing w:after="0" w:line="282"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MSS revenue to be in the range of $15 to $17 million, down 2.7% sequentially but up 87% year-over-year at the mid-point. This compares with MSS revenue of $16.4 million in Q3 2024 and MSS equivalent revenue of $8.6 million in Q4 2023.</w:t>
      </w:r>
    </w:p>
    <w:p>
      <w:pPr>
        <w:spacing w:after="0" w:line="67" w:lineRule="exact"/>
        <w:rPr>
          <w:rFonts w:ascii="Times New Roman" w:cs="Times New Roman" w:eastAsia="Times New Roman" w:hAnsi="Times New Roman"/>
          <w:sz w:val="18"/>
          <w:szCs w:val="18"/>
          <w:color w:val="auto"/>
        </w:rPr>
      </w:pPr>
    </w:p>
    <w:p>
      <w:pPr>
        <w:ind w:left="1424" w:right="280" w:hanging="331"/>
        <w:spacing w:after="0" w:line="282"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revenue to be in the range of $42 to $45 million, down 8.6% sequentially but up 33.3% year-over-year at the mid-point. This compares with PAS revenue of $47.6 million in Q3 2024 and PAS equivalent revenue of $32.6 million in Q4 2023.</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to be in the range of 21.5% to 23.5%.</w:t>
      </w:r>
    </w:p>
    <w:p>
      <w:pPr>
        <w:spacing w:after="0" w:line="130" w:lineRule="exact"/>
        <w:rPr>
          <w:rFonts w:ascii="Times New Roman" w:cs="Times New Roman" w:eastAsia="Times New Roman" w:hAnsi="Times New Roman"/>
          <w:sz w:val="18"/>
          <w:szCs w:val="18"/>
          <w:color w:val="auto"/>
        </w:rPr>
      </w:pPr>
    </w:p>
    <w:p>
      <w:pPr>
        <w:ind w:left="1424" w:right="240" w:hanging="331"/>
        <w:spacing w:after="0" w:line="282"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MSS gross profit margin to be in the range of 37.5% to 40.5%. This compares with MSS gross profit margin of 38.7% in Q3 2024 and MSS equivalent gross profit margin of 41.3% in Q4 2023.</w:t>
      </w:r>
    </w:p>
    <w:p>
      <w:pPr>
        <w:spacing w:after="0" w:line="67" w:lineRule="exact"/>
        <w:rPr>
          <w:rFonts w:ascii="Times New Roman" w:cs="Times New Roman" w:eastAsia="Times New Roman" w:hAnsi="Times New Roman"/>
          <w:sz w:val="18"/>
          <w:szCs w:val="18"/>
          <w:color w:val="auto"/>
        </w:rPr>
      </w:pPr>
    </w:p>
    <w:p>
      <w:pPr>
        <w:ind w:left="1424" w:right="300" w:hanging="331"/>
        <w:spacing w:after="0" w:line="282"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gross profit margin to be in the range of 17% to 19%. This compares with PAS gross profit margin of 19.4% in Q3 2024 and PAS equivalent gross profit margin of 18.1% in Q4 2023.</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the full-year 2024, we currently expect:</w:t>
      </w:r>
    </w:p>
    <w:p>
      <w:pPr>
        <w:spacing w:after="0" w:line="135" w:lineRule="exact"/>
        <w:rPr>
          <w:sz w:val="20"/>
          <w:szCs w:val="20"/>
          <w:color w:val="auto"/>
        </w:rPr>
      </w:pPr>
    </w:p>
    <w:p>
      <w:pPr>
        <w:ind w:left="964" w:right="30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MSS revenue to grow double digits year-over-year as compared with MSS equivalent revenue of $44.4 million in 2023, consistent with what we communicated throughout the year.</w:t>
      </w:r>
    </w:p>
    <w:p>
      <w:pPr>
        <w:spacing w:after="0" w:line="67" w:lineRule="exact"/>
        <w:rPr>
          <w:rFonts w:ascii="Times New Roman" w:cs="Times New Roman" w:eastAsia="Times New Roman" w:hAnsi="Times New Roman"/>
          <w:sz w:val="18"/>
          <w:szCs w:val="18"/>
          <w:color w:val="auto"/>
        </w:rPr>
      </w:pPr>
    </w:p>
    <w:p>
      <w:pPr>
        <w:ind w:left="964" w:right="30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revenue to grow double digits year-over-year as compared with PAS equivalent revenue of $151.3 million in 2023, consistent with what we communicated throughout the year.</w:t>
      </w:r>
    </w:p>
    <w:p>
      <w:pPr>
        <w:spacing w:after="0" w:line="67" w:lineRule="exact"/>
        <w:rPr>
          <w:rFonts w:ascii="Times New Roman" w:cs="Times New Roman" w:eastAsia="Times New Roman" w:hAnsi="Times New Roman"/>
          <w:sz w:val="18"/>
          <w:szCs w:val="18"/>
          <w:color w:val="auto"/>
        </w:rPr>
      </w:pPr>
    </w:p>
    <w:p>
      <w:pPr>
        <w:ind w:left="964" w:right="46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Transitional Foundry Services revenue will be wound down by the end of 2024, as expected. We expect any remaining amounts to be immaterial beyond Q4 2024.</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flattish, as compared to our prior expectation of flattish-to-slightly down.</w:t>
      </w:r>
    </w:p>
    <w:p>
      <w:pPr>
        <w:spacing w:after="0" w:line="130" w:lineRule="exact"/>
        <w:rPr>
          <w:rFonts w:ascii="Times New Roman" w:cs="Times New Roman" w:eastAsia="Times New Roman" w:hAnsi="Times New Roman"/>
          <w:sz w:val="18"/>
          <w:szCs w:val="18"/>
          <w:color w:val="auto"/>
        </w:rPr>
      </w:pPr>
    </w:p>
    <w:p>
      <w:pPr>
        <w:ind w:left="964" w:right="46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between 21% to 22%, as compared to our prior expectation of 19% to 22%. This compares with the consolidated gross profit margin of 22.4% in 2023.</w:t>
      </w:r>
    </w:p>
    <w:p>
      <w:pPr>
        <w:sectPr>
          <w:pgSz w:w="11900" w:h="16838" w:orient="portrait"/>
          <w:cols w:equalWidth="0" w:num="1">
            <w:col w:w="11024"/>
          </w:cols>
          <w:pgMar w:left="436" w:top="94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182880</wp:posOffset>
            </wp:positionV>
            <wp:extent cx="1534795" cy="334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34010"/>
                    </a:xfrm>
                    <a:prstGeom prst="rect">
                      <a:avLst/>
                    </a:prstGeom>
                    <a:noFill/>
                  </pic:spPr>
                </pic:pic>
              </a:graphicData>
            </a:graphic>
          </wp:anchor>
        </w:drawing>
        <w:t>Q3 2024 Earnings Conference Call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Magnachip will host a corresponding conference call at 2:00 p.m. PT / 5:00 p.m. ET on Wednesday, October 30, 2024,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t>
      </w:r>
      <w:r>
        <w:rPr>
          <w:rFonts w:ascii="Times New Roman" w:cs="Times New Roman" w:eastAsia="Times New Roman" w:hAnsi="Times New Roman"/>
          <w:sz w:val="18"/>
          <w:szCs w:val="18"/>
          <w:u w:val="single" w:color="auto"/>
          <w:color w:val="auto"/>
        </w:rPr>
        <w:t>www.magnachip.com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https://register.vevent.com/register/BId4ac9a385dd74e4f813c5964a3ac6546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fourth quarter and full year 2024 revenue and gross profit margin expectations, future growth and revenue opportunities from new and existing products and customers, the timing and extent of future revenue contributions by our products and businesses, and the impact of market conditions associated with inflation and higher interest rates, geopolitical conflicts between Russia-Ukraine and between Israel-Hamas, sustained military action and conflict in the Red Sea, and trade tensions between the U.S. and China, on Magnachip’s fourth quarter and full year 2024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inflation, potential recessions or other deteriorations, economic instability or civil unrest; the geopolitical conflicts between Russia-Ukraine and between Israel-Hamas, sustained military action and conflict in the Red Sea, and trade tensions between the U.S. and China;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U.S. Securities and Exchange Commission (the “SEC”), including our Form 10-K filed on March 8, 2024,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semiconductor platform solutions for communication, Internet of Things (“IoT”), consumer, computing, industrial and automotive applications. The Company provides a broad range of standard products to customers worldwide. Magnachip, with more than 40 years of operating history, owns a portfolio of approximately 1,050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ectPr>
          <w:pgSz w:w="11900" w:h="16838" w:orient="portrait"/>
          <w:cols w:equalWidth="0" w:num="1">
            <w:col w:w="11000"/>
          </w:cols>
          <w:pgMar w:left="440" w:top="941"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182880</wp:posOffset>
            </wp:positionV>
            <wp:extent cx="1534795" cy="334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34010"/>
                    </a:xfrm>
                    <a:prstGeom prst="rect">
                      <a:avLst/>
                    </a:prstGeom>
                    <a:noFill/>
                  </pic:spPr>
                </pic:pic>
              </a:graphicData>
            </a:graphic>
          </wp:anchor>
        </w:drawing>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C. Pelayo,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(360) 808-5154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steven@blueshirtgroup.co</w:t>
      </w:r>
    </w:p>
    <w:p>
      <w:pPr>
        <w:sectPr>
          <w:pgSz w:w="11900" w:h="16838" w:orient="portrait"/>
          <w:cols w:equalWidth="0" w:num="1">
            <w:col w:w="10019"/>
          </w:cols>
          <w:pgMar w:left="440" w:top="941" w:right="1440" w:bottom="1440" w:gutter="0" w:footer="0" w:header="0"/>
        </w:sectPr>
      </w:pPr>
    </w:p>
    <w:bookmarkStart w:id="7" w:name="page8"/>
    <w:bookmarkEnd w:id="7"/>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182880</wp:posOffset>
            </wp:positionV>
            <wp:extent cx="1534795" cy="334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3401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4"/>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340" w:type="dxa"/>
            <w:vAlign w:val="bottom"/>
          </w:tcPr>
          <w:p>
            <w:pPr>
              <w:spacing w:after="0"/>
              <w:rPr>
                <w:sz w:val="10"/>
                <w:szCs w:val="10"/>
                <w:color w:val="auto"/>
              </w:rPr>
            </w:pPr>
          </w:p>
        </w:tc>
        <w:tc>
          <w:tcPr>
            <w:tcW w:w="11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501"/>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0"/>
                <w:szCs w:val="10"/>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50,835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51,619</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160,396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154,508</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24,721</w:t>
            </w:r>
          </w:p>
        </w:tc>
      </w:tr>
      <w:tr>
        <w:trPr>
          <w:trHeight w:val="223"/>
        </w:trPr>
        <w:tc>
          <w:tcPr>
            <w:tcW w:w="4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53,171</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168,698</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179,229</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39,113</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36,829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123,401</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112,008</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27,108</w:t>
            </w:r>
          </w:p>
        </w:tc>
      </w:tr>
      <w:tr>
        <w:trPr>
          <w:trHeight w:val="230"/>
        </w:trPr>
        <w:tc>
          <w:tcPr>
            <w:tcW w:w="4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41,570</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132,668</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139,116</w:t>
            </w:r>
          </w:p>
        </w:tc>
        <w:tc>
          <w:tcPr>
            <w:tcW w:w="22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15,461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11,601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36,030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40,113</w:t>
            </w:r>
          </w:p>
        </w:tc>
      </w:tr>
      <w:tr>
        <w:trPr>
          <w:trHeight w:val="198"/>
        </w:trPr>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profit as a percentage of standard products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net sales</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11,734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35,089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36,391</w:t>
            </w: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12,691</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38,227</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36,180</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termination and other charges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9,251</w:t>
            </w:r>
          </w:p>
        </w:tc>
      </w:tr>
      <w:tr>
        <w:trPr>
          <w:trHeight w:val="230"/>
        </w:trPr>
        <w:tc>
          <w:tcPr>
            <w:tcW w:w="4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73,316</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81,822</w:t>
            </w:r>
          </w:p>
        </w:tc>
        <w:tc>
          <w:tcPr>
            <w:tcW w:w="22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(37,286)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(41,709)</w:t>
            </w: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7,916</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(4,776)</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(loss),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 (benefit)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(35,531)</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(39,159)</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(8,577)</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(38,031</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(0.73)</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(0.73)</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37,468,849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w w:val="98"/>
              </w:rPr>
              <w:t>38,174,920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40,145,290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w w:val="98"/>
              </w:rPr>
              <w:t>38,060,682</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6"/>
              </w:rPr>
              <w:t>41,747,255</w:t>
            </w: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37,468,849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98"/>
              </w:rPr>
              <w:t>38,174,920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40,145,290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98"/>
              </w:rPr>
              <w:t>38,060,682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41,747,255</w:t>
            </w:r>
          </w:p>
        </w:tc>
      </w:tr>
    </w:tbl>
    <w:p>
      <w:pPr>
        <w:sectPr>
          <w:pgSz w:w="11900" w:h="16838" w:orient="portrait"/>
          <w:cols w:equalWidth="0" w:num="1">
            <w:col w:w="11020"/>
          </w:cols>
          <w:pgMar w:left="440" w:top="941" w:right="439" w:bottom="1440" w:gutter="0" w:footer="0" w:header="0"/>
        </w:sectPr>
      </w:pPr>
    </w:p>
    <w:bookmarkStart w:id="8" w:name="page9"/>
    <w:bookmarkEnd w:id="8"/>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182880</wp:posOffset>
            </wp:positionV>
            <wp:extent cx="1534795" cy="334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3401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121,095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158,092</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financial instruments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28,693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32,641</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36,127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32,733</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5,301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4,295</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11,614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7,390</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 collateral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8,208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9,283</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242,038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245,434</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92,383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100,122</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3,810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4,639</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5,736</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46,643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50,836</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12,187</w:t>
            </w:r>
          </w:p>
        </w:tc>
      </w:tr>
      <w:tr>
        <w:trPr>
          <w:trHeight w:val="223"/>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411,355</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420,491</w:t>
            </w:r>
          </w:p>
        </w:tc>
        <w:tc>
          <w:tcPr>
            <w:tcW w:w="12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24,644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24,443</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11,768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5,292</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9,133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10,457</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1,496</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3,286</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50,336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46,888</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30,312</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17,347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16,020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2,897</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11,596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10,088</w:t>
            </w:r>
          </w:p>
        </w:tc>
      </w:tr>
      <w:tr>
        <w:trPr>
          <w:trHeight w:val="230"/>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111,782</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75,893</w:t>
            </w:r>
          </w:p>
        </w:tc>
        <w:tc>
          <w:tcPr>
            <w:tcW w:w="120" w:type="dxa"/>
            <w:vAlign w:val="bottom"/>
          </w:tcPr>
          <w:p>
            <w:pPr>
              <w:spacing w:after="0"/>
              <w:rPr>
                <w:sz w:val="20"/>
                <w:szCs w:val="20"/>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6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57,032,206 shares issued and 37,292,044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September 30, 2024 and 56,971,394 shares issued and 38,852,742 outstanding at December 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277,306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273,256</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260,853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298,884</w:t>
            </w:r>
          </w:p>
        </w:tc>
      </w:tr>
      <w:tr>
        <w:trPr>
          <w:trHeight w:val="198"/>
        </w:trPr>
        <w:tc>
          <w:tcPr>
            <w:tcW w:w="86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Treasury stock, 19,740,162 shares at September 30, 2024 and 18,118,652 shares at December 31, 2023,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(222,503)</w:t>
            </w: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(213,454)</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(14,657)</w:t>
            </w:r>
          </w:p>
        </w:tc>
      </w:tr>
      <w:tr>
        <w:trPr>
          <w:trHeight w:val="230"/>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299,573</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344,598</w:t>
            </w:r>
          </w:p>
        </w:tc>
        <w:tc>
          <w:tcPr>
            <w:tcW w:w="120" w:type="dxa"/>
            <w:vAlign w:val="bottom"/>
          </w:tcPr>
          <w:p>
            <w:pPr>
              <w:spacing w:after="0"/>
              <w:rPr>
                <w:sz w:val="20"/>
                <w:szCs w:val="20"/>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411,355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420,491</w:t>
            </w:r>
          </w:p>
        </w:tc>
      </w:tr>
      <w:tr>
        <w:trPr>
          <w:trHeight w:val="20"/>
        </w:trPr>
        <w:tc>
          <w:tcPr>
            <w:tcW w:w="8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941"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182880</wp:posOffset>
            </wp:positionV>
            <wp:extent cx="1534795" cy="334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3401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6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6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r>
      <w:tr>
        <w:trPr>
          <w:trHeight w:val="173"/>
        </w:trPr>
        <w:tc>
          <w:tcPr>
            <w:tcW w:w="63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(9,617)</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(38,031)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(30,582)</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12,171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12,583</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4,552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5,358</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foreign currency, 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6,140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14,532</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(1,615)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3,035</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4,093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5,383</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3,111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3,560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(6,409)</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3,635</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4,993</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5,645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5,653</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1,155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(7,944)</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6,066</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(10,197)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(6,738)</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(1,339)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(1,459)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(3,014)</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(1,889)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(6,183)</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(1,077)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w:t>
            </w:r>
          </w:p>
        </w:tc>
      </w:tr>
      <w:tr>
        <w:trPr>
          <w:trHeight w:val="27"/>
        </w:trPr>
        <w:tc>
          <w:tcPr>
            <w:tcW w:w="6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(17,989)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3,335</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(3,154)</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(4,175)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(2,280)</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4,984</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(2,090)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(7,276)</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short-term financial instruments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(35,397)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(4,621)</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long-term borrowing</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30,059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(9,507)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(43,087)</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principal portion of finance lease liabilities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2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(3,702)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(10,518)</w:t>
            </w: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(58,833)</w:t>
            </w:r>
          </w:p>
        </w:tc>
        <w:tc>
          <w:tcPr>
            <w:tcW w:w="12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132,467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158,092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225,477</w:t>
            </w:r>
          </w:p>
        </w:tc>
      </w:tr>
      <w:tr>
        <w:trPr>
          <w:trHeight w:val="27"/>
        </w:trPr>
        <w:tc>
          <w:tcPr>
            <w:tcW w:w="6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0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121,095</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121,095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166,644</w:t>
            </w:r>
          </w:p>
        </w:tc>
      </w:tr>
      <w:tr>
        <w:trPr>
          <w:trHeight w:val="20"/>
        </w:trPr>
        <w:tc>
          <w:tcPr>
            <w:tcW w:w="6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941"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183515</wp:posOffset>
            </wp:positionV>
            <wp:extent cx="1534795"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34645"/>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LOSS TO ADJUSTED OPERATING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26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2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r>
      <w:tr>
        <w:trPr>
          <w:trHeight w:val="173"/>
        </w:trPr>
        <w:tc>
          <w:tcPr>
            <w:tcW w:w="5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$(12,824)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(41,709)</w:t>
            </w: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1,977</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2,171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5,383</w:t>
            </w: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and other charges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9,251</w:t>
            </w:r>
          </w:p>
        </w:tc>
      </w:tr>
      <w:tr>
        <w:trPr>
          <w:trHeight w:val="27"/>
        </w:trPr>
        <w:tc>
          <w:tcPr>
            <w:tcW w:w="5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(9,026)</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(11,608)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(7,064)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(33,193)</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(27,075)</w:t>
            </w:r>
          </w:p>
        </w:tc>
      </w:tr>
      <w:tr>
        <w:trPr>
          <w:trHeight w:val="20"/>
        </w:trPr>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We present Adjusted Operating Loss as a supplemental measure of our performance. We define Adjusted Operating Loss for the periods indicated as operating loss adjusted to exclude (i) Equity-based compensation expense and (ii) Early termination and other charges.</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we recorded in our consolidated statement of operations $8,449 thousand of termination related charges in connection with the voluntary resignation program that we offered to certain employees during the first quarter of 2023. During the same period, we also recorded $802 thousand of one-time employee incentives.</w:t>
      </w:r>
    </w:p>
    <w:p>
      <w:pPr>
        <w:sectPr>
          <w:pgSz w:w="11900" w:h="16838" w:orient="portrait"/>
          <w:cols w:equalWidth="0" w:num="1">
            <w:col w:w="11020"/>
          </w:cols>
          <w:pgMar w:left="440" w:top="941" w:right="439" w:bottom="1440" w:gutter="0" w:footer="0" w:header="0"/>
        </w:sectPr>
      </w:pPr>
    </w:p>
    <w:bookmarkStart w:id="11" w:name="page12"/>
    <w:bookmarkEnd w:id="11"/>
    <w:p>
      <w:pPr>
        <w:jc w:val="center"/>
        <w:ind w:left="440" w:right="1900"/>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183515</wp:posOffset>
            </wp:positionV>
            <wp:extent cx="1534795" cy="334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34645"/>
                    </a:xfrm>
                    <a:prstGeom prst="rect">
                      <a:avLst/>
                    </a:prstGeom>
                    <a:noFill/>
                  </pic:spPr>
                </pic:pic>
              </a:graphicData>
            </a:graphic>
          </wp:anchor>
        </w:drawing>
        <w:t>MAGNACHIP SEMICONDUCTOR CORPORATION AND SUBSIDIARIES RECONCILIATION OF NET LOSS TO ADJUSTED EBITDA AND ADJUSTED NET LOSS (In thousands of U.S. dollars, except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0"/>
                <w:szCs w:val="10"/>
                <w:color w:val="auto"/>
              </w:rPr>
            </w:pPr>
          </w:p>
        </w:tc>
        <w:tc>
          <w:tcPr>
            <w:tcW w:w="11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r>
      <w:tr>
        <w:trPr>
          <w:trHeight w:val="173"/>
        </w:trPr>
        <w:tc>
          <w:tcPr>
            <w:tcW w:w="42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(30,582)</w:t>
            </w: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(7,916)</w:t>
            </w: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(8,577)</w:t>
            </w: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12,583</w:t>
            </w:r>
          </w:p>
        </w:tc>
      </w:tr>
      <w:tr>
        <w:trPr>
          <w:trHeight w:val="27"/>
        </w:trPr>
        <w:tc>
          <w:tcPr>
            <w:tcW w:w="4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(33,847)</w:t>
            </w: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5,383</w:t>
            </w: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4,776</w:t>
            </w: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termination and other charges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9,251</w:t>
            </w: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6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(12,997)</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(38,031)</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(30,582)</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5,383</w:t>
            </w: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4,776</w:t>
            </w: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and other charges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9,251</w:t>
            </w: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effect on non-GAAP adjustments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(3,493)</w:t>
            </w: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6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 per common share—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6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37,468,849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38,174,920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8"/>
              </w:rPr>
              <w:t>40,145,290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38,060,682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41,747,255</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37,468,849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38,174,920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8"/>
              </w:rPr>
              <w:t>40,145,290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38,060,682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41,747,255</w:t>
            </w:r>
          </w:p>
        </w:tc>
      </w:tr>
    </w:tbl>
    <w:p>
      <w:pPr>
        <w:spacing w:after="0" w:line="198" w:lineRule="exact"/>
        <w:rPr>
          <w:sz w:val="20"/>
          <w:szCs w:val="20"/>
          <w:color w:val="auto"/>
        </w:rPr>
      </w:pPr>
    </w:p>
    <w:p>
      <w:pPr>
        <w:jc w:val="both"/>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We present Adjusted EBITDA and Adjusted Net Loss as supplemental measures of our performance. We define Adjusted EBITDA for the periods indicated as EBITDA (as defined below), adjusted to exclude (i) Equity-based compensation expense, (ii) Foreign currency loss (gain), net,</w:t>
      </w:r>
    </w:p>
    <w:p>
      <w:pPr>
        <w:ind w:left="4" w:right="300" w:hanging="4"/>
        <w:spacing w:after="0" w:line="260"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valuation loss (gain), net and (iv) Early termination and other charges. EBITDA for the periods indicated is defined as net loss before interest income, interest expense, income tax expense (benefit) and depreciation and amortization.</w:t>
      </w:r>
    </w:p>
    <w:p>
      <w:pPr>
        <w:spacing w:after="0" w:line="181"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We prepare Adjusted Net Loss by adjusting net loss to eliminate the impact of a number of non-cash expenses and other items that may be either one time or recurring that we do not consider to be indicative of our core ongoing operating performance. We believe that Adjusted Net Loss is particularly useful because it reflects the impact of our asset base and capital structure on our operating performance. We define Adjusted Net Loss for the periods as net loss, adjusted to exclude (i) Equity-based compensation expense, (ii) Foreign currency loss (gain), net, (iii) Derivative valuation loss (gain), net, (iv) Early termination and other charges and (v) Income tax effect on non-GAAP adjustments.</w:t>
      </w:r>
    </w:p>
    <w:p>
      <w:pPr>
        <w:spacing w:after="0" w:line="183"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we recorded in our consolidated statement of operations $8,449 thousand of termination related charges in connection with the voluntary resignation program that we offered to certain employees during the first quarter of 2023. During the same period, we also recorded $802 thousand of one-time employee incentives.</w:t>
      </w:r>
    </w:p>
    <w:sectPr>
      <w:pgSz w:w="11900" w:h="16838" w:orient="portrait"/>
      <w:cols w:equalWidth="0" w:num="1">
        <w:col w:w="11024"/>
      </w:cols>
      <w:pgMar w:left="436" w:top="94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2024-10-30T16:08:11Z</dcterms:created>
  <dcterms:modified xsi:type="dcterms:W3CDTF">2024-10-30T16:08:11Z</dcterms:modified>
</cp:coreProperties>
</file>