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Park Shin Young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35" w:lineRule="auto"/>
        <w:rPr>
          <w:sz w:val="20"/>
          <w:szCs w:val="20"/>
          <w:color w:val="auto"/>
        </w:rPr>
      </w:pPr>
      <w:r>
        <w:rPr>
          <w:rFonts w:ascii="Arial" w:cs="Arial" w:eastAsia="Arial" w:hAnsi="Arial"/>
          <w:sz w:val="16"/>
          <w:szCs w:val="16"/>
          <w:color w:val="0000FF"/>
        </w:rPr>
        <w:t>C/O MAGNACHIP SEMICONDUCTOR, LTD., 108, YEOUI-DAERO, YEONGDEUNGPO-GU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81"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12/31/2022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Chief Financial Officer (4)</w:t>
      </w:r>
    </w:p>
    <w:p>
      <w:pPr>
        <w:spacing w:after="0" w:line="452" w:lineRule="exact"/>
        <w:rPr>
          <w:sz w:val="24"/>
          <w:szCs w:val="24"/>
          <w:color w:val="auto"/>
        </w:rPr>
      </w:pPr>
    </w:p>
    <w:p>
      <w:pPr>
        <w:sectPr>
          <w:pgSz w:w="11900" w:h="16838" w:orient="portrait"/>
          <w:cols w:equalWidth="0" w:num="3">
            <w:col w:w="3540" w:space="371"/>
            <w:col w:w="3649" w:space="1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78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40" w:type="dxa"/>
            <w:vAlign w:val="bottom"/>
          </w:tcPr>
          <w:p>
            <w:pPr>
              <w:spacing w:after="0"/>
              <w:rPr>
                <w:sz w:val="11"/>
                <w:szCs w:val="11"/>
                <w:color w:val="auto"/>
              </w:rPr>
            </w:pPr>
          </w:p>
        </w:tc>
        <w:tc>
          <w:tcPr>
            <w:tcW w:w="3480" w:type="dxa"/>
            <w:vAlign w:val="bottom"/>
            <w:gridSpan w:val="8"/>
          </w:tcPr>
          <w:p>
            <w:pPr>
              <w:ind w:left="1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SEOUL</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M5</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07335</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jc w:val="right"/>
              <w:ind w:right="195"/>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87"/>
              <w:spacing w:after="0"/>
              <w:rPr>
                <w:sz w:val="20"/>
                <w:szCs w:val="20"/>
                <w:color w:val="auto"/>
              </w:rPr>
            </w:pPr>
            <w:r>
              <w:rPr>
                <w:rFonts w:ascii="Arial" w:cs="Arial" w:eastAsia="Arial" w:hAnsi="Arial"/>
                <w:sz w:val="17"/>
                <w:szCs w:val="17"/>
                <w:color w:val="0000FF"/>
                <w:w w:val="91"/>
              </w:rPr>
              <w:t>12/31/2022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6"/>
              </w:rPr>
              <w:t>794</w:t>
            </w:r>
            <w:r>
              <w:rPr>
                <w:rFonts w:ascii="Arial" w:cs="Arial" w:eastAsia="Arial" w:hAnsi="Arial"/>
                <w:sz w:val="22"/>
                <w:szCs w:val="22"/>
                <w:color w:val="008000"/>
                <w:w w:val="86"/>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9.39</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45,379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87"/>
              <w:spacing w:after="0"/>
              <w:rPr>
                <w:sz w:val="20"/>
                <w:szCs w:val="20"/>
                <w:color w:val="auto"/>
              </w:rPr>
            </w:pPr>
            <w:r>
              <w:rPr>
                <w:rFonts w:ascii="Arial" w:cs="Arial" w:eastAsia="Arial" w:hAnsi="Arial"/>
                <w:sz w:val="17"/>
                <w:szCs w:val="17"/>
                <w:color w:val="0000FF"/>
                <w:w w:val="91"/>
              </w:rPr>
              <w:t>12/31/2022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5"/>
              </w:rPr>
              <w:t>1,066</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9.39</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44,313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87"/>
              <w:spacing w:after="0"/>
              <w:rPr>
                <w:sz w:val="20"/>
                <w:szCs w:val="20"/>
                <w:color w:val="auto"/>
              </w:rPr>
            </w:pPr>
            <w:r>
              <w:rPr>
                <w:rFonts w:ascii="Arial" w:cs="Arial" w:eastAsia="Arial" w:hAnsi="Arial"/>
                <w:sz w:val="17"/>
                <w:szCs w:val="17"/>
                <w:color w:val="0000FF"/>
                <w:w w:val="91"/>
              </w:rPr>
              <w:t>12/31/2022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5"/>
              </w:rPr>
              <w:t>2,380</w:t>
            </w:r>
            <w:r>
              <w:rPr>
                <w:rFonts w:ascii="Arial" w:cs="Arial" w:eastAsia="Arial" w:hAnsi="Arial"/>
                <w:sz w:val="22"/>
                <w:szCs w:val="22"/>
                <w:color w:val="008000"/>
                <w:w w:val="85"/>
                <w:vertAlign w:val="superscript"/>
              </w:rPr>
              <w:t>(3)</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9.39</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41,933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794 shares of common stock to satisfy tax withholding obligations incurred by the Reporting Person upon the vesting of 1,667 shares of common stock originally awarded to the Reporting Person on May 7, 2020.</w:t>
      </w:r>
    </w:p>
    <w:p>
      <w:pPr>
        <w:spacing w:after="0" w:line="15"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1,066 shares of common stock to satisfy tax withholding obligations incurred by the Reporting Person upon the vesting of 2,238 shares of common stock originally awarded to the Reporting Person on February 19, 2021.</w:t>
      </w:r>
    </w:p>
    <w:p>
      <w:pPr>
        <w:spacing w:after="0" w:line="15"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2,380 shares of common stock to satisfy tax withholding obligations incurred by the Reporting Person upon the vesting of 5,000 shares of common stock originally awarded to the Reporting Person on February 28, 2022.</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(4) Appointed as Chief Financial Officer and Principal Financial Officer as of January 1, 2022.</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01/04/2023</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5443"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2023-01-04T15:16:47Z</dcterms:created>
  <dcterms:modified xsi:type="dcterms:W3CDTF">2023-01-04T15:16:47Z</dcterms:modified>
</cp:coreProperties>
</file>