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60"/>
        <w:spacing w:after="0"/>
        <w:tabs>
          <w:tab w:leader="none" w:pos="676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9"/>
        </w:trPr>
        <w:tc>
          <w:tcPr>
            <w:tcW w:w="400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Allée Scheffer, L-2520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Luxembourg, Grand Duchy of Luxembourg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(352) 45-62-62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July 31, 2017, the registrant had 34,036,978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576"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64"/>
        </w:trPr>
        <w:tc>
          <w:tcPr>
            <w:tcW w:w="10820" w:type="dxa"/>
            <w:vAlign w:val="bottom"/>
            <w:gridSpan w:val="2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1.</w:t>
            </w:r>
          </w:p>
        </w:tc>
        <w:tc>
          <w:tcPr>
            <w:tcW w:w="4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Interim Consolidated Financial Statements (Unaudited)</w:t>
              </w:r>
            </w:hyperlink>
          </w:p>
        </w:tc>
        <w:tc>
          <w:tcPr>
            <w:tcW w:w="52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MagnaChip Semiconductor Corporation and Subsidiaries Consolidated Balance Sheets as of June 30, 2017 and</w:t>
              </w:r>
            </w:hyperlink>
          </w:p>
        </w:tc>
        <w:tc>
          <w:tcPr>
            <w:tcW w:w="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December 31, 2016</w:t>
              </w:r>
            </w:hyperlink>
          </w:p>
        </w:tc>
        <w:tc>
          <w:tcPr>
            <w:tcW w:w="6400" w:type="dxa"/>
            <w:vAlign w:val="bottom"/>
            <w:tcBorders>
              <w:top w:val="single" w:sz="8" w:color="0000EE"/>
            </w:tcBorders>
            <w:gridSpan w:val="9"/>
          </w:tcPr>
          <w:p>
            <w:pPr>
              <w:spacing w:after="0"/>
              <w:rPr>
                <w:sz w:val="17"/>
                <w:szCs w:val="17"/>
                <w:color w:val="auto"/>
              </w:rPr>
            </w:pPr>
          </w:p>
        </w:tc>
        <w:tc>
          <w:tcPr>
            <w:tcW w:w="12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304"/>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MagnaChip Semiconductor Corporation and Subsidiaries Consolidated Statements of Operations for the Three and Six</w:t>
              </w:r>
            </w:hyperlink>
          </w:p>
        </w:tc>
        <w:tc>
          <w:tcPr>
            <w:tcW w:w="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Months Ended June 30, 2017 and 2016</w:t>
              </w:r>
            </w:hyperlink>
          </w:p>
        </w:tc>
        <w:tc>
          <w:tcPr>
            <w:tcW w:w="5560" w:type="dxa"/>
            <w:vAlign w:val="bottom"/>
            <w:tcBorders>
              <w:top w:val="single" w:sz="8" w:color="0000EE"/>
            </w:tcBorders>
            <w:gridSpan w:val="8"/>
          </w:tcPr>
          <w:p>
            <w:pPr>
              <w:spacing w:after="0"/>
              <w:rPr>
                <w:sz w:val="17"/>
                <w:szCs w:val="17"/>
                <w:color w:val="auto"/>
              </w:rPr>
            </w:pPr>
          </w:p>
        </w:tc>
        <w:tc>
          <w:tcPr>
            <w:tcW w:w="70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04"/>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MagnaChip Semiconductor Corporation and Subsidiaries Consolidated Statements of Comprehensive Income for the Three</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Six Months Ended June 30, 2017 and 2016</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MagnaChip Semiconductor Corporation and Subsidiaries Consolidated Statements of Changes in Stockholders’ Equity for</w:t>
              </w:r>
            </w:hyperlink>
          </w:p>
        </w:tc>
        <w:tc>
          <w:tcPr>
            <w:tcW w:w="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the Six Months Ended June 30, 2017 and 2016</w:t>
              </w:r>
            </w:hyperlink>
          </w:p>
        </w:tc>
        <w:tc>
          <w:tcPr>
            <w:tcW w:w="4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MagnaChip Semiconductor Corporation and Subsidiaries Consolidated Statements of Cash Flows for the Six Months</w:t>
              </w:r>
            </w:hyperlink>
          </w:p>
        </w:tc>
        <w:tc>
          <w:tcPr>
            <w:tcW w:w="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Ended June 30, 2017 and 2016</w:t>
              </w:r>
            </w:hyperlink>
          </w:p>
        </w:tc>
        <w:tc>
          <w:tcPr>
            <w:tcW w:w="82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2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MagnaChip Semiconductor Corporation and Subsidiaries Notes to Consolidated Financial Statements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2.</w:t>
            </w:r>
          </w:p>
        </w:tc>
        <w:tc>
          <w:tcPr>
            <w:tcW w:w="73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4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Quantitative and Qualitative Disclosures About Market Risk</w:t>
              </w:r>
            </w:hyperlink>
          </w:p>
        </w:tc>
        <w:tc>
          <w:tcPr>
            <w:tcW w:w="280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gridSpan w:val="5"/>
          </w:tcPr>
          <w:p>
            <w:pPr>
              <w:spacing w:after="0"/>
              <w:rPr>
                <w:sz w:val="24"/>
                <w:szCs w:val="24"/>
                <w:color w:val="auto"/>
              </w:rPr>
            </w:pPr>
          </w:p>
        </w:tc>
        <w:tc>
          <w:tcPr>
            <w:tcW w:w="490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4"/>
        </w:trPr>
        <w:tc>
          <w:tcPr>
            <w:tcW w:w="2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PART II OTHER INFORMATION</w:t>
              </w:r>
            </w:hyperlink>
          </w:p>
        </w:tc>
        <w:tc>
          <w:tcPr>
            <w:tcW w:w="8280" w:type="dxa"/>
            <w:vAlign w:val="bottom"/>
            <w:gridSpan w:val="1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Legal Proceedings</w:t>
              </w:r>
            </w:hyperlink>
          </w:p>
        </w:tc>
        <w:tc>
          <w:tcPr>
            <w:tcW w:w="7920" w:type="dxa"/>
            <w:vAlign w:val="bottom"/>
            <w:gridSpan w:val="1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1"/>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4"/>
        </w:trPr>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Exhibits</w:t>
              </w:r>
            </w:hyperlink>
          </w:p>
        </w:tc>
        <w:tc>
          <w:tcPr>
            <w:tcW w:w="8360" w:type="dxa"/>
            <w:vAlign w:val="bottom"/>
            <w:gridSpan w:val="18"/>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4"/>
        </w:trPr>
        <w:tc>
          <w:tcPr>
            <w:tcW w:w="1560" w:type="dxa"/>
            <w:vAlign w:val="bottom"/>
            <w:gridSpan w:val="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85"/>
        </w:trPr>
        <w:tc>
          <w:tcPr>
            <w:tcW w:w="11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360" w:type="dxa"/>
            <w:vAlign w:val="bottom"/>
            <w:gridSpan w:val="13"/>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4"/>
          </w:tcPr>
          <w:p>
            <w:pPr>
              <w:jc w:val="right"/>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(Note 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76,007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58,143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Hedge collateral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242,693</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186,078</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14,853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502,027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441,952</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52,202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12,702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51,227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received (Note 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130,032</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572,517</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42,384,836 shares issued and 34,010,627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 June 30, 2017 and 41,627,103 shares issued and 35,048,338 outstanding at December 31, 2016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133,885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(90,146)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8,374,209 shares at June 30, 2017 and 6,578,765 shares at December 31, 2016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(102,319)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(70,490)</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502,027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8"/>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167,106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328,395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130,357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240,163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88,232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70,998</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40,878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34,886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 (gain),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44,126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74,108</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29,881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33,952,574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34,716,081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33,808,237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34,707,492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33,952,574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34,716,081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43,772,115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34,707,492</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7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7"/>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(8,059)</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(17,816)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35,679</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(9,691)</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(25,962)</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adjustments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Fair valuation of derivatives</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(1,594)</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Reclassification adjustment for gain on derivatives included in net income (loss)</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(26,358)</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(1,099</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(11,673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4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2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600" w:type="dxa"/>
            <w:vAlign w:val="bottom"/>
          </w:tcPr>
          <w:p>
            <w:pPr>
              <w:spacing w:after="0" w:line="20" w:lineRule="exact"/>
              <w:rPr>
                <w:sz w:val="1"/>
                <w:szCs w:val="1"/>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288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Six Months Ended June 30, 2017:</w:t>
            </w:r>
          </w:p>
        </w:tc>
        <w:tc>
          <w:tcPr>
            <w:tcW w:w="1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2017</w:t>
            </w:r>
          </w:p>
        </w:tc>
        <w:tc>
          <w:tcPr>
            <w:tcW w:w="2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35,048,338</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416</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$130,189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(90,918)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(72,114)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360,211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Settlement of restricted stock units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27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(1,795,444)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(11,401)</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2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34,010,627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424</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133,885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(102,319)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(70,490)</w:t>
            </w: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2016</w:t>
            </w:r>
          </w:p>
        </w:tc>
        <w:tc>
          <w:tcPr>
            <w:tcW w:w="1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2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34,568,942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411</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$124,618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Settlement of restricted stock units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6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188</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2016</w:t>
            </w:r>
          </w:p>
        </w:tc>
        <w:tc>
          <w:tcPr>
            <w:tcW w:w="16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34,731,754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412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126,121</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(90,918</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(70,329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90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35,679</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foreign currency, net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(35,813)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gain and other</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(17,010)</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(9,730)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accounts payable</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(7,790)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(18,082)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disposal of plant, property and equipment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plant, property and equipment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(10,807)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30"/>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83,914</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 in restricted cash reclassified from other receivables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additions in other 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and, accordingly, do not include all of the information and note disclosures required by US GAAP for complete financial statements. The results of operations for the three and six months ended June 30, 2017 are not necessarily indicative of the results to be expected for a full year or for any other periods.</w:t>
      </w:r>
    </w:p>
    <w:p>
      <w:pPr>
        <w:spacing w:after="0" w:line="18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December 31, 2016 balance sheet data was derived from the Company’s audited financial statements, but does not include all disclosures required by US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Certain charges related to the closure of the Company’s 6-inch fab and headcount reduction, previously included in selling, general and administrative expenses in the consolidated statements of operations, have been reclassified to restructuring and other charges (gain), net and early termination charges, respectively, to conform to the Company’s current year presentation. These reclassifications had no impact on the Company’s net income (loss), the consolidated balance sheets, the consolidated statements of comprehensive income (loss) and the consolidated statements of cash flows as previously reported.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0" w:firstLine="456"/>
        <w:spacing w:after="0" w:line="274" w:lineRule="auto"/>
        <w:rPr>
          <w:sz w:val="20"/>
          <w:szCs w:val="20"/>
          <w:color w:val="auto"/>
        </w:rPr>
      </w:pPr>
      <w:r>
        <w:rPr>
          <w:rFonts w:ascii="Times New Roman" w:cs="Times New Roman" w:eastAsia="Times New Roman" w:hAnsi="Times New Roman"/>
          <w:sz w:val="17"/>
          <w:szCs w:val="17"/>
          <w:color w:val="auto"/>
        </w:rPr>
        <w:t>In May 2017, the Financial Accounting Standards Board (“FASB”) issued ASU 2017-09, Compensation-Stock Compensation (Topic 718): Scope of Modification Accounting (“ASU 2017-09”). ASU 2017-09 provides clarity and reduces both (i) diversity in practice and (ii) cost and complexity when applying the guidance in Topic 718, Compensation-Stock Compensation, to a change to the terms or conditions of a share-based payment award. The amendments in ASU 2017-09 provide guidance about which changes to the terms or conditions of a share-based payment award require an entity to apply modification accounting in Topic 718. ASU 2017-09 is effective for fiscal years beginning after December 15, 2017, and interim periods within those years and early adoption is permitted. The Company is currently evaluating the impact of adoption of ASU 2017-09 on its consolidated financial statements.</w:t>
      </w:r>
    </w:p>
    <w:p>
      <w:pPr>
        <w:spacing w:after="0" w:line="17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(“ASU 2016-15”). ASU 2016-15 reduces the existing diversity in practice in financial reporting across all industries by clarifying certain existing principles in ASC 230, Statement of Cash Flows (“ASC 230”), including providing additional guidance on how and what an entity should consider in determining the classification of certain cash flows. In addition, in November 2016, the FASB issued ASU 2016-18, Statement of Cash Flows (Topic 230), Restricted Cash (“ASU 2016-18”). ASU 2016-18 clarifies certain existing principles in ASC 230, including providing additional guidance related to transfers between cash and restricted cash and how entities present, in their statement of cash flows, the cash receipts and cash payments that directly affect the restricted cash accounts. These ASUs are effective for fiscal years beginning after December 15, 2017, and interim periods within those fiscal years. Early adoption is permitted. The Company does not expect the adoption of ASU 2016-15 to have a material effect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the Company’s consolidated financial statements. The adoption of ASU 2016-18 will modify the Company’s current disclosures by reclassifying certain balances within the consolidated statement of cash flows, but this is not expected to have a material effect on the Company’s consolidated financial statements.</w:t>
      </w:r>
    </w:p>
    <w:p>
      <w:pPr>
        <w:spacing w:after="0" w:line="176"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should recognize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The Company is performing a preliminary review of its contracts that are expected to be applied under the new guidance.</w:t>
      </w:r>
    </w:p>
    <w:p>
      <w:pPr>
        <w:spacing w:after="0" w:line="188"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 “Revenue from Contracts with Customers (Topic 606)”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(the “Original Effective Date”), including interim periods within that reporting period, and can be adopted either retrospectively to each prior period presented or as a cumulative-effect adjustment as of the date of adoption, with early application permitted as of the Original Effective Date. In August 2015, the FASB issued ASU 2015-14 “Deferral of the Effective Date,” which defers the required adoption date of ASU 2014-09 by one year. As a result of the deferred effective date, ASU 2014-09 will be effective for annual reporting periods beginning after December 15, 2017, including interim periods within that reporting period. In March 2016, the FASB issued Accounting Standards Update No. 2016-08, “Revenue from Contracts with Customers (Topic 606), Principal versus Agent Considerations (Reporting Revenue Gross versus Net)” (“ASU 2016-08”) clarifying the implementation guidance on principal 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May 2016, the FASB issued Accounting Standards Update No. 2016-12, “Revenue from Contracts with Customers (Topic 606): Narrow-Scope Improvements and Practical Expedients” (“ASU 2016-12”) clarifying how to assess collectibility, present sales tax, treat noncash consideration, and account for completed and modified contracts at the time of transition. In addition, ASU 2016-12 clarifies that an entity retrospectively applying the guidance in Topic 606 is not required to disclose the effect of the accounting change in the period of adoption. The effective date and transition requirements for ASU 2016-12, ASU 2016-08 and ASU 2014-09 are the same. Finally, ASU 2016-20 makes minor corrections or minor improvements to the Codification that are not expected to have a significant effect on current accounting practice or create a significant administrative cost to most entities.</w:t>
      </w:r>
    </w:p>
    <w:p>
      <w:pPr>
        <w:spacing w:after="0" w:line="1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started analyzing the potential impact of applying the new guidance by reviewing its current accounting policies, customer arrangements and practices. In terms of the Company’s evaluation efforts, the Company has assigned internal resources in addition to the engagement of third party service providers to assist in the evaluation. The Company’s analysis is in progress to determine whether there should be any change in the timing and amount of the recognition of revenues on product sales and non-recurring engineering services under the new standard. Due to the complexity of certain contracts, the actual revenue recognition treatment required under the new standard may be dependent on contract-specific terms and vary in some instances. The Company is currently evaluating the accounting, transition, and disclosure requirements of the new standard and cannot currently estimate the financial statement impact of adoption.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July 2015, the FASB issued Accounting Standards Update No. 2015-11, “Simplifying the Measurement of Inventory” (“ASU 2015-11”). Under ASU 2015-11, inventory will be measured at the lower of cost and net realizable value, and options that currently exist for market value will be eliminated. Net realizable value is defined as the estimated selling prices in the ordinary course of business, less reasonably predictable costs of completion, disposal, and transportation. No other changes were made to the current guidance on inventory measurement. The Company adopted ASU 2015-11 in the first quarter of 2017, and the adoption of ASU 2015-11 did not impact the Company’s consolidated financial statements.</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November 2015, the FASB issued Accounting Standards Update No. 2015-17, “Income Taxes (Topic 740): Balance Sheet Classification of Deferred Taxes” (“ASU 2015-17”). The amendments in ASU 2015-17 require an entity to classify all deferred tax assets and liabilities as noncurrent. The Company adopted ASU 2015-17 in the first quarter of 2017, and the impact on the Company’s consolidated financial statements is immaterial.</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March 2016, the FASB issued Accounting Standards Update No. 2016-09, “Improvements to Employee Share-Based Payment Accounting” (“ASU 2016-09”). ASU 2016-09 simplifies several aspects of the accounting for share-based payment transactions, including the income tax consequences, classification of awards as either equity or liabilities and classification on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 of cash flows. The primary impact of adoption is the recognition of excess tax benefits within income tax provision rather than within shareholders’ equity. The Company adopted ASU 2016-09 in the first quarter of 2017, and the adoption of ASU 2016-09 did not impact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Sales of Accounts Receivable and Receivable Discount Program</w:t>
      </w:r>
    </w:p>
    <w:p>
      <w:pPr>
        <w:spacing w:after="0" w:line="121" w:lineRule="exact"/>
        <w:rPr>
          <w:sz w:val="20"/>
          <w:szCs w:val="20"/>
          <w:color w:val="auto"/>
        </w:rPr>
      </w:pPr>
    </w:p>
    <w:p>
      <w:pPr>
        <w:jc w:val="both"/>
        <w:ind w:right="200" w:firstLine="456"/>
        <w:spacing w:after="0" w:line="272" w:lineRule="auto"/>
        <w:rPr>
          <w:sz w:val="20"/>
          <w:szCs w:val="20"/>
          <w:color w:val="auto"/>
        </w:rPr>
      </w:pPr>
      <w:r>
        <w:rPr>
          <w:rFonts w:ascii="Times New Roman" w:cs="Times New Roman" w:eastAsia="Times New Roman" w:hAnsi="Times New Roman"/>
          <w:sz w:val="17"/>
          <w:szCs w:val="17"/>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$11,345 thousand and $10,973 thousand for the six months ended</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June 30, 2017 and 2016, respectively, and these sales resulted in pre-tax losses of $34 thousand and $36 thousand for the six months ended June 30, 2017 and 2016,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Company uses receivable discount programs with certain customers. These discount arrangements allow the Company to accelerate collection of customers’ receivables.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as of June 30, 2017 and December 31, 2016 consist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40" w:type="dxa"/>
            <w:vAlign w:val="bottom"/>
          </w:tcPr>
          <w:p>
            <w:pPr>
              <w:spacing w:after="0"/>
              <w:rPr>
                <w:sz w:val="15"/>
                <w:szCs w:val="15"/>
                <w:color w:val="auto"/>
              </w:rPr>
            </w:pP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$11,699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 and work-in-process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46,653</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Materials in-transit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(7,177)</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58,143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57,048</w:t>
            </w:r>
          </w:p>
        </w:tc>
        <w:tc>
          <w:tcPr>
            <w:tcW w:w="12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inventory reserve for the three and six months ended June 30, 2017 and 2016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580" w:type="dxa"/>
            <w:vAlign w:val="bottom"/>
            <w:tcBorders>
              <w:top w:val="single" w:sz="8" w:color="auto"/>
              <w:bottom w:val="single" w:sz="8" w:color="auto"/>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4"/>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1,159</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547</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1,526</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(5,297)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(14,997)</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and work-in-process. Write off of this reserve is recognized only when the related inventory has been disposed or scrapped.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as of June 30, 2017 and December 31, 2016 are comprised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4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related structures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374,580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(203,630)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(184,521)</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179,793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Aggregate depreciation expenses totaled $13,233 thousand and $12,036 thousand for the six months ended June 30, 2017 and 2016,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as of June 30, 2017 and December 31, 2016 are comprised of the following (in thousands):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80" w:type="dxa"/>
            <w:vAlign w:val="bottom"/>
          </w:tcPr>
          <w:p>
            <w:pPr>
              <w:spacing w:after="0"/>
              <w:rPr>
                <w:sz w:val="10"/>
                <w:szCs w:val="10"/>
                <w:color w:val="auto"/>
              </w:rPr>
            </w:pPr>
          </w:p>
        </w:tc>
        <w:tc>
          <w:tcPr>
            <w:tcW w:w="13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$18,985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27,266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(27,266)</w:t>
            </w: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3,530</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56,314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(52,784</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3,530</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80" w:type="dxa"/>
            <w:vAlign w:val="bottom"/>
          </w:tcPr>
          <w:p>
            <w:pPr>
              <w:spacing w:after="0"/>
              <w:rPr>
                <w:sz w:val="10"/>
                <w:szCs w:val="10"/>
                <w:color w:val="auto"/>
              </w:rPr>
            </w:pPr>
          </w:p>
        </w:tc>
        <w:tc>
          <w:tcPr>
            <w:tcW w:w="13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0"/>
                <w:szCs w:val="10"/>
                <w:color w:val="auto"/>
              </w:rPr>
            </w:pPr>
          </w:p>
        </w:tc>
      </w:tr>
      <w:tr>
        <w:trPr>
          <w:trHeight w:val="173"/>
        </w:trPr>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$17,903</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25,712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(25,712)</w:t>
            </w: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3,085</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52,641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(49,556</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3,085</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Aggregate amortization expenses for intangible assets totaled $298 thousand and $216 thousand for the six months ended June 30, 2017 and 2016,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as of June 30, 2017 and December 31, 2016 are comprised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62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benefits and related taxes, excluding severance benefits</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$19,703</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attributable to intercompany interest income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senior notes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obligations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service fees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51,227</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Financial Instruments</w:t>
      </w:r>
    </w:p>
    <w:p>
      <w:pPr>
        <w:spacing w:after="0" w:line="121"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derivative contracts as of June 30, 2017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17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Type of derivative</w:t>
            </w:r>
          </w:p>
        </w:tc>
        <w:tc>
          <w:tcPr>
            <w:tcW w:w="3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180" w:type="dxa"/>
            <w:vAlign w:val="bottom"/>
          </w:tcPr>
          <w:p>
            <w:pPr>
              <w:spacing w:after="0"/>
              <w:rPr>
                <w:sz w:val="16"/>
                <w:szCs w:val="16"/>
                <w:color w:val="auto"/>
              </w:rPr>
            </w:pPr>
          </w:p>
        </w:tc>
        <w:tc>
          <w:tcPr>
            <w:tcW w:w="486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Month of settlement</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11, 2016</w:t>
            </w:r>
          </w:p>
        </w:tc>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Zero cost collar</w:t>
            </w:r>
          </w:p>
        </w:tc>
        <w:tc>
          <w:tcPr>
            <w:tcW w:w="3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to August 2017</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22, 2017</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2017 to February 2018</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22, 2017</w:t>
            </w:r>
          </w:p>
        </w:tc>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w:t>
            </w: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to December 2017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derivative contracts as of December 31, 2016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Type of derivative</w:t>
            </w: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17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Month of settlement</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11, 2016</w:t>
            </w:r>
          </w:p>
        </w:tc>
        <w:tc>
          <w:tcPr>
            <w:tcW w:w="1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Zero cost collar</w:t>
            </w:r>
          </w:p>
        </w:tc>
        <w:tc>
          <w:tcPr>
            <w:tcW w:w="4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480" w:type="dxa"/>
            <w:vAlign w:val="bottom"/>
            <w:vMerge w:val="continue"/>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March to August 2017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zero cost collar and forward contracts qualify as cash flow hedges under Accounting Standards Codification 815, “Derivatives and Hedging,” since at both the inception of the contracts and on an ongoing basis, the hedging relationship was and 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the Company’s outstanding zero cost collar and forward contracts recorded as assets and liabilities as of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are as follows (in thousands):</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680" w:type="dxa"/>
            <w:vAlign w:val="bottom"/>
          </w:tcPr>
          <w:p>
            <w:pPr>
              <w:spacing w:after="0"/>
              <w:rPr>
                <w:sz w:val="13"/>
                <w:szCs w:val="13"/>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vMerge w:val="continue"/>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 Derivatives:</w:t>
            </w:r>
          </w:p>
        </w:tc>
        <w:tc>
          <w:tcPr>
            <w:tcW w:w="3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Derivatives:</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Derivatives:</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Forwards</w:t>
            </w:r>
          </w:p>
        </w:tc>
        <w:tc>
          <w:tcPr>
            <w:tcW w:w="36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of derivative assets and liabilities as of June 30, 2017 is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00" w:type="dxa"/>
            <w:vAlign w:val="bottom"/>
          </w:tcPr>
          <w:p>
            <w:pPr>
              <w:spacing w:after="0"/>
              <w:rPr>
                <w:sz w:val="13"/>
                <w:szCs w:val="13"/>
                <w:color w:val="auto"/>
              </w:rPr>
            </w:pPr>
          </w:p>
        </w:tc>
        <w:tc>
          <w:tcPr>
            <w:tcW w:w="22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00" w:type="dxa"/>
            <w:vAlign w:val="bottom"/>
          </w:tcPr>
          <w:p>
            <w:pPr>
              <w:spacing w:after="0"/>
              <w:rPr>
                <w:sz w:val="14"/>
                <w:szCs w:val="14"/>
                <w:color w:val="auto"/>
              </w:rPr>
            </w:pPr>
          </w:p>
        </w:tc>
        <w:tc>
          <w:tcPr>
            <w:tcW w:w="22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00" w:type="dxa"/>
            <w:vAlign w:val="bottom"/>
          </w:tcPr>
          <w:p>
            <w:pPr>
              <w:spacing w:after="0"/>
              <w:rPr>
                <w:sz w:val="10"/>
                <w:szCs w:val="10"/>
                <w:color w:val="auto"/>
              </w:rPr>
            </w:pPr>
          </w:p>
        </w:tc>
        <w:tc>
          <w:tcPr>
            <w:tcW w:w="13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4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24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73"/>
        </w:trPr>
        <w:tc>
          <w:tcPr>
            <w:tcW w:w="25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14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9"/>
              </w:rPr>
              <w:t>Asset Derivatives:</w:t>
            </w:r>
          </w:p>
        </w:tc>
        <w:tc>
          <w:tcPr>
            <w:tcW w:w="1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Derivatives: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(590)</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Derivatives: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Forwards</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46"/>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Offsetting of derivative liabilities as of December 31, 2016 is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440" w:type="dxa"/>
            <w:vAlign w:val="bottom"/>
          </w:tcPr>
          <w:p>
            <w:pPr>
              <w:spacing w:after="0"/>
              <w:rPr>
                <w:sz w:val="13"/>
                <w:szCs w:val="13"/>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00" w:type="dxa"/>
            <w:vAlign w:val="bottom"/>
          </w:tcPr>
          <w:p>
            <w:pPr>
              <w:spacing w:after="0"/>
              <w:rPr>
                <w:sz w:val="10"/>
                <w:szCs w:val="10"/>
                <w:color w:val="auto"/>
              </w:rPr>
            </w:pPr>
          </w:p>
        </w:tc>
        <w:tc>
          <w:tcPr>
            <w:tcW w:w="840" w:type="dxa"/>
            <w:vAlign w:val="bottom"/>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440" w:type="dxa"/>
            <w:vAlign w:val="bottom"/>
          </w:tcPr>
          <w:p>
            <w:pPr>
              <w:spacing w:after="0"/>
              <w:rPr>
                <w:sz w:val="10"/>
                <w:szCs w:val="10"/>
                <w:color w:val="auto"/>
              </w:rPr>
            </w:pPr>
          </w:p>
        </w:tc>
        <w:tc>
          <w:tcPr>
            <w:tcW w:w="12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22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44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0"/>
              </w:rPr>
              <w:t>Liabilities Derivatives:</w:t>
            </w:r>
          </w:p>
        </w:tc>
        <w:tc>
          <w:tcPr>
            <w:tcW w:w="1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 of operations for the three months ended June 30, 2017 and 2016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20" w:type="dxa"/>
            <w:vAlign w:val="bottom"/>
          </w:tcPr>
          <w:p>
            <w:pPr>
              <w:spacing w:after="0"/>
              <w:rPr>
                <w:sz w:val="13"/>
                <w:szCs w:val="13"/>
                <w:color w:val="auto"/>
              </w:rPr>
            </w:pPr>
          </w:p>
        </w:tc>
        <w:tc>
          <w:tcPr>
            <w:tcW w:w="1660" w:type="dxa"/>
            <w:vAlign w:val="bottom"/>
            <w:gridSpan w:val="10"/>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6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Location of Loss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6"/>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2"/>
                <w:szCs w:val="12"/>
                <w:color w:val="auto"/>
              </w:rPr>
            </w:pPr>
          </w:p>
        </w:tc>
        <w:tc>
          <w:tcPr>
            <w:tcW w:w="1660" w:type="dxa"/>
            <w:vAlign w:val="bottom"/>
            <w:gridSpan w:val="10"/>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20" w:type="dxa"/>
            <w:vAlign w:val="bottom"/>
          </w:tcPr>
          <w:p>
            <w:pPr>
              <w:spacing w:after="0"/>
              <w:rPr>
                <w:sz w:val="12"/>
                <w:szCs w:val="12"/>
                <w:color w:val="auto"/>
              </w:rPr>
            </w:pPr>
          </w:p>
        </w:tc>
        <w:tc>
          <w:tcPr>
            <w:tcW w:w="1660" w:type="dxa"/>
            <w:vAlign w:val="bottom"/>
            <w:gridSpan w:val="10"/>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22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149"/>
        </w:trPr>
        <w:tc>
          <w:tcPr>
            <w:tcW w:w="2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 815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12"/>
                <w:szCs w:val="12"/>
                <w:color w:val="auto"/>
              </w:rPr>
            </w:pPr>
          </w:p>
        </w:tc>
        <w:tc>
          <w:tcPr>
            <w:tcW w:w="14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46"/>
        </w:trPr>
        <w:tc>
          <w:tcPr>
            <w:tcW w:w="26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left="284"/>
              <w:spacing w:after="0" w:line="147" w:lineRule="exact"/>
              <w:rPr>
                <w:sz w:val="20"/>
                <w:szCs w:val="20"/>
                <w:color w:val="auto"/>
              </w:rPr>
            </w:pPr>
            <w:r>
              <w:rPr>
                <w:rFonts w:ascii="Times New Roman" w:cs="Times New Roman" w:eastAsia="Times New Roman" w:hAnsi="Times New Roman"/>
                <w:sz w:val="14"/>
                <w:szCs w:val="14"/>
                <w:b w:val="1"/>
                <w:bCs w:val="1"/>
                <w:color w:val="auto"/>
              </w:rPr>
              <w:t>AOCI on</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5"/>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Operations on</w:t>
            </w: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(Ineffective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Hedging Relationships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60" w:type="dxa"/>
            <w:vAlign w:val="bottom"/>
          </w:tcPr>
          <w:p>
            <w:pPr>
              <w:spacing w:after="0"/>
              <w:rPr>
                <w:sz w:val="12"/>
                <w:szCs w:val="12"/>
                <w:color w:val="auto"/>
              </w:rPr>
            </w:pPr>
          </w:p>
        </w:tc>
        <w:tc>
          <w:tcPr>
            <w:tcW w:w="1440" w:type="dxa"/>
            <w:vAlign w:val="bottom"/>
            <w:gridSpan w:val="5"/>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Pr>
          <w:p>
            <w:pPr>
              <w:spacing w:after="0"/>
              <w:rPr>
                <w:sz w:val="12"/>
                <w:szCs w:val="12"/>
                <w:color w:val="auto"/>
              </w:rPr>
            </w:pPr>
          </w:p>
        </w:tc>
        <w:tc>
          <w:tcPr>
            <w:tcW w:w="1660" w:type="dxa"/>
            <w:vAlign w:val="bottom"/>
            <w:gridSpan w:val="10"/>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220" w:type="dxa"/>
            <w:vAlign w:val="bottom"/>
          </w:tcPr>
          <w:p>
            <w:pPr>
              <w:spacing w:after="0"/>
              <w:rPr>
                <w:sz w:val="12"/>
                <w:szCs w:val="12"/>
                <w:color w:val="auto"/>
              </w:rPr>
            </w:pPr>
          </w:p>
        </w:tc>
        <w:tc>
          <w:tcPr>
            <w:tcW w:w="142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Portion)</w:t>
            </w:r>
          </w:p>
        </w:tc>
        <w:tc>
          <w:tcPr>
            <w:tcW w:w="100" w:type="dxa"/>
            <w:vAlign w:val="bottom"/>
          </w:tcPr>
          <w:p>
            <w:pPr>
              <w:spacing w:after="0"/>
              <w:rPr>
                <w:sz w:val="12"/>
                <w:szCs w:val="12"/>
                <w:color w:val="auto"/>
              </w:rPr>
            </w:pPr>
          </w:p>
        </w:tc>
        <w:tc>
          <w:tcPr>
            <w:tcW w:w="1500" w:type="dxa"/>
            <w:vAlign w:val="bottom"/>
            <w:gridSpan w:val="8"/>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9"/>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30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7"/>
          </w:tcPr>
          <w:p>
            <w:pPr>
              <w:jc w:val="center"/>
              <w:ind w:right="14"/>
              <w:spacing w:after="0" w:line="105"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6"/>
              </w:rPr>
              <w:t>(24)</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1"/>
              </w:rPr>
              <w:t>808</w:t>
            </w:r>
          </w:p>
        </w:tc>
        <w:tc>
          <w:tcPr>
            <w:tcW w:w="8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(368)</w:t>
            </w: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Forwards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1"/>
              </w:rPr>
              <w:t>808</w:t>
            </w:r>
          </w:p>
        </w:tc>
        <w:tc>
          <w:tcPr>
            <w:tcW w:w="8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(467)</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1420" w:type="dxa"/>
            <w:vAlign w:val="bottom"/>
            <w:gridSpan w:val="40"/>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 of operations for the six months ended June 30,</w:t>
            </w:r>
          </w:p>
        </w:tc>
        <w:tc>
          <w:tcPr>
            <w:tcW w:w="0" w:type="dxa"/>
            <w:vAlign w:val="bottom"/>
          </w:tcPr>
          <w:p>
            <w:pPr>
              <w:spacing w:after="0"/>
              <w:rPr>
                <w:sz w:val="1"/>
                <w:szCs w:val="1"/>
                <w:color w:val="auto"/>
              </w:rPr>
            </w:pPr>
          </w:p>
        </w:tc>
      </w:tr>
      <w:tr>
        <w:trPr>
          <w:trHeight w:val="234"/>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2017 and 2016 (in thousands):</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vMerge w:val="restart"/>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200" w:type="dxa"/>
            <w:vAlign w:val="bottom"/>
          </w:tcPr>
          <w:p>
            <w:pPr>
              <w:spacing w:after="0"/>
              <w:rPr>
                <w:sz w:val="12"/>
                <w:szCs w:val="12"/>
                <w:color w:val="auto"/>
              </w:rPr>
            </w:pPr>
          </w:p>
        </w:tc>
        <w:tc>
          <w:tcPr>
            <w:tcW w:w="860" w:type="dxa"/>
            <w:vAlign w:val="bottom"/>
            <w:gridSpan w:val="2"/>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240" w:type="dxa"/>
            <w:vAlign w:val="bottom"/>
            <w:gridSpan w:val="8"/>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149"/>
        </w:trPr>
        <w:tc>
          <w:tcPr>
            <w:tcW w:w="2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ASC</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200" w:type="dxa"/>
            <w:vAlign w:val="bottom"/>
          </w:tcPr>
          <w:p>
            <w:pPr>
              <w:spacing w:after="0"/>
              <w:rPr>
                <w:sz w:val="12"/>
                <w:szCs w:val="12"/>
                <w:color w:val="auto"/>
              </w:rPr>
            </w:pPr>
          </w:p>
        </w:tc>
        <w:tc>
          <w:tcPr>
            <w:tcW w:w="980" w:type="dxa"/>
            <w:vAlign w:val="bottom"/>
            <w:gridSpan w:val="3"/>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Operations 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46"/>
        </w:trPr>
        <w:tc>
          <w:tcPr>
            <w:tcW w:w="26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left="162"/>
              <w:spacing w:after="0" w:line="147" w:lineRule="exact"/>
              <w:rPr>
                <w:sz w:val="20"/>
                <w:szCs w:val="20"/>
                <w:color w:val="auto"/>
              </w:rPr>
            </w:pPr>
            <w:r>
              <w:rPr>
                <w:rFonts w:ascii="Times New Roman" w:cs="Times New Roman" w:eastAsia="Times New Roman" w:hAnsi="Times New Roman"/>
                <w:sz w:val="14"/>
                <w:szCs w:val="14"/>
                <w:b w:val="1"/>
                <w:bCs w:val="1"/>
                <w:color w:val="auto"/>
              </w:rPr>
              <w:t>AOCI 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left="84"/>
              <w:spacing w:after="0" w:line="147"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Operations on</w:t>
            </w: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815 Cash Flow Hedging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00" w:type="dxa"/>
            <w:vAlign w:val="bottom"/>
          </w:tcPr>
          <w:p>
            <w:pPr>
              <w:spacing w:after="0"/>
              <w:rPr>
                <w:sz w:val="12"/>
                <w:szCs w:val="12"/>
                <w:color w:val="auto"/>
              </w:rPr>
            </w:pPr>
          </w:p>
        </w:tc>
        <w:tc>
          <w:tcPr>
            <w:tcW w:w="980" w:type="dxa"/>
            <w:vAlign w:val="bottom"/>
            <w:gridSpan w:val="3"/>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(Ineffective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149"/>
        </w:trPr>
        <w:tc>
          <w:tcPr>
            <w:tcW w:w="26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6"/>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200" w:type="dxa"/>
            <w:vAlign w:val="bottom"/>
          </w:tcPr>
          <w:p>
            <w:pPr>
              <w:spacing w:after="0"/>
              <w:rPr>
                <w:sz w:val="12"/>
                <w:szCs w:val="12"/>
                <w:color w:val="auto"/>
              </w:rPr>
            </w:pPr>
          </w:p>
        </w:tc>
        <w:tc>
          <w:tcPr>
            <w:tcW w:w="1400" w:type="dxa"/>
            <w:vAlign w:val="bottom"/>
            <w:gridSpan w:val="5"/>
          </w:tcPr>
          <w:p>
            <w:pPr>
              <w:jc w:val="center"/>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240" w:type="dxa"/>
            <w:vAlign w:val="bottom"/>
            <w:gridSpan w:val="8"/>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220" w:type="dxa"/>
            <w:vAlign w:val="bottom"/>
          </w:tcPr>
          <w:p>
            <w:pPr>
              <w:spacing w:after="0"/>
              <w:rPr>
                <w:sz w:val="12"/>
                <w:szCs w:val="12"/>
                <w:color w:val="auto"/>
              </w:rPr>
            </w:pPr>
          </w:p>
        </w:tc>
        <w:tc>
          <w:tcPr>
            <w:tcW w:w="14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Portion)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7"/>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5"/>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gridSpan w:val="5"/>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Six Months Ended</w:t>
            </w:r>
          </w:p>
        </w:tc>
        <w:tc>
          <w:tcPr>
            <w:tcW w:w="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7"/>
          </w:tcPr>
          <w:p>
            <w:pPr>
              <w:jc w:val="center"/>
              <w:ind w:right="40"/>
              <w:spacing w:after="0" w:line="105" w:lineRule="exact"/>
              <w:rPr>
                <w:sz w:val="20"/>
                <w:szCs w:val="20"/>
                <w:color w:val="auto"/>
              </w:rPr>
            </w:pPr>
            <w:r>
              <w:rPr>
                <w:rFonts w:ascii="Times New Roman" w:cs="Times New Roman" w:eastAsia="Times New Roman" w:hAnsi="Times New Roman"/>
                <w:sz w:val="12"/>
                <w:szCs w:val="12"/>
                <w:b w:val="1"/>
                <w:bCs w:val="1"/>
                <w:color w:val="auto"/>
              </w:rPr>
              <w:t>Six Months Ended</w:t>
            </w:r>
          </w:p>
        </w:tc>
        <w:tc>
          <w:tcPr>
            <w:tcW w:w="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5"/>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Six Months Ended</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41</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Forwards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the amount expected to be reclassified from accumulated other comprehensive income (loss) into loss within the next twelve months is $832 thousand.</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Company set aside $6,000 thousand and $2,500 thousand cash deposits to the counterparty, Nomura Financial Investment (Korea) Co., Ltd. (“NFIK”) for the zero cost collar and forward contracts outstanding as of June 30, 2017 and for the zero cost collar contracts outstanding as of December 31, 2016, respectively. These cash deposits are recorded as hedge collateral on the consolidated balance sheets.</w:t>
      </w:r>
    </w:p>
    <w:p>
      <w:pPr>
        <w:spacing w:after="0" w:line="176"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The Company is required to deposit additional cash collateral with NFIK for any exposure in excess of $500 thousand, and $590 thousand and $650 thousand of additional cash collateral were required and recorded as hedge collateral on the consolidated balance sheets as of June 30, 2017 and December 31, 2016, respectively. These outstanding zero cost collar contracts and forward contracts are subject to termination if the sum of qualified and unrestricted cash and cash equivalents held by the Company is less than $30,000 thousand on the last day of a fiscal quarter.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the following table represents the Company’s assets and liabilities measured at fair value on a recurring basis and the basis for that measurement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3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3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6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Asset (Level 1)</w:t>
            </w:r>
          </w:p>
        </w:tc>
        <w:tc>
          <w:tcPr>
            <w:tcW w:w="100" w:type="dxa"/>
            <w:vAlign w:val="bottom"/>
          </w:tcPr>
          <w:p>
            <w:pPr>
              <w:spacing w:after="0"/>
              <w:rPr>
                <w:sz w:val="15"/>
                <w:szCs w:val="15"/>
                <w:color w:val="auto"/>
              </w:rPr>
            </w:pPr>
          </w:p>
        </w:tc>
        <w:tc>
          <w:tcPr>
            <w:tcW w:w="1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assets (other current assets)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liabilities (other current liabilities)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961</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961</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961</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the following table represents the Company’s liabilities measured at fair value on a recurring basis and the basis for that measurement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3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3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6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Asset (Level 1)</w:t>
            </w:r>
          </w:p>
        </w:tc>
        <w:tc>
          <w:tcPr>
            <w:tcW w:w="100" w:type="dxa"/>
            <w:vAlign w:val="bottom"/>
          </w:tcPr>
          <w:p>
            <w:pPr>
              <w:spacing w:after="0"/>
              <w:rPr>
                <w:sz w:val="15"/>
                <w:szCs w:val="15"/>
                <w:color w:val="auto"/>
              </w:rPr>
            </w:pPr>
          </w:p>
        </w:tc>
        <w:tc>
          <w:tcPr>
            <w:tcW w:w="1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453</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453</w:t>
            </w:r>
          </w:p>
        </w:tc>
        <w:tc>
          <w:tcPr>
            <w:tcW w:w="1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453</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Items not reflected in the table above include cash and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with the exception of cash (Level 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Borrowings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17"/>
        </w:trPr>
        <w:tc>
          <w:tcPr>
            <w:tcW w:w="51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40" w:type="dxa"/>
            <w:vAlign w:val="bottom"/>
            <w:tcBorders>
              <w:top w:val="single" w:sz="8" w:color="auto"/>
            </w:tcBorders>
          </w:tcPr>
          <w:p>
            <w:pPr>
              <w:jc w:val="center"/>
              <w:ind w:left="102"/>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0" w:type="dxa"/>
            <w:vAlign w:val="bottom"/>
          </w:tcPr>
          <w:p>
            <w:pPr>
              <w:spacing w:after="0"/>
              <w:rPr>
                <w:sz w:val="10"/>
                <w:szCs w:val="10"/>
                <w:color w:val="auto"/>
              </w:rPr>
            </w:pPr>
          </w:p>
        </w:tc>
      </w:tr>
      <w:tr>
        <w:trPr>
          <w:trHeight w:val="173"/>
        </w:trPr>
        <w:tc>
          <w:tcPr>
            <w:tcW w:w="51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42"/>
        </w:trPr>
        <w:tc>
          <w:tcPr>
            <w:tcW w:w="5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5.0% Exchangeable Senior Notes due March 2021 (Level 2)</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80,926</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$122,671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6.625% Senior Notes due July 2021 (Level 2)</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5"/>
              </w:rPr>
              <w:t>221,454</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$209,700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95"/>
              </w:rPr>
              <w:t>221,082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193,500</w:t>
            </w:r>
          </w:p>
        </w:tc>
      </w:tr>
      <w:tr>
        <w:trPr>
          <w:trHeight w:val="365"/>
        </w:trPr>
        <w:tc>
          <w:tcPr>
            <w:tcW w:w="5160" w:type="dxa"/>
            <w:vAlign w:val="bottom"/>
          </w:tcPr>
          <w:p>
            <w:pPr>
              <w:spacing w:after="0"/>
              <w:rPr>
                <w:sz w:val="24"/>
                <w:szCs w:val="24"/>
                <w:color w:val="auto"/>
              </w:rPr>
            </w:pPr>
          </w:p>
        </w:tc>
        <w:tc>
          <w:tcPr>
            <w:tcW w:w="26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The Company estimates the fair value of the Exchangeable Notes using the market approach, which utilizes quoted market prices that fall under Level 2. For further description of the Exchangeable Notes, see Note 9, “Long-term Borrowings”.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July 18, 2013, the Company issued 6.625% senior notes due July 15, 2021 (the “2021 Notes”) of $225,000 thousand, which represents the principal amount, excluding $1,125 thousand of original issue discount and $5,120 thousand of debt issuance costs. The Company estimates the fair value of the 2021 Notes using the market approach, which utilizes quoted market prices that fall under Level 2. For further description of the 2021 Notes, see Note 9, “Long-term Borrowings”.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Measured on a Non-recurring Basis</w:t>
      </w:r>
    </w:p>
    <w:p>
      <w:pPr>
        <w:spacing w:after="0" w:line="11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property, plant and equipment, and intangible assets, are recorded at fair value upon acquisition and are remeasured at fair value only if an impairment charge is recognized. As of June 30, 2017 and 2016, the Company did not have any assets or liabilities measured at fair value on a non-recurring basis.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Borrowings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borrowings as of June 30, 2017 and December 31, 2016 are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Exchangeable Senior Notes due March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6.625% Senior Notes due July 2021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225,000</w:t>
            </w:r>
          </w:p>
        </w:tc>
        <w:tc>
          <w:tcPr>
            <w:tcW w:w="24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(3,918)</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net of unamortized discount and debt issuance costs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302,380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221,082</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 Exchangeable Senior Notes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 used a portion of the net proceeds from the issuance to repurchase 1,795,444 shares of common stock under its stock repurchase program at an aggregate cost of $11,401 thousand.</w:t>
      </w:r>
    </w:p>
    <w:p>
      <w:pPr>
        <w:spacing w:after="0" w:line="16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8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8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exceptions and qualifications. Certain of these restrictive covenants will terminate if the Exchangeable Notes are rated investment grade at any time.</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six months ended June 30, 2017 was $2,542 thousand.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6.625% Senior Notes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On July 18, 2013, the Company issued $225,000,000 aggregate principal amount of the 2021 Notes at a price of 99.5%. Interest on the 2021 Notes accrues at a rate of 6.625% per annum, payable semi-annually on January 15 and July 15 of each year, beginning on January 15, 2014.</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103.313%, 101.656% and 100% of the principal amount of the notes redeemed on or after July 15, 2017, 2018 and 2019, respectively, plus accrued and unpaid interest and special interest, if any, on the notes redeemed, to the applicable date of redemption.</w:t>
      </w:r>
    </w:p>
    <w:p>
      <w:pPr>
        <w:spacing w:after="0" w:line="180" w:lineRule="exact"/>
        <w:rPr>
          <w:sz w:val="20"/>
          <w:szCs w:val="20"/>
          <w:color w:val="auto"/>
        </w:rPr>
      </w:pPr>
    </w:p>
    <w:p>
      <w:pPr>
        <w:ind w:right="280" w:firstLine="456"/>
        <w:spacing w:after="0" w:line="257" w:lineRule="auto"/>
        <w:rPr>
          <w:sz w:val="20"/>
          <w:szCs w:val="20"/>
          <w:color w:val="auto"/>
        </w:rPr>
      </w:pPr>
      <w:r>
        <w:rPr>
          <w:rFonts w:ascii="Times New Roman" w:cs="Times New Roman" w:eastAsia="Times New Roman" w:hAnsi="Times New Roman"/>
          <w:sz w:val="18"/>
          <w:szCs w:val="18"/>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w:t>
      </w:r>
    </w:p>
    <w:p>
      <w:pPr>
        <w:spacing w:after="0" w:line="2" w:lineRule="exact"/>
        <w:rPr>
          <w:sz w:val="20"/>
          <w:szCs w:val="20"/>
          <w:color w:val="auto"/>
        </w:rPr>
      </w:pPr>
    </w:p>
    <w:p>
      <w:pPr>
        <w:ind w:right="360" w:firstLine="8"/>
        <w:spacing w:after="0" w:line="265" w:lineRule="auto"/>
        <w:tabs>
          <w:tab w:leader="none" w:pos="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w:t>
      </w: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 (viii) guarantee the payment of any indebtedness; (ix) enter into sale-leaseback transactions;</w:t>
      </w:r>
    </w:p>
    <w:p>
      <w:pPr>
        <w:spacing w:after="0" w:line="9"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w:t>
      </w: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unrestricted subsidiaries.</w:t>
      </w:r>
    </w:p>
    <w:p>
      <w:pPr>
        <w:spacing w:after="0" w:line="207"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exceptions and qualifications. Certain of these restrictive covenants will terminate if the 2021 Notes are rated investment grade at any time.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incurred original issue discount of $1,125 thousand and debt issuance costs of $5,120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six months ended June 30, 2017 and 2016 were $7,826 thousand and $7,801 thousand, respectively.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Severance Benefits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2017, 98% of employees of the Company were eligible for severance benefits.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accrued severance benefits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w:t>
            </w:r>
          </w:p>
        </w:tc>
        <w:tc>
          <w:tcPr>
            <w:tcW w:w="18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Six</w:t>
            </w: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gridSpan w:val="4"/>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auto"/>
            </w:tcBorders>
            <w:gridSpan w:val="3"/>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0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$140,878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$130,144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$139,103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3,390</w:t>
            </w:r>
          </w:p>
        </w:tc>
        <w:tc>
          <w:tcPr>
            <w:tcW w:w="3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9,827</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(10,558)</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(18,082)</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(9,004)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(13,102)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(2,816)</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8,056</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(1,355)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130,894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Cumulative contributions to the National Pension Fund</w:t>
            </w: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(245)</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(290)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Group severance insurance plan</w:t>
            </w: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(599)</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130,050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130,050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131,841</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131,841</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liable to pay the following future benefits to its non-executive employees upon their normal retirement age (in thousands):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760" w:type="dxa"/>
            <w:vAlign w:val="bottom"/>
            <w:gridSpan w:val="4"/>
          </w:tcPr>
          <w:p>
            <w:pPr>
              <w:ind w:left="2600"/>
              <w:spacing w:after="0"/>
              <w:rPr>
                <w:sz w:val="20"/>
                <w:szCs w:val="20"/>
                <w:color w:val="auto"/>
              </w:rPr>
            </w:pPr>
            <w:r>
              <w:rPr>
                <w:rFonts w:ascii="Times New Roman" w:cs="Times New Roman" w:eastAsia="Times New Roman" w:hAnsi="Times New Roman"/>
                <w:sz w:val="14"/>
                <w:szCs w:val="14"/>
                <w:b w:val="1"/>
                <w:bCs w:val="1"/>
                <w:color w:val="auto"/>
              </w:rPr>
              <w:t>Severance benefit</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2017</w:t>
            </w:r>
          </w:p>
        </w:tc>
        <w:tc>
          <w:tcPr>
            <w:tcW w:w="2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 2027</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Korea’s mandatory retirement age is 60 under the Employment Promotion for the Aged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Foreign Currency Gain,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foreign currency gain or loss includes non-cash translation gain or loss associated with intercompany balances. A substantial portion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net foreign currency gain or loss is non-cash translation gain or loss associated with intercompany long-term loans to the Company’s Korean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The loans are denominated in U.S. dollars and are affected by changes in the exchange rate between the Korean won and the U.S. dollar.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the outstanding intercompany loan balance including accrued interests between the Korean subsidiary and the Dutch subsidiary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$670,992 thousand. This amount includes a newly executed intercompany loan of $75,000 thousand during the first quarter of 2017, which was used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 portion of the net proceeds from the Exchangeable Notes Offering from the Company’s Luxembourg’s subsidiary to its Dutch subsidiary, and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Korean subsidiary. The Korean won to U.S. dollar exchange rates were 1,139.6:1 and 1,208.5:1 using the first base rate as of June 30, 2017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respectively, as quoted by the KEB Hana Bank.</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and Other Charges (Gain),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21, 2016, the Company entered into a purchase and sale agreement to sell a building located in Cheongju, South Korea. The building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historically been used to house the Company’s six-inch fabrication facility in Cheongju, South Korea (the “6-inch fab”) and became vacant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of the fabrication facility in February 2016. As of December 31, 2015, the building was fully impaired. The Company received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$18,204 thousand, including a $1,655 thousand value-added tax, for the sale of the building in December 2016. As the Company was obligated to perform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removal construction work, it recorded the $18,204 thousand proceeds as restricted cash and $16,549 thousand as deposits received in its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 as of December 31, 2016. During the first quarter of 2017, the Company completed all removal construction work necessary to transfer the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building, and the $18,204 thousand of restricted cash was fully released. Accordingly, the Company recorded $16,635 thousand as restructuring gain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statements of operations for the three months ended March 31, 2017.</w:t>
      </w:r>
    </w:p>
    <w:p>
      <w:pPr>
        <w:spacing w:after="0" w:line="207"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March 2017, the Company sold its sensor product business, which was included in and reported as part of Display Solutions line of its Standard Products Group, to a third party for proceeds of $1,295 thousand, in an effort to improve our overall profitability. The Company recorded $375 thousand net gain from this sale after deducting the book values of certain assets transferred to the buyer.</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the Company completed all procedures necessary to sell all machinery in its closed 6-inch fab and recognized the $7,785 thousand of restructuring gain from the related deposit of $8,165 thousand received as of December 31, 2015, net of certain direct selling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Early Termination Charges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of February 22, 2017, the Company’s Board of Directors approved the implementation of a new headcount reduction plan (the “Headcount Reduction Plan”). As of June 30, 2017, 352 employees elected to resign from the Company during which the Headcount Reduction Plan was offered. The cost related to the Headcount Reduction Plan, all of which is expected to consist of cash expenditures, is approximately $31 million of which approximately $28 million has already been paid. The Company recorded in its consolidated statement of operations $11.1 million and $2.3 million in termination related charges as early termination charges for the three months ended March 31, 2017 and June 30, 2017, respectively. The remaining total estimated cost relates to statutory severance benefits, which are required by law and have already been fully accrued in the Company’s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files income tax returns in the U.S., Korea, Japan, Taiwan and various other jurisdictions.</w:t>
      </w:r>
    </w:p>
    <w:p>
      <w:pPr>
        <w:spacing w:after="0" w:line="225"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Company’s Korean subsidiary is the primary operating subsidiary of the Company. For the six months ended June 30, 2017 and 2016, no income tax expense or benefit for the Korean subsidiary was recorded due to net operating loss carry-forwards available to offset taxable income and full allowance for deferred tax assets.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Income tax expense recorded for the six months ended June 30, 2017 and 2016 was $1,391 thousand and $1,087 thousand, respectively. The increase in income tax expenses was primarily attributable to changes in unrecognized tax benefits as a result of a lapse of the applicable statute of limitations in the Korean subsidiary and an increase in accrued interests on intercompany loans.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Geographic and Segment Information</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 has two operating segments: Foundry Services Group and Standard Products Group. The Company’s chief operating decision maker is its Chief Executive Officer who allocates resources and assesses performance of the business and other activities based on gross profit.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relating to the operating segment (in thousands):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6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Foundry Services Group</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81,528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159,056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122,289</w:t>
            </w: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 Products Group</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Display Solutions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49,753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98,632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132,465</w:t>
            </w:r>
          </w:p>
        </w:tc>
      </w:tr>
      <w:tr>
        <w:trPr>
          <w:trHeight w:val="216"/>
        </w:trPr>
        <w:tc>
          <w:tcPr>
            <w:tcW w:w="4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Solutions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35,314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70,594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60,131</w:t>
            </w:r>
          </w:p>
        </w:tc>
      </w:tr>
      <w:tr>
        <w:trPr>
          <w:trHeight w:val="223"/>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Standard Products Group</w:t>
            </w:r>
          </w:p>
        </w:tc>
        <w:tc>
          <w:tcPr>
            <w:tcW w:w="1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85,067</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104,619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169,226</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192,596</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4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sales</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166,685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167,106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328,395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315,211</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6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Foundry Services Group</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23,433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45,520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28,480</w:t>
            </w: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Standard Products Group</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43,145</w:t>
            </w:r>
          </w:p>
        </w:tc>
      </w:tr>
      <w:tr>
        <w:trPr>
          <w:trHeight w:val="223"/>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4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46,662</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88,232</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70,998</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net sales by geographic region, based on the location to which the products are billed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166,685</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Borders>
              <w:bottom w:val="single" w:sz="8" w:color="CCEEFF"/>
            </w:tcBorders>
          </w:tcPr>
          <w:p>
            <w:pPr>
              <w:spacing w:after="0"/>
              <w:rPr>
                <w:sz w:val="15"/>
                <w:szCs w:val="15"/>
                <w:color w:val="auto"/>
              </w:rPr>
            </w:pPr>
          </w:p>
        </w:tc>
        <w:tc>
          <w:tcPr>
            <w:tcW w:w="36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133,062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155,988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328,395</w:t>
            </w:r>
          </w:p>
        </w:tc>
        <w:tc>
          <w:tcPr>
            <w:tcW w:w="4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315,211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62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Net sales from the Company’s top ten largest customers accounted for 59% and 68% for the three months ended June 30, 2017 and 2016, respectively, and 60% and 65% for the six months ended June 30, 2017 and 2016, respectively.</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2017, the Company had one customer that represented 15.1% of its net sales, and for the six months ended June 30, 2017, the Company had one customer that represented 14.9% of its net sales.</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2016, the Company had one customer that represented 29.4% of its net sales, and for the six months ended June 30, 2016, the Company had two customers that represented 24.3% and 11.0% of its net sales,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97% of the Company’s property, plant and equipment are located in Korea as of June 30,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 consists of the following as of June 30, 2017 and December 31, 2016, respectively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(11,502)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adjustments</w:t>
            </w:r>
          </w:p>
        </w:tc>
        <w:tc>
          <w:tcPr>
            <w:tcW w:w="17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(12,334)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for the three months ended June 30, 2017 and 2016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13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60" w:type="dxa"/>
            <w:vAlign w:val="bottom"/>
            <w:gridSpan w:val="3"/>
            <w:vMerge w:val="continue"/>
          </w:tcPr>
          <w:p>
            <w:pPr>
              <w:spacing w:after="0"/>
              <w:rPr>
                <w:sz w:val="15"/>
                <w:szCs w:val="15"/>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580" w:type="dxa"/>
            <w:vAlign w:val="bottom"/>
            <w:tcBorders>
              <w:top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(11,502)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13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60" w:type="dxa"/>
            <w:vAlign w:val="bottom"/>
            <w:gridSpan w:val="3"/>
            <w:vMerge w:val="continue"/>
          </w:tcPr>
          <w:p>
            <w:pPr>
              <w:spacing w:after="0"/>
              <w:rPr>
                <w:sz w:val="15"/>
                <w:szCs w:val="15"/>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580" w:type="dxa"/>
            <w:vAlign w:val="bottom"/>
            <w:tcBorders>
              <w:top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5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Changes in accumulated other comprehensive income (loss) for the six months ended June 30, 2017 and 2016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2017</w:t>
            </w:r>
          </w:p>
        </w:tc>
        <w:tc>
          <w:tcPr>
            <w:tcW w:w="13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60" w:type="dxa"/>
            <w:vAlign w:val="bottom"/>
            <w:gridSpan w:val="3"/>
            <w:vMerge w:val="continue"/>
          </w:tcPr>
          <w:p>
            <w:pPr>
              <w:spacing w:after="0"/>
              <w:rPr>
                <w:sz w:val="15"/>
                <w:szCs w:val="15"/>
                <w:color w:val="auto"/>
              </w:rPr>
            </w:pPr>
          </w:p>
        </w:tc>
        <w:tc>
          <w:tcPr>
            <w:tcW w:w="13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(25,053)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(26,358)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(11,502)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13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60" w:type="dxa"/>
            <w:vAlign w:val="bottom"/>
            <w:gridSpan w:val="3"/>
            <w:vMerge w:val="continue"/>
          </w:tcPr>
          <w:p>
            <w:pPr>
              <w:spacing w:after="0"/>
              <w:rPr>
                <w:sz w:val="15"/>
                <w:szCs w:val="15"/>
                <w:color w:val="auto"/>
              </w:rPr>
            </w:pPr>
          </w:p>
        </w:tc>
        <w:tc>
          <w:tcPr>
            <w:tcW w:w="13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5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computation of basic and diluted earnings (loss) per common share for the three and six months ended June 30, 2017 and 2016:</w:t>
      </w:r>
    </w:p>
    <w:p>
      <w:pPr>
        <w:sectPr>
          <w:pgSz w:w="11900" w:h="16838" w:orient="portrait"/>
          <w:cols w:equalWidth="0" w:num="1">
            <w:col w:w="11360"/>
          </w:cols>
          <w:pgMar w:left="240" w:top="45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-116840</wp:posOffset>
            </wp:positionV>
            <wp:extent cx="666369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loss per share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Diluted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-116840</wp:posOffset>
            </wp:positionV>
            <wp:extent cx="666369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earnings (loss) per share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 back: Interest expense on Exchangeable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Net income (loss) allocated to common stockholders</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effect of dilutive equity awards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Pr>
          <w:p>
            <w:pPr>
              <w:spacing w:after="0"/>
              <w:rPr>
                <w:sz w:val="15"/>
                <w:szCs w:val="15"/>
                <w:color w:val="auto"/>
              </w:rPr>
            </w:pPr>
          </w:p>
        </w:tc>
      </w:tr>
      <w:tr>
        <w:trPr>
          <w:trHeight w:val="117"/>
        </w:trPr>
        <w:tc>
          <w:tcPr>
            <w:tcW w:w="100" w:type="dxa"/>
            <w:vAlign w:val="bottom"/>
          </w:tcPr>
          <w:p>
            <w:pPr>
              <w:spacing w:after="0"/>
              <w:rPr>
                <w:sz w:val="10"/>
                <w:szCs w:val="10"/>
                <w:color w:val="auto"/>
              </w:rPr>
            </w:pPr>
          </w:p>
        </w:tc>
        <w:tc>
          <w:tcPr>
            <w:tcW w:w="2400" w:type="dxa"/>
            <w:vAlign w:val="bottom"/>
            <w:gridSpan w:val="6"/>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60" w:type="dxa"/>
            <w:vAlign w:val="bottom"/>
          </w:tcPr>
          <w:p>
            <w:pPr>
              <w:spacing w:after="0"/>
              <w:rPr>
                <w:sz w:val="10"/>
                <w:szCs w:val="10"/>
                <w:color w:val="auto"/>
              </w:rPr>
            </w:pPr>
          </w:p>
        </w:tc>
      </w:tr>
      <w:tr>
        <w:trPr>
          <w:trHeight w:val="190"/>
        </w:trPr>
        <w:tc>
          <w:tcPr>
            <w:tcW w:w="100" w:type="dxa"/>
            <w:vAlign w:val="bottom"/>
          </w:tcPr>
          <w:p>
            <w:pPr>
              <w:spacing w:after="0"/>
              <w:rPr>
                <w:sz w:val="16"/>
                <w:szCs w:val="16"/>
                <w:color w:val="auto"/>
              </w:rPr>
            </w:pPr>
          </w:p>
        </w:tc>
        <w:tc>
          <w:tcPr>
            <w:tcW w:w="24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except share data)</w:t>
            </w:r>
          </w:p>
        </w:tc>
      </w:tr>
      <w:tr>
        <w:trPr>
          <w:trHeight w:val="41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(8,059)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(17,816)</w:t>
            </w:r>
          </w:p>
        </w:tc>
      </w:tr>
      <w:tr>
        <w:trPr>
          <w:trHeight w:val="20"/>
        </w:trPr>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33,952,574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34,716,081</w:t>
            </w:r>
          </w:p>
        </w:tc>
        <w:tc>
          <w:tcPr>
            <w:tcW w:w="60" w:type="dxa"/>
            <w:vAlign w:val="bottom"/>
          </w:tcPr>
          <w:p>
            <w:pPr>
              <w:spacing w:after="0"/>
              <w:rPr>
                <w:sz w:val="16"/>
                <w:szCs w:val="16"/>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43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(8,059)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(17,816)</w:t>
            </w:r>
          </w:p>
        </w:tc>
      </w:tr>
      <w:tr>
        <w:trPr>
          <w:trHeight w:val="20"/>
        </w:trPr>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33,952,574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34,716,081</w:t>
            </w:r>
          </w:p>
        </w:tc>
        <w:tc>
          <w:tcPr>
            <w:tcW w:w="60" w:type="dxa"/>
            <w:vAlign w:val="bottom"/>
          </w:tcPr>
          <w:p>
            <w:pPr>
              <w:spacing w:after="0"/>
              <w:rPr>
                <w:sz w:val="16"/>
                <w:szCs w:val="16"/>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365"/>
        </w:trPr>
        <w:tc>
          <w:tcPr>
            <w:tcW w:w="100" w:type="dxa"/>
            <w:vAlign w:val="bottom"/>
          </w:tcPr>
          <w:p>
            <w:pPr>
              <w:spacing w:after="0"/>
              <w:rPr>
                <w:sz w:val="24"/>
                <w:szCs w:val="24"/>
                <w:color w:val="auto"/>
              </w:rPr>
            </w:pPr>
          </w:p>
        </w:tc>
        <w:tc>
          <w:tcPr>
            <w:tcW w:w="24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Pr>
          <w:p>
            <w:pPr>
              <w:spacing w:after="0"/>
              <w:rPr>
                <w:sz w:val="15"/>
                <w:szCs w:val="15"/>
                <w:color w:val="auto"/>
              </w:rPr>
            </w:pPr>
          </w:p>
        </w:tc>
      </w:tr>
      <w:tr>
        <w:trPr>
          <w:trHeight w:val="117"/>
        </w:trPr>
        <w:tc>
          <w:tcPr>
            <w:tcW w:w="100" w:type="dxa"/>
            <w:vAlign w:val="bottom"/>
          </w:tcPr>
          <w:p>
            <w:pPr>
              <w:spacing w:after="0"/>
              <w:rPr>
                <w:sz w:val="10"/>
                <w:szCs w:val="10"/>
                <w:color w:val="auto"/>
              </w:rPr>
            </w:pPr>
          </w:p>
        </w:tc>
        <w:tc>
          <w:tcPr>
            <w:tcW w:w="2400" w:type="dxa"/>
            <w:vAlign w:val="bottom"/>
            <w:gridSpan w:val="6"/>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60" w:type="dxa"/>
            <w:vAlign w:val="bottom"/>
          </w:tcPr>
          <w:p>
            <w:pPr>
              <w:spacing w:after="0"/>
              <w:rPr>
                <w:sz w:val="10"/>
                <w:szCs w:val="10"/>
                <w:color w:val="auto"/>
              </w:rPr>
            </w:pPr>
          </w:p>
        </w:tc>
      </w:tr>
      <w:tr>
        <w:trPr>
          <w:trHeight w:val="190"/>
        </w:trPr>
        <w:tc>
          <w:tcPr>
            <w:tcW w:w="100" w:type="dxa"/>
            <w:vAlign w:val="bottom"/>
          </w:tcPr>
          <w:p>
            <w:pPr>
              <w:spacing w:after="0"/>
              <w:rPr>
                <w:sz w:val="16"/>
                <w:szCs w:val="16"/>
                <w:color w:val="auto"/>
              </w:rPr>
            </w:pPr>
          </w:p>
        </w:tc>
        <w:tc>
          <w:tcPr>
            <w:tcW w:w="24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except share data)</w:t>
            </w:r>
          </w:p>
        </w:tc>
      </w:tr>
      <w:tr>
        <w:trPr>
          <w:trHeight w:val="41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(9,691)</w:t>
            </w:r>
          </w:p>
        </w:tc>
      </w:tr>
      <w:tr>
        <w:trPr>
          <w:trHeight w:val="20"/>
        </w:trPr>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33,808,237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34,707,492</w:t>
            </w:r>
          </w:p>
        </w:tc>
        <w:tc>
          <w:tcPr>
            <w:tcW w:w="60" w:type="dxa"/>
            <w:vAlign w:val="bottom"/>
          </w:tcPr>
          <w:p>
            <w:pPr>
              <w:spacing w:after="0"/>
              <w:rPr>
                <w:sz w:val="16"/>
                <w:szCs w:val="16"/>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41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35,679</w:t>
            </w:r>
          </w:p>
        </w:tc>
        <w:tc>
          <w:tcPr>
            <w:tcW w:w="3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(9,691)</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38,221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(9,691)</w:t>
            </w:r>
          </w:p>
        </w:tc>
      </w:tr>
      <w:tr>
        <w:trPr>
          <w:trHeight w:val="20"/>
        </w:trPr>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33,808,237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34,707,492</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439,264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9,524,614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43,772,115</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34,707,492</w:t>
            </w:r>
          </w:p>
        </w:tc>
        <w:tc>
          <w:tcPr>
            <w:tcW w:w="60" w:type="dxa"/>
            <w:vAlign w:val="bottom"/>
          </w:tcPr>
          <w:p>
            <w:pPr>
              <w:spacing w:after="0"/>
              <w:rPr>
                <w:sz w:val="17"/>
                <w:szCs w:val="17"/>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0.87</w:t>
            </w:r>
          </w:p>
        </w:tc>
        <w:tc>
          <w:tcPr>
            <w:tcW w:w="3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bl>
    <w:p>
      <w:pPr>
        <w:spacing w:after="0" w:line="198" w:lineRule="exact"/>
        <w:rPr>
          <w:sz w:val="20"/>
          <w:szCs w:val="20"/>
          <w:color w:val="auto"/>
        </w:rPr>
      </w:pPr>
    </w:p>
    <w:p>
      <w:pPr>
        <w:sectPr>
          <w:pgSz w:w="11900" w:h="16838" w:orient="portrait"/>
          <w:cols w:equalWidth="0" w:num="2">
            <w:col w:w="7640" w:space="720"/>
            <w:col w:w="3000"/>
          </w:cols>
          <w:pgMar w:left="240" w:top="455" w:right="299" w:bottom="1440" w:gutter="0" w:footer="0" w:header="0"/>
          <w:type w:val="continuous"/>
        </w:sect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outstanding instruments were excluded from the computation of diluted earnings (loss) per share, as they have an anti-dilutive effect on the calculation:</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0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65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8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0" w:type="dxa"/>
            <w:vAlign w:val="bottom"/>
            <w:tcBorders>
              <w:top w:val="single" w:sz="8" w:color="auto"/>
            </w:tcBorders>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0" w:type="dxa"/>
            <w:vAlign w:val="bottom"/>
          </w:tcPr>
          <w:p>
            <w:pPr>
              <w:spacing w:after="0"/>
              <w:rPr>
                <w:sz w:val="10"/>
                <w:szCs w:val="10"/>
                <w:color w:val="auto"/>
              </w:rPr>
            </w:pPr>
          </w:p>
        </w:tc>
      </w:tr>
      <w:tr>
        <w:trPr>
          <w:trHeight w:val="173"/>
        </w:trPr>
        <w:tc>
          <w:tcPr>
            <w:tcW w:w="65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3,006,377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3,752,331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1,026,605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3,752,331</w:t>
            </w:r>
          </w:p>
        </w:tc>
        <w:tc>
          <w:tcPr>
            <w:tcW w:w="60" w:type="dxa"/>
            <w:vAlign w:val="bottom"/>
            <w:shd w:val="clear" w:color="auto" w:fill="CCEEFF"/>
          </w:tcPr>
          <w:p>
            <w:pPr>
              <w:spacing w:after="0"/>
              <w:rPr>
                <w:sz w:val="18"/>
                <w:szCs w:val="18"/>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149,495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515,795</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515,795</w:t>
            </w:r>
          </w:p>
        </w:tc>
      </w:tr>
    </w:tbl>
    <w:p>
      <w:pPr>
        <w:spacing w:after="0" w:line="179" w:lineRule="exact"/>
        <w:rPr>
          <w:sz w:val="20"/>
          <w:szCs w:val="20"/>
          <w:color w:val="auto"/>
        </w:rPr>
      </w:pPr>
    </w:p>
    <w:p>
      <w:pPr>
        <w:jc w:val="both"/>
        <w:ind w:right="48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2017, 10,448,213 of the assumed conversion of Exchangeable Notes was excluded from the computation of diluted loss per share as the effect was anti-dilutive due to the net loss incurred for the period.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Enforcement Staff Review</w:t>
      </w:r>
    </w:p>
    <w:p>
      <w:pPr>
        <w:spacing w:after="0" w:line="12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SEC’s investigation. In that connection,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Complaints</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For further information regarding the Class Action Litigation, see “Part I: Item 3. Legal Proceedings” included elsewhere in the Company’s annual report on Form 10-K for the fiscal year ended December 31, 2016 (the “2016 Form 10-K”).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w:t>
      </w:r>
    </w:p>
    <w:p>
      <w:pPr>
        <w:ind w:right="260"/>
        <w:spacing w:after="0" w:line="253" w:lineRule="auto"/>
        <w:rPr>
          <w:sz w:val="20"/>
          <w:szCs w:val="20"/>
          <w:color w:val="auto"/>
        </w:rPr>
      </w:pPr>
      <w:r>
        <w:rPr>
          <w:rFonts w:ascii="Times New Roman" w:cs="Times New Roman" w:eastAsia="Times New Roman" w:hAnsi="Times New Roman"/>
          <w:sz w:val="18"/>
          <w:szCs w:val="18"/>
          <w:color w:val="auto"/>
        </w:rPr>
        <w:t>$29,571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Complaints</w:t>
      </w:r>
      <w:r>
        <w:rPr>
          <w:rFonts w:ascii="Times New Roman" w:cs="Times New Roman" w:eastAsia="Times New Roman" w:hAnsi="Times New Roman"/>
          <w:sz w:val="18"/>
          <w:szCs w:val="18"/>
          <w:color w:val="auto"/>
        </w:rPr>
        <w:t>”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Derivative Complaints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settlement for the shareholder derivative actions described in “Part I: Item 3. Legal Proceedings” of the 2016 Form 10-K provided for an aggregate payment from the Company defendants’ directors and officers insurance policies of $3,000 thousand to be made to an escrow account, which will be payable to the Company (less certain deductions and applicable interest) once the settlement becomes effective. For further information regarding the shareholder derivative actions, see “Part I: Item 3. Legal Proceedings” in the 2016 Form 10-K. The $3,000 thousand settlement payment was included in the insurance proceeds of $29,571 thousand as discussed in “</w:t>
      </w:r>
      <w:r>
        <w:rPr>
          <w:rFonts w:ascii="Times New Roman" w:cs="Times New Roman" w:eastAsia="Times New Roman" w:hAnsi="Times New Roman"/>
          <w:sz w:val="18"/>
          <w:szCs w:val="18"/>
          <w:i w:val="1"/>
          <w:iCs w:val="1"/>
          <w:color w:val="auto"/>
        </w:rPr>
        <w:t>Securities Class Action Complaints</w:t>
      </w:r>
      <w:r>
        <w:rPr>
          <w:rFonts w:ascii="Times New Roman" w:cs="Times New Roman" w:eastAsia="Times New Roman" w:hAnsi="Times New Roman"/>
          <w:sz w:val="18"/>
          <w:szCs w:val="18"/>
          <w:color w:val="auto"/>
        </w:rPr>
        <w:t>” above.</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June 10, 2016, the court granted plaintiffs’ motion for preliminary approval of the proposed settlement. On October 18, 2016, after a hearing held on October 14, 2016, the court entered its order and final judgment (the “Judgment”) granting final approval of the proposed settlement and awarding plaintiffs’ counsel $750 thousand for attorneys’ fees and litigation expenses. As a result, $750 thousand was paid out of the Company’s escrow account. The Judgment was not appealed within the applicable appeals period (on or before December 19, 2016). The settlement therefore became effective after the expiration of the appeals period and $2,258 thousand was paid to the Company from the escrow account, previously recorded as restricted cash, in December 2016. The remaining restricted cash related to insurance proceeds of $3,078 thousand was also released in December 2016.</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the fiscal year ended December 31, 2016 (our “2016 Form 10-K”).</w:t>
      </w:r>
    </w:p>
    <w:p>
      <w:pPr>
        <w:spacing w:after="0" w:line="18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an operating history of over 30 years, large portfolio of 2,140 registered novel patents and 155 pending novel patent applications and extensive engineering and manufacturing process expertise.</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Korea-based operations, if we are not effective in competing in these markets our operating results may be adversely affected.</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with this Report, we will use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associated with the closure of our 6-inch fab and reduction of workforce</w:t>
      </w:r>
    </w:p>
    <w:p>
      <w:pPr>
        <w:spacing w:after="0" w:line="12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88"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As of April 29, 2016, 169 employees elected to resign under the terms of the Program, from which we expect to save approximately $8 million in spending per year.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8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of February 22, 2017, our Board of Directors approved the implementation of the Headcount Reduction Plan. As of June 30, 2017, 352 employees elected to resign from the Company during which the Headcount Reduction Plan was offered. The Headcount Reduction Plan is expected to result in estimated annual cost savings of approximately $24 million. The cost related to the Headcount Reduction Plan, all of which is expected to consist of cash expenditures, is approximately $31 million of which approximately $28 million has already been paid. We recorded in the consolidated statement of operations $11.1 million and $2.3 million termination related charges as “early termination charges” for the three months ended March 31, 2017 and June 30, 2017, respectively. The remaining total estimated cost relates to statutory severance benefits, which are required by law and have already been fully accrued in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Exchangeable Senior Notes and Stock Repurchase</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Sensor Business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January 2014, our Audit Committee commenced an independent investigation that resulted in the restatement of certain financial statements for prior periods.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76"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On December 10, 2015, we entered into a Memorandum of Understanding with the plaintiffs’ representatives to settle the Class Action Litigation, as defined and detailed in “Item 1. Interim Consolidated Financial Statements—Notes to Consolidated Financial Statements—Note 18.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22, 2016, we entered into a stipulation of settlement with the plaintiffs in the shareholder derivative actions, as described in “Item 1. Interim Consolidated Financial Statements—Notes to Consolidated Financial Statements—Note 18.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8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May 1, 2017, the SEC announced that it had reached a final settlement with us, resolving the SEC’s investigation, as detailed in “Item 1. Interim Consolidated Financial Statements—Notes to Consolidated Financial Statements— Note 18. Commitments and Contingencies” in this Report. In that connection,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first quarter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second quarter of 2017.</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a result of the restatement, we have incurred substantial external accounting, legal and other related costs associated with the restatement and certain litigation and other regulatory investigations and actions related thereto. We incurred restatement related costs of $5.2 million, primarily attributable to the payment for the settlement with the SEC, for the six months ended June 30, 2017, compared to $5.9 million for the six months ended June 30,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63" w:lineRule="exact"/>
        <w:rPr>
          <w:sz w:val="20"/>
          <w:szCs w:val="20"/>
          <w:color w:val="auto"/>
        </w:rPr>
      </w:pPr>
    </w:p>
    <w:p>
      <w:pPr>
        <w:ind w:left="440" w:hanging="324"/>
        <w:spacing w:after="0" w:line="254"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Foundry Services Group: </w:t>
      </w:r>
      <w:r>
        <w:rPr>
          <w:rFonts w:ascii="Times New Roman" w:cs="Times New Roman" w:eastAsia="Times New Roman" w:hAnsi="Times New Roman"/>
          <w:sz w:val="18"/>
          <w:szCs w:val="18"/>
          <w:color w:val="auto"/>
        </w:rPr>
        <w:t>Our Foundry Services Group provides specialty analog and mixed-signal foundry services to fabless semiconductor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484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communications, IoT, consumer, industrial and automotive applications. Our Foundry Services Group business represented 48.4% and 38.8% of our net sales for the six months ended June 30, 2017 and June 30, 2016, respectively. Gross profit from our Foundry Services Group business was $45.5 million and $28.5 million for the six months ended June 30, 2017 and June 30, 2016, respectively.</w:t>
      </w:r>
    </w:p>
    <w:p>
      <w:pPr>
        <w:spacing w:after="0" w:line="91" w:lineRule="exact"/>
        <w:rPr>
          <w:rFonts w:ascii="Times New Roman" w:cs="Times New Roman" w:eastAsia="Times New Roman" w:hAnsi="Times New Roman"/>
          <w:sz w:val="18"/>
          <w:szCs w:val="18"/>
          <w:color w:val="auto"/>
        </w:rPr>
      </w:pPr>
    </w:p>
    <w:p>
      <w:pPr>
        <w:ind w:left="440" w:hanging="324"/>
        <w:spacing w:after="0" w:line="253"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Standard Products Group: </w:t>
      </w:r>
      <w:r>
        <w:rPr>
          <w:rFonts w:ascii="Times New Roman" w:cs="Times New Roman" w:eastAsia="Times New Roman" w:hAnsi="Times New Roman"/>
          <w:sz w:val="18"/>
          <w:szCs w:val="18"/>
          <w:color w:val="auto"/>
        </w:rPr>
        <w:t>Our Standard Products Group includes our Display Solutions and Power Solutions business lines. Our Display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Our Standard Products Group, which includes our Display Solutions and Power Solutions business lines, represented 51.5% and 61.1% of our net sales for the six months ended June 30, 2017 and June 30, 2016, respectively. Gross profit from our Standard Products Group was $42.6 million and $43.1 million for the six months ended June 30, 2017 and June 30, 2016,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and Reconciliation of Non-US GAAP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Net Income</w:t>
      </w:r>
    </w:p>
    <w:p>
      <w:pPr>
        <w:spacing w:after="0" w:line="121"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We use the terms Adjusted EBITDA and Adjusted Net Income throughout this Report. Adjusted EBITDA, as we define it, is a non-US GAAP measure. We define Adjusted EBITDA for the periods indicated as EBITDA (as defined below), adjusted to exclude (i) restructuring and other charges (gain), net,</w:t>
      </w:r>
    </w:p>
    <w:p>
      <w:pPr>
        <w:spacing w:after="0" w:line="1"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termination charges, (iii) equity-based compensation expense, (iv) foreign currency loss (gain), net, (v) derivative valuation loss (gain), net and</w:t>
      </w:r>
    </w:p>
    <w:p>
      <w:pPr>
        <w:spacing w:after="0" w:line="9" w:lineRule="exact"/>
        <w:rPr>
          <w:rFonts w:ascii="Times New Roman" w:cs="Times New Roman" w:eastAsia="Times New Roman" w:hAnsi="Times New Roman"/>
          <w:sz w:val="18"/>
          <w:szCs w:val="18"/>
          <w:color w:val="auto"/>
        </w:rPr>
      </w:pPr>
    </w:p>
    <w:p>
      <w:pPr>
        <w:ind w:right="300" w:firstLine="8"/>
        <w:spacing w:after="0" w:line="261"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related expenses. EBITDA for the periods indicated is defined as net income (loss) before interest expense, net, income tax expenses, and depreciation and amortization.</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See the footnotes to the table below for further information regarding these items. We present Adjusted EBITDA as a supplemental measure of our performance because:</w:t>
      </w:r>
    </w:p>
    <w:p>
      <w:pPr>
        <w:spacing w:after="0" w:line="67" w:lineRule="exact"/>
        <w:rPr>
          <w:sz w:val="20"/>
          <w:szCs w:val="20"/>
          <w:color w:val="auto"/>
        </w:rPr>
      </w:pPr>
    </w:p>
    <w:p>
      <w:pPr>
        <w:ind w:left="440" w:right="440" w:hanging="324"/>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1" w:lineRule="exact"/>
        <w:rPr>
          <w:rFonts w:ascii="Times New Roman" w:cs="Times New Roman" w:eastAsia="Times New Roman" w:hAnsi="Times New Roman"/>
          <w:sz w:val="18"/>
          <w:szCs w:val="18"/>
          <w:color w:val="auto"/>
        </w:rPr>
      </w:pPr>
    </w:p>
    <w:p>
      <w:pPr>
        <w:ind w:left="440" w:right="60" w:hanging="324"/>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1" w:lineRule="exact"/>
        <w:rPr>
          <w:rFonts w:ascii="Times New Roman" w:cs="Times New Roman" w:eastAsia="Times New Roman" w:hAnsi="Times New Roman"/>
          <w:sz w:val="18"/>
          <w:szCs w:val="18"/>
          <w:color w:val="auto"/>
        </w:rPr>
      </w:pPr>
    </w:p>
    <w:p>
      <w:pPr>
        <w:ind w:left="440" w:right="180" w:hanging="324"/>
        <w:spacing w:after="0" w:line="282"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use Adjusted EBITDA in a number of ways, including:</w:t>
      </w:r>
    </w:p>
    <w:p>
      <w:pPr>
        <w:spacing w:after="0" w:line="131" w:lineRule="exact"/>
        <w:rPr>
          <w:sz w:val="20"/>
          <w:szCs w:val="20"/>
          <w:color w:val="auto"/>
        </w:rPr>
      </w:pPr>
    </w:p>
    <w:p>
      <w:pPr>
        <w:ind w:left="440" w:hanging="324"/>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enterprise level business strategies;</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concerning our consolidated financial performance; and</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encourage you to evaluate each adjustment and the reasons we consider them appropriate. In evaluating Adjusted EBITDA, you should be 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in the future we may incur expenses similar to the adjustments in this presentation. Adjusted EBITDA is not a measure defined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 and should not be construed as an alternative to income from continuing operations, cash flows from operating activities or net income (loss),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in accordance with US GAAP. A reconciliation of net income (loss) to Adjusted EBITDA is as follows: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 (gain), net(a)</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 termination charges(b)</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expense(c)</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Restatement related expenses(f)</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u w:val="single" w:color="auto"/>
                <w:color w:val="auto"/>
              </w:rPr>
              <w:t>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6</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40" w:hanging="452"/>
        <w:spacing w:after="0" w:line="258"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2017, this adjustment eliminates the $16.6 million restructuring gain on sale of a building in connection with the closure of our 6-inch fab and the $0.4 million gain on sale of our sensor business. For the three months ended June 30, 2016, this adjustment eliminates the $1.3 million restructuring charges resulted from training and transition costs related to the closure of our 6-inch fab. For the six months ended June 30, 2016, this adjustment eliminates the $7.8 million restructuring gain on sale of machinery in connection with the closure of our 6-inch fab, net of $2.3 million training and transition costs related to our 6-inch fab employees.</w:t>
      </w:r>
    </w:p>
    <w:p>
      <w:pPr>
        <w:sectPr>
          <w:pgSz w:w="11900" w:h="16838" w:orient="portrait"/>
          <w:cols w:equalWidth="0" w:num="1">
            <w:col w:w="11400"/>
          </w:cols>
          <w:pgMar w:left="240" w:top="455"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2" w:lineRule="exact"/>
        <w:rPr>
          <w:rFonts w:ascii="Times New Roman" w:cs="Times New Roman" w:eastAsia="Times New Roman" w:hAnsi="Times New Roman"/>
          <w:sz w:val="18"/>
          <w:szCs w:val="18"/>
          <w:color w:val="auto"/>
        </w:rPr>
      </w:pPr>
    </w:p>
    <w:p>
      <w:pPr>
        <w:ind w:left="460" w:right="36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Times New Roman" w:cs="Times New Roman" w:eastAsia="Times New Roman" w:hAnsi="Times New Roman"/>
          <w:sz w:val="18"/>
          <w:szCs w:val="18"/>
          <w:color w:val="auto"/>
        </w:rPr>
      </w:pPr>
    </w:p>
    <w:p>
      <w:pPr>
        <w:ind w:left="460" w:right="42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460" w:right="60" w:hanging="452"/>
        <w:spacing w:after="0" w:line="253"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expenses in connection with the Audit Committee’s independent investigation and related restatement and litigation, primarily comprised of legal, audit and consulting fees. This amount does not include any allocation of internal costs related to the restatement. For the six months ended June 30, 2017, this adjustment also eliminates the $3.0 million civil penalty imposed by the SEC.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79" w:lineRule="exact"/>
        <w:rPr>
          <w:rFonts w:ascii="Times New Roman" w:cs="Times New Roman" w:eastAsia="Times New Roman" w:hAnsi="Times New Roman"/>
          <w:sz w:val="18"/>
          <w:szCs w:val="18"/>
          <w:color w:val="auto"/>
        </w:rPr>
      </w:pPr>
    </w:p>
    <w:p>
      <w:pPr>
        <w:ind w:lef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tax impact from the adjustments to net income (loss) to calculate our Adjusted EBITDA for the three and six months ended June 30, 2017 and 2016 due to net operating loss carry-forwards available to offset taxable income and full allowance for deferred tax assets. We believe that all adjustments to net income (loss) used to calculate Adjusted EBITDA were applied consistently to the periods presented.</w:t>
      </w:r>
    </w:p>
    <w:p>
      <w:pPr>
        <w:spacing w:after="0" w:line="68" w:lineRule="exact"/>
        <w:rPr>
          <w:rFonts w:ascii="Times New Roman" w:cs="Times New Roman" w:eastAsia="Times New Roman" w:hAnsi="Times New Roman"/>
          <w:sz w:val="18"/>
          <w:szCs w:val="18"/>
          <w:color w:val="auto"/>
        </w:rPr>
      </w:pPr>
    </w:p>
    <w:p>
      <w:pPr>
        <w:ind w:left="46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900" w:right="740" w:hanging="446"/>
        <w:spacing w:after="0" w:line="28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117" w:lineRule="exact"/>
        <w:rPr>
          <w:sz w:val="20"/>
          <w:szCs w:val="20"/>
          <w:color w:val="auto"/>
        </w:rPr>
      </w:pPr>
    </w:p>
    <w:p>
      <w:pPr>
        <w:ind w:left="460" w:right="180"/>
        <w:spacing w:after="0" w:line="313" w:lineRule="auto"/>
        <w:rPr>
          <w:sz w:val="20"/>
          <w:szCs w:val="20"/>
          <w:color w:val="auto"/>
        </w:rPr>
      </w:pPr>
      <w:r>
        <w:rPr>
          <w:rFonts w:ascii="Times New Roman" w:cs="Times New Roman" w:eastAsia="Times New Roman" w:hAnsi="Times New Roman"/>
          <w:sz w:val="17"/>
          <w:szCs w:val="17"/>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present Adjusted Net Income (Loss) as a further supplemental measure of our performance.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present Adjusted Net Income (Loss) for a number of reasons, including:</w:t>
      </w:r>
    </w:p>
    <w:p>
      <w:pPr>
        <w:spacing w:after="0" w:line="86" w:lineRule="exact"/>
        <w:rPr>
          <w:sz w:val="20"/>
          <w:szCs w:val="20"/>
          <w:color w:val="auto"/>
        </w:rPr>
      </w:pPr>
    </w:p>
    <w:p>
      <w:pPr>
        <w:ind w:left="900" w:right="160" w:hanging="325"/>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Income (Loss)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1"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reporting Adjusted Net Income (Loss)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Adjusted Net Income (Loss)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differently than we do, limiting its usefulness as a comparative measure. In addition, in evaluating Adjusted Net Income (Loss), you should be aware that in the future we may incur expenses similar to the adjustments in this presentation. We define Adjusted Net Income (Loss) for the periods indicated as net income (loss), adjusted to exclude (i) restructuring and other charges (gain), net, (ii) early termination charges, (iii) equity-based compensation expense, (iv) foreign currency loss (gain), net, (v) derivative valuation loss (gain), net and (vi) restatement related expenses.</w:t>
      </w:r>
    </w:p>
    <w:p>
      <w:pPr>
        <w:spacing w:after="0" w:line="18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net income (loss) that we make in order to calculate Adjusted Net Income (Loss) for the periods indicated:</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13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00" w:type="dxa"/>
            <w:vAlign w:val="bottom"/>
          </w:tcPr>
          <w:p>
            <w:pPr>
              <w:spacing w:after="0"/>
              <w:rPr>
                <w:sz w:val="13"/>
                <w:szCs w:val="13"/>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charges (gain), net(a)</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Early termination charges(b)</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expense(c)</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Restatement related expenses(f)</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60" w:hanging="452"/>
        <w:spacing w:after="0" w:line="25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2017, this adjustment eliminates the $16.6 million restructuring gain on sale of a building in connection with the closure of our 6-inch fab and the $0.4 million gain on sale of our sensor business. For the three months ended June 30, 2017, this adjustment eliminates the $1.3 million restructuring charges resulted from training and transition costs related to the closure of our 6-inch fab. For the six months ended June 30, 2016, this adjustment eliminates the $7.8 million restructuring gain on sale of machinery in connection with the closure of our 6-inch fab, net of $2.3 million training and transition costs related to our 6-inch fab employees.</w:t>
      </w:r>
    </w:p>
    <w:p>
      <w:pPr>
        <w:spacing w:after="0" w:line="3"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 w:lineRule="exact"/>
        <w:rPr>
          <w:rFonts w:ascii="Times New Roman" w:cs="Times New Roman" w:eastAsia="Times New Roman" w:hAnsi="Times New Roman"/>
          <w:sz w:val="18"/>
          <w:szCs w:val="18"/>
          <w:color w:val="auto"/>
        </w:rPr>
      </w:pPr>
    </w:p>
    <w:p>
      <w:pPr>
        <w:ind w:left="460" w:right="380" w:hanging="452"/>
        <w:spacing w:after="0" w:line="250"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Times New Roman" w:cs="Times New Roman" w:eastAsia="Times New Roman" w:hAnsi="Times New Roman"/>
          <w:sz w:val="18"/>
          <w:szCs w:val="18"/>
          <w:color w:val="auto"/>
        </w:rPr>
      </w:pPr>
    </w:p>
    <w:p>
      <w:pPr>
        <w:ind w:left="460" w:right="440" w:hanging="452"/>
        <w:spacing w:after="0" w:line="25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80"/>
        <w:spacing w:after="0" w:line="261" w:lineRule="auto"/>
        <w:rPr>
          <w:sz w:val="20"/>
          <w:szCs w:val="20"/>
          <w:color w:val="auto"/>
        </w:rPr>
      </w:pPr>
      <w:r>
        <w:rPr>
          <w:rFonts w:ascii="Times New Roman" w:cs="Times New Roman" w:eastAsia="Times New Roman" w:hAnsi="Times New Roman"/>
          <w:sz w:val="18"/>
          <w:szCs w:val="18"/>
          <w:color w:val="auto"/>
        </w:rPr>
        <w:t>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460" w:right="100" w:hanging="452"/>
        <w:spacing w:after="0" w:line="250"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460" w:right="40" w:hanging="452"/>
        <w:spacing w:after="0" w:line="253"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expenses in connection with the Audit Committee’s independent investigation and related restatement and litigation, primarily comprised of legal, audit and consulting fees. This amount does not include any allocation of internal costs related to the restatement. For the six months ended June 30, 2017, this adjustment also eliminates the $3.0 million civil penalty imposed by the SEC. As these restatement related expenses meaningfully impacted our operating results and are not expected to represent an ongoing operating expense to us, we believe our operating performance results are more usefully compared if these expenses are excluded.</w:t>
      </w:r>
    </w:p>
    <w:p>
      <w:pPr>
        <w:spacing w:after="0" w:line="79" w:lineRule="exact"/>
        <w:rPr>
          <w:rFonts w:ascii="Times New Roman" w:cs="Times New Roman" w:eastAsia="Times New Roman" w:hAnsi="Times New Roman"/>
          <w:sz w:val="18"/>
          <w:szCs w:val="18"/>
          <w:color w:val="auto"/>
        </w:rPr>
      </w:pPr>
    </w:p>
    <w:p>
      <w:pPr>
        <w:ind w:left="460" w:righ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There was no tax impact from the adjustments to net income (loss) to calculate our Adjusted Net Income (Loss) for the three and six months ended June 30, 2017 and 2016 due to net operating loss carry-forwards available to offset taxable income and full allowance for deferred tax assets. We believe that all adjustments to net income used to calculate Adjusted Net Income (Loss) were applied consistently to the periods presented.</w:t>
      </w:r>
    </w:p>
    <w:p>
      <w:pPr>
        <w:spacing w:after="0" w:line="50"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(Loss) differently than we do, limiting its usefulness as a comparative measure.</w:t>
      </w:r>
    </w:p>
    <w:p>
      <w:pPr>
        <w:spacing w:after="0" w:line="54"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1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We derive virtually all of our sales (net of sales returns and allowances) from two segments: Foundry Services Group and Standard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consists of agents in the United States and Europe and distributors and agents in the Asia Pacific region. Our net sales from All other consist principally of the disposal of scrap materials.</w:t>
      </w:r>
    </w:p>
    <w:p>
      <w:pPr>
        <w:spacing w:after="0" w:line="18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recognize revenue when risk and reward of ownership pass to the customer either upon shipment, upon product delivery at the customer’s location or upon customer acceptance, depending on the terms of the arrangement. For the six months ended June 30, 2017 and 2016, we sold products to 284 and 277 customers, respectively, and our net sales to our ten largest customers represented 60% and 65%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8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overall gross profit generally fluctuates as a result of changes in overall sales volumes and in the average selling prices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77"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Selling Prices. </w:t>
      </w:r>
      <w:r>
        <w:rPr>
          <w:rFonts w:ascii="Times New Roman" w:cs="Times New Roman" w:eastAsia="Times New Roman" w:hAnsi="Times New Roman"/>
          <w:sz w:val="18"/>
          <w:szCs w:val="18"/>
          <w:color w:val="auto"/>
        </w:rPr>
        <w:t>Average selling prices for our products tend to be highest at the time of introduction of new products and tend to decrease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such products mature in the market and are replaced by next generation products. We strive to offset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2" w:lineRule="exact"/>
        <w:rPr>
          <w:sz w:val="20"/>
          <w:szCs w:val="20"/>
          <w:color w:val="auto"/>
        </w:rPr>
      </w:pPr>
    </w:p>
    <w:p>
      <w:pPr>
        <w:ind w:right="2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Costs. </w:t>
      </w:r>
      <w:r>
        <w:rPr>
          <w:rFonts w:ascii="Times New Roman" w:cs="Times New Roman" w:eastAsia="Times New Roman" w:hAnsi="Times New Roman"/>
          <w:sz w:val="18"/>
          <w:szCs w:val="18"/>
          <w:color w:val="auto"/>
        </w:rPr>
        <w:t>Our cost of material consists of costs of raw materials, such as silicon wafers, chemicals, gases and tape and packaging supplies.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processes that require specialized raw materials, such as silicon wafers, that are generally available from a limited number of suppliers. If demand increases or supplies decrease, the costs of our raw materials could significantly increase.</w:t>
      </w:r>
    </w:p>
    <w:p>
      <w:pPr>
        <w:spacing w:after="0" w:line="171"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Costs. </w:t>
      </w:r>
      <w:r>
        <w:rPr>
          <w:rFonts w:ascii="Times New Roman" w:cs="Times New Roman" w:eastAsia="Times New Roman" w:hAnsi="Times New Roman"/>
          <w:sz w:val="18"/>
          <w:szCs w:val="18"/>
          <w:color w:val="auto"/>
        </w:rPr>
        <w:t>A significant portion of our employees are located in Korea. Under Korean labor laws, most employees and certain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or more years of service are entitled to severance benefits upon the termination of their employment based on their length of service and rate of pay. As of June 30, 2017, approximately 98% of our employees were eligible for severance benefits.</w:t>
      </w:r>
    </w:p>
    <w:p>
      <w:pPr>
        <w:spacing w:after="0" w:line="171"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We periodically evaluate the carrying values of long-lived assets, including property, plant and equipment and intangible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83"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Expenses. </w:t>
      </w:r>
      <w:r>
        <w:rPr>
          <w:rFonts w:ascii="Times New Roman" w:cs="Times New Roman" w:eastAsia="Times New Roman" w:hAnsi="Times New Roman"/>
          <w:sz w:val="18"/>
          <w:szCs w:val="18"/>
          <w:color w:val="auto"/>
        </w:rPr>
        <w:t>We sell our products worldwide through a direct sales force as well as a network of sales agents and representatives to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77" w:lineRule="exact"/>
        <w:rPr>
          <w:sz w:val="20"/>
          <w:szCs w:val="20"/>
          <w:color w:val="auto"/>
        </w:rPr>
      </w:pPr>
    </w:p>
    <w:p>
      <w:pPr>
        <w:jc w:val="both"/>
        <w:ind w:right="2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of the costs of various corporate operations, including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 human resources and other administrative functions. These expenses primarily consist of payroll-related expenses, consulting and other professional fees and office facility-related expenses.</w:t>
      </w:r>
    </w:p>
    <w:p>
      <w:pPr>
        <w:spacing w:after="0" w:line="171"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rapid technological change and product obsolescence that characterize our industry require us to make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lines.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Our interest expense was incurred primarily under the 2021 Notes and the Exchangeable Notes.</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Foreign Currency Exchange Rates on Reported Results of Operations. </w:t>
      </w:r>
      <w:r>
        <w:rPr>
          <w:rFonts w:ascii="Times New Roman" w:cs="Times New Roman" w:eastAsia="Times New Roman" w:hAnsi="Times New Roman"/>
          <w:sz w:val="18"/>
          <w:szCs w:val="18"/>
          <w:color w:val="auto"/>
        </w:rPr>
        <w:t>Historically, a portion of our revenues and greater than the majority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June 30, 2017, the outstanding intercompany loans balances including accrued interests between our Korean subsidiary and our Dutch subsidiary were $671 million. This amount included a newly executed intercompany loan of</w:t>
      </w:r>
    </w:p>
    <w:p>
      <w:pPr>
        <w:spacing w:after="0" w:line="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$75 million during the first quarter of 2017, which was used to transfer a portion of the net proceeds from the offering of the Exchangeable Notes from our Luxembourg subsidiary to our Dutch subsidiary, and then to our Korean subsidiary.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8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or Loss. </w:t>
      </w:r>
      <w:r>
        <w:rPr>
          <w:rFonts w:ascii="Times New Roman" w:cs="Times New Roman" w:eastAsia="Times New Roman" w:hAnsi="Times New Roman"/>
          <w:sz w:val="18"/>
          <w:szCs w:val="18"/>
          <w:color w:val="auto"/>
        </w:rPr>
        <w:t>Foreign currency translation gains or losses on transactions by us or our subsidiaries in a currency other than our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7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 our income taxes in each of the tax jurisdictions in which we operate. This process involves using an asset and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87"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Our operations are subject to income and transaction taxes in the United States and in multiple foreign jurisdictions, including Korea.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7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invest in manufacturing equipment, software design tools and other tangible and intangible assets mainly for fab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162"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monitor our inventory levels in light of product development changes and market expectations. We may be required to take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55" w:right="2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Three Months Ended June 30, 2017 and 2016</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three months ended June 30,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00" w:type="dxa"/>
            <w:vAlign w:val="bottom"/>
            <w:tcBorders>
              <w:top w:val="single" w:sz="8" w:color="auto"/>
            </w:tcBorders>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Net Sales</w:t>
            </w:r>
          </w:p>
        </w:tc>
        <w:tc>
          <w:tcPr>
            <w:tcW w:w="24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5"/>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$ 166.7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$ 167.1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3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termination charges</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net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(17.8)</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by segment</w:t>
            </w: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8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00" w:type="dxa"/>
            <w:vAlign w:val="bottom"/>
            <w:tcBorders>
              <w:top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5"/>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Foundry Services Group</w:t>
            </w:r>
          </w:p>
        </w:tc>
        <w:tc>
          <w:tcPr>
            <w:tcW w:w="24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81.5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62.3</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 Products Group</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Display Solutions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49.8</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74.4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Power Solutions</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35.3</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30.2</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Standard Products Group</w:t>
            </w: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 other</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Total net sales</w:t>
            </w:r>
          </w:p>
        </w:tc>
        <w:tc>
          <w:tcPr>
            <w:tcW w:w="2320" w:type="dxa"/>
            <w:vAlign w:val="bottom"/>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$ 166.7</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$ 167.1</w:t>
            </w:r>
          </w:p>
        </w:tc>
        <w:tc>
          <w:tcPr>
            <w:tcW w:w="360" w:type="dxa"/>
            <w:vAlign w:val="bottom"/>
            <w:vMerge w:val="continue"/>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00" w:type="dxa"/>
            <w:vAlign w:val="bottom"/>
            <w:tcBorders>
              <w:top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5"/>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Foundry Services Group</w:t>
            </w:r>
          </w:p>
        </w:tc>
        <w:tc>
          <w:tcPr>
            <w:tcW w:w="24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23.4</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 Products Group</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other</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gross profit</w:t>
            </w:r>
          </w:p>
        </w:tc>
        <w:tc>
          <w:tcPr>
            <w:tcW w:w="2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46.7</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36.7</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Net sales were $166.7 million for the three months ended June 30, 2017, a $0.4 million, or 0.3%, decrease compared to $167.1 million for the three months ended June 30, 2016. This decrease was primarily attributable to a net decrease in revenue from our Standard Products Group, which was offset in part by an increase in revenue from our Foundry Services Group as described below.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Foundry Services Group. </w:t>
      </w:r>
      <w:r>
        <w:rPr>
          <w:rFonts w:ascii="Times New Roman" w:cs="Times New Roman" w:eastAsia="Times New Roman" w:hAnsi="Times New Roman"/>
          <w:sz w:val="18"/>
          <w:szCs w:val="18"/>
          <w:color w:val="auto"/>
        </w:rPr>
        <w:t>Net sales from our Foundry Services Group segment were $81.5 million for the three months ended June 30, 2017,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 million, or 30.8%, increase compared to $62.3 million for the three months ended June 30, 2016. The increase was primarily attributable to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our foundry services from certain customers serving the mid-range smartphone and consumer electronics markets. The increase was also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sales of certain products from the global power management IC foundry customers.</w:t>
      </w:r>
    </w:p>
    <w:p>
      <w:pPr>
        <w:spacing w:after="0" w:line="203"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Standard Products Group. </w:t>
      </w:r>
      <w:r>
        <w:rPr>
          <w:rFonts w:ascii="Times New Roman" w:cs="Times New Roman" w:eastAsia="Times New Roman" w:hAnsi="Times New Roman"/>
          <w:sz w:val="18"/>
          <w:szCs w:val="18"/>
          <w:color w:val="auto"/>
        </w:rPr>
        <w:t>Net sales from our Standard Products Group segment were $85.1 million for the three months ended June 30, 2017,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$19.6 million, or 18.7%, decrease compared to $104.6 million for the three months ended June 30, 2016. This decrease was primarily attributable to a decrease in revenue from our mobile OLED display driver ICs stemming from seasonal factors and a timing mismatch between the expected drop-off in revenue from existing products and when our new product family will begin to be produced in volume. Such decrease was partially offset by an increase in revenue related to large display products mainly due to higher demand of source drivers for ultra high definition TVs and MOSFETs and premium power products due to higher demand of TV and industrial products.</w:t>
      </w:r>
    </w:p>
    <w:p>
      <w:pPr>
        <w:spacing w:after="0" w:line="183"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w:t>
      </w:r>
      <w:r>
        <w:rPr>
          <w:rFonts w:ascii="Times New Roman" w:cs="Times New Roman" w:eastAsia="Times New Roman" w:hAnsi="Times New Roman"/>
          <w:sz w:val="18"/>
          <w:szCs w:val="18"/>
          <w:color w:val="auto"/>
        </w:rPr>
        <w:t>All other net sales were $0.1 million for the three months ended June 30, 2017 and $0.2 million for the three months ended June 30,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gross profit was $46.7 million for the three months ended June 30, 2017 compared to $36.7 million for the three months ended June 30, 2016,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million, or 27.0%, increase. Gross profit as a percentage of net sales for the three months ended June 30, 2017 increased to 28.0% compared to 22.0%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June 30, 2016. The increase in gross profit as a percentage of net sales was due to our Foundry Services Group and Standard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segments as described below.</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Foundry Services Group. </w:t>
      </w:r>
      <w:r>
        <w:rPr>
          <w:rFonts w:ascii="Times New Roman" w:cs="Times New Roman" w:eastAsia="Times New Roman" w:hAnsi="Times New Roman"/>
          <w:sz w:val="18"/>
          <w:szCs w:val="18"/>
          <w:color w:val="auto"/>
        </w:rPr>
        <w:t>Gross profit from our Foundry Services Group segment was $23.4 million for the three months ended June 30, 2017,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million, or 65.2%, increase compared to $14.2 million for the three months ended June 30, 2016. Gross profit as a percentage of net sales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2017 increased to 28.7% compared to 22.8% for the three months ended June 30, 2016. The increase in gross profit as a percentage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was mainly attributable to a better product mix and increase in 8-inch utilization rate. The increase was also attributable to a favorable impact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headcount.</w:t>
      </w:r>
    </w:p>
    <w:p>
      <w:pPr>
        <w:spacing w:after="0" w:line="203"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Standard Products Group. </w:t>
      </w:r>
      <w:r>
        <w:rPr>
          <w:rFonts w:ascii="Times New Roman" w:cs="Times New Roman" w:eastAsia="Times New Roman" w:hAnsi="Times New Roman"/>
          <w:sz w:val="17"/>
          <w:szCs w:val="17"/>
          <w:color w:val="auto"/>
        </w:rPr>
        <w:t>Gross profit from our Standard Products Group segment was $23.1 million for the three months ended June 30, 2017,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$0.8 million, or 3.4%, increase from $22.4 million for the three months ended June 30, 2016. Gross profit as a percentage of net sales for the three months ended June 30, 2017 increased to 27.2% compared to 21.4% for the three months ended June 30, 2016. The increase in gross profit as a percentage of net sales was mainly attributable to a favorable impact of higher 8-inch utilization rate and reduction in headcount, partially offset by unfavorable product mix caused by decline in revenues from our mobile OLED display driver ICs. The decline in our mobile OLED revenue stemmed from seasonal factors and a timing mismatch between the expected drop-off in revenue from existing products and when our new product family will begin to be produced in volume.</w:t>
      </w:r>
    </w:p>
    <w:p>
      <w:pPr>
        <w:spacing w:after="0" w:line="169"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w:t>
      </w:r>
      <w:r>
        <w:rPr>
          <w:rFonts w:ascii="Times New Roman" w:cs="Times New Roman" w:eastAsia="Times New Roman" w:hAnsi="Times New Roman"/>
          <w:sz w:val="18"/>
          <w:szCs w:val="18"/>
          <w:color w:val="auto"/>
        </w:rPr>
        <w:t>All other gross profit was $0.1 million for the three months ended June 30, 2017 and $0.2 million for the three months ended June 30,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Region</w:t>
      </w:r>
    </w:p>
    <w:p>
      <w:pPr>
        <w:spacing w:after="0" w:line="121" w:lineRule="exact"/>
        <w:rPr>
          <w:sz w:val="20"/>
          <w:szCs w:val="20"/>
          <w:color w:val="auto"/>
        </w:rPr>
      </w:pPr>
    </w:p>
    <w:p>
      <w:pPr>
        <w:ind w:right="740" w:firstLine="456"/>
        <w:spacing w:after="0" w:line="313" w:lineRule="auto"/>
        <w:rPr>
          <w:sz w:val="20"/>
          <w:szCs w:val="20"/>
          <w:color w:val="auto"/>
        </w:rPr>
      </w:pPr>
      <w:r>
        <w:rPr>
          <w:rFonts w:ascii="Times New Roman" w:cs="Times New Roman" w:eastAsia="Times New Roman" w:hAnsi="Times New Roman"/>
          <w:sz w:val="17"/>
          <w:szCs w:val="17"/>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June 30, 2017 and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6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7"/>
          </w:tcPr>
          <w:p>
            <w:pPr>
              <w:jc w:val="right"/>
              <w:ind w:right="13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14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100.1</w:t>
            </w: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167.1</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Net sales in Korea for the three months ended June 30, 2017 increased from $46.7 million to $68.0 million compared to the three months ended June 30, 2016, or by $21.2 million, or 45.2%, primarily due to higher demand of large display applications for TVs and our foundry services from certain customers serving the mid-range smartphone and consumer electronics markets. Higher sales of MOSFETs products also had a favorable impact.</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Net sales in Asia Pacific (other than Korea) for the three months ended June 30, 2017 decreased from $100.1 million to $76.5 million compared to the three months ended June 30, 2016, or by $23.6 million, or 23.6%, primarily due to lower level of sales of mobile OLED display driver ICs, which was offset in part by an increase in sales of certain products from a global power management IC foundry customer.</w:t>
      </w:r>
    </w:p>
    <w:p>
      <w:pPr>
        <w:spacing w:after="0" w:line="176"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Net sales in the United States for the three months ended June 30, 2017 increased from $8.3 million to $11.2 million compared to the three months ended June 30, 2016, or by $2.8 million, or 33.8%, primarily due to an increase in sales of certain products from a global power management IC foundry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$17.7 million, or 10.6% of net sales,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2017, compared to $20.4 million, or 12.2% of net sales, for the three months ended June 30, 2016. The decrease of $2.7 million, or 13.1%, was primarily attributable to a $1.4 million decrease in restatement related professional fees mainly comprised of legal fees and a $1.1 million decrease in salary expense as a result of our headcount reduction.</w:t>
      </w:r>
    </w:p>
    <w:p>
      <w:pPr>
        <w:spacing w:after="0" w:line="177"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$16.9 million, or 10.2% of net sales,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2017, compared to $18.2 million, or 10.9% of net sales, for the three months ended June 30, 2016. The decrease of $1.3 million, or 6.9%, was primarily attributable to a $0.6 million decrease in 8-inch R&amp;D processing costs and a $0.6 million decrease in salary expense as a result of our headcount reduction of non-key R&amp;D personnel.</w:t>
      </w:r>
    </w:p>
    <w:p>
      <w:pPr>
        <w:spacing w:after="0" w:line="177"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of $1.3 million recorded for the three months ended June 30, 2016 resulted from training and transition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related to the employees at our closed 6-inch fab.</w:t>
      </w:r>
    </w:p>
    <w:p>
      <w:pPr>
        <w:spacing w:after="0" w:line="155"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Early Termination Charges. </w:t>
      </w:r>
      <w:r>
        <w:rPr>
          <w:rFonts w:ascii="Times New Roman" w:cs="Times New Roman" w:eastAsia="Times New Roman" w:hAnsi="Times New Roman"/>
          <w:sz w:val="18"/>
          <w:szCs w:val="18"/>
          <w:color w:val="auto"/>
        </w:rPr>
        <w:t>Termination related charges related to the reduction of workforce through the Headcount Reduction Plan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2017 and the Program for the three months ended June 30, 2016 were $2.3 million and $4.2 million, 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As a result of the foregoing, operating income increased by $17.1 million for the three months ended June 30, 2017 compared to the three months ended June 30, 2016. As discussed above, the increase in operating income resulted from a $9.9 million increase in gross profit, a $2.7 million decrease in selling, general and administrative expenses, a $1.3 million decrease in research development expenses, a $1.3 million decrease in restructuring charges and a $2.0 million decrease in early termination charges.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17"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expenses were $5.4 million and $4.1 million for the three months ended June 30, 2017 and June 30, 2016, respectively.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of $1.4 million was attributable to the interest expense recorded for the Exchangeable Notes issued in January 2017.</w:t>
      </w:r>
    </w:p>
    <w:p>
      <w:pPr>
        <w:spacing w:after="0" w:line="155" w:lineRule="exact"/>
        <w:rPr>
          <w:sz w:val="20"/>
          <w:szCs w:val="20"/>
          <w:color w:val="auto"/>
        </w:rPr>
      </w:pPr>
    </w:p>
    <w:p>
      <w:pPr>
        <w:jc w:val="both"/>
        <w:ind w:right="1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Loss, Net. </w:t>
      </w:r>
      <w:r>
        <w:rPr>
          <w:rFonts w:ascii="Times New Roman" w:cs="Times New Roman" w:eastAsia="Times New Roman" w:hAnsi="Times New Roman"/>
          <w:sz w:val="18"/>
          <w:szCs w:val="18"/>
          <w:color w:val="auto"/>
        </w:rPr>
        <w:t>Net foreign currency loss for the three months ended June 30, 2017 was $11.9 million compared to net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 of $7.1 million for the three months ended June 30, 2016. The net foreign currency loss for the three months ended June 30, 2017 and 2016 was due to the depreciation in value of the Korean won relative to the U.S. dollar during the period.</w:t>
      </w:r>
    </w:p>
    <w:p>
      <w:pPr>
        <w:spacing w:after="0" w:line="17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June 30, 2017 and June 30, 2016, the outstanding intercompany loan balances including accrued interests between our Korean subsidiary and our Dutch subsidiary were $671 million and $594 million, respectively. The increase was primarily attributable to a newly executed intercompany loan of $75 million during the first quarter of 2017, which was used to transfer a portion of the net proceeds from the offering of the Exchangeable Notes from our Luxembourg subsidiary to our Dutch subsidiary, and then to our Korean subsidiary.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81"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Others, Net. </w:t>
      </w:r>
      <w:r>
        <w:rPr>
          <w:rFonts w:ascii="Times New Roman" w:cs="Times New Roman" w:eastAsia="Times New Roman" w:hAnsi="Times New Roman"/>
          <w:sz w:val="18"/>
          <w:szCs w:val="18"/>
          <w:color w:val="auto"/>
        </w:rPr>
        <w:t>Others were comprised of rental income, interest income, and gains and losses from valuation of derivatives which were designated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hedging instruments. Others for the three months ended June 30, 2017 and June 30, 2016 was $0.1 million and $1.0 million, 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Income tax expenses for the three months ended June 30, 2017 were $0.5 million and for the three months ended June 30, 2016 were $0.3 million. The increase in income tax expenses was primarily attributable to changes in unrecognized tax benefits as a result of a lapse of the applicable statute of limitations in the Korean subsidiary and an increase in accrued interests on intercompany loans.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a result of the foregoing, net loss decreased by $9.8 million for the three months ended June 30, 2017 compared to the three months ended June 30, 2016. As discussed above, the decrease in net loss primarily resulted from a $17.1 million increase in operating income, which was offset by a $4.8 million increase in net foreign currency loss.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Six Months Ended June 30, 2017 and 2016</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six months ended June 30,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80" w:type="dxa"/>
            <w:vAlign w:val="bottom"/>
            <w:gridSpan w:val="9"/>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98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80" w:type="dxa"/>
            <w:vAlign w:val="bottom"/>
            <w:gridSpan w:val="9"/>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Borders>
              <w:top w:val="single" w:sz="8" w:color="auto"/>
            </w:tcBorders>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400" w:type="dxa"/>
            <w:vAlign w:val="bottom"/>
            <w:gridSpan w:val="6"/>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11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7"/>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$315.2</w:t>
            </w: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3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240.2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8"/>
                <w:szCs w:val="18"/>
                <w:color w:val="auto"/>
              </w:rPr>
            </w:pPr>
          </w:p>
        </w:tc>
        <w:tc>
          <w:tcPr>
            <w:tcW w:w="7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244.2</w:t>
            </w: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34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 (gain), net</w:t>
            </w: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7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termination charges</w:t>
            </w:r>
          </w:p>
        </w:tc>
        <w:tc>
          <w:tcPr>
            <w:tcW w:w="2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3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net</w:t>
            </w:r>
          </w:p>
        </w:tc>
        <w:tc>
          <w:tcPr>
            <w:tcW w:w="2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7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2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3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7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3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(9.7)</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by segment</w:t>
            </w:r>
          </w:p>
        </w:tc>
        <w:tc>
          <w:tcPr>
            <w:tcW w:w="2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8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5"/>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Foundry Services Group</w:t>
            </w:r>
          </w:p>
        </w:tc>
        <w:tc>
          <w:tcPr>
            <w:tcW w:w="3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$159.1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9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$122.3</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 Products Group</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Display Solutions</w:t>
            </w: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96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8"/>
              </w:rPr>
              <w:t>132.5</w:t>
            </w: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Power Solutions</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1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Total Standard Products Group</w:t>
            </w: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169.2</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192.6</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 other</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Total net sales</w:t>
            </w:r>
          </w:p>
        </w:tc>
        <w:tc>
          <w:tcPr>
            <w:tcW w:w="2820" w:type="dxa"/>
            <w:vAlign w:val="bottom"/>
            <w:gridSpan w:val="2"/>
            <w:vMerge w:val="restart"/>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328.4</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315.2</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5"/>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Foundry Services Group</w:t>
            </w:r>
          </w:p>
        </w:tc>
        <w:tc>
          <w:tcPr>
            <w:tcW w:w="2920" w:type="dxa"/>
            <w:vAlign w:val="bottom"/>
            <w:gridSpan w:val="4"/>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Standard Products Group</w:t>
            </w: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96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11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 other</w:t>
            </w: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96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gross profit</w:t>
            </w:r>
          </w:p>
        </w:tc>
        <w:tc>
          <w:tcPr>
            <w:tcW w:w="282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11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Net sales were $328.4 million for the six months ended June 30, 2017, a $13.2 million, or 4.2%, increase compared to $315.2 million for the six months ended June 30, 2016. This increase was primarily attributable to an increase in revenue from our Foundry Services, which was offset in part by a net decrease in revenue from our Standard Products Group as described below.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Foundry Services Group. </w:t>
      </w:r>
      <w:r>
        <w:rPr>
          <w:rFonts w:ascii="Times New Roman" w:cs="Times New Roman" w:eastAsia="Times New Roman" w:hAnsi="Times New Roman"/>
          <w:sz w:val="18"/>
          <w:szCs w:val="18"/>
          <w:color w:val="auto"/>
        </w:rPr>
        <w:t>Net sales from our Foundry Services Group segment were $159.1 million for the six months ended June 30, 2017,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$36.8 million, or 30.1%, increase compared to net sales of $122.3 million for the six months ended June 30, 2016. The increase was primarily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sales of certain products from global power management IC foundry customers and higher demand for our foundry services from certain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serving the mid-range smartphone and consumer electronics markets. These increases were partially offset by a net decrease in demand of our foundry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from a customer serving the high-end smartphone market.</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Standard Products Group. </w:t>
      </w:r>
      <w:r>
        <w:rPr>
          <w:rFonts w:ascii="Times New Roman" w:cs="Times New Roman" w:eastAsia="Times New Roman" w:hAnsi="Times New Roman"/>
          <w:sz w:val="18"/>
          <w:szCs w:val="18"/>
          <w:color w:val="auto"/>
        </w:rPr>
        <w:t>Net sales from our Standard Products Group segment were $169.2 million for the six months ended June 30, 2017, a</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$23.4 million, or 12.1%, decrease compared to $192.6 million for the six months ended June 30, 2016. This decrease was primarily attributable to a decrease in revenue from our mobile OLED display driver ICs stemming from seasonal factors and a timing mismatch between the expected drop-off in revenue from existing products and when our new product family will begin to be produced in volume. Such decrease was partially offset by an increase in revenue related to large display products mainly due to higher demand of source drivers for ultra high definition TVs and MOSFETs and premium power products due to higher demand of TV and industrial products.</w:t>
      </w:r>
    </w:p>
    <w:p>
      <w:pPr>
        <w:spacing w:after="0" w:line="183" w:lineRule="exact"/>
        <w:rPr>
          <w:sz w:val="20"/>
          <w:szCs w:val="20"/>
          <w:color w:val="auto"/>
        </w:rPr>
      </w:pPr>
    </w:p>
    <w:p>
      <w:pPr>
        <w:ind w:right="5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w:t>
      </w:r>
      <w:r>
        <w:rPr>
          <w:rFonts w:ascii="Times New Roman" w:cs="Times New Roman" w:eastAsia="Times New Roman" w:hAnsi="Times New Roman"/>
          <w:sz w:val="18"/>
          <w:szCs w:val="18"/>
          <w:color w:val="auto"/>
        </w:rPr>
        <w:t>All other net sales were $0.1 million for the six months ended June 30, 2017 and $0.3 million for the six months ended June 30,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gross profit was $88.2 million for the six months ended June 30, 2017 compared to $71.0 million for the six months ended June 30, 2016, a</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$17.2 million, or 24.3%, increase. Gross profit as a percentage of net sales for the six months ended June 30, 2017 increased to 26.9% compared to 22.5% for the six months ended June 30, 2016. The increase in gross profit as a percentage of net sales was primarily due to an increase in gross profit from our Foundry Services Group segment as described below.</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Foundry Services Group. </w:t>
      </w:r>
      <w:r>
        <w:rPr>
          <w:rFonts w:ascii="Times New Roman" w:cs="Times New Roman" w:eastAsia="Times New Roman" w:hAnsi="Times New Roman"/>
          <w:sz w:val="18"/>
          <w:szCs w:val="18"/>
          <w:color w:val="auto"/>
        </w:rPr>
        <w:t>Gross profit from our Foundry Services Group segment was $45.5 million for the six months ended June 30, 2017,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or 59.8%, increase compared to $28.5 million for the six months ended June 30, 2016. Gross profit as a percentage of net sales for the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2017 increased to 28.6% compared to 23.3% for the six months ended June 30, 2016. The increase in gross profit as a percentage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was mainly attributable to a better product mix and increase in 8-inch utilization rate. Our product mix improved partly due to ending the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sale of legacy low margin products that were manufactured in our 6-inch fab, which was closed during the first quarter of 2016. The increase was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a favorable impact from reduction in headcount.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Standard Products Group. </w:t>
      </w:r>
      <w:r>
        <w:rPr>
          <w:rFonts w:ascii="Times New Roman" w:cs="Times New Roman" w:eastAsia="Times New Roman" w:hAnsi="Times New Roman"/>
          <w:sz w:val="18"/>
          <w:szCs w:val="18"/>
          <w:color w:val="auto"/>
        </w:rPr>
        <w:t>Gross profit from our Standard Products Group segment was $42.6 million for the six months ended June 30, 2017,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or 1.3%, decrease from $43.1 million for the six months ended June 30, 2016. Gross profit as a percentage of net sales for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increased to 25.2% compared to 22.4% for the six months ended June 30, 2016. The increase in gross profit as a percentage of net sales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mainly attributable to the favorable impact of a higher 8-inch utilization rate and reduction in headcount, partially offset by unfavorable product mix caused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decline in revenue from our mobile OLED display driver ICs. The decline in our mobile OLED revenue stemmed from seasonal factors and a timing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mismatch between the expected drop-off in revenue from existing products and when our new product family will begin to be produced in volume.</w:t>
      </w:r>
    </w:p>
    <w:p>
      <w:pPr>
        <w:spacing w:after="0" w:line="203" w:lineRule="exact"/>
        <w:rPr>
          <w:sz w:val="20"/>
          <w:szCs w:val="20"/>
          <w:color w:val="auto"/>
        </w:rPr>
      </w:pPr>
    </w:p>
    <w:p>
      <w:pPr>
        <w:jc w:val="both"/>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 Other. </w:t>
      </w:r>
      <w:r>
        <w:rPr>
          <w:rFonts w:ascii="Times New Roman" w:cs="Times New Roman" w:eastAsia="Times New Roman" w:hAnsi="Times New Roman"/>
          <w:sz w:val="18"/>
          <w:szCs w:val="18"/>
          <w:color w:val="auto"/>
        </w:rPr>
        <w:t>All other gross profit for the six months ended June 30, 2017 was $0.1 million. All other gross profit for the six months ended June 30,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negative $0.6 million mainly attributable to training and transition costs related to our closed 6-inch fab employees, which was partially offset by revenue from the disposal of waste materials.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Region</w:t>
      </w:r>
    </w:p>
    <w:p>
      <w:pPr>
        <w:spacing w:after="0" w:line="121"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We report net sales by geographic region based on the location to which the products are billed. The following table sets forth our net sales by geographic region and the percentage of total net sales represented by each geographic region for the six months ended June 30,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8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97.5</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3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3"/>
              </w:rPr>
              <w:t>181.9</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18.6</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328.4</w:t>
            </w:r>
          </w:p>
        </w:tc>
        <w:tc>
          <w:tcPr>
            <w:tcW w:w="3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315.2</w:t>
            </w:r>
          </w:p>
        </w:tc>
        <w:tc>
          <w:tcPr>
            <w:tcW w:w="380" w:type="dxa"/>
            <w:vAlign w:val="bottom"/>
            <w:vMerge w:val="continue"/>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Net sales in Korea for the six months ended June 30, 2017 increased from $97.5 million to $133.1 million compared to the six months ended June 30, 2016, or by $35.6 million, or 36.5%, primarily due to higher demand of large display applications for TVs and our foundry services from certain customers serving the mid-range smartphone and consumer electronics markets. Higher sales of MOSFETs products also had a favorable impact.</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Net sales in Asia Pacific for the six months ended June 30, 2017 decreased from $181.9 million to $156.0 million compared to the six months ended June 30, 2016, or by $25.9 million, or 14.2%, primarily due to lower level of sales of mobile OLED display driver ICs, which was partially offset by an increase in sales of certain products from a global power management IC foundry customer.</w:t>
      </w:r>
    </w:p>
    <w:p>
      <w:pPr>
        <w:spacing w:after="0" w:line="176" w:lineRule="exact"/>
        <w:rPr>
          <w:sz w:val="20"/>
          <w:szCs w:val="20"/>
          <w:color w:val="auto"/>
        </w:rPr>
      </w:pPr>
    </w:p>
    <w:p>
      <w:pPr>
        <w:jc w:val="both"/>
        <w:ind w:right="120" w:firstLine="456"/>
        <w:spacing w:after="0" w:line="282" w:lineRule="auto"/>
        <w:rPr>
          <w:sz w:val="20"/>
          <w:szCs w:val="20"/>
          <w:color w:val="auto"/>
        </w:rPr>
      </w:pPr>
      <w:r>
        <w:rPr>
          <w:rFonts w:ascii="Times New Roman" w:cs="Times New Roman" w:eastAsia="Times New Roman" w:hAnsi="Times New Roman"/>
          <w:sz w:val="18"/>
          <w:szCs w:val="18"/>
          <w:color w:val="auto"/>
        </w:rPr>
        <w:t>Net sales in the United States for the six months ended June 30, 2017 increased from $13.1 million to $20.3 million compared to the six months ended June 30, 2016, or by $7.2 million, or 55.0%, primarily due to an increase in sales of certain products from a global power management IC foundry customer.</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Net sales in Europe for the six months ended June 30, 2017 decreased from $22.3 million to $18.6 million compared to the six months ended June 30, 2016, or by $3.7 million, or 16.6%, primarily due to lower demand of our foundry services from a customer serving the high-end smartphone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$40.9 million, or 12.4% of net sales,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2017, compared to $40.4 million, or 12.8% of net sales, for the six months ended June 30, 2016. The increase of $0.5 million, or 1.3%, was primarily attributable to a $3.0 million civil penalty in connection with the final settlement with the SEC, which was partially offset by a decrease in professional fees mainly comprised of legal and consulting fees.</w:t>
      </w:r>
    </w:p>
    <w:p>
      <w:pPr>
        <w:spacing w:after="0" w:line="177" w:lineRule="exact"/>
        <w:rPr>
          <w:sz w:val="20"/>
          <w:szCs w:val="20"/>
          <w:color w:val="auto"/>
        </w:rPr>
      </w:pPr>
    </w:p>
    <w:p>
      <w:pPr>
        <w:ind w:right="5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$34.9 million, or 10.6% of net sales,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2017, compared to $36.0 million, or 11.4% of net sales, for the six months ended June 30, 2016. The decrease of $1.1 million, or 3.1%, was primarily attributable to a decrease in 8-inch R&amp;D processing costs.</w:t>
      </w:r>
    </w:p>
    <w:p>
      <w:pPr>
        <w:spacing w:after="0" w:line="171"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and Other Charges (Gain), Net. </w:t>
      </w:r>
      <w:r>
        <w:rPr>
          <w:rFonts w:ascii="Times New Roman" w:cs="Times New Roman" w:eastAsia="Times New Roman" w:hAnsi="Times New Roman"/>
          <w:sz w:val="18"/>
          <w:szCs w:val="18"/>
          <w:color w:val="auto"/>
        </w:rPr>
        <w:t>Restructuring and other charges (gain), net of $17.0 million recorded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resulted from a $16.6 million restructuring gain on the sale of the building related to the closure of our 6-inch fab and a $0.4 million gain on sale of our sensor business. Restructuring and other charges (gain), net of $6.5 million recorded for the six months ended June 30, 2016 resulted from the sale of machinery related to the closure of our 6-inch fab, which was offset by $1.3 million of training and transition costs related to the employees at our closed 6-inch fab.</w:t>
      </w:r>
    </w:p>
    <w:p>
      <w:pPr>
        <w:spacing w:after="0" w:line="180"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Early Termination Charges. </w:t>
      </w:r>
      <w:r>
        <w:rPr>
          <w:rFonts w:ascii="Times New Roman" w:cs="Times New Roman" w:eastAsia="Times New Roman" w:hAnsi="Times New Roman"/>
          <w:sz w:val="18"/>
          <w:szCs w:val="18"/>
          <w:color w:val="auto"/>
        </w:rPr>
        <w:t>Termination related charges related to the reduction of workforce through the Headcount Reduction Plan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2017 and the Program for the six months ended June 30, 2016 were $13.4 million and $4.2 million, respectively.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a result of the foregoing, an operating loss of $3.1 million for the six months ended June 30, 2016 turned to an operating income of $16.1 million for the six months ended June 30, 2017. This $19.2 million increase in operating income resulted from a $17.2 million increase in gross profit, a $10.5 million increase in restructuring and other gain, net, which was partially offset by a $9.1 million increase in early termination charges.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$10.6 million for the six months ended June 30, 2017 and $8.1 million for the six months ended June 30, 2016.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$2.5 million was attributable to the interest expense recorded for the Exchangeable Notes issued in January 2017.</w:t>
      </w:r>
    </w:p>
    <w:p>
      <w:pPr>
        <w:spacing w:after="0" w:line="203"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Net. </w:t>
      </w:r>
      <w:r>
        <w:rPr>
          <w:rFonts w:ascii="Times New Roman" w:cs="Times New Roman" w:eastAsia="Times New Roman" w:hAnsi="Times New Roman"/>
          <w:sz w:val="18"/>
          <w:szCs w:val="18"/>
          <w:color w:val="auto"/>
        </w:rPr>
        <w:t>Net foreign currency gain for the six months ended June 30, 2017 was $29.9 million compared to net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of $1.1 million for the six months ended June 30, 2016. The net foreign currency gain for the six months ended June 30, 2017 and 2016 was due to the appreciation in value of the Korean won relative to the U.S. dollar during the period.</w:t>
      </w:r>
    </w:p>
    <w:p>
      <w:pPr>
        <w:spacing w:after="0" w:line="17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June 30, 2017 and June 30, 2016, the outstanding intercompany loan balances including accrued interests between our Korean subsidiary and our Dutch subsidiary were $671 million and $594 million, respectively. The increase was primarily attributable to a newly executed intercompany loan of $75 million during the first quarter of 2017, which was used to transfer a portion of the net proceeds from the offering of the Exchangeable Notes from our Luxembourg subsidiary to our Dutch subsidiary, and then to our Korean subsidiary.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81"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Others, Net. </w:t>
      </w:r>
      <w:r>
        <w:rPr>
          <w:rFonts w:ascii="Times New Roman" w:cs="Times New Roman" w:eastAsia="Times New Roman" w:hAnsi="Times New Roman"/>
          <w:sz w:val="18"/>
          <w:szCs w:val="18"/>
          <w:color w:val="auto"/>
        </w:rPr>
        <w:t>Others were comprised of gains and losses on the valuation of derivatives which were designated as hedging instruments, rental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interest income. Others for the six months ended June 30, 2017 and June 30, 2016 was $1.7 million and $1.5 million, respectively.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Income tax expenses for the six months ended June 30, 2017 and 2016 were $1.4 million and $1.1 million, respectively. The increase in income tax expenses was primarily attributable to changes in unrecognized tax benefits as a result of a lapse of the applicable statute of limitations in the Korean subsidiary and an increase in accrued interests on intercompany loans.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a result of the foregoing, a net loss of $9.7 million for the six months ended June 30, 2016 turned to a net income of $35.7 million for the six months ended June 30, 2017. This $45.4 million increase in net income primarily resulted from a $19.2 million increase in operating income and a $28.8 million increase in net foreign currency gain.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6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Interim Consolidated Financial Statements—Notes to Consolidated Financial Statements—Note 2. Sales of Accounts Receivable and Receivable Discount Program” included elsewhere in this Report. In addition, from time to time, we may make payments to our vendors on extended terms with their consent. As of June 30, 2017, we do not have any accounts payable on extended terms or payment deferment with our vendors.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January 17, 2017, MagnaChip Semiconductor S.A., our Luxembourg subsidiary, closed the Exchangeable Notes Offering of the Exchangeable Notes with $86.25 million aggregate principal amount, reflecting the full exercise of the initial purchasers’ option to purchase additional Exchangeable Notes. We used a portion of the net proceeds from the Exchangeable Notes Offering to repurchase approximately $11.4 million of our common stock as part of our stock repurchase program.</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outflow used in operating activities totaled $31.7 million for the six months ended June 30, 2017, compared to $8.7 million for the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2016. The net operating cash outflow for the six months ended June 30, 2017 reflects our net income of $35.7 million and adjustments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million which mainly consisted of depreciation and amortization, provision for severance benefits, net foreign currency gain and restructuring gain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and a net decrease in operating assets and liabilities of $41.2 million. The decrease in changes in operating assets and liabilities was mainly attributable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payments of statutory severance to the employees that resigned from the Company.</w:t>
      </w:r>
    </w:p>
    <w:p>
      <w:pPr>
        <w:spacing w:after="0" w:line="20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working capital balance as of June 30, 2017 was $162.8 million compared to $89.3 million as of December 31, 2016. The $73.5 million increase was primarily attributable to a $48.2 million increase in cash and cash equivalents, a $14.2 million increase in accounts receivable, net and a $9.1 million decrease in accrued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Cash inflow provided by investing activities totaled $5.5 million for the six months ended June 30, 2017, compared to $0.01 million of cash outflow used in investing activities for the six months ended June 30, 2016. The $5.5 million increase was primarily attributable to a $13.7 million net increase in proceeds from disposal of plant, property and equipment, partly offset by a $9.2 million net increase in hedge collateral.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Cash inflow generated by financing activities totaled $71.5 million for the six months ended June 30, 2017, compared to no cash flow from financing activities for the six months ended June 30, 2016. The $71.5 million increase was attributable to $80.3 million of net proceeds received from the issuance of the Exchangeable Notes and $2.5 million of proceeds received from the exercised stock options, which was partly offset by the payment of $11.4 million for the repurchase of 1,795,444 shares of our common stock in January 2017 pursuant to our stock repurchase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right="500" w:firstLine="456"/>
        <w:spacing w:after="0" w:line="261" w:lineRule="auto"/>
        <w:rPr>
          <w:sz w:val="20"/>
          <w:szCs w:val="20"/>
          <w:color w:val="auto"/>
        </w:rPr>
      </w:pPr>
      <w:r>
        <w:rPr>
          <w:rFonts w:ascii="Times New Roman" w:cs="Times New Roman" w:eastAsia="Times New Roman" w:hAnsi="Times New Roman"/>
          <w:sz w:val="18"/>
          <w:szCs w:val="18"/>
          <w:color w:val="auto"/>
        </w:rPr>
        <w:t>We routinely make capital expenditures for fab maintenance, enhancement of our existing facilities and reinforcement of our global research and development capability. For the six months ended June 30, 2017, capital expenditures (including payments for intellectual property registration) were $11.4 million, a $5.1 million, or 80.2%, increase from $6.3 million for the six months ended June 30, 2016. The increase was mainly due to equipment purchased to support demand of certain process technology.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June 30,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2"/>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Remainder</w:t>
            </w: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68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r>
              <w:rPr>
                <w:rFonts w:ascii="Times New Roman" w:cs="Times New Roman" w:eastAsia="Times New Roman" w:hAnsi="Times New Roman"/>
                <w:sz w:val="15"/>
                <w:szCs w:val="15"/>
                <w:color w:val="auto"/>
              </w:rPr>
              <w:t>(1)</w:t>
            </w:r>
          </w:p>
        </w:tc>
        <w:tc>
          <w:tcPr>
            <w:tcW w:w="29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w:t>
            </w: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$ 4.3</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$ 4.3</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$ 88.4</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2021 Notes</w:t>
            </w:r>
            <w:r>
              <w:rPr>
                <w:rFonts w:ascii="Times New Roman" w:cs="Times New Roman" w:eastAsia="Times New Roman" w:hAnsi="Times New Roman"/>
                <w:sz w:val="15"/>
                <w:szCs w:val="15"/>
                <w:color w:val="auto"/>
              </w:rPr>
              <w:t>(2)</w:t>
            </w:r>
          </w:p>
        </w:tc>
        <w:tc>
          <w:tcPr>
            <w:tcW w:w="2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292.1</w:t>
            </w:r>
          </w:p>
        </w:tc>
        <w:tc>
          <w:tcPr>
            <w:tcW w:w="28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239.9</w:t>
            </w:r>
          </w:p>
        </w:tc>
        <w:tc>
          <w:tcPr>
            <w:tcW w:w="3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r>
              <w:rPr>
                <w:rFonts w:ascii="Times New Roman" w:cs="Times New Roman" w:eastAsia="Times New Roman" w:hAnsi="Times New Roman"/>
                <w:sz w:val="15"/>
                <w:szCs w:val="15"/>
                <w:color w:val="auto"/>
              </w:rPr>
              <w:t>(3)</w:t>
            </w:r>
          </w:p>
        </w:tc>
        <w:tc>
          <w:tcPr>
            <w:tcW w:w="29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15"/>
                <w:szCs w:val="15"/>
                <w:color w:val="auto"/>
              </w:rPr>
              <w:t>(4)</w:t>
            </w:r>
          </w:p>
        </w:tc>
        <w:tc>
          <w:tcPr>
            <w:tcW w:w="2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right="60" w:hanging="452"/>
        <w:spacing w:after="0" w:line="261"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as well as $86.25 million aggregate principal amount of the Exchangeable Notes outstanding as of June 30, 2017, which bear interest at a rate of 5.0% per annum and are scheduled to mature in 2021 if not earlier converted or redeemed.</w:t>
      </w:r>
    </w:p>
    <w:p>
      <w:pPr>
        <w:ind w:left="460" w:right="100" w:hanging="452"/>
        <w:spacing w:after="0" w:line="250"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as well as $225.0 million aggregate principal amount of the 2021 Notes outstanding as of June 30, 2017, which bear interest at a rate of 6.625% per annum and are scheduled to mature in 2021 if not earlier redeemed.</w:t>
      </w: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constant currency exchange rate for Korean won to U.S. dollars of 1,139.6.1:1, the exchange rate as of June 30, 2017.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agreements and other contractual obligations.</w:t>
      </w:r>
    </w:p>
    <w:p>
      <w:pPr>
        <w:spacing w:after="0" w:line="20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indentures relating to the Exchangeable Notes and the 2021 Notes contain covenants as detailed in “Item 1. Interim Consolidated Financial Statements—Notes to Consolidated Financial Statements— Note 9.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We follow accounting guidance on uncertain tax positions. Our unrecognized tax benefits totaled $2.2 million as of June 30, 2017. These unrecognized tax benefits have been excluded from the above table because we cannot estimate the period of cash settlement with the respective taxing authorities.</w:t>
      </w:r>
    </w:p>
    <w:p>
      <w:pPr>
        <w:spacing w:after="0" w:line="13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Although we are obligated to pay severance benefits to eligible employees with one or more years of service upon the termination of their employment based on their length of service and rate pay, we have no obligation to fund the accrued severance benefits. Our accrued severance benefits totaled</w:t>
      </w:r>
    </w:p>
    <w:p>
      <w:pPr>
        <w:ind w:right="100"/>
        <w:spacing w:after="0" w:line="261" w:lineRule="auto"/>
        <w:rPr>
          <w:sz w:val="20"/>
          <w:szCs w:val="20"/>
          <w:color w:val="auto"/>
        </w:rPr>
      </w:pPr>
      <w:r>
        <w:rPr>
          <w:rFonts w:ascii="Times New Roman" w:cs="Times New Roman" w:eastAsia="Times New Roman" w:hAnsi="Times New Roman"/>
          <w:sz w:val="18"/>
          <w:szCs w:val="18"/>
          <w:color w:val="auto"/>
        </w:rPr>
        <w:t>$130.1 million as of June 30, 2017. Our obligations in connection with severance benefits have been excluded from the above table because we are unable to reasonably estimate the rate of termination and related cash payments for future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believe that our significant accounting policies, which are described further in Note 1 to our consolidated financial statements in our 2016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84"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A description of our critical accounting policies that involve significant management judgement appears in our 2016 Form 10-K, under “Management’s Discussion and Analysis of Financial Conditions and Reports of Operations—Critical Accounting Policies and Estimates.” There have been no material changes to our critical accounting policies and estimates as compared to our critical accounting policies and estimates included in our 2016 Form 10-K.</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Exposures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exposure to foreign currency exchange rate fluctuations on net income from our subsidiaries denominated in currencies other than</w:t>
      </w:r>
    </w:p>
    <w:p>
      <w:pPr>
        <w:spacing w:after="0" w:line="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2017 for our Korean subsidiary, a 10% devaluation of the Korean won against the U.S. dollar would have resulted in a decrease of $2.1 million in our U.S. dollar financial instruments and cash balances.</w:t>
      </w:r>
    </w:p>
    <w:p>
      <w:pPr>
        <w:spacing w:after="0" w:line="173"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Exposures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June 30, 2017, $86.25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June 30, 2017, $225.0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we carried out an evaluation under the supervision of and with the participation of our management, including our Chief Executive Officer and Chief Financial Officer, as of June 30, 2017,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2017 that have materially affected, or are reasonably likely to materially affect, our internal control over financial reporting.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 discussion of legal proceedings, see “Part I: Item 3. Legal Proceedings” of our 2016 Form 10-K.</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See also “Part I: Item 1A. Risk Factors” of our 2016 Form 10-K and Note 18 to our consolidated financial statements in this Report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2016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material changes to the Company’s risk factors disclosed in “Part I: Item 1A. Risk Factors” of our 2016 Form 10-K.</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180" w:type="dxa"/>
            <w:vAlign w:val="bottom"/>
          </w:tcPr>
          <w:p>
            <w:pPr>
              <w:spacing w:after="0"/>
              <w:rPr>
                <w:sz w:val="13"/>
                <w:szCs w:val="13"/>
                <w:color w:val="auto"/>
              </w:rPr>
            </w:pPr>
          </w:p>
        </w:tc>
      </w:tr>
      <w:tr>
        <w:trPr>
          <w:trHeight w:val="187"/>
        </w:trPr>
        <w:tc>
          <w:tcPr>
            <w:tcW w:w="16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60" w:type="dxa"/>
            <w:vAlign w:val="bottom"/>
            <w:gridSpan w:val="3"/>
          </w:tcPr>
          <w:p>
            <w:pPr>
              <w:ind w:left="4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91"/>
        </w:trPr>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pursuant to Rule 13a-14(a) or Rule 15d-14(a) of the Securities Exchange Act of 1934 of the Chief Executive Officer.</w:t>
            </w:r>
          </w:p>
        </w:tc>
      </w:tr>
      <w:tr>
        <w:trPr>
          <w:trHeight w:val="324"/>
        </w:trPr>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pursuant to Rule 13a-14(a) or Rule 15d-14(a) of the Securities Exchange Act of 1934 of the Chief Financial Officer.</w:t>
            </w:r>
          </w:p>
        </w:tc>
      </w:tr>
      <w:tr>
        <w:trPr>
          <w:trHeight w:val="306"/>
        </w:trPr>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 of the Chief</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306"/>
        </w:trPr>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 of the Chief</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Footnotes:</w:t>
      </w:r>
    </w:p>
    <w:p>
      <w:pPr>
        <w:spacing w:after="0" w:line="131"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80"/>
          </w:cols>
          <w:pgMar w:left="240" w:top="455" w:right="7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August 4, 2017</w:t>
      </w:r>
      <w:r>
        <w:rPr>
          <w:sz w:val="20"/>
          <w:szCs w:val="20"/>
          <w:color w:val="auto"/>
        </w:rPr>
        <w:tab/>
      </w:r>
      <w:r>
        <w:rPr>
          <w:rFonts w:ascii="Times New Roman" w:cs="Times New Roman" w:eastAsia="Times New Roman" w:hAnsi="Times New Roman"/>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August 4, 2017</w:t>
      </w:r>
      <w:r>
        <w:rPr>
          <w:sz w:val="20"/>
          <w:szCs w:val="20"/>
          <w:color w:val="auto"/>
        </w:rPr>
        <w:tab/>
      </w:r>
      <w:r>
        <w:rPr>
          <w:rFonts w:ascii="Times New Roman" w:cs="Times New Roman" w:eastAsia="Times New Roman" w:hAnsi="Times New Roman"/>
          <w:sz w:val="18"/>
          <w:szCs w:val="18"/>
          <w:color w:val="auto"/>
        </w:rPr>
        <w:t>By: /s/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Jonathan W. Kim</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 Executive Vice President and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60" w:type="dxa"/>
            <w:vAlign w:val="bottom"/>
            <w:gridSpan w:val="3"/>
          </w:tcPr>
          <w:p>
            <w:pPr>
              <w:ind w:left="38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67"/>
        </w:trPr>
        <w:tc>
          <w:tcPr>
            <w:tcW w:w="160" w:type="dxa"/>
            <w:vAlign w:val="bottom"/>
          </w:tcPr>
          <w:p>
            <w:pPr>
              <w:spacing w:after="0"/>
              <w:rPr>
                <w:sz w:val="24"/>
                <w:szCs w:val="2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60" w:type="dxa"/>
            <w:vAlign w:val="bottom"/>
            <w:gridSpan w:val="3"/>
          </w:tcPr>
          <w:p>
            <w:pPr>
              <w:ind w:left="4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91"/>
        </w:trPr>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pursuant to Rule 13a-14(a) or Rule 15d-14(a) of the Securities Exchange Act of 1934 of the Chief Executive Officer.</w:t>
            </w:r>
          </w:p>
        </w:tc>
      </w:tr>
      <w:tr>
        <w:trPr>
          <w:trHeight w:val="324"/>
        </w:trPr>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pursuant to Rule 13a-14(a) or Rule 15d-14(a) of the Securities Exchange Act of 1934 of the Chief Financial Officer.</w:t>
            </w:r>
          </w:p>
        </w:tc>
      </w:tr>
      <w:tr>
        <w:trPr>
          <w:trHeight w:val="306"/>
        </w:trPr>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 of the Chief</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306"/>
        </w:trPr>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 of the Chief</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15"/>
                <w:szCs w:val="15"/>
                <w:color w:val="auto"/>
              </w:rPr>
              <w:t>#</w:t>
            </w:r>
          </w:p>
        </w:tc>
        <w:tc>
          <w:tcPr>
            <w:tcW w:w="9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Footnotes:</w:t>
      </w:r>
    </w:p>
    <w:p>
      <w:pPr>
        <w:spacing w:after="0" w:line="131"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80"/>
          </w:cols>
          <w:pgMar w:left="240" w:top="455" w:right="7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Young-Joon Kim, certify that:</w:t>
      </w:r>
    </w:p>
    <w:p>
      <w:pPr>
        <w:spacing w:after="0" w:line="225" w:lineRule="exact"/>
        <w:rPr>
          <w:sz w:val="20"/>
          <w:szCs w:val="20"/>
          <w:color w:val="auto"/>
        </w:rPr>
      </w:pPr>
    </w:p>
    <w:p>
      <w:pPr>
        <w:ind w:left="640" w:hanging="17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66" w:lineRule="auto"/>
        <w:tabs>
          <w:tab w:leader="none" w:pos="6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60" w:right="220" w:firstLine="4"/>
        <w:spacing w:after="0" w:line="266"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
        <w:spacing w:after="0" w:line="266" w:lineRule="auto"/>
        <w:tabs>
          <w:tab w:leader="none" w:pos="7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20" w:firstLine="4"/>
        <w:spacing w:after="0" w:line="282" w:lineRule="auto"/>
        <w:tabs>
          <w:tab w:leader="none" w:pos="7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7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0" w:firstLine="464"/>
        <w:spacing w:after="0" w:line="282"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60" w:right="400" w:firstLine="4"/>
        <w:spacing w:after="0" w:line="282"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340" w:firstLine="4"/>
        <w:spacing w:after="0" w:line="282" w:lineRule="auto"/>
        <w:tabs>
          <w:tab w:leader="none" w:pos="7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W. Kim, certify that:</w:t>
      </w:r>
    </w:p>
    <w:p>
      <w:pPr>
        <w:spacing w:after="0" w:line="225" w:lineRule="exact"/>
        <w:rPr>
          <w:sz w:val="20"/>
          <w:szCs w:val="20"/>
          <w:color w:val="auto"/>
        </w:rPr>
      </w:pPr>
    </w:p>
    <w:p>
      <w:pPr>
        <w:ind w:left="640" w:hanging="17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66"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460" w:right="220" w:firstLine="4"/>
        <w:spacing w:after="0" w:line="266" w:lineRule="auto"/>
        <w:tabs>
          <w:tab w:leader="none" w:pos="7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
        <w:spacing w:after="0" w:line="266" w:lineRule="auto"/>
        <w:tabs>
          <w:tab w:leader="none" w:pos="7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20" w:firstLine="4"/>
        <w:spacing w:after="0" w:line="282" w:lineRule="auto"/>
        <w:tabs>
          <w:tab w:leader="none" w:pos="7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7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0" w:firstLine="464"/>
        <w:spacing w:after="0" w:line="282"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460" w:right="400" w:firstLine="4"/>
        <w:spacing w:after="0" w:line="282" w:lineRule="auto"/>
        <w:tabs>
          <w:tab w:leader="none" w:pos="7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340" w:firstLine="4"/>
        <w:spacing w:after="0" w:line="282" w:lineRule="auto"/>
        <w:tabs>
          <w:tab w:leader="none" w:pos="7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162" w:lineRule="exact"/>
        <w:rPr>
          <w:sz w:val="20"/>
          <w:szCs w:val="20"/>
          <w:color w:val="auto"/>
        </w:rPr>
      </w:pPr>
    </w:p>
    <w:p>
      <w:pPr>
        <w:ind w:right="640" w:firstLine="464"/>
        <w:spacing w:after="0" w:line="266" w:lineRule="auto"/>
        <w:tabs>
          <w:tab w:leader="none" w:pos="6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2017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right="140" w:firstLine="464"/>
        <w:spacing w:after="0" w:line="282" w:lineRule="auto"/>
        <w:tabs>
          <w:tab w:leader="none" w:pos="7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Dated: August 4, 2017</w:t>
      </w:r>
      <w:r>
        <w:rPr>
          <w:sz w:val="20"/>
          <w:szCs w:val="20"/>
          <w:color w:val="auto"/>
        </w:rPr>
        <w:tab/>
      </w:r>
      <w:r>
        <w:rPr>
          <w:rFonts w:ascii="Times New Roman" w:cs="Times New Roman" w:eastAsia="Times New Roman" w:hAnsi="Times New Roman"/>
          <w:sz w:val="17"/>
          <w:szCs w:val="17"/>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Young-Joon Kim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162" w:lineRule="exact"/>
        <w:rPr>
          <w:sz w:val="20"/>
          <w:szCs w:val="20"/>
          <w:color w:val="auto"/>
        </w:rPr>
      </w:pPr>
    </w:p>
    <w:p>
      <w:pPr>
        <w:ind w:right="640" w:firstLine="464"/>
        <w:spacing w:after="0" w:line="266" w:lineRule="auto"/>
        <w:tabs>
          <w:tab w:leader="none" w:pos="6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2017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76" w:lineRule="exact"/>
        <w:rPr>
          <w:rFonts w:ascii="Times New Roman" w:cs="Times New Roman" w:eastAsia="Times New Roman" w:hAnsi="Times New Roman"/>
          <w:sz w:val="18"/>
          <w:szCs w:val="18"/>
          <w:color w:val="auto"/>
        </w:rPr>
      </w:pPr>
    </w:p>
    <w:p>
      <w:pPr>
        <w:ind w:right="140" w:firstLine="464"/>
        <w:spacing w:after="0" w:line="282" w:lineRule="auto"/>
        <w:tabs>
          <w:tab w:leader="none" w:pos="7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Dated: August 4, 2017</w:t>
      </w:r>
      <w:r>
        <w:rPr>
          <w:sz w:val="20"/>
          <w:szCs w:val="20"/>
          <w:color w:val="auto"/>
        </w:rPr>
        <w:tab/>
      </w:r>
      <w:r>
        <w:rPr>
          <w:rFonts w:ascii="Times New Roman" w:cs="Times New Roman" w:eastAsia="Times New Roman" w:hAnsi="Times New Roman"/>
          <w:sz w:val="17"/>
          <w:szCs w:val="17"/>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Jonathan W. Kim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Roman"/>
      <w:start w:val="3"/>
    </w:lvl>
  </w:abstractNum>
  <w:abstractNum w:abstractNumId="3">
    <w:nsid w:val="6B68079A"/>
    <w:multiLevelType w:val="hybridMultilevel"/>
    <w:lvl w:ilvl="0">
      <w:lvlJc w:val="left"/>
      <w:lvlText w:val="(%1)"/>
      <w:numFmt w:val="lowerRoman"/>
      <w:start w:val="7"/>
    </w:lvl>
  </w:abstractNum>
  <w:abstractNum w:abstractNumId="4">
    <w:nsid w:val="4E6AFB66"/>
    <w:multiLevelType w:val="hybridMultilevel"/>
    <w:lvl w:ilvl="0">
      <w:lvlJc w:val="left"/>
      <w:lvlText w:val="(%1)"/>
      <w:numFmt w:val="lowerRoman"/>
      <w:start w:val="10"/>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1)"/>
      <w:numFmt w:val="lowerRoman"/>
      <w:start w:val="6"/>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2"/>
    </w:lvl>
    <w:lvl w:ilvl="1">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5"/>
    </w:lvl>
    <w:lvl w:ilvl="1">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2019-12-29T05:09:27Z</dcterms:created>
  <dcterms:modified xsi:type="dcterms:W3CDTF">2019-12-29T05:09:27Z</dcterms:modified>
</cp:coreProperties>
</file>