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right="100" w:hanging="43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10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60"/>
        <w:spacing w:after="0"/>
        <w:tabs>
          <w:tab w:leader="none" w:pos="67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83-0406195</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3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left="200" w:right="20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300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ind w:left="200"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ectPr>
          <w:pgSz w:w="11900" w:h="16838" w:orient="portrait"/>
          <w:cols w:equalWidth="0" w:num="1">
            <w:col w:w="11240"/>
          </w:cols>
          <w:pgMar w:left="240" w:top="230" w:right="41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July 31, 2019, the registrant had 34,369,590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175260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218440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79"/>
          </w:cols>
          <w:pgMar w:left="88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40" w:type="dxa"/>
            <w:vAlign w:val="bottom"/>
            <w:gridSpan w:val="9"/>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7460" w:type="dxa"/>
            <w:vAlign w:val="bottom"/>
            <w:gridSpan w:val="15"/>
            <w:vMerge w:val="restart"/>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9"/>
            <w:vMerge w:val="continue"/>
          </w:tcPr>
          <w:p>
            <w:pPr>
              <w:spacing w:after="0"/>
              <w:rPr>
                <w:sz w:val="13"/>
                <w:szCs w:val="13"/>
                <w:color w:val="auto"/>
              </w:rPr>
            </w:pPr>
          </w:p>
        </w:tc>
        <w:tc>
          <w:tcPr>
            <w:tcW w:w="7460" w:type="dxa"/>
            <w:vAlign w:val="bottom"/>
            <w:gridSpan w:val="15"/>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0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MagnaChip Semiconductor Corporation and Subsidiaries Consolidated Balance Sheets as of June 30, 2019 and</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31, 2018</w:t>
              </w:r>
            </w:hyperlink>
          </w:p>
        </w:tc>
        <w:tc>
          <w:tcPr>
            <w:tcW w:w="6400" w:type="dxa"/>
            <w:vAlign w:val="bottom"/>
            <w:tcBorders>
              <w:top w:val="single" w:sz="8" w:color="0000EE"/>
            </w:tcBorders>
            <w:gridSpan w:val="11"/>
          </w:tcPr>
          <w:p>
            <w:pPr>
              <w:spacing w:after="0"/>
              <w:rPr>
                <w:sz w:val="17"/>
                <w:szCs w:val="17"/>
                <w:color w:val="auto"/>
              </w:rPr>
            </w:pPr>
          </w:p>
        </w:tc>
        <w:tc>
          <w:tcPr>
            <w:tcW w:w="1080" w:type="dxa"/>
            <w:vAlign w:val="bottom"/>
            <w:gridSpan w:val="5"/>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2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MagnaChip Semiconductor Corporation and Subsidiaries Consolidated Statements of Operations for the Three and Six</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Months Ended June 30, 2019 and 2018</w:t>
              </w:r>
            </w:hyperlink>
          </w:p>
        </w:tc>
        <w:tc>
          <w:tcPr>
            <w:tcW w:w="5560" w:type="dxa"/>
            <w:vAlign w:val="bottom"/>
            <w:tcBorders>
              <w:top w:val="single" w:sz="8" w:color="0000EE"/>
            </w:tcBorders>
            <w:gridSpan w:val="8"/>
          </w:tcPr>
          <w:p>
            <w:pPr>
              <w:spacing w:after="0"/>
              <w:rPr>
                <w:sz w:val="17"/>
                <w:szCs w:val="17"/>
                <w:color w:val="auto"/>
              </w:rPr>
            </w:pPr>
          </w:p>
        </w:tc>
        <w:tc>
          <w:tcPr>
            <w:tcW w:w="520" w:type="dxa"/>
            <w:vAlign w:val="bottom"/>
            <w:gridSpan w:val="4"/>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MagnaChip Semiconductor Corporation and Subsidiaries Consolidated Statements of Comprehensive Loss for the Three</w:t>
              </w:r>
            </w:hyperlink>
          </w:p>
        </w:tc>
        <w:tc>
          <w:tcPr>
            <w:tcW w:w="3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0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Six Months Ended June 30, 2019 and 2018</w:t>
              </w:r>
            </w:hyperlink>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2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MagnaChip Semiconductor Corporation and Subsidiaries Consolidated Statements of Changes in Stockholders’ Equity for</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the Three and Six Months Ended June 30, 2019 and 2018</w:t>
              </w:r>
            </w:hyperlink>
          </w:p>
        </w:tc>
        <w:tc>
          <w:tcPr>
            <w:tcW w:w="4500" w:type="dxa"/>
            <w:vAlign w:val="bottom"/>
            <w:tcBorders>
              <w:top w:val="single" w:sz="8" w:color="0000EE"/>
            </w:tcBorders>
            <w:gridSpan w:val="7"/>
          </w:tcPr>
          <w:p>
            <w:pPr>
              <w:spacing w:after="0"/>
              <w:rPr>
                <w:sz w:val="17"/>
                <w:szCs w:val="17"/>
                <w:color w:val="auto"/>
              </w:rPr>
            </w:pPr>
          </w:p>
        </w:tc>
        <w:tc>
          <w:tcPr>
            <w:tcW w:w="260" w:type="dxa"/>
            <w:vAlign w:val="bottom"/>
            <w:gridSpan w:val="2"/>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22"/>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MagnaChip Semiconductor Corporation and Subsidiaries Consolidated Statements of Cash Flows for the Six Months Ended</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June 30, 2019 and 2018</w:t>
              </w:r>
            </w:hyperlink>
          </w:p>
        </w:tc>
        <w:tc>
          <w:tcPr>
            <w:tcW w:w="7040" w:type="dxa"/>
            <w:vAlign w:val="bottom"/>
            <w:tcBorders>
              <w:top w:val="single" w:sz="8" w:color="0000EE"/>
            </w:tcBorders>
            <w:gridSpan w:val="12"/>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MagnaChip Semiconductor Corporation and Subsidiaries Notes to Consolidated Financial Statements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860" w:type="dxa"/>
            <w:vAlign w:val="bottom"/>
            <w:tcBorders>
              <w:top w:val="single" w:sz="8" w:color="0000EE"/>
            </w:tcBorders>
          </w:tcPr>
          <w:p>
            <w:pPr>
              <w:spacing w:after="0"/>
              <w:rPr>
                <w:sz w:val="24"/>
                <w:szCs w:val="24"/>
                <w:color w:val="auto"/>
              </w:rPr>
            </w:pPr>
          </w:p>
        </w:tc>
        <w:tc>
          <w:tcPr>
            <w:tcW w:w="1760" w:type="dxa"/>
            <w:vAlign w:val="bottom"/>
            <w:gridSpan w:val="6"/>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Quantitative and Qualitative Disclosures About Market Risk</w:t>
              </w:r>
            </w:hyperlink>
          </w:p>
        </w:tc>
        <w:tc>
          <w:tcPr>
            <w:tcW w:w="4720" w:type="dxa"/>
            <w:vAlign w:val="bottom"/>
            <w:gridSpan w:val="8"/>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908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PART II OTHER INFORMATION</w:t>
              </w:r>
            </w:hyperlink>
          </w:p>
        </w:tc>
        <w:tc>
          <w:tcPr>
            <w:tcW w:w="7760" w:type="dxa"/>
            <w:vAlign w:val="bottom"/>
            <w:gridSpan w:val="18"/>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Legal Proceedings</w:t>
              </w:r>
            </w:hyperlink>
          </w:p>
        </w:tc>
        <w:tc>
          <w:tcPr>
            <w:tcW w:w="7740" w:type="dxa"/>
            <w:vAlign w:val="bottom"/>
            <w:gridSpan w:val="17"/>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08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8180" w:type="dxa"/>
            <w:vAlign w:val="bottom"/>
            <w:gridSpan w:val="19"/>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14"/>
          </w:tcPr>
          <w:p>
            <w:pPr>
              <w:ind w:left="4240"/>
              <w:spacing w:after="0"/>
              <w:rPr>
                <w:sz w:val="20"/>
                <w:szCs w:val="20"/>
                <w:color w:val="auto"/>
              </w:rPr>
            </w:pPr>
            <w:r>
              <w:rPr>
                <w:rFonts w:ascii="Arial" w:cs="Arial" w:eastAsia="Arial" w:hAnsi="Arial"/>
                <w:sz w:val="18"/>
                <w:szCs w:val="18"/>
                <w:color w:val="auto"/>
                <w:w w:val="99"/>
              </w:rPr>
              <w:t>2</w:t>
            </w: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80" w:type="dxa"/>
            <w:vAlign w:val="bottom"/>
          </w:tcPr>
          <w:p>
            <w:pPr>
              <w:jc w:val="center"/>
              <w:ind w:left="1490"/>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380" w:type="dxa"/>
            <w:vAlign w:val="bottom"/>
          </w:tcPr>
          <w:p>
            <w:pPr>
              <w:ind w:left="56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80" w:type="dxa"/>
            <w:vAlign w:val="bottom"/>
          </w:tcPr>
          <w:p>
            <w:pPr>
              <w:jc w:val="center"/>
              <w:ind w:left="147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80" w:type="dxa"/>
            <w:vAlign w:val="bottom"/>
          </w:tcPr>
          <w:p>
            <w:pPr>
              <w:jc w:val="center"/>
              <w:ind w:left="147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5"/>
          </w:tcPr>
          <w:p>
            <w:pPr>
              <w:jc w:val="right"/>
              <w:ind w:right="5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Assets</w:t>
            </w:r>
          </w:p>
        </w:tc>
        <w:tc>
          <w:tcPr>
            <w:tcW w:w="8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123,753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96,766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Hedge collateral (Note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Other current assets (Note 17)</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355,652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gridSpan w:val="3"/>
          </w:tcPr>
          <w:p>
            <w:pPr>
              <w:spacing w:after="0"/>
              <w:rPr>
                <w:sz w:val="20"/>
                <w:szCs w:val="20"/>
                <w:color w:val="auto"/>
              </w:rPr>
            </w:pPr>
            <w:r>
              <w:rPr>
                <w:rFonts w:ascii="Arial" w:cs="Arial" w:eastAsia="Arial" w:hAnsi="Arial"/>
                <w:sz w:val="18"/>
                <w:szCs w:val="18"/>
                <w:color w:val="auto"/>
              </w:rPr>
              <w:t>Property, plant and equipment, net (Notes 4 and 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192,314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587,816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86,003</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 (Notes 6 and 8)</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158,296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303,577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142,436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Other non-current liabilities (Note 6)</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635,732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gridSpan w:val="3"/>
          </w:tcPr>
          <w:p>
            <w:pPr>
              <w:spacing w:after="0"/>
              <w:rPr>
                <w:sz w:val="20"/>
                <w:szCs w:val="20"/>
                <w:color w:val="auto"/>
              </w:rPr>
            </w:pPr>
            <w:r>
              <w:rPr>
                <w:rFonts w:ascii="Arial" w:cs="Arial" w:eastAsia="Arial" w:hAnsi="Arial"/>
                <w:sz w:val="18"/>
                <w:szCs w:val="18"/>
                <w:color w:val="auto"/>
              </w:rPr>
              <w:t>Commitments and contingencies (Note 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Common stock, $0.01 par value, 150,000,000 shares authorized, 43,247,509 shares issued and 34,240,181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3"/>
              </w:rPr>
              <w:t>outstanding at June 30, 2019 and 43,054,458 shares issued and 34,441,232 outstanding at December 31,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144,188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(79,950)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Treasury stock, 9,007,328 shares at June 30, 2019 and 8,613,226 shares at December 31, 2018,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(106,514)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(6,073)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587,816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w w:val="92"/>
              </w:rPr>
              <w:t>(In thousands of US dollars, except share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362,525</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sales</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295,984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120" w:type="dxa"/>
            <w:vAlign w:val="bottom"/>
            <w:shd w:val="clear" w:color="auto" w:fill="CCEEFF"/>
          </w:tcPr>
          <w:p>
            <w:pPr>
              <w:spacing w:after="0"/>
              <w:rPr>
                <w:sz w:val="18"/>
                <w:szCs w:val="18"/>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78,076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77,142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(26,131)</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18"/>
                <w:szCs w:val="18"/>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(43,645</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Basic / Diluted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(0.55)</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Basic / Diluted</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34,245,127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34,420,654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34,220,141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34,337,345</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16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June 30,</w:t>
            </w: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56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w w:val="94"/>
              </w:rPr>
              <w:t>(In thousands of US dollars)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(21,505)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(43,645)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(18,742)</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valuation of derivatives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Reclassification adjustment for loss (gain) on derivatives included in net loss</w:t>
            </w: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(4,641)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13,055</w:t>
            </w:r>
          </w:p>
        </w:tc>
        <w:tc>
          <w:tcPr>
            <w:tcW w:w="120" w:type="dxa"/>
            <w:vAlign w:val="bottom"/>
            <w:shd w:val="clear" w:color="auto" w:fill="CCEEFF"/>
          </w:tcPr>
          <w:p>
            <w:pPr>
              <w:spacing w:after="0"/>
              <w:rPr>
                <w:sz w:val="18"/>
                <w:szCs w:val="18"/>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(2,475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(29,608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320" w:type="dxa"/>
            <w:vAlign w:val="bottom"/>
            <w:tcBorders>
              <w:bottom w:val="single" w:sz="8" w:color="auto"/>
            </w:tcBorders>
            <w:gridSpan w:val="4"/>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continue"/>
          </w:tcPr>
          <w:p>
            <w:pPr>
              <w:spacing w:after="0"/>
              <w:rPr>
                <w:sz w:val="12"/>
                <w:szCs w:val="12"/>
                <w:color w:val="auto"/>
              </w:rPr>
            </w:pP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Three Months Ended June 30, 2019:</w:t>
            </w:r>
          </w:p>
        </w:tc>
        <w:tc>
          <w:tcPr>
            <w:tcW w:w="1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2019</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34,223,502</w:t>
            </w:r>
          </w:p>
        </w:tc>
        <w:tc>
          <w:tcPr>
            <w:tcW w:w="16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433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$143,315</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(70,430)</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$(106,511)</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(13,118)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9"/>
              </w:rPr>
              <w:t>$ (46,311)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15,934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(9,520)</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34,240,181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144,188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(79,950)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(106,514)</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(47,916)</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June 30, 2018: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34,374,959</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$137,869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(29,642)</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$(102,319)</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(36,270)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85,368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net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16,211</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Balance at June 30,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34,483,754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429</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139,502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(102,518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(20,059</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(33,793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32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continue"/>
          </w:tcPr>
          <w:p>
            <w:pPr>
              <w:spacing w:after="0"/>
              <w:rPr>
                <w:sz w:val="12"/>
                <w:szCs w:val="12"/>
                <w:color w:val="auto"/>
              </w:rPr>
            </w:pPr>
          </w:p>
        </w:tc>
        <w:tc>
          <w:tcPr>
            <w:tcW w:w="10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Six Months Ended June 30, 2019:</w:t>
            </w:r>
          </w:p>
        </w:tc>
        <w:tc>
          <w:tcPr>
            <w:tcW w:w="1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34,441,232</w:t>
            </w:r>
          </w:p>
        </w:tc>
        <w:tc>
          <w:tcPr>
            <w:tcW w:w="16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431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$142,600</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(36,305)</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$(103,926)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(20,110)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24,558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(394,102)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(43,645)</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(43,645)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34,240,181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144,188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(79,950)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(106,514)</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(47,916)</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2018: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 2017, as previously</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reported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34,189,599</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$136,259</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(40,889)</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$(102,319)</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Impact of adopting the new revenue standard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 as adjusted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34,189,599</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$136,259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(32,405)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$(102,319)</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248,834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net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13,055</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(18,742)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(18,742)</w:t>
            </w: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Balance at June 30,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34,483,754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429</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139,502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(102,518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(20,059</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(33,793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(43,645)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foreign currency,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Unbilled accounts receivable, net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(6,562)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Payment of severance benefits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(4,579)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hedge collateral</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 (Note 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Collection of guarantee deposits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guarantee deposits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(18,282)</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long-term borrowings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Repayment of principal portion of finance lease liabilities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123,753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9,549</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activities</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additions in other accounts payable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Acquisition of treasury stock to satisfy the tax withholding obligations in connection with equity-based</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240" w:top="459" w:right="419" w:bottom="179"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179"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accordingly, do not include all of the information and note disclosures required by US GAAP for complete financial statements, except for the changes below. The results of operations for the three and six months ended June 30, 2019 are not necessarily indicative of the results to be expected for a full year or for any other periods.</w:t>
      </w:r>
    </w:p>
    <w:p>
      <w:pPr>
        <w:spacing w:after="0" w:line="16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December 31, 2018 balance sheet data was derived from the Company’s audited financial statements, but does not include all disclosures required by US GAAP.</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Upon the adoption of Accounting Standards Update No. 2016-02, “Leases (Topic 842)” (“ASU 2016-02”) effective on January 1, 2019 (the “new lease standard”), the Company has updated its accounting policy for leases as detailed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and equipment, net and the related lease liabilities are included in other current liabilities and other non-current liabilities on the consolidated balance sheets.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Fixed lease expenses for operating leases and depreciation expenses for finance leases are recognized on a straight-line basis over the respective lease term.</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Foundry Services Group of the Company manufactures products, which the Company refers to as foundry products, based on customers’ specific product designs. The Company recognizes revenue over time for foundry products that do not have an alternative use when the Company has an enforceable right to payment. Revenue recognized over time is in proportion of wafer manufacturing costs incurred relative to total estimated costs for completion. However, in certain circumstances, pursuant to a customer contract or an individual purchase order, the Company may not have an enforceable right to payment for services performed at a given time. In this situation, the Company recognizes revenue at the time when a customer obtains control of the product, which is generally upon product shipment, delivery at the customer’s location or upon customer acceptance, depending on the terms of the arrangement.</w:t>
      </w:r>
    </w:p>
    <w:p>
      <w:pPr>
        <w:spacing w:after="0" w:line="18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Standards Products Group of the Company sells products manufactured based on the Company’s design. The Standard Products Group’s products are either standardized with an alternative use or the Company does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7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 portion of the Company’s sales are made through distributors for which the Company applies the same revenue recognition guidance described above. The Company defers the recognition of revenue when it receives consideration from the customers prior to the fulfillment of performance obligations. These amounts are classified as deferred revenue on the consolidated balance sheets. Of the recorded deferred revenue of $6,477 thousand as of December 31, 2018, $126 thousand and $1,562 thousand were recognized as revenue during the three and six months ended June 30, 2019 and of the recorded deferred revenue of $8,335 thousand as of December 31, 2017, $136 thousand and $1,222 thousand were recognized as revenue during the three and six months ended June 30, 2018, respectively.</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presented in the statements of operations on a net basis.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Company provides warranties under which customers can return defective products. The Company also provides allowances for additional products that may have to be provided free of charge to compensate customers for not meeting previously agreed upon yield criteria, which the Company refers to as the low yield compensation reserve. The Company estimates the costs related to warranty claims, repair or replacements and low yield compensation reserves, and records them as components of cost of sales.</w:t>
      </w:r>
    </w:p>
    <w:p>
      <w:pPr>
        <w:spacing w:after="0" w:line="18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In addition, the Company offers sales returns (other than those that relate to defective products under warranty), cash discounts for early payments, sales incentives including discounts and volume rebates, and certain allowances to the Company’s customers, including the Company’s distributors. The Company records reserves for those returns, discounts, incentives and allowances as a deduction from sales, based on historical experience and other quantitative and qualitative factors.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Unbilled accounts receivable represents the Company’s contractual right to consideration for manufacturing work performed on a customer contract or an individual purchase order, which has not been invoiced to the customer. Of the recorded unbilled accounts receivable of $38,181 thousand as of December 31, 2018, $7,317 thousand and $29,787 thousand were billed to customers upon shipment, upon product delivery or upon customer acceptance, depending on the terms of the related arrangement, during the three and six months ended June 30, 2019,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June 2016, the Financial Accounting Standards Board (“FASB”) issued Accounting Standards Update No. 2016-13, “Financial Instruments— Credit Losses (Topic 326): Measurement of Credit Losses on Financial Instruments” (“ASU 2016-13”). ASU 2016-13 amends the impairment model by requiring entities to use a forward-looking approach based on expected losses to estimate credit losses on certain types of financial instruments, including trade receivables. In April 2019, the FASB ASU No. 2019-04, “Codification Improvements to Topic 326, Financial Instruments—Credit Losses, Topic 815, Derivatives and Hedging, and Topic 825, Financial Instruments” (“ASU 2019-04”) which clarifies treatment of certain credit losses. ASU 2016-13 and ASU 2019-04 are effective for fiscal years beginning after December 15, 2019, with early adoption permitted. The Company does not expect the adoption of ASU 2016-13 and ASU 2019-04 to have a material effect on the Company’s consolidated financial statements.</w:t>
      </w:r>
    </w:p>
    <w:p>
      <w:pPr>
        <w:spacing w:after="0" w:line="16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In August 2018, the FASB issued Accounting Standards Update No. 2018-13 “Fair Value Measurement (Topic 820): Disclosure Framework— Changes to the Disclosure Requirements for Fair Value Measurement” (“ASU 2018-13”). ASU 2018-13 amends existing fair value measurement disclosure requirements by adding, changing, or removing certain disclosures. ASU 2018-13 is effective for fiscal years beginning after December 15, 2019, and interim periods within those fiscal years, with early adoption permitted for any eliminated or modified disclosures. The Company does not expect that the adoption will have an impact on the Company’s consolidated financial statements.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February 2018, the FASB issued Accounting Standards Update No. 2018-02, Income Statement – Reporting Comprehensive Income (Topic</w:t>
      </w:r>
    </w:p>
    <w:p>
      <w:pPr>
        <w:spacing w:after="0" w:line="46" w:lineRule="exact"/>
        <w:rPr>
          <w:sz w:val="20"/>
          <w:szCs w:val="20"/>
          <w:color w:val="auto"/>
        </w:rPr>
      </w:pPr>
    </w:p>
    <w:p>
      <w:pPr>
        <w:ind w:left="200" w:right="240" w:firstLine="4"/>
        <w:spacing w:after="0" w:line="277" w:lineRule="auto"/>
        <w:tabs>
          <w:tab w:leader="none" w:pos="575"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Reclassification of Certain Tax Effects from Accumulated Other Comprehensive Income, which allows for a reclassification from accumulated other comprehensive income to retained earnings for stranded tax effects resulting from the Tax Act. The Company adopted ASU 2018-02 in the first quarter of 2019, and the adoption did not impact the Company’s consolidated financial statements and related disclosures.</w:t>
      </w:r>
    </w:p>
    <w:p>
      <w:pPr>
        <w:spacing w:after="0" w:line="173"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August 2017, the FASB issued Accounting Standards Update No. 2017-12, “Derivatives and Hedging (Topic 815): Targeted Improvements to Accounting for Hedging 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The Company adopted ASU 2017-12 in the first quarter of 2019, and the adoption of ASU 2017-12 did not have a material impact to the Company’s consolidated financial statements.</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The Company adopted ASU 2017-11 in the first quarter of 2019, and the adoption did not impact the Company’s consolidated financial statements.</w:t>
      </w:r>
    </w:p>
    <w:p>
      <w:pPr>
        <w:spacing w:after="0" w:line="18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recognize a liability to make lease payments and a right-of-use asset representing its right to use the underlying asset for the lease term on the balance sheet. The FASB issued Accounting Standards Update No 2018-01, “Leases (Topic</w:t>
      </w:r>
    </w:p>
    <w:p>
      <w:pPr>
        <w:spacing w:after="0" w:line="2" w:lineRule="exact"/>
        <w:rPr>
          <w:sz w:val="20"/>
          <w:szCs w:val="20"/>
          <w:color w:val="auto"/>
        </w:rPr>
      </w:pPr>
    </w:p>
    <w:p>
      <w:pPr>
        <w:jc w:val="both"/>
        <w:ind w:left="200" w:right="120" w:firstLine="4"/>
        <w:spacing w:after="0" w:line="255"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Land Easement Practical Expedient for Transition to Topic 842” (“ASU 2018-01”). ASU 2018-01 permits an entity to elect an optional transition practical expedient not to evaluate land easements that exist or expired before the entity’s adoption of ASU 2016-02 and that were not accounted for as leases under previous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lease guidance. In July 2018, the FASB issued Accounting Standards Update No 2018-10, “Codification Improvements to Topic 842 Leases” (“ASU 2018-10”). ASU 2018-10 provides narrow amendments to clarify how to apply certain aspects of the new lease standard. In July 2018, the FASB also issued Accounting Standards Update No 2018-11, “Leases (Topic 842) Targeted Improvements” (“ASU 2018-11”). ASU 2018-11 allows an entity to recognize a cumulative-effect adjustment to the opening balance of retained earnings upon adoption of ASU 2016-02 (the “modified retrospective transition method”). In December 2018, the FASB issued Accounting Standards Update No 2018-20, “Leases (Topic 842) Narrow Scope Improvements for Lessors” (“ASU 2018-20”). ASU 2018-20 provides certain amendments that affect narrow aspects of the guidance issued in ASU 2016-02. In March 2019, the FASB issued Accounting Standards Update No 2019-01 “Codification Improvements” (“ASU 2019-01”) .The effective date and transition requirements for ASU 2016-02, ASU 2018-01, ASU 2018-10, ASU 2018-11, ASU 2018-20 and ASU 2019-01 are the same.</w:t>
      </w:r>
    </w:p>
    <w:p>
      <w:pPr>
        <w:spacing w:after="0" w:line="16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Company adopted the new lease standard as of January 1, 2019, using the modified retrospective transition method, which requires a cumulative effect adjustment, if any, to the Company’s beginning equity to be recognized on the date of adoption. There was no cumulative effect adjustment recorded on January 1, 2019. Accordingly, all periods prior to January 1, 2019 were presented in accordance with the previous ASC Topic 840, Leases, and no retrospective adjustments were made to the comparative periods presented. The impact from the adoption was the balance sheet recognition of right-of-use assets and lease liabilities for operating and finance leases as a lessee, which resulted in an increase of $16,387 thousand in the total assets and liabilities of the Company’s consolidated balance sheets as of January 1, 2019. In addition, the adoption did not materially impact the Company’s consolidated statements of operations or cash flows for the six months ended June 30, 2019. For further information regarding these impacts, see Note 6 “Leases.”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Sales of Accounts Receivable and Receivable Discount Program</w:t>
      </w:r>
    </w:p>
    <w:p>
      <w:pPr>
        <w:spacing w:after="0" w:line="12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$13,637 thousand and $4,733 thousand for the six months ended June 30, 2019 and 2018, respectively, and these sales resulted in pre-tax losses of $42 thousand and $5 thousand for the six months ended June 30, 2019 and 2018, respectively,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as of June 30, 2019 and December 31, 2018 consist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w:t>
            </w: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$ 12,553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Materials in-transit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(4,898)</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$ 67,192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inventory reserve for the three and six months ended June 30, 2019 and 2018 are as follows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w:t>
            </w: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c>
          <w:tcPr>
            <w:tcW w:w="10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Ended</w:t>
            </w:r>
          </w:p>
        </w:tc>
      </w:tr>
      <w:tr>
        <w:trPr>
          <w:trHeight w:val="142"/>
        </w:trPr>
        <w:tc>
          <w:tcPr>
            <w:tcW w:w="2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w w:val="96"/>
              </w:rPr>
              <w:t>June 30, 2019</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June 30, 2018</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Change in reserve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Write off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(12,253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8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For the three and six months ended June 30, 2019, the Company recorded inventory reserves of $2,171 thousand and $5,475 thousand, respectively, which related to certain legacy display products.</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240" w:top="459" w:right="8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as of June 30, 2019 and December 31, 2018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323,729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323,325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436,794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(259,383)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(251,962)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192,314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Aggregate depreciation expenses totaled $16,065 thousand and $15,562 thousand for the six months ended June 30, 2019 and 2018, respectively.</w:t>
      </w:r>
    </w:p>
    <w:p>
      <w:pPr>
        <w:spacing w:after="0" w:line="24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As of June 29, 2018, the Company’s Korean subsidiary entered into an arrangement whereby it acquired a water treatment facility to support its fab in Gumi, Korea from SK Hynix for $4,172 thousand, and sold it for $4,172 thousand to a third party management company that the Company has engaged to run the facility for a 10-year term. This arrangement is accounted for as a financing due to the Company’s Korean subsidiary’s continuing involvement with the facility. As a result, on an acquisition date, the Company recorded the water treatment facility of $4,172 thousand as property, plant and equipment, net, which is depreciated over its estimated useful life. The Company also recorded the related liabilities of $553 thousand as other current liabilities and $3,619 thousand as other non-current liabilities, which relates to the financing and service portion of the arrangement and is amortized using the effective interest method over the contract period.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as of June 30, 2019 and December 31, 2018 are comprised of the following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$18,703</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(18,703)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26,861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(26,861)</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11,825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4,023</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57,389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(53,366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4,023</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$19,350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(19,350)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27,791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(27,791)</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11,571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(7,618)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3,953</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58,712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(54,759</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3,953</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Aggregate amortization expenses for intangible assets totaled $440 thousand and $408 thousand for the six months ended June 30, 2019 and 2018,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has operating and finance leases for land, buildings and other assets such as vehicles and office equipment. The Company’s leases have remaining lease terms ranging from 1 year to 15 years. For certain leases, the Company has options to extend the lease term for additional periods ranging from 1 year to 10 years. The Company used hindsight for determining the remaining lease term and assessing the likelihood of whether these renewal options are reasonably certain to be exercised by the Company.</w:t>
      </w:r>
    </w:p>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Company’s land lease payment is subject to a biennial adjustment (based on change of the Consumer Price Index), the impact of which is treated as a variable lease payment.</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adopted the new lease accounting standard as of January 1, 2019 using the modified retrospective transition method. The tables below present financial information related to the Company’s leases.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11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Leases</w:t>
            </w:r>
          </w:p>
        </w:tc>
        <w:tc>
          <w:tcPr>
            <w:tcW w:w="54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58"/>
        </w:trPr>
        <w:tc>
          <w:tcPr>
            <w:tcW w:w="2040" w:type="dxa"/>
            <w:vAlign w:val="bottom"/>
            <w:gridSpan w:val="3"/>
            <w:vMerge w:val="continue"/>
          </w:tcPr>
          <w:p>
            <w:pPr>
              <w:spacing w:after="0"/>
              <w:rPr>
                <w:sz w:val="13"/>
                <w:szCs w:val="13"/>
                <w:color w:val="auto"/>
              </w:rPr>
            </w:pPr>
          </w:p>
        </w:tc>
        <w:tc>
          <w:tcPr>
            <w:tcW w:w="5440" w:type="dxa"/>
            <w:vAlign w:val="bottom"/>
            <w:gridSpan w:val="3"/>
            <w:vMerge w:val="continue"/>
          </w:tcPr>
          <w:p>
            <w:pPr>
              <w:spacing w:after="0"/>
              <w:rPr>
                <w:sz w:val="13"/>
                <w:szCs w:val="13"/>
                <w:color w:val="auto"/>
              </w:rPr>
            </w:pPr>
          </w:p>
        </w:tc>
        <w:tc>
          <w:tcPr>
            <w:tcW w:w="900" w:type="dxa"/>
            <w:vAlign w:val="bottom"/>
            <w:gridSpan w:val="4"/>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6"/>
                <w:szCs w:val="16"/>
                <w:color w:val="auto"/>
              </w:rPr>
            </w:pPr>
          </w:p>
        </w:tc>
        <w:tc>
          <w:tcPr>
            <w:tcW w:w="4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ind w:left="340"/>
              <w:spacing w:after="0"/>
              <w:rPr>
                <w:sz w:val="20"/>
                <w:szCs w:val="20"/>
                <w:color w:val="auto"/>
              </w:rPr>
            </w:pPr>
            <w:r>
              <w:rPr>
                <w:rFonts w:ascii="Arial" w:cs="Arial" w:eastAsia="Arial" w:hAnsi="Arial"/>
                <w:sz w:val="18"/>
                <w:szCs w:val="18"/>
                <w:color w:val="auto"/>
              </w:rPr>
              <w:t>Operating lease</w:t>
            </w:r>
          </w:p>
        </w:tc>
        <w:tc>
          <w:tcPr>
            <w:tcW w:w="5440" w:type="dxa"/>
            <w:vAlign w:val="bottom"/>
            <w:gridSpan w:val="3"/>
          </w:tcPr>
          <w:p>
            <w:pPr>
              <w:ind w:left="46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 lease</w:t>
            </w:r>
          </w:p>
        </w:tc>
        <w:tc>
          <w:tcPr>
            <w:tcW w:w="54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gridSpan w:val="3"/>
          </w:tcPr>
          <w:p>
            <w:pPr>
              <w:spacing w:after="0"/>
              <w:rPr>
                <w:sz w:val="20"/>
                <w:szCs w:val="20"/>
                <w:color w:val="auto"/>
              </w:rPr>
            </w:pPr>
            <w:r>
              <w:rPr>
                <w:rFonts w:ascii="Arial" w:cs="Arial" w:eastAsia="Arial" w:hAnsi="Arial"/>
                <w:sz w:val="18"/>
                <w:szCs w:val="18"/>
                <w:b w:val="1"/>
                <w:bCs w:val="1"/>
                <w:color w:val="auto"/>
              </w:rPr>
              <w:t>Total leased assets</w:t>
            </w:r>
          </w:p>
        </w:tc>
        <w:tc>
          <w:tcPr>
            <w:tcW w:w="4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54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Operating lease liabilities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ind w:left="340"/>
              <w:spacing w:after="0"/>
              <w:rPr>
                <w:sz w:val="20"/>
                <w:szCs w:val="20"/>
                <w:color w:val="auto"/>
              </w:rPr>
            </w:pPr>
            <w:r>
              <w:rPr>
                <w:rFonts w:ascii="Arial" w:cs="Arial" w:eastAsia="Arial" w:hAnsi="Arial"/>
                <w:sz w:val="18"/>
                <w:szCs w:val="18"/>
                <w:color w:val="auto"/>
              </w:rPr>
              <w:t>Finance</w:t>
            </w:r>
          </w:p>
        </w:tc>
        <w:tc>
          <w:tcPr>
            <w:tcW w:w="5440" w:type="dxa"/>
            <w:vAlign w:val="bottom"/>
            <w:gridSpan w:val="3"/>
          </w:tcPr>
          <w:p>
            <w:pPr>
              <w:ind w:left="4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4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ind w:left="340"/>
              <w:spacing w:after="0"/>
              <w:rPr>
                <w:sz w:val="20"/>
                <w:szCs w:val="20"/>
                <w:color w:val="auto"/>
              </w:rPr>
            </w:pPr>
            <w:r>
              <w:rPr>
                <w:rFonts w:ascii="Arial" w:cs="Arial" w:eastAsia="Arial" w:hAnsi="Arial"/>
                <w:sz w:val="18"/>
                <w:szCs w:val="18"/>
                <w:color w:val="auto"/>
              </w:rPr>
              <w:t>Operating</w:t>
            </w:r>
          </w:p>
        </w:tc>
        <w:tc>
          <w:tcPr>
            <w:tcW w:w="5440" w:type="dxa"/>
            <w:vAlign w:val="bottom"/>
            <w:gridSpan w:val="3"/>
          </w:tcPr>
          <w:p>
            <w:pPr>
              <w:ind w:left="46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w:t>
            </w:r>
          </w:p>
        </w:tc>
        <w:tc>
          <w:tcPr>
            <w:tcW w:w="54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4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160" w:type="dxa"/>
            <w:vAlign w:val="bottom"/>
            <w:gridSpan w:val="4"/>
          </w:tcPr>
          <w:p>
            <w:pPr>
              <w:jc w:val="center"/>
              <w:ind w:left="799"/>
              <w:spacing w:after="0"/>
              <w:rPr>
                <w:sz w:val="20"/>
                <w:szCs w:val="20"/>
                <w:color w:val="auto"/>
              </w:rPr>
            </w:pPr>
            <w:r>
              <w:rPr>
                <w:rFonts w:ascii="Arial" w:cs="Arial" w:eastAsia="Arial" w:hAnsi="Arial"/>
                <w:sz w:val="14"/>
                <w:szCs w:val="14"/>
                <w:b w:val="1"/>
                <w:bCs w:val="1"/>
                <w:color w:val="auto"/>
                <w:w w:val="95"/>
              </w:rPr>
              <w:t>Three Months</w:t>
            </w: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99"/>
              </w:rPr>
              <w:t>Six Months</w:t>
            </w: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Ended</w:t>
            </w: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w w:val="92"/>
              </w:rPr>
              <w:t>June 30, 2019</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7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Finance lease cost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7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above table does not include an immaterial cost of short-term leases and there were no variable lease payments during the three and six months ended June 30, 2019</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24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lease information is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900" w:type="dxa"/>
            <w:vAlign w:val="bottom"/>
            <w:gridSpan w:val="3"/>
          </w:tcPr>
          <w:p>
            <w:pPr>
              <w:ind w:left="320"/>
              <w:spacing w:after="0"/>
              <w:rPr>
                <w:sz w:val="20"/>
                <w:szCs w:val="20"/>
                <w:color w:val="auto"/>
              </w:rPr>
            </w:pPr>
            <w:r>
              <w:rPr>
                <w:rFonts w:ascii="Arial" w:cs="Arial" w:eastAsia="Arial" w:hAnsi="Arial"/>
                <w:sz w:val="14"/>
                <w:szCs w:val="14"/>
                <w:b w:val="1"/>
                <w:bCs w:val="1"/>
                <w:color w:val="auto"/>
              </w:rPr>
              <w:t>Three Months</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Six Months</w:t>
            </w: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857"/>
              <w:spacing w:after="0"/>
              <w:rPr>
                <w:sz w:val="20"/>
                <w:szCs w:val="20"/>
                <w:color w:val="auto"/>
              </w:rPr>
            </w:pPr>
            <w:r>
              <w:rPr>
                <w:rFonts w:ascii="Arial" w:cs="Arial" w:eastAsia="Arial" w:hAnsi="Arial"/>
                <w:sz w:val="14"/>
                <w:szCs w:val="14"/>
                <w:b w:val="1"/>
                <w:bCs w:val="1"/>
                <w:color w:val="auto"/>
              </w:rPr>
              <w:t>Ended</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Ended</w:t>
            </w: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June 30, 2019</w:t>
            </w:r>
          </w:p>
        </w:tc>
        <w:tc>
          <w:tcPr>
            <w:tcW w:w="7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Operating cash flows from operating leases</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17"/>
              <w:spacing w:after="0"/>
              <w:rPr>
                <w:sz w:val="20"/>
                <w:szCs w:val="20"/>
                <w:color w:val="auto"/>
              </w:rPr>
            </w:pPr>
            <w:r>
              <w:rPr>
                <w:rFonts w:ascii="Arial" w:cs="Arial" w:eastAsia="Arial" w:hAnsi="Arial"/>
                <w:sz w:val="18"/>
                <w:szCs w:val="18"/>
                <w:color w:val="auto"/>
              </w:rPr>
              <w:t>800</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   1,628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Financing cash flows from finance leases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617"/>
              <w:spacing w:after="0"/>
              <w:rPr>
                <w:sz w:val="20"/>
                <w:szCs w:val="20"/>
                <w:color w:val="auto"/>
              </w:rPr>
            </w:pPr>
            <w:r>
              <w:rPr>
                <w:rFonts w:ascii="Arial" w:cs="Arial" w:eastAsia="Arial" w:hAnsi="Arial"/>
                <w:sz w:val="18"/>
                <w:szCs w:val="18"/>
                <w:color w:val="auto"/>
              </w:rPr>
              <w:t>59</w:t>
            </w: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20"/>
                <w:szCs w:val="20"/>
                <w:color w:val="auto"/>
              </w:rPr>
            </w:pPr>
          </w:p>
        </w:tc>
      </w:tr>
    </w:tbl>
    <w:p>
      <w:pPr>
        <w:spacing w:after="0" w:line="194"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4720" w:type="dxa"/>
            <w:vAlign w:val="bottom"/>
          </w:tcPr>
          <w:p>
            <w:pPr>
              <w:spacing w:after="0"/>
              <w:rPr>
                <w:sz w:val="14"/>
                <w:szCs w:val="14"/>
                <w:color w:val="auto"/>
              </w:rPr>
            </w:pPr>
          </w:p>
        </w:tc>
        <w:tc>
          <w:tcPr>
            <w:tcW w:w="25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remaining lease term</w:t>
            </w:r>
          </w:p>
        </w:tc>
        <w:tc>
          <w:tcPr>
            <w:tcW w:w="1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7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12.2 years</w:t>
            </w: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10.7 years</w:t>
            </w:r>
          </w:p>
        </w:tc>
      </w:tr>
    </w:tbl>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48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480" w:type="dxa"/>
            <w:vAlign w:val="bottom"/>
          </w:tcPr>
          <w:p>
            <w:pPr>
              <w:jc w:val="right"/>
              <w:spacing w:after="0"/>
              <w:rPr>
                <w:sz w:val="20"/>
                <w:szCs w:val="20"/>
                <w:color w:val="auto"/>
              </w:rPr>
            </w:pPr>
            <w:r>
              <w:rPr>
                <w:rFonts w:ascii="Arial" w:cs="Arial" w:eastAsia="Arial" w:hAnsi="Arial"/>
                <w:sz w:val="18"/>
                <w:szCs w:val="18"/>
                <w:color w:val="auto"/>
              </w:rPr>
              <w:t>7.94%</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future lease payments for operating and finance leases as of June 30, 2019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Finance</w:t>
            </w: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Leases</w:t>
            </w:r>
          </w:p>
        </w:tc>
        <w:tc>
          <w:tcPr>
            <w:tcW w:w="20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Leases</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2020</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2022</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Thereafter</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lease payments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(7,072)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(1,133)</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future payments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12,518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December 31, 2018, the minimum aggregate rental payments due under non-cancelable operating lease contracts are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2020</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3,569</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2022</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6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2024 and thereafter</w:t>
            </w:r>
          </w:p>
        </w:tc>
        <w:tc>
          <w:tcPr>
            <w:tcW w:w="2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13,978</w:t>
            </w:r>
          </w:p>
        </w:tc>
        <w:tc>
          <w:tcPr>
            <w:tcW w:w="6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26,064</w:t>
            </w:r>
          </w:p>
        </w:tc>
        <w:tc>
          <w:tcPr>
            <w:tcW w:w="6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as of June 30, 2019 and December 31, 2018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8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$14,366</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21,835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Outside service fees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49,146</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jc w:val="right"/>
              <w:ind w:right="1110"/>
              <w:spacing w:after="0"/>
              <w:rPr>
                <w:sz w:val="20"/>
                <w:szCs w:val="20"/>
                <w:color w:val="auto"/>
              </w:rPr>
            </w:pPr>
            <w:r>
              <w:rPr>
                <w:rFonts w:ascii="Arial" w:cs="Arial" w:eastAsia="Arial" w:hAnsi="Arial"/>
                <w:sz w:val="18"/>
                <w:szCs w:val="18"/>
                <w:color w:val="auto"/>
              </w:rPr>
              <w:t>15</w:t>
            </w: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Derivative Financial Instruments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June 30, 2019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20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 of derivative</w:t>
            </w:r>
          </w:p>
        </w:tc>
        <w:tc>
          <w:tcPr>
            <w:tcW w:w="240" w:type="dxa"/>
            <w:vAlign w:val="bottom"/>
          </w:tcPr>
          <w:p>
            <w:pPr>
              <w:spacing w:after="0"/>
              <w:rPr>
                <w:sz w:val="16"/>
                <w:szCs w:val="16"/>
                <w:color w:val="auto"/>
              </w:rPr>
            </w:pPr>
          </w:p>
        </w:tc>
        <w:tc>
          <w:tcPr>
            <w:tcW w:w="18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Total notional amount</w:t>
            </w:r>
          </w:p>
        </w:tc>
        <w:tc>
          <w:tcPr>
            <w:tcW w:w="2520" w:type="dxa"/>
            <w:vAlign w:val="bottom"/>
          </w:tcPr>
          <w:p>
            <w:pPr>
              <w:ind w:left="64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1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April 2, 2019</w:t>
            </w:r>
          </w:p>
        </w:tc>
        <w:tc>
          <w:tcPr>
            <w:tcW w:w="20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Zero cost collar</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6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w w:val="89"/>
              </w:rPr>
              <w:t>July 2019 to December 2019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April 9, 2019</w:t>
            </w:r>
          </w:p>
        </w:tc>
        <w:tc>
          <w:tcPr>
            <w:tcW w:w="20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Zero cost collar</w:t>
            </w:r>
          </w:p>
        </w:tc>
        <w:tc>
          <w:tcPr>
            <w:tcW w:w="7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30,000</w:t>
            </w:r>
          </w:p>
        </w:tc>
        <w:tc>
          <w:tcPr>
            <w:tcW w:w="2520" w:type="dxa"/>
            <w:vAlign w:val="bottom"/>
          </w:tcPr>
          <w:p>
            <w:pPr>
              <w:ind w:left="440"/>
              <w:spacing w:after="0"/>
              <w:rPr>
                <w:sz w:val="20"/>
                <w:szCs w:val="20"/>
                <w:color w:val="auto"/>
              </w:rPr>
            </w:pPr>
            <w:r>
              <w:rPr>
                <w:rFonts w:ascii="Arial" w:cs="Arial" w:eastAsia="Arial" w:hAnsi="Arial"/>
                <w:sz w:val="18"/>
                <w:szCs w:val="18"/>
                <w:color w:val="auto"/>
                <w:w w:val="89"/>
              </w:rPr>
              <w:t>July 2019 to December 2019</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April 25, 2019</w:t>
            </w:r>
          </w:p>
        </w:tc>
        <w:tc>
          <w:tcPr>
            <w:tcW w:w="20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Zero cost collar</w:t>
            </w:r>
          </w:p>
        </w:tc>
        <w:tc>
          <w:tcPr>
            <w:tcW w:w="7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30,000</w:t>
            </w: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July 2019 to December 2019</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2018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20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 of derivative</w:t>
            </w:r>
          </w:p>
        </w:tc>
        <w:tc>
          <w:tcPr>
            <w:tcW w:w="240" w:type="dxa"/>
            <w:vAlign w:val="bottom"/>
          </w:tcPr>
          <w:p>
            <w:pPr>
              <w:spacing w:after="0"/>
              <w:rPr>
                <w:sz w:val="16"/>
                <w:szCs w:val="16"/>
                <w:color w:val="auto"/>
              </w:rPr>
            </w:pPr>
          </w:p>
        </w:tc>
        <w:tc>
          <w:tcPr>
            <w:tcW w:w="18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Total notional amount</w:t>
            </w:r>
          </w:p>
        </w:tc>
        <w:tc>
          <w:tcPr>
            <w:tcW w:w="2520" w:type="dxa"/>
            <w:vAlign w:val="bottom"/>
          </w:tcPr>
          <w:p>
            <w:pPr>
              <w:ind w:left="64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1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June 27, 2018</w:t>
            </w:r>
          </w:p>
        </w:tc>
        <w:tc>
          <w:tcPr>
            <w:tcW w:w="20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Zero cost collar</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18,000</w:t>
            </w:r>
          </w:p>
        </w:tc>
        <w:tc>
          <w:tcPr>
            <w:tcW w:w="46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w w:val="87"/>
              </w:rPr>
              <w:t>January 2019 to June 2019</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June 27, 2018</w:t>
            </w:r>
          </w:p>
        </w:tc>
        <w:tc>
          <w:tcPr>
            <w:tcW w:w="20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Forward</w:t>
            </w:r>
          </w:p>
        </w:tc>
        <w:tc>
          <w:tcPr>
            <w:tcW w:w="7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36,000</w:t>
            </w:r>
          </w:p>
        </w:tc>
        <w:tc>
          <w:tcPr>
            <w:tcW w:w="2520" w:type="dxa"/>
            <w:vAlign w:val="bottom"/>
          </w:tcPr>
          <w:p>
            <w:pPr>
              <w:ind w:left="600"/>
              <w:spacing w:after="0"/>
              <w:rPr>
                <w:sz w:val="20"/>
                <w:szCs w:val="20"/>
                <w:color w:val="auto"/>
              </w:rPr>
            </w:pPr>
            <w:r>
              <w:rPr>
                <w:rFonts w:ascii="Arial" w:cs="Arial" w:eastAsia="Arial" w:hAnsi="Arial"/>
                <w:sz w:val="18"/>
                <w:szCs w:val="18"/>
                <w:color w:val="auto"/>
                <w:w w:val="87"/>
              </w:rPr>
              <w:t>January 2019 to June 2019</w:t>
            </w:r>
          </w:p>
        </w:tc>
      </w:tr>
    </w:tbl>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fair values of the Company’s outstanding zero cost collar and forward contracts recorded as liabilities as of June 30, 2019 and December 31, 2018 are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44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920" w:type="dxa"/>
            <w:vAlign w:val="bottom"/>
            <w:tcBorders>
              <w:bottom w:val="single" w:sz="8" w:color="auto"/>
            </w:tcBorders>
            <w:vMerge w:val="continue"/>
          </w:tcPr>
          <w:p>
            <w:pPr>
              <w:spacing w:after="0"/>
              <w:rPr>
                <w:sz w:val="15"/>
                <w:szCs w:val="15"/>
                <w:color w:val="auto"/>
              </w:rPr>
            </w:pP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6"/>
              <w:spacing w:after="0" w:line="15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4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4480" w:type="dxa"/>
            <w:vAlign w:val="bottom"/>
          </w:tcPr>
          <w:p>
            <w:pPr>
              <w:ind w:left="2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1,054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w:t>
            </w:r>
          </w:p>
        </w:tc>
        <w:tc>
          <w:tcPr>
            <w:tcW w:w="44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liabilities as of June 30, 2019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80" w:type="dxa"/>
            <w:vAlign w:val="bottom"/>
            <w:gridSpan w:val="3"/>
            <w:vMerge w:val="restart"/>
          </w:tcPr>
          <w:p>
            <w:pPr>
              <w:jc w:val="center"/>
              <w:ind w:left="919"/>
              <w:spacing w:after="0"/>
              <w:rPr>
                <w:sz w:val="20"/>
                <w:szCs w:val="20"/>
                <w:color w:val="auto"/>
              </w:rPr>
            </w:pPr>
            <w:r>
              <w:rPr>
                <w:rFonts w:ascii="Arial" w:cs="Arial" w:eastAsia="Arial" w:hAnsi="Arial"/>
                <w:sz w:val="14"/>
                <w:szCs w:val="14"/>
                <w:b w:val="1"/>
                <w:bCs w:val="1"/>
                <w:color w:val="auto"/>
                <w:w w:val="90"/>
              </w:rPr>
              <w:t>Gross amounts of</w:t>
            </w:r>
          </w:p>
        </w:tc>
        <w:tc>
          <w:tcPr>
            <w:tcW w:w="1340" w:type="dxa"/>
            <w:vAlign w:val="bottom"/>
            <w:gridSpan w:val="3"/>
            <w:vMerge w:val="restart"/>
          </w:tcPr>
          <w:p>
            <w:pPr>
              <w:jc w:val="center"/>
              <w:ind w:left="299"/>
              <w:spacing w:after="0"/>
              <w:rPr>
                <w:sz w:val="20"/>
                <w:szCs w:val="20"/>
                <w:color w:val="auto"/>
              </w:rPr>
            </w:pPr>
            <w:r>
              <w:rPr>
                <w:rFonts w:ascii="Arial" w:cs="Arial" w:eastAsia="Arial" w:hAnsi="Arial"/>
                <w:sz w:val="14"/>
                <w:szCs w:val="14"/>
                <w:b w:val="1"/>
                <w:bCs w:val="1"/>
                <w:color w:val="auto"/>
                <w:w w:val="89"/>
              </w:rPr>
              <w:t>Gross amounts</w:t>
            </w:r>
          </w:p>
        </w:tc>
        <w:tc>
          <w:tcPr>
            <w:tcW w:w="3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Net amounts of</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Gross amounts not offset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liabilities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in the balance sheets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June 30, 2019</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w w:val="96"/>
              </w:rPr>
              <w:t>recognized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360" w:type="dxa"/>
            <w:vAlign w:val="bottom"/>
            <w:gridSpan w:val="3"/>
          </w:tcPr>
          <w:p>
            <w:pPr>
              <w:jc w:val="center"/>
              <w:ind w:left="262"/>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38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2"/>
              <w:spacing w:after="0" w:line="119" w:lineRule="exact"/>
              <w:rPr>
                <w:sz w:val="20"/>
                <w:szCs w:val="20"/>
                <w:color w:val="auto"/>
              </w:rPr>
            </w:pPr>
            <w:r>
              <w:rPr>
                <w:rFonts w:ascii="Arial" w:cs="Arial" w:eastAsia="Arial" w:hAnsi="Arial"/>
                <w:sz w:val="13"/>
                <w:szCs w:val="13"/>
                <w:b w:val="1"/>
                <w:bCs w:val="1"/>
                <w:color w:val="auto"/>
              </w:rPr>
              <w:t>Financial</w:t>
            </w:r>
          </w:p>
        </w:tc>
        <w:tc>
          <w:tcPr>
            <w:tcW w:w="1320" w:type="dxa"/>
            <w:vAlign w:val="bottom"/>
            <w:tcBorders>
              <w:top w:val="single" w:sz="8" w:color="auto"/>
            </w:tcBorders>
            <w:gridSpan w:val="3"/>
          </w:tcPr>
          <w:p>
            <w:pPr>
              <w:ind w:left="38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240" w:type="dxa"/>
            <w:vAlign w:val="bottom"/>
          </w:tcPr>
          <w:p>
            <w:pPr>
              <w:spacing w:after="0"/>
              <w:rPr>
                <w:sz w:val="10"/>
                <w:szCs w:val="10"/>
                <w:color w:val="auto"/>
              </w:rPr>
            </w:pPr>
          </w:p>
        </w:tc>
        <w:tc>
          <w:tcPr>
            <w:tcW w:w="9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58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84"/>
              <w:spacing w:after="0" w:line="158" w:lineRule="exact"/>
              <w:rPr>
                <w:sz w:val="20"/>
                <w:szCs w:val="20"/>
                <w:color w:val="auto"/>
              </w:rPr>
            </w:pPr>
            <w:r>
              <w:rPr>
                <w:rFonts w:ascii="Arial" w:cs="Arial" w:eastAsia="Arial" w:hAnsi="Arial"/>
                <w:sz w:val="14"/>
                <w:szCs w:val="14"/>
                <w:b w:val="1"/>
                <w:bCs w:val="1"/>
                <w:color w:val="auto"/>
                <w:w w:val="93"/>
              </w:rPr>
              <w:t>liabilities</w:t>
            </w:r>
          </w:p>
        </w:tc>
        <w:tc>
          <w:tcPr>
            <w:tcW w:w="40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38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14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92"/>
              </w:rPr>
              <w:t>instruments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6"/>
              </w:rPr>
              <w:t>pledged</w:t>
            </w: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1,054</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liabilities as of December 31, 2018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gridSpan w:val="3"/>
            <w:vMerge w:val="restart"/>
          </w:tcPr>
          <w:p>
            <w:pPr>
              <w:ind w:left="980"/>
              <w:spacing w:after="0"/>
              <w:rPr>
                <w:sz w:val="20"/>
                <w:szCs w:val="20"/>
                <w:color w:val="auto"/>
              </w:rPr>
            </w:pPr>
            <w:r>
              <w:rPr>
                <w:rFonts w:ascii="Arial" w:cs="Arial" w:eastAsia="Arial" w:hAnsi="Arial"/>
                <w:sz w:val="14"/>
                <w:szCs w:val="14"/>
                <w:b w:val="1"/>
                <w:bCs w:val="1"/>
                <w:color w:val="auto"/>
                <w:w w:val="88"/>
              </w:rPr>
              <w:t>Gross amounts of</w:t>
            </w:r>
          </w:p>
        </w:tc>
        <w:tc>
          <w:tcPr>
            <w:tcW w:w="13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89"/>
              </w:rPr>
              <w:t>Gross amounts</w:t>
            </w:r>
          </w:p>
        </w:tc>
        <w:tc>
          <w:tcPr>
            <w:tcW w:w="3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Net amounts of</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3"/>
              </w:rPr>
              <w:t>Gross amounts not offset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liabilities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in the balance sheets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recognized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360" w:type="dxa"/>
            <w:vAlign w:val="bottom"/>
            <w:gridSpan w:val="3"/>
          </w:tcPr>
          <w:p>
            <w:pPr>
              <w:jc w:val="center"/>
              <w:ind w:left="258"/>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38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19"/>
              <w:spacing w:after="0" w:line="119" w:lineRule="exact"/>
              <w:rPr>
                <w:sz w:val="20"/>
                <w:szCs w:val="20"/>
                <w:color w:val="auto"/>
              </w:rPr>
            </w:pPr>
            <w:r>
              <w:rPr>
                <w:rFonts w:ascii="Arial" w:cs="Arial" w:eastAsia="Arial" w:hAnsi="Arial"/>
                <w:sz w:val="13"/>
                <w:szCs w:val="13"/>
                <w:b w:val="1"/>
                <w:bCs w:val="1"/>
                <w:color w:val="auto"/>
              </w:rPr>
              <w:t>Financial</w:t>
            </w:r>
          </w:p>
        </w:tc>
        <w:tc>
          <w:tcPr>
            <w:tcW w:w="1300" w:type="dxa"/>
            <w:vAlign w:val="bottom"/>
            <w:tcBorders>
              <w:top w:val="single" w:sz="8" w:color="auto"/>
            </w:tcBorders>
            <w:gridSpan w:val="3"/>
          </w:tcPr>
          <w:p>
            <w:pPr>
              <w:ind w:left="36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240" w:type="dxa"/>
            <w:vAlign w:val="bottom"/>
          </w:tcPr>
          <w:p>
            <w:pPr>
              <w:spacing w:after="0"/>
              <w:rPr>
                <w:sz w:val="10"/>
                <w:szCs w:val="10"/>
                <w:color w:val="auto"/>
              </w:rPr>
            </w:pPr>
          </w:p>
        </w:tc>
        <w:tc>
          <w:tcPr>
            <w:tcW w:w="10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5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38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14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92"/>
              </w:rPr>
              <w:t>instruments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6"/>
              </w:rPr>
              <w:t>pledged</w:t>
            </w: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impact of derivative instruments on the consolidated statements of operations for the three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2019 and 2018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Amount of Loss</w:t>
            </w:r>
          </w:p>
        </w:tc>
        <w:tc>
          <w:tcPr>
            <w:tcW w:w="80" w:type="dxa"/>
            <w:vAlign w:val="bottom"/>
          </w:tcPr>
          <w:p>
            <w:pPr>
              <w:spacing w:after="0"/>
              <w:rPr>
                <w:sz w:val="14"/>
                <w:szCs w:val="14"/>
                <w:color w:val="auto"/>
              </w:rPr>
            </w:pPr>
          </w:p>
        </w:tc>
        <w:tc>
          <w:tcPr>
            <w:tcW w:w="31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Location /Amount of Gain (Loss)</w:t>
            </w:r>
          </w:p>
        </w:tc>
        <w:tc>
          <w:tcPr>
            <w:tcW w:w="200" w:type="dxa"/>
            <w:vAlign w:val="bottom"/>
          </w:tcPr>
          <w:p>
            <w:pPr>
              <w:spacing w:after="0"/>
              <w:rPr>
                <w:sz w:val="14"/>
                <w:szCs w:val="14"/>
                <w:color w:val="auto"/>
              </w:rPr>
            </w:pPr>
          </w:p>
        </w:tc>
        <w:tc>
          <w:tcPr>
            <w:tcW w:w="2900" w:type="dxa"/>
            <w:vAlign w:val="bottom"/>
            <w:gridSpan w:val="5"/>
          </w:tcPr>
          <w:p>
            <w:pPr>
              <w:jc w:val="center"/>
              <w:ind w:left="661"/>
              <w:spacing w:after="0"/>
              <w:rPr>
                <w:sz w:val="20"/>
                <w:szCs w:val="20"/>
                <w:color w:val="auto"/>
              </w:rPr>
            </w:pPr>
            <w:r>
              <w:rPr>
                <w:rFonts w:ascii="Arial" w:cs="Arial" w:eastAsia="Arial" w:hAnsi="Arial"/>
                <w:sz w:val="14"/>
                <w:szCs w:val="14"/>
                <w:b w:val="1"/>
                <w:bCs w:val="1"/>
                <w:color w:val="auto"/>
                <w:w w:val="92"/>
              </w:rPr>
              <w:t>Location /Amount of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40" w:type="dxa"/>
            <w:vAlign w:val="bottom"/>
          </w:tcPr>
          <w:p>
            <w:pPr>
              <w:spacing w:after="0"/>
              <w:rPr>
                <w:sz w:val="12"/>
                <w:szCs w:val="12"/>
                <w:color w:val="auto"/>
              </w:rPr>
            </w:pPr>
          </w:p>
        </w:tc>
        <w:tc>
          <w:tcPr>
            <w:tcW w:w="1500" w:type="dxa"/>
            <w:vAlign w:val="bottom"/>
            <w:gridSpan w:val="6"/>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80" w:type="dxa"/>
            <w:vAlign w:val="bottom"/>
          </w:tcPr>
          <w:p>
            <w:pPr>
              <w:spacing w:after="0"/>
              <w:rPr>
                <w:sz w:val="12"/>
                <w:szCs w:val="12"/>
                <w:color w:val="auto"/>
              </w:rPr>
            </w:pPr>
          </w:p>
        </w:tc>
        <w:tc>
          <w:tcPr>
            <w:tcW w:w="310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ind w:left="1321"/>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rPr>
              <w:t>AOCI on</w:t>
            </w:r>
          </w:p>
        </w:tc>
        <w:tc>
          <w:tcPr>
            <w:tcW w:w="80" w:type="dxa"/>
            <w:vAlign w:val="bottom"/>
          </w:tcPr>
          <w:p>
            <w:pPr>
              <w:spacing w:after="0"/>
              <w:rPr>
                <w:sz w:val="12"/>
                <w:szCs w:val="12"/>
                <w:color w:val="auto"/>
              </w:rPr>
            </w:pPr>
          </w:p>
        </w:tc>
        <w:tc>
          <w:tcPr>
            <w:tcW w:w="2340" w:type="dxa"/>
            <w:vAlign w:val="bottom"/>
            <w:gridSpan w:val="5"/>
          </w:tcPr>
          <w:p>
            <w:pPr>
              <w:jc w:val="center"/>
              <w:ind w:left="668"/>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5"/>
          </w:tcPr>
          <w:p>
            <w:pPr>
              <w:jc w:val="center"/>
              <w:ind w:left="681"/>
              <w:spacing w:after="0" w:line="149" w:lineRule="exact"/>
              <w:rPr>
                <w:sz w:val="20"/>
                <w:szCs w:val="20"/>
                <w:color w:val="auto"/>
              </w:rPr>
            </w:pPr>
            <w:r>
              <w:rPr>
                <w:rFonts w:ascii="Arial" w:cs="Arial" w:eastAsia="Arial" w:hAnsi="Arial"/>
                <w:sz w:val="14"/>
                <w:szCs w:val="14"/>
                <w:b w:val="1"/>
                <w:bCs w:val="1"/>
                <w:color w:val="auto"/>
                <w:w w:val="92"/>
              </w:rPr>
              <w:t>Statement of Operations 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40" w:type="dxa"/>
            <w:vAlign w:val="bottom"/>
          </w:tcPr>
          <w:p>
            <w:pPr>
              <w:spacing w:after="0"/>
              <w:rPr>
                <w:sz w:val="12"/>
                <w:szCs w:val="12"/>
                <w:color w:val="auto"/>
              </w:rPr>
            </w:pPr>
          </w:p>
        </w:tc>
        <w:tc>
          <w:tcPr>
            <w:tcW w:w="15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80" w:type="dxa"/>
            <w:vAlign w:val="bottom"/>
          </w:tcPr>
          <w:p>
            <w:pPr>
              <w:spacing w:after="0"/>
              <w:rPr>
                <w:sz w:val="12"/>
                <w:szCs w:val="12"/>
                <w:color w:val="auto"/>
              </w:rPr>
            </w:pPr>
          </w:p>
        </w:tc>
        <w:tc>
          <w:tcPr>
            <w:tcW w:w="2500" w:type="dxa"/>
            <w:vAlign w:val="bottom"/>
            <w:gridSpan w:val="7"/>
          </w:tcPr>
          <w:p>
            <w:pPr>
              <w:jc w:val="center"/>
              <w:ind w:left="508"/>
              <w:spacing w:after="0" w:line="149" w:lineRule="exact"/>
              <w:rPr>
                <w:sz w:val="20"/>
                <w:szCs w:val="20"/>
                <w:color w:val="auto"/>
              </w:rPr>
            </w:pPr>
            <w:r>
              <w:rPr>
                <w:rFonts w:ascii="Arial" w:cs="Arial" w:eastAsia="Arial" w:hAnsi="Arial"/>
                <w:sz w:val="14"/>
                <w:szCs w:val="14"/>
                <w:b w:val="1"/>
                <w:bCs w:val="1"/>
                <w:color w:val="auto"/>
                <w:w w:val="93"/>
              </w:rPr>
              <w:t>Into Statement of Operations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40" w:type="dxa"/>
            <w:vAlign w:val="bottom"/>
          </w:tcPr>
          <w:p>
            <w:pPr>
              <w:spacing w:after="0"/>
              <w:rPr>
                <w:sz w:val="15"/>
                <w:szCs w:val="15"/>
                <w:color w:val="auto"/>
              </w:rPr>
            </w:pPr>
          </w:p>
        </w:tc>
        <w:tc>
          <w:tcPr>
            <w:tcW w:w="15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5"/>
                <w:szCs w:val="15"/>
                <w:color w:val="auto"/>
              </w:rPr>
            </w:pPr>
          </w:p>
        </w:tc>
        <w:tc>
          <w:tcPr>
            <w:tcW w:w="2340" w:type="dxa"/>
            <w:vAlign w:val="bottom"/>
            <w:gridSpan w:val="5"/>
          </w:tcPr>
          <w:p>
            <w:pPr>
              <w:jc w:val="center"/>
              <w:ind w:left="688"/>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jc w:val="center"/>
              <w:ind w:left="661"/>
              <w:spacing w:after="0"/>
              <w:rPr>
                <w:sz w:val="20"/>
                <w:szCs w:val="20"/>
                <w:color w:val="auto"/>
              </w:rPr>
            </w:pPr>
            <w:r>
              <w:rPr>
                <w:rFonts w:ascii="Arial" w:cs="Arial" w:eastAsia="Arial" w:hAnsi="Arial"/>
                <w:sz w:val="14"/>
                <w:szCs w:val="14"/>
                <w:b w:val="1"/>
                <w:bCs w:val="1"/>
                <w:color w:val="auto"/>
                <w:w w:val="94"/>
              </w:rPr>
              <w:t xml:space="preserve">(Ineffective Portion) </w:t>
            </w:r>
            <w:r>
              <w:rPr>
                <w:rFonts w:ascii="Arial" w:cs="Arial" w:eastAsia="Arial" w:hAnsi="Arial"/>
                <w:sz w:val="14"/>
                <w:szCs w:val="14"/>
                <w:color w:val="auto"/>
                <w:w w:val="94"/>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jc w:val="right"/>
              <w:ind w:right="74"/>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6"/>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(1,009)</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72"/>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Forwards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(1,661)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w w:val="95"/>
              </w:rPr>
              <w:t>Other income (expense), net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Forwards—excluded time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(1)</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Other income (expense),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(2,499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(80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205,145</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199,685</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 of operations for the six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2019 and 2018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Amount of Loss</w:t>
            </w:r>
          </w:p>
        </w:tc>
        <w:tc>
          <w:tcPr>
            <w:tcW w:w="80" w:type="dxa"/>
            <w:vAlign w:val="bottom"/>
          </w:tcPr>
          <w:p>
            <w:pPr>
              <w:spacing w:after="0"/>
              <w:rPr>
                <w:sz w:val="14"/>
                <w:szCs w:val="14"/>
                <w:color w:val="auto"/>
              </w:rPr>
            </w:pPr>
          </w:p>
        </w:tc>
        <w:tc>
          <w:tcPr>
            <w:tcW w:w="31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Location /Amount of Gain (Loss)</w:t>
            </w:r>
          </w:p>
        </w:tc>
        <w:tc>
          <w:tcPr>
            <w:tcW w:w="200" w:type="dxa"/>
            <w:vAlign w:val="bottom"/>
          </w:tcPr>
          <w:p>
            <w:pPr>
              <w:spacing w:after="0"/>
              <w:rPr>
                <w:sz w:val="14"/>
                <w:szCs w:val="14"/>
                <w:color w:val="auto"/>
              </w:rPr>
            </w:pPr>
          </w:p>
        </w:tc>
        <w:tc>
          <w:tcPr>
            <w:tcW w:w="2900" w:type="dxa"/>
            <w:vAlign w:val="bottom"/>
            <w:gridSpan w:val="5"/>
          </w:tcPr>
          <w:p>
            <w:pPr>
              <w:jc w:val="center"/>
              <w:ind w:left="661"/>
              <w:spacing w:after="0"/>
              <w:rPr>
                <w:sz w:val="20"/>
                <w:szCs w:val="20"/>
                <w:color w:val="auto"/>
              </w:rPr>
            </w:pPr>
            <w:r>
              <w:rPr>
                <w:rFonts w:ascii="Arial" w:cs="Arial" w:eastAsia="Arial" w:hAnsi="Arial"/>
                <w:sz w:val="14"/>
                <w:szCs w:val="14"/>
                <w:b w:val="1"/>
                <w:bCs w:val="1"/>
                <w:color w:val="auto"/>
                <w:w w:val="92"/>
              </w:rPr>
              <w:t>Location /Amount of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40" w:type="dxa"/>
            <w:vAlign w:val="bottom"/>
          </w:tcPr>
          <w:p>
            <w:pPr>
              <w:spacing w:after="0"/>
              <w:rPr>
                <w:sz w:val="12"/>
                <w:szCs w:val="12"/>
                <w:color w:val="auto"/>
              </w:rPr>
            </w:pPr>
          </w:p>
        </w:tc>
        <w:tc>
          <w:tcPr>
            <w:tcW w:w="1500" w:type="dxa"/>
            <w:vAlign w:val="bottom"/>
            <w:gridSpan w:val="6"/>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80" w:type="dxa"/>
            <w:vAlign w:val="bottom"/>
          </w:tcPr>
          <w:p>
            <w:pPr>
              <w:spacing w:after="0"/>
              <w:rPr>
                <w:sz w:val="12"/>
                <w:szCs w:val="12"/>
                <w:color w:val="auto"/>
              </w:rPr>
            </w:pPr>
          </w:p>
        </w:tc>
        <w:tc>
          <w:tcPr>
            <w:tcW w:w="310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ind w:left="1321"/>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rPr>
              <w:t>AOCI on</w:t>
            </w:r>
          </w:p>
        </w:tc>
        <w:tc>
          <w:tcPr>
            <w:tcW w:w="80" w:type="dxa"/>
            <w:vAlign w:val="bottom"/>
          </w:tcPr>
          <w:p>
            <w:pPr>
              <w:spacing w:after="0"/>
              <w:rPr>
                <w:sz w:val="12"/>
                <w:szCs w:val="12"/>
                <w:color w:val="auto"/>
              </w:rPr>
            </w:pPr>
          </w:p>
        </w:tc>
        <w:tc>
          <w:tcPr>
            <w:tcW w:w="2340" w:type="dxa"/>
            <w:vAlign w:val="bottom"/>
            <w:gridSpan w:val="5"/>
          </w:tcPr>
          <w:p>
            <w:pPr>
              <w:jc w:val="center"/>
              <w:ind w:left="668"/>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5"/>
          </w:tcPr>
          <w:p>
            <w:pPr>
              <w:jc w:val="center"/>
              <w:ind w:left="681"/>
              <w:spacing w:after="0" w:line="149" w:lineRule="exact"/>
              <w:rPr>
                <w:sz w:val="20"/>
                <w:szCs w:val="20"/>
                <w:color w:val="auto"/>
              </w:rPr>
            </w:pPr>
            <w:r>
              <w:rPr>
                <w:rFonts w:ascii="Arial" w:cs="Arial" w:eastAsia="Arial" w:hAnsi="Arial"/>
                <w:sz w:val="14"/>
                <w:szCs w:val="14"/>
                <w:b w:val="1"/>
                <w:bCs w:val="1"/>
                <w:color w:val="auto"/>
                <w:w w:val="92"/>
              </w:rPr>
              <w:t>Statement of Operations 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40" w:type="dxa"/>
            <w:vAlign w:val="bottom"/>
          </w:tcPr>
          <w:p>
            <w:pPr>
              <w:spacing w:after="0"/>
              <w:rPr>
                <w:sz w:val="12"/>
                <w:szCs w:val="12"/>
                <w:color w:val="auto"/>
              </w:rPr>
            </w:pPr>
          </w:p>
        </w:tc>
        <w:tc>
          <w:tcPr>
            <w:tcW w:w="15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80" w:type="dxa"/>
            <w:vAlign w:val="bottom"/>
          </w:tcPr>
          <w:p>
            <w:pPr>
              <w:spacing w:after="0"/>
              <w:rPr>
                <w:sz w:val="12"/>
                <w:szCs w:val="12"/>
                <w:color w:val="auto"/>
              </w:rPr>
            </w:pPr>
          </w:p>
        </w:tc>
        <w:tc>
          <w:tcPr>
            <w:tcW w:w="2500" w:type="dxa"/>
            <w:vAlign w:val="bottom"/>
            <w:gridSpan w:val="7"/>
          </w:tcPr>
          <w:p>
            <w:pPr>
              <w:jc w:val="center"/>
              <w:ind w:left="508"/>
              <w:spacing w:after="0" w:line="149" w:lineRule="exact"/>
              <w:rPr>
                <w:sz w:val="20"/>
                <w:szCs w:val="20"/>
                <w:color w:val="auto"/>
              </w:rPr>
            </w:pPr>
            <w:r>
              <w:rPr>
                <w:rFonts w:ascii="Arial" w:cs="Arial" w:eastAsia="Arial" w:hAnsi="Arial"/>
                <w:sz w:val="14"/>
                <w:szCs w:val="14"/>
                <w:b w:val="1"/>
                <w:bCs w:val="1"/>
                <w:color w:val="auto"/>
                <w:w w:val="93"/>
              </w:rPr>
              <w:t>Into Statement of Operations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40" w:type="dxa"/>
            <w:vAlign w:val="bottom"/>
          </w:tcPr>
          <w:p>
            <w:pPr>
              <w:spacing w:after="0"/>
              <w:rPr>
                <w:sz w:val="15"/>
                <w:szCs w:val="15"/>
                <w:color w:val="auto"/>
              </w:rPr>
            </w:pPr>
          </w:p>
        </w:tc>
        <w:tc>
          <w:tcPr>
            <w:tcW w:w="15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5"/>
                <w:szCs w:val="15"/>
                <w:color w:val="auto"/>
              </w:rPr>
            </w:pPr>
          </w:p>
        </w:tc>
        <w:tc>
          <w:tcPr>
            <w:tcW w:w="2340" w:type="dxa"/>
            <w:vAlign w:val="bottom"/>
            <w:gridSpan w:val="5"/>
          </w:tcPr>
          <w:p>
            <w:pPr>
              <w:jc w:val="center"/>
              <w:ind w:left="688"/>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jc w:val="center"/>
              <w:ind w:left="661"/>
              <w:spacing w:after="0"/>
              <w:rPr>
                <w:sz w:val="20"/>
                <w:szCs w:val="20"/>
                <w:color w:val="auto"/>
              </w:rPr>
            </w:pPr>
            <w:r>
              <w:rPr>
                <w:rFonts w:ascii="Arial" w:cs="Arial" w:eastAsia="Arial" w:hAnsi="Arial"/>
                <w:sz w:val="14"/>
                <w:szCs w:val="14"/>
                <w:b w:val="1"/>
                <w:bCs w:val="1"/>
                <w:color w:val="auto"/>
                <w:w w:val="94"/>
              </w:rPr>
              <w:t xml:space="preserve">(Ineffective Portion) </w:t>
            </w:r>
            <w:r>
              <w:rPr>
                <w:rFonts w:ascii="Arial" w:cs="Arial" w:eastAsia="Arial" w:hAnsi="Arial"/>
                <w:sz w:val="14"/>
                <w:szCs w:val="14"/>
                <w:color w:val="auto"/>
                <w:w w:val="94"/>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Six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jc w:val="right"/>
              <w:ind w:right="154"/>
              <w:spacing w:after="0" w:line="119" w:lineRule="exact"/>
              <w:rPr>
                <w:sz w:val="20"/>
                <w:szCs w:val="20"/>
                <w:color w:val="auto"/>
              </w:rPr>
            </w:pPr>
            <w:r>
              <w:rPr>
                <w:rFonts w:ascii="Arial" w:cs="Arial" w:eastAsia="Arial" w:hAnsi="Arial"/>
                <w:sz w:val="13"/>
                <w:szCs w:val="13"/>
                <w:b w:val="1"/>
                <w:bCs w:val="1"/>
                <w:color w:val="auto"/>
              </w:rPr>
              <w:t>Six Months Ended</w:t>
            </w:r>
          </w:p>
        </w:tc>
        <w:tc>
          <w:tcPr>
            <w:tcW w:w="200" w:type="dxa"/>
            <w:vAlign w:val="bottom"/>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5"/>
          </w:tcPr>
          <w:p>
            <w:pPr>
              <w:jc w:val="right"/>
              <w:ind w:right="34"/>
              <w:spacing w:after="0" w:line="119" w:lineRule="exact"/>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(1,142)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(795)</w:t>
            </w: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2,450</w:t>
            </w:r>
          </w:p>
        </w:tc>
        <w:tc>
          <w:tcPr>
            <w:tcW w:w="20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w w:val="95"/>
              </w:rPr>
              <w:t>Other income (expense), net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Forwards—excluded time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value (1)</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Other income (expense),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(1,937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(1,708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362,525</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365,504</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120" w:hanging="436"/>
        <w:spacing w:after="0" w:line="28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FASB issued the new guidance about hedging activities (ASU 2017-12), which provides new rules about income statement classification and eliminates the requirement to separately measure and report hedge ineffectiveness. In addition, under the same guidance, excluded time value for forward contracts is presented in earnings in the same income statement line item that is used to present the earnings effect of the hedged item.</w:t>
      </w:r>
    </w:p>
    <w:p>
      <w:pPr>
        <w:ind w:left="640" w:right="40"/>
        <w:spacing w:after="0" w:line="323" w:lineRule="auto"/>
        <w:rPr>
          <w:rFonts w:ascii="Arial" w:cs="Arial" w:eastAsia="Arial" w:hAnsi="Arial"/>
          <w:sz w:val="16"/>
          <w:szCs w:val="16"/>
          <w:color w:val="auto"/>
        </w:rPr>
      </w:pPr>
      <w:r>
        <w:rPr>
          <w:rFonts w:ascii="Arial" w:cs="Arial" w:eastAsia="Arial" w:hAnsi="Arial"/>
          <w:sz w:val="16"/>
          <w:szCs w:val="16"/>
          <w:color w:val="auto"/>
        </w:rPr>
        <w:t>The Company adopted the new guidance in the first quarter of 2019 and recorded $98 thousand as a reduction of net sales for the same period, and the comparative prior period amounts were not restated and continued to be reported under the accounting standards in effect for such period.</w:t>
      </w:r>
    </w:p>
    <w:p>
      <w:pPr>
        <w:spacing w:after="0" w:line="13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of June 30, 2019, the amount expected to be reclassified from accumulated other comprehensive loss into loss within the next twelve months is $996 thousand.</w:t>
      </w:r>
    </w:p>
    <w:p>
      <w:pPr>
        <w:spacing w:after="0" w:line="170"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The Company set aside $8,600 thousand and $4,000 thousand in cash deposits to the counterparties, Nomura Financial Investment (Korea) Co., Ltd. (“NFIK”) and Deutsche Bank AG, Seoul Branch (“DB”) as required for the zero cost collar and forward contracts outstanding as of June 30, 2019 and December 31, 2018, respectively. These cash deposits are recorded as hedge collateral on the consolidated balance sheets.</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is required to deposit additional cash collateral with NFIK and DB for any exposure in excess of $500 thousand, and $910 thousand and $1,810 thousand of additional cash collateral were required and recorded as hedge collateral on the consolidated balance sheets as of June 30, 2019 and December 31, 2018, respectively.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These forward and zero cost collar contracts may be terminated by the counterparty in a number of circumstances, including if the Company’s long-term debt rating falls below B-/B3 or if the Company’s total cash and cash equivalents is less than $30,000 thousand at the end of a fiscal quarter unless a waiver is obtained from the counterparty.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June 30, 2019, the following table represents the Company’s liabilities measured at fair value on a recurring basis and the basis for that measurement (in thousands):</w:t>
      </w:r>
    </w:p>
    <w:p>
      <w:pPr>
        <w:spacing w:after="0" w:line="5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2"/>
            <w:vMerge w:val="restart"/>
          </w:tcPr>
          <w:p>
            <w:pPr>
              <w:jc w:val="center"/>
              <w:ind w:left="328"/>
              <w:spacing w:after="0"/>
              <w:rPr>
                <w:sz w:val="20"/>
                <w:szCs w:val="20"/>
                <w:color w:val="auto"/>
              </w:rPr>
            </w:pPr>
            <w:r>
              <w:rPr>
                <w:rFonts w:ascii="Arial" w:cs="Arial" w:eastAsia="Arial" w:hAnsi="Arial"/>
                <w:sz w:val="14"/>
                <w:szCs w:val="14"/>
                <w:b w:val="1"/>
                <w:bCs w:val="1"/>
                <w:color w:val="auto"/>
                <w:w w:val="91"/>
              </w:rPr>
              <w:t>Quoted Prices in</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38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5"/>
              </w:rPr>
              <w:t>Fair Value</w:t>
            </w: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5"/>
              </w:rPr>
              <w:t>Carrying Value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12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00" w:type="dxa"/>
            <w:vAlign w:val="bottom"/>
            <w:gridSpan w:val="3"/>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Measurement</w:t>
            </w:r>
          </w:p>
        </w:tc>
        <w:tc>
          <w:tcPr>
            <w:tcW w:w="4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4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June 30,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June 30, 2019</w:t>
            </w:r>
          </w:p>
        </w:tc>
        <w:tc>
          <w:tcPr>
            <w:tcW w:w="4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Derivative liabilities (other current liabilities)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1,054</w:t>
            </w:r>
          </w:p>
        </w:tc>
        <w:tc>
          <w:tcPr>
            <w:tcW w:w="40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299"/>
              <w:spacing w:after="0"/>
              <w:rPr>
                <w:sz w:val="20"/>
                <w:szCs w:val="20"/>
                <w:color w:val="auto"/>
              </w:rPr>
            </w:pPr>
            <w:r>
              <w:rPr>
                <w:rFonts w:ascii="Arial" w:cs="Arial" w:eastAsia="Arial" w:hAnsi="Arial"/>
                <w:sz w:val="18"/>
                <w:szCs w:val="18"/>
                <w:color w:val="auto"/>
                <w:w w:val="99"/>
              </w:rPr>
              <w:t>$   1,054</w:t>
            </w:r>
          </w:p>
        </w:tc>
        <w:tc>
          <w:tcPr>
            <w:tcW w:w="38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360"/>
        <w:spacing w:after="0" w:line="277" w:lineRule="auto"/>
        <w:rPr>
          <w:sz w:val="20"/>
          <w:szCs w:val="20"/>
          <w:color w:val="auto"/>
        </w:rPr>
      </w:pPr>
      <w:r>
        <w:rPr>
          <w:rFonts w:ascii="Arial" w:cs="Arial" w:eastAsia="Arial" w:hAnsi="Arial"/>
          <w:sz w:val="18"/>
          <w:szCs w:val="18"/>
          <w:color w:val="auto"/>
        </w:rPr>
        <w:t>As of December 31, 2018, the following table represents the Company’s liabilities measured at fair value on a recurring basis and the basis for that measurement (in thousands):</w:t>
      </w:r>
    </w:p>
    <w:p>
      <w:pPr>
        <w:spacing w:after="0" w:line="6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2"/>
            <w:vMerge w:val="restart"/>
          </w:tcPr>
          <w:p>
            <w:pPr>
              <w:jc w:val="center"/>
              <w:ind w:left="328"/>
              <w:spacing w:after="0"/>
              <w:rPr>
                <w:sz w:val="20"/>
                <w:szCs w:val="20"/>
                <w:color w:val="auto"/>
              </w:rPr>
            </w:pPr>
            <w:r>
              <w:rPr>
                <w:rFonts w:ascii="Arial" w:cs="Arial" w:eastAsia="Arial" w:hAnsi="Arial"/>
                <w:sz w:val="14"/>
                <w:szCs w:val="14"/>
                <w:b w:val="1"/>
                <w:bCs w:val="1"/>
                <w:color w:val="auto"/>
                <w:w w:val="91"/>
              </w:rPr>
              <w:t>Quoted Prices in</w:t>
            </w:r>
          </w:p>
        </w:tc>
        <w:tc>
          <w:tcPr>
            <w:tcW w:w="4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38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Fair Value</w:t>
            </w: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5"/>
              </w:rPr>
              <w:t>Carrying Value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12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00" w:type="dxa"/>
            <w:vAlign w:val="bottom"/>
            <w:gridSpan w:val="3"/>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Measurement</w:t>
            </w:r>
          </w:p>
        </w:tc>
        <w:tc>
          <w:tcPr>
            <w:tcW w:w="4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December 31, 2018</w:t>
            </w:r>
          </w:p>
        </w:tc>
        <w:tc>
          <w:tcPr>
            <w:tcW w:w="154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December 31, 2018</w:t>
            </w:r>
          </w:p>
        </w:tc>
        <w:tc>
          <w:tcPr>
            <w:tcW w:w="4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Derivative liabilities (other current liabilities)</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40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38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Long-term Borrowings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2018</w:t>
            </w: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tcBorders>
              <w:top w:val="single" w:sz="8" w:color="auto"/>
            </w:tcBorders>
          </w:tcPr>
          <w:p>
            <w:pPr>
              <w:jc w:val="center"/>
              <w:ind w:left="82"/>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139"/>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860" w:type="dxa"/>
            <w:vAlign w:val="bottom"/>
          </w:tcPr>
          <w:p>
            <w:pPr>
              <w:jc w:val="center"/>
              <w:ind w:left="82"/>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79"/>
              <w:spacing w:after="0" w:line="142" w:lineRule="exact"/>
              <w:rPr>
                <w:sz w:val="20"/>
                <w:szCs w:val="20"/>
                <w:color w:val="auto"/>
              </w:rPr>
            </w:pPr>
            <w:r>
              <w:rPr>
                <w:rFonts w:ascii="Arial" w:cs="Arial" w:eastAsia="Arial" w:hAnsi="Arial"/>
                <w:sz w:val="14"/>
                <w:szCs w:val="14"/>
                <w:b w:val="1"/>
                <w:bCs w:val="1"/>
                <w:color w:val="auto"/>
                <w:w w:val="99"/>
              </w:rPr>
              <w:t>(In thousands of US dollars)</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5.0% Exchangeable Senior Notes due March 2021 (Level 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81,236</w:t>
            </w:r>
          </w:p>
        </w:tc>
        <w:tc>
          <w:tcPr>
            <w:tcW w:w="860" w:type="dxa"/>
            <w:vAlign w:val="bottom"/>
          </w:tcPr>
          <w:p>
            <w:pPr>
              <w:jc w:val="center"/>
              <w:ind w:left="82"/>
              <w:spacing w:after="0"/>
              <w:rPr>
                <w:sz w:val="20"/>
                <w:szCs w:val="20"/>
                <w:color w:val="auto"/>
              </w:rPr>
            </w:pPr>
            <w:r>
              <w:rPr>
                <w:rFonts w:ascii="Arial" w:cs="Arial" w:eastAsia="Arial" w:hAnsi="Arial"/>
                <w:sz w:val="18"/>
                <w:szCs w:val="18"/>
                <w:color w:val="auto"/>
                <w:w w:val="87"/>
              </w:rPr>
              <w:t>$ 116,761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81,418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6.625% Senior Notes due July 2021 (Level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222,341</w:t>
            </w:r>
          </w:p>
        </w:tc>
        <w:tc>
          <w:tcPr>
            <w:tcW w:w="860" w:type="dxa"/>
            <w:vAlign w:val="bottom"/>
            <w:shd w:val="clear" w:color="auto" w:fill="CCEEFF"/>
          </w:tcPr>
          <w:p>
            <w:pPr>
              <w:jc w:val="center"/>
              <w:ind w:left="82"/>
              <w:spacing w:after="0"/>
              <w:rPr>
                <w:sz w:val="20"/>
                <w:szCs w:val="20"/>
                <w:color w:val="auto"/>
              </w:rPr>
            </w:pPr>
            <w:r>
              <w:rPr>
                <w:rFonts w:ascii="Arial" w:cs="Arial" w:eastAsia="Arial" w:hAnsi="Arial"/>
                <w:sz w:val="18"/>
                <w:szCs w:val="18"/>
                <w:color w:val="auto"/>
                <w:w w:val="93"/>
              </w:rPr>
              <w:t>$221,727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9"/>
              </w:rPr>
              <w:t>222,159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202,046</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10, “Long-term Borrowings.”</w:t>
      </w:r>
    </w:p>
    <w:p>
      <w:pPr>
        <w:spacing w:after="0" w:line="17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On July 18, 2013, the Company issued 6.625% senior notes due July 15, 2021 (the “2021 Notes”) of $225.0 million, which represents the principal amount, excluding $1.1 million of original issue discount and $5.0 million of debt issuance costs. In December 2018 and In January 2019, the Company repurchased a principal amount equal to $500 thousand and $250 thousand, respectively, of the 2021 Notes in the open market. The Company estimates the fair value of the 2021 Notes using the market approach, which utilizes quoted market prices that fall under Level 2. For further description of the 2021 Notes, see Note 10, “Long-term Borrowings.”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June 30, 2019 and 2018, the Company did not have any assets or liabilities measured at fair value on a non-recurring basis.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Long-Term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borrowings as of June 30, 2019 and December 31, 2018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June 30,</w:t>
            </w: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224,250</w:t>
            </w:r>
          </w:p>
        </w:tc>
        <w:tc>
          <w:tcPr>
            <w:tcW w:w="2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224,500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Long-term borrowings, net of unamortized discount and debt issuance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303,577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9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and six months ended</w:t>
      </w:r>
    </w:p>
    <w:p>
      <w:pPr>
        <w:ind w:left="200" w:right="60"/>
        <w:spacing w:after="0" w:line="261" w:lineRule="auto"/>
        <w:rPr>
          <w:sz w:val="20"/>
          <w:szCs w:val="20"/>
          <w:color w:val="auto"/>
        </w:rPr>
      </w:pPr>
      <w:r>
        <w:rPr>
          <w:rFonts w:ascii="Arial" w:cs="Arial" w:eastAsia="Arial" w:hAnsi="Arial"/>
          <w:sz w:val="18"/>
          <w:szCs w:val="18"/>
          <w:color w:val="auto"/>
        </w:rPr>
        <w:t>June 30, 2019 were $1,394 thousand and $2,802 thousand, respectively. Interest expense related to the Exchangeable Notes for the three and six months ended June 30, 2018 were $1,418 thousand and $2,829 thousand, respectively.</w:t>
      </w:r>
    </w:p>
    <w:p>
      <w:pPr>
        <w:spacing w:after="0" w:line="184"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December 2018, the Company repurchased a principal amount equal to $1,590 thousand of the Exchangeable Notes in the open market, resulting in a loss of $234 thousand, which was recorded as loss on early extinguishment of long-term borrowings, net in the consolidated statements of operations for the year ended December 31, 2018. In February 2019, the Company repurchased a principal amount equal to $920 thousand of the Exchangeable Notes in the open market, resulting in a loss of $63 thousand, which was recorded as loss on early extinguishment of long-term borrowings, net in the consolidated statements of operations for the three months ended March 31, 2019.</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On or after July 15, 2019, the Company can optionally redeem all or a part of the 2021 Notes at a redemption price equal to 100% of the principal amount of the notes plus accrued and unpaid interest and special interest, if any, on the notes redeemed, to the applicable date of redemption.</w:t>
      </w:r>
    </w:p>
    <w:p>
      <w:pPr>
        <w:spacing w:after="0" w:line="124"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6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 related to the 2021 Notes for the three and six months ended June 30, 2019 was $3,929 thousand and $7,859 thousand, respectively. Interest expenses related to the 2021 Notes for the three and six months ended June 30, 2018 was $3,926 thousand and $7,852 thousand, respectively.</w:t>
      </w:r>
    </w:p>
    <w:p>
      <w:pPr>
        <w:spacing w:after="0" w:line="158"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In December 2018, the Company repurchased a principal amount equal to $500 thousand of the 2021 Notes in the open market, resulting in a net gain of $28 thousand, which was recorded as loss on early extinguishment of long-term borrowings, net in the consolidated statements of operations for the year ended December 31, 2018. In January 2019, the Company repurchased a principal amount equal to $250 thousand of the 2021 Notes in the open market, resulting in a net gain of $21 thousand, which was recorded as loss on early extinguishment of long-term borrowings, net in the consolidated statements of operations for the three months ended March 31, 2019.</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Accrued Severance Benefits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2019, 98% of employees of the Company were eligible for severance benefits.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17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June 30, 2019</w:t>
            </w:r>
          </w:p>
        </w:tc>
        <w:tc>
          <w:tcPr>
            <w:tcW w:w="8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June 30, 2018</w:t>
            </w: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147,673</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152,780</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Provisions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(2,385)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(4,974)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(7,551)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w w:val="96"/>
              </w:rPr>
              <w:t>Less: Cumulative contributions to severance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insurance deposit accounts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Group severance insurance plan</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142,436</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142,436</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145,542</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Beginning in July 2018, the Company has contributed a certain percentage of severance benefits, accrued for eligible employees for their services from January 1, 2018, to certain severance insurance deposit accounts.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620" w:type="dxa"/>
            <w:vAlign w:val="bottom"/>
            <w:gridSpan w:val="4"/>
          </w:tcPr>
          <w:p>
            <w:pPr>
              <w:ind w:left="2480"/>
              <w:spacing w:after="0"/>
              <w:rPr>
                <w:sz w:val="20"/>
                <w:szCs w:val="20"/>
                <w:color w:val="auto"/>
              </w:rPr>
            </w:pPr>
            <w:r>
              <w:rPr>
                <w:rFonts w:ascii="Arial" w:cs="Arial" w:eastAsia="Arial" w:hAnsi="Arial"/>
                <w:sz w:val="14"/>
                <w:szCs w:val="14"/>
                <w:b w:val="1"/>
                <w:bCs w:val="1"/>
                <w:color w:val="auto"/>
                <w:w w:val="93"/>
              </w:rPr>
              <w:t>Severance benefit</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2020</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1,063</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2022</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2024</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2025 – 2029</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Foreign Currency Loss, Net</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our Korean subsidiary. The loans are denominated in U.S. dollars and are affected by changes in the exchange rate between the Korean won and the U.S. dollar. As of June 30, 2019 and December 31, 2018, the outstanding intercompany loan balances including accrued interest between the Korean subsidiary and the Dutch subsidiary were $672,684 thousand and $666,597 thousand, respectively. The Korean won to U.S. dollar exchange rates were 1,156.8:1, 1,118.1:1 using the first base rate as of June 30, 2019 and December 31, 2018, respectively, as quoted by the KEB Hana Bank.</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files income tax returns in the U.S., Korea, Japan, Taiwan and various other jurisdictions. The Company is subject to income- or non-income-based tax examinations by tax authorities of the U.S., Korea and multiple other foreign jurisdictions, where applicable, for all open tax years.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Income tax expense recorded for the three and six months ended June 30, 2019 was $812 thousand and $1,653 thousand, respectively. Income tax expense recorded for the three and six months ended June 30, 2018 was $1,521 thousand and $2,511 thousand, respectively. Income tax expense was recorded for the Company’s Korean subsidiary based on the estimated taxable income for the respective periods, combined with its ability to utilize net operating loss carryforwards up to 70% in 2018 and 60% in 2019.</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December 22, 2017, H.R. 1, originally known as the Tax Cuts and Jobs Act, was enacted in the U.S. (the “Tax Reform Act”). The Tax Reform Act reduces the U.S. federal statutory rate to 21.0% from 35.0% effective January 1, 2018. The Tax Reform Act contains several key provisions, including global intangible low tax income and foreign derived intangible income provisions. For the year ended December 31, 2018, the Company analyzed the mandatory deemed repatriation tax and concluded that the Company has no tax liability on previously untaxed accumulated earnings and profits of its foreign subsidiaries. Based on the review the additional guidance and proposed regulations issued during the second quarter of 2019, there was no significant impact on the Company’s consolidated financial statements for the six months ended June 30, 2019.</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Geographic and Segment Information</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Company has two operating segments: its Foundry Services Group and Standard Products Group. The Company’s chief operating decision maker is its Chief Executive Officer, who allocates resources and assesses performance of the business and other activities based on gross profit.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relating to the operating segments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6"/>
              </w:rPr>
              <w:t>June 30,</w:t>
            </w: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2"/>
              </w:rPr>
              <w:t>June 30,</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73,098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80,907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130,173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158,336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84,261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142,491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128,408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Total Standard Products Group</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131,984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118,740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232,244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207,103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700"/>
              <w:spacing w:after="0"/>
              <w:rPr>
                <w:sz w:val="20"/>
                <w:szCs w:val="20"/>
                <w:color w:val="auto"/>
              </w:rPr>
            </w:pPr>
            <w:r>
              <w:rPr>
                <w:rFonts w:ascii="Arial" w:cs="Arial" w:eastAsia="Arial" w:hAnsi="Arial"/>
                <w:sz w:val="18"/>
                <w:szCs w:val="18"/>
                <w:color w:val="auto"/>
              </w:rPr>
              <w:t>Total net sales</w:t>
            </w:r>
          </w:p>
        </w:tc>
        <w:tc>
          <w:tcPr>
            <w:tcW w:w="1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205,145</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199,685</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362,525</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365,504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6"/>
              </w:rPr>
              <w:t>June 30,</w:t>
            </w: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2"/>
              </w:rPr>
              <w:t>June 30,</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22,185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42,849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revenue for Foundry Services Group is disaggregated depending on the timing of revenue recognition (in thousands):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11"/>
          </w:tcPr>
          <w:p>
            <w:pPr>
              <w:ind w:left="340"/>
              <w:spacing w:after="0"/>
              <w:rPr>
                <w:sz w:val="20"/>
                <w:szCs w:val="20"/>
                <w:color w:val="auto"/>
              </w:rPr>
            </w:pPr>
            <w:r>
              <w:rPr>
                <w:rFonts w:ascii="Arial" w:cs="Arial" w:eastAsia="Arial" w:hAnsi="Arial"/>
                <w:sz w:val="14"/>
                <w:szCs w:val="14"/>
                <w:b w:val="1"/>
                <w:bCs w:val="1"/>
                <w:color w:val="auto"/>
              </w:rPr>
              <w:t>Three Months Ended June 30, 2019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8"/>
          </w:tcPr>
          <w:p>
            <w:pPr>
              <w:ind w:left="500"/>
              <w:spacing w:after="0"/>
              <w:rPr>
                <w:sz w:val="20"/>
                <w:szCs w:val="20"/>
                <w:color w:val="auto"/>
              </w:rPr>
            </w:pPr>
            <w:r>
              <w:rPr>
                <w:rFonts w:ascii="Arial" w:cs="Arial" w:eastAsia="Arial" w:hAnsi="Arial"/>
                <w:sz w:val="14"/>
                <w:szCs w:val="14"/>
                <w:b w:val="1"/>
                <w:bCs w:val="1"/>
                <w:color w:val="auto"/>
              </w:rPr>
              <w:t>Six Months Ended June 30,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Borders>
              <w:top w:val="single" w:sz="8" w:color="auto"/>
            </w:tcBorders>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Revenue</w:t>
            </w: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Revenue</w:t>
            </w: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at the time of</w:t>
            </w:r>
          </w:p>
        </w:tc>
        <w:tc>
          <w:tcPr>
            <w:tcW w:w="10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at the time of</w:t>
            </w:r>
          </w:p>
        </w:tc>
        <w:tc>
          <w:tcPr>
            <w:tcW w:w="3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gridSpan w:val="5"/>
          </w:tcPr>
          <w:p>
            <w:pPr>
              <w:ind w:left="20"/>
              <w:spacing w:after="0"/>
              <w:rPr>
                <w:sz w:val="20"/>
                <w:szCs w:val="20"/>
                <w:color w:val="auto"/>
              </w:rPr>
            </w:pPr>
            <w:r>
              <w:rPr>
                <w:rFonts w:ascii="Arial" w:cs="Arial" w:eastAsia="Arial" w:hAnsi="Arial"/>
                <w:sz w:val="14"/>
                <w:szCs w:val="14"/>
                <w:b w:val="1"/>
                <w:bCs w:val="1"/>
                <w:color w:val="auto"/>
              </w:rPr>
              <w:t>shipment or delivery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shipment or delivery</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2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31,449</w:t>
            </w:r>
          </w:p>
        </w:tc>
        <w:tc>
          <w:tcPr>
            <w:tcW w:w="200" w:type="dxa"/>
            <w:vAlign w:val="bottom"/>
          </w:tcPr>
          <w:p>
            <w:pPr>
              <w:spacing w:after="0"/>
              <w:rPr>
                <w:sz w:val="20"/>
                <w:szCs w:val="20"/>
                <w:color w:val="auto"/>
              </w:rPr>
            </w:pPr>
          </w:p>
        </w:tc>
        <w:tc>
          <w:tcPr>
            <w:tcW w:w="780" w:type="dxa"/>
            <w:vAlign w:val="bottom"/>
            <w:gridSpan w:val="4"/>
          </w:tcPr>
          <w:p>
            <w:pPr>
              <w:jc w:val="center"/>
              <w:ind w:left="36"/>
              <w:spacing w:after="0"/>
              <w:rPr>
                <w:sz w:val="20"/>
                <w:szCs w:val="20"/>
                <w:color w:val="auto"/>
              </w:rPr>
            </w:pPr>
            <w:r>
              <w:rPr>
                <w:rFonts w:ascii="Arial" w:cs="Arial" w:eastAsia="Arial" w:hAnsi="Arial"/>
                <w:sz w:val="18"/>
                <w:szCs w:val="18"/>
                <w:color w:val="auto"/>
                <w:w w:val="94"/>
              </w:rPr>
              <w:t>$ 41,649</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$73,098</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59,560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$ 70,613</w:t>
            </w:r>
          </w:p>
        </w:tc>
        <w:tc>
          <w:tcPr>
            <w:tcW w:w="102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$130,173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11"/>
          </w:tcPr>
          <w:p>
            <w:pPr>
              <w:ind w:left="320"/>
              <w:spacing w:after="0"/>
              <w:rPr>
                <w:sz w:val="20"/>
                <w:szCs w:val="20"/>
                <w:color w:val="auto"/>
              </w:rPr>
            </w:pPr>
            <w:r>
              <w:rPr>
                <w:rFonts w:ascii="Arial" w:cs="Arial" w:eastAsia="Arial" w:hAnsi="Arial"/>
                <w:sz w:val="14"/>
                <w:szCs w:val="14"/>
                <w:b w:val="1"/>
                <w:bCs w:val="1"/>
                <w:color w:val="auto"/>
              </w:rPr>
              <w:t>Three Months Ended June 30, 2018</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8"/>
          </w:tcPr>
          <w:p>
            <w:pPr>
              <w:ind w:left="480"/>
              <w:spacing w:after="0"/>
              <w:rPr>
                <w:sz w:val="20"/>
                <w:szCs w:val="20"/>
                <w:color w:val="auto"/>
              </w:rPr>
            </w:pPr>
            <w:r>
              <w:rPr>
                <w:rFonts w:ascii="Arial" w:cs="Arial" w:eastAsia="Arial" w:hAnsi="Arial"/>
                <w:sz w:val="14"/>
                <w:szCs w:val="14"/>
                <w:b w:val="1"/>
                <w:bCs w:val="1"/>
                <w:color w:val="auto"/>
              </w:rPr>
              <w:t>Six Months Ended June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Borders>
              <w:top w:val="single" w:sz="8" w:color="auto"/>
            </w:tcBorders>
            <w:gridSpan w:val="5"/>
          </w:tcPr>
          <w:p>
            <w:pPr>
              <w:ind w:left="20"/>
              <w:spacing w:after="0" w:line="119" w:lineRule="exact"/>
              <w:rPr>
                <w:sz w:val="20"/>
                <w:szCs w:val="20"/>
                <w:color w:val="auto"/>
              </w:rPr>
            </w:pPr>
            <w:r>
              <w:rPr>
                <w:rFonts w:ascii="Arial" w:cs="Arial" w:eastAsia="Arial" w:hAnsi="Arial"/>
                <w:sz w:val="13"/>
                <w:szCs w:val="13"/>
                <w:b w:val="1"/>
                <w:bCs w:val="1"/>
                <w:color w:val="auto"/>
              </w:rPr>
              <w:t>Revenue recognized</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Revenue</w:t>
            </w: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w w:val="99"/>
              </w:rPr>
              <w:t>Revenue recognized</w:t>
            </w: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Revenue</w:t>
            </w: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at the time of</w:t>
            </w: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at the time of</w:t>
            </w:r>
          </w:p>
        </w:tc>
        <w:tc>
          <w:tcPr>
            <w:tcW w:w="3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shipment or delivery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over time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6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shipment or delivery</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over time</w:t>
            </w:r>
          </w:p>
        </w:tc>
        <w:tc>
          <w:tcPr>
            <w:tcW w:w="3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200" w:type="dxa"/>
            <w:vAlign w:val="bottom"/>
            <w:gridSpan w:val="3"/>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22,970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center"/>
              <w:ind w:left="16"/>
              <w:spacing w:after="0"/>
              <w:rPr>
                <w:sz w:val="20"/>
                <w:szCs w:val="20"/>
                <w:color w:val="auto"/>
              </w:rPr>
            </w:pPr>
            <w:r>
              <w:rPr>
                <w:rFonts w:ascii="Arial" w:cs="Arial" w:eastAsia="Arial" w:hAnsi="Arial"/>
                <w:sz w:val="18"/>
                <w:szCs w:val="18"/>
                <w:color w:val="auto"/>
                <w:w w:val="94"/>
              </w:rPr>
              <w:t>$ 57,937</w:t>
            </w:r>
          </w:p>
        </w:tc>
        <w:tc>
          <w:tcPr>
            <w:tcW w:w="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$80,907</w:t>
            </w:r>
          </w:p>
        </w:tc>
        <w:tc>
          <w:tcPr>
            <w:tcW w:w="20" w:type="dxa"/>
            <w:vAlign w:val="bottom"/>
          </w:tcPr>
          <w:p>
            <w:pPr>
              <w:spacing w:after="0"/>
              <w:rPr>
                <w:sz w:val="20"/>
                <w:szCs w:val="20"/>
                <w:color w:val="auto"/>
              </w:rPr>
            </w:pPr>
          </w:p>
        </w:tc>
        <w:tc>
          <w:tcPr>
            <w:tcW w:w="460" w:type="dxa"/>
            <w:vAlign w:val="bottom"/>
            <w:gridSpan w:val="3"/>
          </w:tcPr>
          <w:p>
            <w:pPr>
              <w:jc w:val="right"/>
              <w:ind w:right="1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25,766</w:t>
            </w:r>
          </w:p>
        </w:tc>
        <w:tc>
          <w:tcPr>
            <w:tcW w:w="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$132,570</w:t>
            </w:r>
          </w:p>
        </w:tc>
        <w:tc>
          <w:tcPr>
            <w:tcW w:w="102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$158,336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summary of net sales by geographic region, based on the location to which the products are billed (in thousands):</w:t>
      </w:r>
    </w:p>
    <w:p>
      <w:pPr>
        <w:spacing w:after="0" w:line="25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120,124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119,725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14,596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40" w:type="dxa"/>
            <w:vAlign w:val="bottom"/>
            <w:shd w:val="clear" w:color="auto" w:fill="CCEEFF"/>
          </w:tcPr>
          <w:p>
            <w:pPr>
              <w:spacing w:after="0"/>
              <w:rPr>
                <w:sz w:val="18"/>
                <w:szCs w:val="18"/>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205,145</w:t>
            </w: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199,685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19"/>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119,874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112,750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204,288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209,430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24,019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18,597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40" w:type="dxa"/>
            <w:vAlign w:val="bottom"/>
            <w:shd w:val="clear" w:color="auto" w:fill="CCEEFF"/>
          </w:tcPr>
          <w:p>
            <w:pPr>
              <w:spacing w:after="0"/>
              <w:rPr>
                <w:sz w:val="18"/>
                <w:szCs w:val="18"/>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362,525</w:t>
            </w: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365,504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For the three months ended June 30, 2019 and 2018, of the Company’s net sales in Asia Pacific (other than Korea), net sales in Greater China (China, Hong Kong and Macau) represented 79.0% and 70.3%, respectively, and net sales in Taiwan represented 18.3% and 23.8%, respectively.</w:t>
      </w:r>
    </w:p>
    <w:p>
      <w:pPr>
        <w:spacing w:after="0" w:line="124" w:lineRule="exact"/>
        <w:rPr>
          <w:sz w:val="20"/>
          <w:szCs w:val="20"/>
          <w:color w:val="auto"/>
        </w:rPr>
      </w:pPr>
    </w:p>
    <w:p>
      <w:pPr>
        <w:jc w:val="both"/>
        <w:ind w:left="200" w:right="300" w:firstLine="441"/>
        <w:spacing w:after="0" w:line="342" w:lineRule="auto"/>
        <w:rPr>
          <w:sz w:val="20"/>
          <w:szCs w:val="20"/>
          <w:color w:val="auto"/>
        </w:rPr>
      </w:pPr>
      <w:r>
        <w:rPr>
          <w:rFonts w:ascii="Arial" w:cs="Arial" w:eastAsia="Arial" w:hAnsi="Arial"/>
          <w:sz w:val="16"/>
          <w:szCs w:val="16"/>
          <w:color w:val="auto"/>
        </w:rPr>
        <w:t>For the six months ended June 30, 2019 and 2018, of the Company’s net sales in Asia Pacific (other than Korea), net sales in Greater China (China, Hong Kong and Macau) represented 77.6% and 69.1%, respectively, and net sales in Taiwan represented 19.1% and 24.1%, respectively.</w:t>
      </w:r>
    </w:p>
    <w:p>
      <w:pPr>
        <w:spacing w:after="0" w:line="124"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Net sales from the Company’s top ten largest customers accounted for 69% and 67% for the three months ended June 30, 2019 and 2018, respectively, and 68% and 63% for the six months ended June 30, 2019 and 2018, respectively.</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three months ended June 30, 2019, the Company had one customer that represented 35.3% of its net sales, and for the six months ended June 30, 2019, the Company had one customer that represented 32.4% of its net sales.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three months ended June 30, 2018, the Company had one customer that represented 28.9% of its net sales, and for the six months ended June 30, 2018, the Company had one customer that represented 23.9% of its net sales.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98% of the Company’s property, plant and equipment are located in Korea as of June 30, 2019.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Accumulated other comprehensive loss consists of the following as of June 30, 2019 and December 31, 2018, respectively (in thousands):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8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$(5,077)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7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(6,073)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accumulated other comprehensive loss for the three months ended June 30, 2019 and 2018 are as follows (in thousands):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2019</w:t>
            </w:r>
          </w:p>
        </w:tc>
        <w:tc>
          <w:tcPr>
            <w:tcW w:w="36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(12,757</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(361)</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(13,118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7,680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(2,499)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7,680</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2018</w:t>
            </w:r>
          </w:p>
        </w:tc>
        <w:tc>
          <w:tcPr>
            <w:tcW w:w="36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(38,896</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2,626</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(36,270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20,116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(1,870)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Amounts reclassified from accumulated other comprehensive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20,116</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(3,905)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Changes in accumulated other comprehensive loss for the six months ended June 30, 2019 and 2018 are as follows (in thousands):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36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7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(20,061</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(20,110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14,984</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(2,900)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2018</w:t>
            </w:r>
          </w:p>
        </w:tc>
        <w:tc>
          <w:tcPr>
            <w:tcW w:w="36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7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(38,413</w:t>
            </w:r>
          </w:p>
        </w:tc>
        <w:tc>
          <w:tcPr>
            <w:tcW w:w="440" w:type="dxa"/>
            <w:vAlign w:val="bottom"/>
            <w:tcBorders>
              <w:top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5,299</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(33,114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19,633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(1,937)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Amounts reclassified from accumulated other comprehensive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19,633</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(6,578)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was no income tax impact related to changes in accumulated other comprehensive loss for the six months ended June 30, 2019 and 2018 due to net operating loss carry-forwards available to offset taxable income and full allowance for deferred tax assets.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240" w:top="459" w:right="7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Loss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illustrates the computation of basic and diluted loss per common share for the three and six months ended June 30, 2019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8"/>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(In thousands of US dollars, except share data)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(21,505)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(43,645)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(18,742)</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weighted average common stock outstanding</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34,245,127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34,420,654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34,220,141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34,337,345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r>
    </w:tbl>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have an anti-dilutive effect on the calculation:</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02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June 30,</w:t>
            </w:r>
          </w:p>
        </w:tc>
        <w:tc>
          <w:tcPr>
            <w:tcW w:w="780" w:type="dxa"/>
            <w:vAlign w:val="bottom"/>
            <w:tcBorders>
              <w:top w:val="single" w:sz="8" w:color="auto"/>
            </w:tcBorders>
          </w:tcPr>
          <w:p>
            <w:pPr>
              <w:jc w:val="right"/>
              <w:ind w:right="60"/>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0"/>
                <w:szCs w:val="10"/>
                <w:color w:val="auto"/>
              </w:rPr>
            </w:pPr>
          </w:p>
        </w:tc>
        <w:tc>
          <w:tcPr>
            <w:tcW w:w="102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2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2,611,832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2,782,874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2,611,832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2,782,874</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760" w:type="dxa"/>
            <w:vAlign w:val="bottom"/>
          </w:tcPr>
          <w:p>
            <w:pPr>
              <w:jc w:val="right"/>
              <w:spacing w:after="0"/>
              <w:rPr>
                <w:sz w:val="20"/>
                <w:szCs w:val="20"/>
                <w:color w:val="auto"/>
              </w:rPr>
            </w:pPr>
            <w:r>
              <w:rPr>
                <w:rFonts w:ascii="Arial" w:cs="Arial" w:eastAsia="Arial" w:hAnsi="Arial"/>
                <w:sz w:val="18"/>
                <w:szCs w:val="18"/>
                <w:color w:val="auto"/>
              </w:rPr>
              <w:t>501,490</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499,889</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501,490</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499,889</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the three months ended June 30, 2019, 10,144,155, for the six months ended June 30, 2019, 10,163,242, and for the three and six months ended June 30, 2018, 10,448,213 of potential common stock from the assumed conversion of Exchangeable Notes were excluded from the computation of diluted loss per share as the effect was anti-dilutive for the periods.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Purchase Agreements and Advances to Suppliers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June 30, 2019 and December 31, 2018, respectively.</w:t>
      </w:r>
    </w:p>
    <w:p>
      <w:pPr>
        <w:spacing w:after="0" w:line="173"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from time to time, may make prepayments to suppliers to procure materials to meet its planned production. The Company recorded prepayments of $6,537 thousand and $8,132 thousand as other current assets as of June 30, 2019 and December 31, 2018, respectively.</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February 22, 2019 (“2018 Form 10-K”).</w:t>
      </w:r>
    </w:p>
    <w:p>
      <w:pPr>
        <w:spacing w:after="0" w:line="18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radio frequency applications. We have a proven record with about 40 years of operating history, a portfolio of approximately 3,000 registered patents and pending applications and extensive engineering and manufacturing process expertise.</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two operation segments: our Foundry Services Group and our Standard Products Group. 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flat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and industrial applications.</w:t>
      </w:r>
    </w:p>
    <w:p>
      <w:pPr>
        <w:spacing w:after="0" w:line="19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7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17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in a period of weaker demand from our foundry customers in part as a result of softening global market conditions, including macroeconomic uncertainties. This, together with a significant drop in utilization, among other factors, materially adversely affected and may continue to materially impact our Foundry Services Group gross margin and other operating results.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Strategic Evaluation</w:t>
      </w:r>
    </w:p>
    <w:p>
      <w:pPr>
        <w:spacing w:after="0" w:line="11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On February 14, 2019, we announced that we have undertaken a strategic evaluation of our Foundry Services Group business and the fabrication facility located in Cheongju (“Fab 4”), the larger of our two 8” manufacturing facilities. Fab 4 is an analog and mixed-signal fab that produces approximately 73% of our total capacity, and is used primarily to meet wafer demand from customers of our Foundry Services Group that rely on outside suppliers. Certain customer products of our Foundry Service Group are currently manufactured in our smaller 8” fabrication facility in Gumi. We have engaged J.P. Morgan Securities LLC as our financial advisor to assist in the evaluation and we have also retained legal advisors to assist in the evaluation. It is possible that the announced strategic evaluation of our Foundry Services Group business and Fab 4 could adversely impact foundry loadings and Company margins. For the six months ended June 30, 2019, we recorded $1.9 million in legal and consulting service fees incurred in connection with the strategic evaluation and recorded such costs as restructuring and other charges in our consolidated statements of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Repurchase of Long-term Borrowings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December 2018, we repurchased a principal amount of $0.5 million and $1.6 million of the 2021 Notes and the Exchangeable Notes, respectively. As a result, we recorded a $0.2 million net loss as early extinguishment loss on our consolidated statements of operations for the year ended December 31, 2018.</w:t>
      </w:r>
    </w:p>
    <w:p>
      <w:pPr>
        <w:spacing w:after="0" w:line="18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In January and February 2019, we additionally repurchased a principal amount of $0.3 million and $0.9 million of the 2021 Notes and the Exchangeable Notes, respectively. As a result, we recorded a $0.04 million net loss as early extinguishment loss on our consolidated statements of operations for the three months ended March 31,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Water Treatment Facility Arrangement</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On June 29, 2018, we entered into an arrangement whereby we acquired a water treatment facility to support our fabrication facility in Gumi, Korea from SK hynix for $4.2 million, and sold it for $4.2 million to a third party management company that we have engaged to run the facility for a 10-year term. This arrangement is accounted for as a financing due to our Korean subsidiary’s continuing involvement with the facility. As a result, on the acquisition date, we recorded the water treatment facility of $4.2 million as property, plant and equipment, net, which is depreciated over its useful life. We also recorded the related liabilities of $0.6 million as other current liabilities and $3.6 million as other non-current liabilities, which relates to the financing and service portion of the arrangement and is amortized using the effective interest method over the contract period.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Audit</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September 2017, MagnaChip Semiconductor Ltd. (“MSK”), our Korean operating subsidiary, was notified that the Korean National Tax Service (the “KNTS”) would be examining the income- and non-income-based taxes of MSK for its 2012 to 2014 tax years. The KNTS had conducted its audit, primarily focusing on non-income-based value added tax (“VAT”) transactions associated with the periods with respect to which we previously restated our financial statements as a result of the independent investigation commenced by our Audit Committee in January 2014 (the “Restatement”).</w:t>
      </w:r>
    </w:p>
    <w:p>
      <w:pPr>
        <w:spacing w:after="0" w:line="15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a result, the aggregate tax and penalty assessment by the KNTS was $6.0 million, of which $3.3 million had already been accrued by us in our financial statements in connection with the Restatement filed in 2015. Such amount also included approximately $0.5 million related to employee withholding amounts and associated penalties, and to the extent any such tax obligation was that of MSK’s employees. In addition, KNTS assessed an administrative fine of $2.0 million in connection with the above-described tax audit.</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December 2017, the KNTS concluded that no criminal charges would be brought against any current officers or directors of MSK or MSK itself. As a result, we took a charge of $4.2 million in the fourth quarter of 2017 related to this additional tax assessment and associated penalties and administrative fine. We recorded the $0.5 million related to employee withholding amounts as other receivables in our consolidated balance sheets as of December 31, 2017, as we expected to obtain reimbursement of the applicable amounts from those employees. Of the $0.5 million, we have collected $0.1 million and established an allowance of $0.4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of April 29, 2016, 169 employees elected to resign under the terms of the Program.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65"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As of February 22, 2017, our Board of Directors approved the implementation of a headcount reduction plan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our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had already been fully accrued in our financial statements.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Restatement</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January 2014, our Audit Committee commenced an independent investigation that resulted in the Restatement.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December 10, 2015, we entered into a Memorandum of Understanding with the plaintiffs’ representatives to settle the Class Action Litigation, as defined and detailed in “Item 8. Financial Statements and Supplementary Data—Notes to Consolidated Financial Statements—Note 18. Commitments and Contingencies” in our 2018 Form 10-K,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January 22, 2016, we entered into a stipulation of settlement with the plaintiffs in the shareholder derivative actions, as described in “Item 8. Financial Statements and Supplementary Data—Notes to Consolidated Financial Statements—Note 18. Commitments and Contingencies” in our 2018 Form 10-K,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May 1, 2017, the SEC announced that it had reached a final settlement with us, resolving the SEC’s investigation, as detailed in “Item 8. Financial Statements and Supplementary Data—Notes to Consolidated Financial Statements—Note 18. Commitments and Contingencies” in our 2018 Form 10-K. In connection therewith,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three months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three months ended June 30, 2017.</w:t>
      </w:r>
    </w:p>
    <w:p>
      <w:pPr>
        <w:spacing w:after="0" w:line="179"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As a result of the Restatement, we incurred substantial external accounting, legal and other related costs associated with the Restatement and certain litigation and other regulatory investigations and actions related thereto. We recorded Restatement related costs of $10.3 million for the year ended December 31, 2017, which included tax assessment, and associated penalties of $4.3 million, primarily related to non-income-based VAT transactions in the Restatement periods, compared to $7.0 million of Restatement related costs for the year ended December 31, 2016. For the three months March 31, 2018, the reversal of a $0.8 million accrual related to certain legal fees, incurred in prior periods and reimbursed by insurers, was recorded as a Restatement related gain.</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w:t>
      </w:r>
    </w:p>
    <w:p>
      <w:pPr>
        <w:spacing w:after="0" w:line="94" w:lineRule="exact"/>
        <w:rPr>
          <w:sz w:val="20"/>
          <w:szCs w:val="20"/>
          <w:color w:val="auto"/>
        </w:rPr>
      </w:pPr>
    </w:p>
    <w:p>
      <w:pPr>
        <w:ind w:left="1180" w:right="60" w:hanging="436"/>
        <w:spacing w:after="0" w:line="287"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Our Foundry Services Group provides specialty analog and mixed-signal foundry services to fabless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semiconductor 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458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the consumer, computing, communication, industrial, automotive and IoT applications. Our Foundry Services Group business represented 35.9% and 43.3% of our net sales for the six months ended June 30, 2019 and June 30, 2018, respectively. Gross profit from our Foundry Services Group business was $15.8 million and $42.8 million for the six months ended June 30, 2019 and June 30, 2018, respectively.</w:t>
      </w:r>
    </w:p>
    <w:p>
      <w:pPr>
        <w:spacing w:after="0" w:line="78" w:lineRule="exact"/>
        <w:rPr>
          <w:rFonts w:ascii="Arial" w:cs="Arial" w:eastAsia="Arial" w:hAnsi="Arial"/>
          <w:sz w:val="16"/>
          <w:szCs w:val="16"/>
          <w:color w:val="auto"/>
        </w:rPr>
      </w:pPr>
    </w:p>
    <w:p>
      <w:pPr>
        <w:ind w:left="1180" w:hanging="436"/>
        <w:spacing w:after="0" w:line="285"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Our Standard Products Group includes our Display Solutions and Power Solutions business lines. Our Display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Our Standard Products Group, which includes our Display Solutions and Power Solutions business lines, represented 64.1% and 56.7% of our net sales for the six months ended June 30, 2019 and June 30, 2018, respectively. Gross profit from our Standard Products Group was $50.6 million and $55.7 million for the six months ended June 30, 2019 and June 30, 2018, respectively.</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 and Adjusted Net Income (Loss)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use the terms Adjusted EBITDA and Adjusted Net Income (Loss) throughout this Report. Adjusted EBITDA, as we define it, is a non-US GAAP measure. We define Adjusted EBITDA for the periods indicated as EBITDA (as defined below), adjusted to exclude (i) restructuring and other charges, (ii) equity-based compensation expense, (iii) foreign currency loss, net, (iv) derivative valuation loss, net, (v) restatement related gain,</w:t>
      </w:r>
    </w:p>
    <w:p>
      <w:pPr>
        <w:ind w:left="200" w:right="100" w:firstLine="4"/>
        <w:spacing w:after="0" w:line="261" w:lineRule="auto"/>
        <w:tabs>
          <w:tab w:leader="none" w:pos="505"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on early extinguishment of long-term borrowings, net and (vii) others. EBITDA for the periods indicated is defined as net income (loss) before interest expense, net, income tax expense, and depreciation and amortization.</w:t>
      </w:r>
    </w:p>
    <w:p>
      <w:pPr>
        <w:spacing w:after="0" w:line="18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1180" w:right="220" w:hanging="436"/>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6" w:lineRule="exact"/>
        <w:rPr>
          <w:rFonts w:ascii="Arial" w:cs="Arial" w:eastAsia="Arial" w:hAnsi="Arial"/>
          <w:sz w:val="18"/>
          <w:szCs w:val="18"/>
          <w:color w:val="auto"/>
        </w:rPr>
      </w:pPr>
    </w:p>
    <w:p>
      <w:pPr>
        <w:ind w:left="1180" w:right="400" w:hanging="436"/>
        <w:spacing w:after="0" w:line="286"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70" w:lineRule="exact"/>
        <w:rPr>
          <w:rFonts w:ascii="Arial" w:cs="Arial" w:eastAsia="Arial" w:hAnsi="Arial"/>
          <w:sz w:val="17"/>
          <w:szCs w:val="17"/>
          <w:color w:val="auto"/>
        </w:rPr>
      </w:pPr>
    </w:p>
    <w:p>
      <w:pPr>
        <w:ind w:left="1180" w:right="220" w:hanging="436"/>
        <w:spacing w:after="0" w:line="308"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46"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6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w w:val="93"/>
              </w:rPr>
              <w:t>Three Months</w:t>
            </w:r>
          </w:p>
        </w:tc>
        <w:tc>
          <w:tcPr>
            <w:tcW w:w="120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w:t>
            </w: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Adjustments: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charges(a)</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Equity-based compensation expense(b)</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net(c)</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Derivative valuation loss, net(d)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gain(e)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w w:val="94"/>
              </w:rPr>
              <w:t>Loss on early extinguishment of long-term borrowings, net(f)</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Others(g)</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20" w:type="dxa"/>
            <w:vAlign w:val="bottom"/>
            <w:vMerge w:val="restart"/>
          </w:tcPr>
          <w:p>
            <w:pPr>
              <w:jc w:val="right"/>
              <w:ind w:right="17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6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three months ended June 30, 2019, this adjustment eliminates $1.1 million in legal and consulting service fees incurred in connection with our strategic evaluation. For the six months ended June 30, 2019, this adjustment eliminates the impact of a $2.2 million restructuring related charge to our fab employees and $1.9 million in legal and consulting service fees incurred in connection with our strategic evaluation. As these expenses meaningfully impacted our operating results and are not expected to represent an ongoing operating expense to us, we believe our operating performance results are more usefully compared if these expenses are excluded.</w:t>
      </w:r>
    </w:p>
    <w:p>
      <w:pPr>
        <w:spacing w:after="0" w:line="3"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120" w:hanging="436"/>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 w:lineRule="exact"/>
        <w:rPr>
          <w:rFonts w:ascii="Arial" w:cs="Arial" w:eastAsia="Arial" w:hAnsi="Arial"/>
          <w:sz w:val="17"/>
          <w:szCs w:val="17"/>
          <w:color w:val="auto"/>
        </w:rPr>
      </w:pPr>
    </w:p>
    <w:p>
      <w:pPr>
        <w:ind w:left="640" w:right="10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For the three and six months ended June 30, 2019, this adjustment represents derivatives value changes excluded from the risk being hedged. For the three and six months ended June 30, 2018, this adjustment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8"/>
          <w:szCs w:val="18"/>
          <w:color w:val="auto"/>
        </w:rPr>
      </w:pPr>
    </w:p>
    <w:p>
      <w:pPr>
        <w:ind w:left="640" w:right="220" w:hanging="436"/>
        <w:spacing w:after="0" w:line="28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six months ended June 30, 2018, this adjustment eliminates the reversal of a $0.8 million accrual related to certain legal fees incurred in prior periods and reimbursed by insurers.</w:t>
      </w:r>
    </w:p>
    <w:p>
      <w:pPr>
        <w:spacing w:after="0" w:line="2" w:lineRule="exact"/>
        <w:rPr>
          <w:rFonts w:ascii="Arial" w:cs="Arial" w:eastAsia="Arial" w:hAnsi="Arial"/>
          <w:sz w:val="16"/>
          <w:szCs w:val="16"/>
          <w:color w:val="auto"/>
        </w:rPr>
      </w:pPr>
    </w:p>
    <w:p>
      <w:pPr>
        <w:ind w:left="640" w:right="30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six months ended June 30, 2019, this adjustment eliminates $0.04 million in expenses related to the repurchase of a portion of the 2021 Notes and the Exchangeable Notes in the first quarter of 2019.</w:t>
      </w:r>
    </w:p>
    <w:p>
      <w:pPr>
        <w:ind w:left="640" w:right="60" w:hanging="436"/>
        <w:spacing w:after="0" w:line="302"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six months ended June 30, 2019, this adjustment eliminates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47" w:lineRule="exact"/>
        <w:rPr>
          <w:rFonts w:ascii="Arial" w:cs="Arial" w:eastAsia="Arial" w:hAnsi="Arial"/>
          <w:sz w:val="16"/>
          <w:szCs w:val="16"/>
          <w:color w:val="auto"/>
        </w:rPr>
      </w:pPr>
    </w:p>
    <w:p>
      <w:pPr>
        <w:ind w:left="640" w:right="160"/>
        <w:spacing w:after="0" w:line="277" w:lineRule="auto"/>
        <w:rPr>
          <w:rFonts w:ascii="Arial" w:cs="Arial" w:eastAsia="Arial" w:hAnsi="Arial"/>
          <w:sz w:val="16"/>
          <w:szCs w:val="16"/>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1180" w:hanging="436"/>
        <w:spacing w:after="0"/>
        <w:tabs>
          <w:tab w:leader="none" w:pos="11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280" w:hanging="436"/>
        <w:spacing w:after="0" w:line="277"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9"/>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present Adjusted Net Income (Loss) as a further supplemental measure of our performance. 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present Adjusted Net Income (Loss) for a number of reasons, including:</w:t>
      </w:r>
    </w:p>
    <w:p>
      <w:pPr>
        <w:spacing w:after="0" w:line="94" w:lineRule="exact"/>
        <w:rPr>
          <w:sz w:val="20"/>
          <w:szCs w:val="20"/>
          <w:color w:val="auto"/>
        </w:rPr>
      </w:pPr>
    </w:p>
    <w:p>
      <w:pPr>
        <w:ind w:left="1180" w:right="20" w:hanging="436"/>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 Adjusted Net Income (Loss)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6"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reporting Adjusted Net Income (Loss)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1" w:lineRule="exact"/>
        <w:rPr>
          <w:sz w:val="20"/>
          <w:szCs w:val="20"/>
          <w:color w:val="auto"/>
        </w:rPr>
      </w:pPr>
    </w:p>
    <w:p>
      <w:pPr>
        <w:ind w:left="200" w:right="80" w:firstLine="441"/>
        <w:spacing w:after="0" w:line="284" w:lineRule="auto"/>
        <w:rPr>
          <w:sz w:val="20"/>
          <w:szCs w:val="20"/>
          <w:color w:val="auto"/>
        </w:rPr>
      </w:pPr>
      <w:r>
        <w:rPr>
          <w:rFonts w:ascii="Arial" w:cs="Arial" w:eastAsia="Arial" w:hAnsi="Arial"/>
          <w:sz w:val="16"/>
          <w:szCs w:val="16"/>
          <w:color w:val="auto"/>
        </w:rPr>
        <w:t>Adjusted Net Income (Loss)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(Loss) differently than we do, limiting its usefulness as a comparative measure. In addition, in evaluating Adjusted Net Income (Loss), you should be aware that in the future we may incur expenses similar to the adjustments in this presentation. We define Adjusted Net Income (Loss) for the periods indicated as net income (loss), adjusted to exclude (i) restructuring and other charges, (ii) equity-based compensation expense, (iii) foreign currency loss, net,</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(iv) derivative valuation loss, net, (v) restatement related gain, (vi) loss on early extinguishment of long-term borrowings, net and (vii) others.</w:t>
      </w:r>
    </w:p>
    <w:p>
      <w:pPr>
        <w:spacing w:after="0" w:line="222"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(Loss) for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w:t>
            </w:r>
          </w:p>
        </w:tc>
        <w:tc>
          <w:tcPr>
            <w:tcW w:w="1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w:t>
            </w: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Equity-based compensation expense(b)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net(c)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Derivative valuation loss, net(d)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gain(e)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Adjusted Net Income (loss)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80" w:hanging="436"/>
        <w:spacing w:after="0" w:line="26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three months ended June 30, 2019, this adjustment eliminates $1.1 million in legal and consulting service fees incurred in connection with our strategic evaluation. For the six months ended June 30, 2019, this adjustment eliminates the impact of a $2.2 million restructuring related charge to our fab employees and $1.9 million in legal and consulting service fees incurred in connection with our strategic evaluation. As these expenses meaningfully impacted our operating results and are not expected to represent an ongoing operating expense to us, we believe our operating performance results are more usefully compared if these expenses are excluded.</w:t>
      </w:r>
    </w:p>
    <w:p>
      <w:pPr>
        <w:spacing w:after="0" w:line="3"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120" w:hanging="436"/>
        <w:spacing w:after="0" w:line="270"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hanging="436"/>
        <w:spacing w:after="0" w:line="253"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For the three and six months ended June 30, 2019, this adjustment represents derivatives value changes excluded from the risk being hedged. For the three and six months ended June 30, 2018, this adjustment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8"/>
          <w:szCs w:val="18"/>
          <w:color w:val="auto"/>
        </w:rPr>
      </w:pPr>
    </w:p>
    <w:p>
      <w:pPr>
        <w:ind w:left="640" w:right="180" w:hanging="436"/>
        <w:spacing w:after="0" w:line="28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six months ended June 30, 2018, this adjustment eliminates the reversal of a $0.8 million accrual related to certain legal fees incurred in prior periods and reimbursed by insurers.</w:t>
      </w:r>
    </w:p>
    <w:p>
      <w:pPr>
        <w:spacing w:after="0" w:line="2" w:lineRule="exact"/>
        <w:rPr>
          <w:rFonts w:ascii="Arial" w:cs="Arial" w:eastAsia="Arial" w:hAnsi="Arial"/>
          <w:sz w:val="16"/>
          <w:szCs w:val="16"/>
          <w:color w:val="auto"/>
        </w:rPr>
      </w:pPr>
    </w:p>
    <w:p>
      <w:pPr>
        <w:ind w:left="640" w:right="2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six months ended June 30, 2019, this adjustment eliminates $0.04 million in expenses related to the repurchase of a portion of the 2021 Notes and the Exchangeable Notes in the first quarter of 2019.</w:t>
      </w:r>
    </w:p>
    <w:p>
      <w:pPr>
        <w:ind w:left="640" w:right="20" w:hanging="436"/>
        <w:spacing w:after="0" w:line="30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six months ended June 30, 2019, this adjustment eliminates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47" w:lineRule="exact"/>
        <w:rPr>
          <w:rFonts w:ascii="Arial" w:cs="Arial" w:eastAsia="Arial" w:hAnsi="Arial"/>
          <w:sz w:val="16"/>
          <w:szCs w:val="16"/>
          <w:color w:val="auto"/>
        </w:rPr>
      </w:pPr>
    </w:p>
    <w:p>
      <w:pPr>
        <w:ind w:left="640"/>
        <w:spacing w:after="0" w:line="286" w:lineRule="auto"/>
        <w:rPr>
          <w:rFonts w:ascii="Arial" w:cs="Arial" w:eastAsia="Arial" w:hAnsi="Arial"/>
          <w:sz w:val="16"/>
          <w:szCs w:val="16"/>
          <w:color w:val="auto"/>
        </w:rPr>
      </w:pPr>
      <w:r>
        <w:rPr>
          <w:rFonts w:ascii="Arial" w:cs="Arial" w:eastAsia="Arial" w:hAnsi="Arial"/>
          <w:sz w:val="17"/>
          <w:szCs w:val="17"/>
          <w:color w:val="auto"/>
        </w:rPr>
        <w:t>There was no tax impact from the adjustments to net loss to calculate our Adjusted Net Income (Loss) for the six months ended June 30, 2019 and 2018 due to net operating loss carry-forwards available to offset taxable income and full allowance for deferred tax assets. We believe that all adjustments to net loss used to calculate Adjusted Net Income (Loss) were applied consistently to the periods presented.</w:t>
      </w:r>
    </w:p>
    <w:p>
      <w:pPr>
        <w:spacing w:after="0" w:line="57" w:lineRule="exact"/>
        <w:rPr>
          <w:rFonts w:ascii="Arial" w:cs="Arial" w:eastAsia="Arial" w:hAnsi="Arial"/>
          <w:sz w:val="16"/>
          <w:szCs w:val="16"/>
          <w:color w:val="auto"/>
        </w:rPr>
      </w:pPr>
    </w:p>
    <w:p>
      <w:pPr>
        <w:ind w:left="640" w:right="140"/>
        <w:spacing w:after="0" w:line="277" w:lineRule="auto"/>
        <w:rPr>
          <w:rFonts w:ascii="Arial" w:cs="Arial" w:eastAsia="Arial" w:hAnsi="Arial"/>
          <w:sz w:val="16"/>
          <w:szCs w:val="16"/>
          <w:color w:val="auto"/>
        </w:rPr>
      </w:pPr>
      <w:r>
        <w:rPr>
          <w:rFonts w:ascii="Arial" w:cs="Arial" w:eastAsia="Arial" w:hAnsi="Arial"/>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1180" w:hanging="436"/>
        <w:spacing w:after="0"/>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Net Income (Loss)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Net Income (Loss)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Adjusted Net Income (Loss)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(Loss) differently than we do, limiting its usefulness as a comparative measure.</w:t>
      </w:r>
    </w:p>
    <w:p>
      <w:pPr>
        <w:spacing w:after="0" w:line="62" w:lineRule="exact"/>
        <w:rPr>
          <w:sz w:val="20"/>
          <w:szCs w:val="20"/>
          <w:color w:val="auto"/>
        </w:rPr>
      </w:pPr>
    </w:p>
    <w:p>
      <w:pPr>
        <w:ind w:left="640" w:right="120"/>
        <w:spacing w:after="0" w:line="308" w:lineRule="auto"/>
        <w:rPr>
          <w:sz w:val="20"/>
          <w:szCs w:val="20"/>
          <w:color w:val="auto"/>
        </w:rPr>
      </w:pPr>
      <w:r>
        <w:rPr>
          <w:rFonts w:ascii="Arial" w:cs="Arial" w:eastAsia="Arial" w:hAnsi="Arial"/>
          <w:sz w:val="17"/>
          <w:szCs w:val="17"/>
          <w:color w:val="auto"/>
        </w:rPr>
        <w:t>Because of these limitations, Adjusted Net Income (Loss) should not be considered as a measure of profitability of our business. We compensate for these limitations by relying primarily on our US GAAP results and using Adjusted Net Income (Loss) only supplementally.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Foundry Services Group and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 Our net sales from All other consist principally of the disposal of scrap materials.</w:t>
      </w:r>
    </w:p>
    <w:p>
      <w:pPr>
        <w:spacing w:after="0" w:line="193"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Prior to the adoption of the new revenue standard effective on January 1, 2018, we had historically recognized revenue when risk and reward of ownership pass to the customer either upon shipment, upon product delivery at the customer’s location or upon customer acceptance, depending on the terms of the arrangement. After the adoption of the new revenue standard effective on January 1, 2018, we recognize revenue over time for those foundry products without alternative use where we have an enforceable right to payment for the related foundry services completed to date. For the six months ended June 30, 2019 and 2018, we sold products to 298 and 306 customers, respectively, and our net sales to our ten largest customers represented 68% and 63% of our net sales, respectively. We have a combined production capacity of approximately 113,000 semiconductor wafers per month. We believe our large-scale, cost-effective fabrication facilities enable us to rapidly adjust our production levels to meet shifts in demand by our end customers.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June 30, 2019, approximately 98% of our employees were eligible for severance benefits.</w:t>
      </w:r>
    </w:p>
    <w:p>
      <w:pPr>
        <w:spacing w:after="0" w:line="16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The rapid technological change and product obsolescence that characterize our industry require us to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Foundry Services Group are for process development that serves as a common technology platform for all of our product lines. For our Standard Products Group, the majority of research and development expenses are material-related costs for OLED display driver IC product development involving fine processes.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our Exchangeable Notes.</w:t>
      </w:r>
    </w:p>
    <w:p>
      <w:pPr>
        <w:spacing w:after="0" w:line="225"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b w:val="1"/>
          <w:bCs w:val="1"/>
          <w:i w:val="1"/>
          <w:iCs w:val="1"/>
          <w:color w:val="auto"/>
        </w:rPr>
        <w:t xml:space="preserve">Impact of Foreign Currency Exchange Rates on Reported Results of Operations. </w:t>
      </w:r>
      <w:r>
        <w:rPr>
          <w:rFonts w:ascii="Arial" w:cs="Arial" w:eastAsia="Arial" w:hAnsi="Arial"/>
          <w:sz w:val="16"/>
          <w:szCs w:val="16"/>
          <w:color w:val="auto"/>
        </w:rPr>
        <w:t>Historically, a portion of our revenues and greater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6" w:lineRule="auto"/>
        <w:rPr>
          <w:sz w:val="20"/>
          <w:szCs w:val="20"/>
          <w:color w:val="auto"/>
        </w:rPr>
      </w:pPr>
      <w:r>
        <w:rPr>
          <w:rFonts w:ascii="Arial" w:cs="Arial" w:eastAsia="Arial" w:hAnsi="Arial"/>
          <w:sz w:val="17"/>
          <w:szCs w:val="17"/>
          <w:color w:val="auto"/>
        </w:rPr>
        <w:t>translation gain or loss is associated with the intercompany long-term loans to our Korean subsidiary, which is denominated in US dollars. As of June 30, 2019, the outstanding intercompany loan balance including accrued interest between our Korean subsidiary and our Dutch subsidiary was $672.7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a counterparty in a number of circumstances, including if our long-term debt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67"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4"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87"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Three Months Ended June 30, 2019 and Three Months Ended June 30,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consolidated results of operations for the three months ended June 30, 2019 and the three months ended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0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68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2"/>
              <w:spacing w:after="0" w:line="119"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jc w:val="center"/>
              <w:ind w:right="1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$ 205.1</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$ 199.7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2300" w:type="dxa"/>
            <w:vAlign w:val="bottom"/>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145.8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8.3</w:t>
            </w: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17.0</w:t>
            </w: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2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color w:val="auto"/>
              </w:rPr>
              <w:t>(2.8)</w:t>
            </w:r>
          </w:p>
        </w:tc>
        <w:tc>
          <w:tcPr>
            <w:tcW w:w="18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(5.7)</w:t>
            </w:r>
          </w:p>
        </w:tc>
        <w:tc>
          <w:tcPr>
            <w:tcW w:w="860" w:type="dxa"/>
            <w:vAlign w:val="bottom"/>
            <w:gridSpan w:val="3"/>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2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(27.4)</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Others, net</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(33.9)</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 expense</w:t>
            </w:r>
          </w:p>
        </w:tc>
        <w:tc>
          <w:tcPr>
            <w:tcW w:w="2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color w:val="auto"/>
              </w:rPr>
              <w:t>(4.2)</w:t>
            </w:r>
          </w:p>
        </w:tc>
        <w:tc>
          <w:tcPr>
            <w:tcW w:w="18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(8.7)</w:t>
            </w:r>
          </w:p>
        </w:tc>
        <w:tc>
          <w:tcPr>
            <w:tcW w:w="860" w:type="dxa"/>
            <w:vAlign w:val="bottom"/>
            <w:gridSpan w:val="3"/>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9"/>
              </w:rPr>
              <w:t>(20.0)</w:t>
            </w:r>
          </w:p>
        </w:tc>
        <w:tc>
          <w:tcPr>
            <w:tcW w:w="26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(9.5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8"/>
              </w:rPr>
              <w:t>$ (21.5</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8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68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Net Sales</w:t>
            </w:r>
          </w:p>
        </w:tc>
        <w:tc>
          <w:tcPr>
            <w:tcW w:w="2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500" w:type="dxa"/>
            <w:vAlign w:val="bottom"/>
            <w:gridSpan w:val="3"/>
          </w:tcPr>
          <w:p>
            <w:pPr>
              <w:ind w:left="24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35.6%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40.5%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132.0</w:t>
            </w:r>
          </w:p>
        </w:tc>
        <w:tc>
          <w:tcPr>
            <w:tcW w:w="24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118.7</w:t>
            </w:r>
          </w:p>
        </w:tc>
        <w:tc>
          <w:tcPr>
            <w:tcW w:w="26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2420" w:type="dxa"/>
            <w:vAlign w:val="bottom"/>
            <w:gridSpan w:val="2"/>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3"/>
              </w:rPr>
              <w:t>$ 205.1</w:t>
            </w:r>
          </w:p>
        </w:tc>
        <w:tc>
          <w:tcPr>
            <w:tcW w:w="2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$ 199.7</w:t>
            </w:r>
          </w:p>
        </w:tc>
        <w:tc>
          <w:tcPr>
            <w:tcW w:w="26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68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Net Sales</w:t>
            </w:r>
          </w:p>
        </w:tc>
        <w:tc>
          <w:tcPr>
            <w:tcW w:w="2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500" w:type="dxa"/>
            <w:vAlign w:val="bottom"/>
            <w:gridSpan w:val="3"/>
          </w:tcPr>
          <w:p>
            <w:pPr>
              <w:ind w:left="24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16.7%</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27.4%</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50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00" w:type="dxa"/>
            <w:vAlign w:val="bottom"/>
            <w:vMerge w:val="restart"/>
          </w:tcPr>
          <w:p>
            <w:pPr>
              <w:jc w:val="right"/>
              <w:ind w:right="9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Net sales were $205.1 million for the three months ended June 30, 2019, a $5.5 million, or 2.7%, increase compared to $199.7 million for the three months ended June 30, 2018. This increase was primarily attributable to an increase in revenue from our Standard Products Group, which was offset in part by a decrease in revenue from our Foundry Services Group as described below.</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Net sales from our Foundry Services Group segment were $73.1 million for the three months ended June 30, 2019,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$7.8 million, or 9.7%, decrease compared to $80.9 million for the three months ended June 30, 2018. The decrease was primarily attributable to weaker demand from our foundry customers as a result of softening global market conditions, including macroeconomic uncertainties, and us being more selective about new business as a result of our strategic evaluation of our Foundry Services Group business and Fab 4. This decrease was offset in part by an increase in sales of certain communication-related products from global power management IC foundry customers and higher sales of certain gate driver ICs for a foundry customer serving the global computing sector.</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Net sales from our Standard Products Group segment were $132.0 million for the three months ended June 30, 2019,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$13.2 million, or 11.2%, increase compared to $118.7 million for the three months ended June 30, 2018. This increase was primarily attributable to an increase in revenue related to our mobile OLED display driver ICs due to the introduction of new OLED smartphones by Chinese and Korean manufacturers and higher demand for premium power products such as high-end MOSFETs and IGBTs primarily for TV and industrial applications. This increase was offset in part by a strategic reduction of our lower margin LCD business.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Total gross profit was $43.8 million for the three months ended June 30, 2019 compared to $53.9 million for the three months ended June 30, 2018, representing a $10.0 million, or 18.6%, decrease. Gross profit as a percentage of net sales for the three months ended June 30, 2019 decreased to 21.4% compared to 27.0% for the three months ended June 30, 2018. The decrease in gross profit and gross profit as a percentage of net sales was due in part to a significant drop in the utilization rate that primarily affected our Foundry Services Group as further described below.</w:t>
      </w:r>
    </w:p>
    <w:p>
      <w:pPr>
        <w:spacing w:after="0" w:line="154"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Gross profit from our Foundry Services Group segment was $12.2 million for the three months ended June 30, 2019,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 million, or 45.1%, decrease compared to $22.2 million for the three months ended June 30, 2018. Gross profit as a percentage of net sales for the three months ended June 30, 2019 decreased to 16.7% compared to 27.4% for the three months ended June 30, 2018. The decrease in both gross profit and gross profit margin was primarily attributable to an unfavorable product mix and a significant drop in the utilization rate, which was affected in part by a softening of global market conditions, including macroeconomic uncertainties, and by being more selective about new business as a result of the strategic evaluation of our Foundry Services Group business and Fab 4.</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Gross profit from our Standard Products Group segment was $31.6 million for the three months ended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remained flat, compared to $31.6 million for the three months ended June 30, 2018. Gross profit as a percentage of net sales for the three months ended June 30, 2019 decreased to 23.9% compared to 26.6% for the three months ended June 30, 2018. The decrease in gross profit margin was primarily attributable to an inventory reserve related to a legacy display product. This decrease was offset in part by a better product mix from an increase in sales of our mobile OLED display driver ICs and premium power products such as high-end MOSFETs and IGBTs primarily for TV and industrial applications.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June 30, 2019 and the three months ended June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Net Sales</w:t>
            </w: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119.7</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205.1</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199.7</w:t>
            </w:r>
          </w:p>
        </w:tc>
        <w:tc>
          <w:tcPr>
            <w:tcW w:w="26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Net sales in Korea for the three months ended June 30, 2019 increased from $58.1 million to $62.9 million compared to the three months ended June 30, 2018, or by $4.8 million, or 8.3%, primarily due to higher sales of certain gate driver ICs for a foundry customer serving the global computing sector and increased sales of our premium power products, which was offset in part by a strategic reduction of lower margin LCD business.</w:t>
      </w:r>
    </w:p>
    <w:p>
      <w:pPr>
        <w:spacing w:after="0" w:line="14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Net sales in Asia Pacific (other than Korea) for the three months ended June 30, 2019 was $120.1 million, which remained almost flat compared to $119.7 million for the three months ended June 30, 2018. This was due primarily to an increase in revenue related to mobile OLED display driver ICs in connection with the introduction of new OLED smartphones by Chinese and Korean manufacturers, which was nearly offset by weaker demand from our foundry customers in part as a result of softening global market conditions, including macroeconomic uncertainties, and being more selective about new business as a result of the strategic evaluation of our Foundry Services Group business and Fab 4.</w:t>
      </w:r>
    </w:p>
    <w:p>
      <w:pPr>
        <w:spacing w:after="0" w:line="17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Net sales in the United States for the three months ended June 30, 2019 decreased from $13.6 million to $7.2 million compared to the three months ended June 30, 2018, or by $6.4 million, or 46.8%, primarily due to a decrease in sales of certain products from a global power management IC foundry customer.</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Net sales in Europe for the three months ended June 30, 2019 increased from $7.6 million to $14.6 million compared to the three months ended June 30, 2018, or by $7.0 million, or 91.6%, primarily due to an increase in sales of certain charger related products in the communications industry. The increase was also attributable to an increase in sales of sensor-related ICs for automotive.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$17.0 million, or 8.3% of net sales, for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three months ended June 30, 2019, compared to $18.9 million, or 9.5% of net sales, for the three months ended June 30, 2018. The decrease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 million, or 10.4%, was primarily attributable to a decrease in certain employee incentives, equity-based compensation and legal and consulting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service fees.</w:t>
      </w:r>
    </w:p>
    <w:p>
      <w:pPr>
        <w:spacing w:after="0" w:line="211"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were $19.0 million, or 9.3% of net sales,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2019, compared to $21.0 million, or 10.5% of net sales, for the three months ended June 30, 2018. The decrease of $2.0 million, or 9.6%, was primarily attributable to a decrease in certain employee incentives, and a decrease in outside service fees and various overhead expenses.</w:t>
      </w:r>
    </w:p>
    <w:p>
      <w:pPr>
        <w:spacing w:after="0" w:line="14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b w:val="1"/>
          <w:bCs w:val="1"/>
          <w:i w:val="1"/>
          <w:iCs w:val="1"/>
          <w:color w:val="auto"/>
        </w:rPr>
        <w:t xml:space="preserve">Restructuring and Other Charges. </w:t>
      </w:r>
      <w:r>
        <w:rPr>
          <w:rFonts w:ascii="Arial" w:cs="Arial" w:eastAsia="Arial" w:hAnsi="Arial"/>
          <w:sz w:val="16"/>
          <w:szCs w:val="16"/>
          <w:color w:val="auto"/>
        </w:rPr>
        <w:t>Restructuring and other charges were $1.1 million for the three months ended June 30, 2019, which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resulted from legal and consulting service fees incurred in connection with the strategic evaluation of our Foundry Services Group business and Fab 4.</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As a result of the foregoing, an operating income of $6.7 million was recorded for the three months ended June 30, 2019 compared to an operating income of $13.9 million for the three months ended June 30, 2018. As discussed above, the decrease in operating income of $7.2 million resulted primarily from a $10.0 million decrease in gross profit and a $1.1 million increase in restructuring and other charges, which was partially offset by a $2.0 million decrease in selling, general and administrative expenses and a $2.0 million decrease in research and development expenses.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were $5.7 million and $5.5 million for the three months ended June 30, 2019 and June 30, 2018, respectively.</w:t>
      </w:r>
    </w:p>
    <w:p>
      <w:pPr>
        <w:spacing w:after="0" w:line="24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three months ended June 30, 2019 was $10.4 million compared to net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loss of $27.4 million for the three months ended June 30, 2018, which was due to the depreciation in value of the Korean won relative to the US dollar during the period.</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380"/>
        <w:spacing w:after="0" w:line="273" w:lineRule="auto"/>
        <w:rPr>
          <w:sz w:val="20"/>
          <w:szCs w:val="20"/>
          <w:color w:val="auto"/>
        </w:rPr>
      </w:pPr>
      <w:r>
        <w:rPr>
          <w:rFonts w:ascii="Arial" w:cs="Arial" w:eastAsia="Arial" w:hAnsi="Arial"/>
          <w:sz w:val="17"/>
          <w:szCs w:val="17"/>
          <w:color w:val="auto"/>
        </w:rPr>
        <w:t>US dollar. As of June 30, 2019 and June 30, 2018, the outstanding intercompany loan balances, including accrued interests between our Korean subsidiary and our Dutch subsidiary were $673 million and $685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7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Others, Net. </w:t>
      </w:r>
      <w:r>
        <w:rPr>
          <w:rFonts w:ascii="Arial" w:cs="Arial" w:eastAsia="Arial" w:hAnsi="Arial"/>
          <w:sz w:val="18"/>
          <w:szCs w:val="18"/>
          <w:color w:val="auto"/>
        </w:rPr>
        <w:t>Others, Net were comprised of rental income, interest income, and gains and losses from valuation of derivatives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as hedging instruments. Others, Net for the three months ended June 30, 2019 and the three months ended June 30, 2018 were $0.7 million and negative $1.0 million,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Income tax expense was $0.8 million and $1.5 million for the three months ended June 30, 2019 and for the three months ended June 30, 2018, respectively. Income tax expense was recorded for our Korean subsidiary based on the estimated taxable income for the respective periods, combined with its ability to utilize net operating loss carryforwards up to 70% in 2018 and 60% in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right="700" w:firstLine="441"/>
        <w:spacing w:after="0" w:line="312" w:lineRule="auto"/>
        <w:rPr>
          <w:sz w:val="20"/>
          <w:szCs w:val="20"/>
          <w:color w:val="auto"/>
        </w:rPr>
      </w:pPr>
      <w:r>
        <w:rPr>
          <w:rFonts w:ascii="Arial" w:cs="Arial" w:eastAsia="Arial" w:hAnsi="Arial"/>
          <w:sz w:val="16"/>
          <w:szCs w:val="16"/>
          <w:color w:val="auto"/>
        </w:rPr>
        <w:t>As a result of the foregoing, a net loss of $9.5 million was recorded for the three months ended June 30, 2019 compared to a net loss of $21.5 million for the three months ended June 30, 2018. As discussed above, the decrease in net loss of $12.0 million primarily resulted from a $17.0 million decrease in net foreign currency loss, which was offset in part by a $7.2 million decrease in operating income.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Six Months Ended June 30, 2019 and Six Months Ended June 30,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consolidated results of operations for the six months ended June 30, 2019 and the six months ended June 30, 2018:</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5"/>
          </w:tcPr>
          <w:p>
            <w:pPr>
              <w:jc w:val="right"/>
              <w:ind w:right="108"/>
              <w:spacing w:after="0"/>
              <w:rPr>
                <w:sz w:val="20"/>
                <w:szCs w:val="20"/>
                <w:color w:val="auto"/>
              </w:rPr>
            </w:pPr>
            <w:r>
              <w:rPr>
                <w:rFonts w:ascii="Arial" w:cs="Arial" w:eastAsia="Arial" w:hAnsi="Arial"/>
                <w:sz w:val="14"/>
                <w:szCs w:val="14"/>
                <w:b w:val="1"/>
                <w:bCs w:val="1"/>
                <w:color w:val="auto"/>
                <w:w w:val="97"/>
              </w:rPr>
              <w:t>Six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Six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4"/>
              </w:rPr>
              <w:t>June 30, 2019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Net Sales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Sales</w:t>
            </w:r>
          </w:p>
        </w:tc>
        <w:tc>
          <w:tcPr>
            <w:tcW w:w="7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$ 362.5</w:t>
            </w:r>
          </w:p>
        </w:tc>
        <w:tc>
          <w:tcPr>
            <w:tcW w:w="1000" w:type="dxa"/>
            <w:vAlign w:val="bottom"/>
            <w:tcBorders>
              <w:lef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$ 365.5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66.5</w:t>
            </w:r>
          </w:p>
        </w:tc>
        <w:tc>
          <w:tcPr>
            <w:tcW w:w="8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(31.9)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w:t>
            </w: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35.0</w:t>
            </w:r>
          </w:p>
        </w:tc>
        <w:tc>
          <w:tcPr>
            <w:tcW w:w="80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39.0</w:t>
            </w:r>
          </w:p>
        </w:tc>
        <w:tc>
          <w:tcPr>
            <w:tcW w:w="8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(32.8)</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8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(11.0)</w:t>
            </w:r>
          </w:p>
        </w:tc>
        <w:tc>
          <w:tcPr>
            <w:tcW w:w="8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7"/>
              </w:rPr>
              <w:t>(0.0)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8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(37.5)</w:t>
            </w:r>
          </w:p>
        </w:tc>
        <w:tc>
          <w:tcPr>
            <w:tcW w:w="8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(43.6)</w:t>
            </w:r>
          </w:p>
        </w:tc>
        <w:tc>
          <w:tcPr>
            <w:tcW w:w="8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(18.7)</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4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tcPr>
          <w:p>
            <w:pPr>
              <w:jc w:val="center"/>
              <w:ind w:right="408"/>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5"/>
              </w:rPr>
              <w:t>Six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3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8"/>
              </w:rPr>
              <w:t>June 30, 2018</w:t>
            </w:r>
          </w:p>
        </w:tc>
        <w:tc>
          <w:tcPr>
            <w:tcW w:w="3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540" w:type="dxa"/>
            <w:vAlign w:val="bottom"/>
            <w:gridSpan w:val="4"/>
            <w:vMerge w:val="restart"/>
          </w:tcPr>
          <w:p>
            <w:pPr>
              <w:ind w:left="202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gridSpan w:val="2"/>
          </w:tcPr>
          <w:p>
            <w:pPr>
              <w:spacing w:after="0"/>
              <w:rPr>
                <w:sz w:val="10"/>
                <w:szCs w:val="10"/>
                <w:color w:val="auto"/>
              </w:rPr>
            </w:pPr>
          </w:p>
        </w:tc>
        <w:tc>
          <w:tcPr>
            <w:tcW w:w="8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12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88"/>
              </w:rPr>
              <w:t>Net Sales</w:t>
            </w:r>
          </w:p>
        </w:tc>
        <w:tc>
          <w:tcPr>
            <w:tcW w:w="860" w:type="dxa"/>
            <w:vAlign w:val="bottom"/>
            <w:gridSpan w:val="6"/>
            <w:vMerge w:val="continue"/>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Net Sales</w:t>
            </w:r>
          </w:p>
        </w:tc>
        <w:tc>
          <w:tcPr>
            <w:tcW w:w="7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540" w:type="dxa"/>
            <w:vAlign w:val="bottom"/>
            <w:gridSpan w:val="4"/>
          </w:tcPr>
          <w:p>
            <w:pPr>
              <w:jc w:val="right"/>
              <w:spacing w:after="0"/>
              <w:rPr>
                <w:sz w:val="20"/>
                <w:szCs w:val="20"/>
                <w:color w:val="auto"/>
              </w:rPr>
            </w:pPr>
            <w:r>
              <w:rPr>
                <w:rFonts w:ascii="Arial" w:cs="Arial" w:eastAsia="Arial" w:hAnsi="Arial"/>
                <w:sz w:val="18"/>
                <w:szCs w:val="18"/>
                <w:color w:val="auto"/>
              </w:rPr>
              <w:t>$ 130.2</w:t>
            </w:r>
          </w:p>
        </w:tc>
        <w:tc>
          <w:tcPr>
            <w:tcW w:w="3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86"/>
              </w:rPr>
              <w:t>$ 158.3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43.3%</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142.5</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128.4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3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232.2</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207.1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20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362.5</w:t>
            </w:r>
          </w:p>
        </w:tc>
        <w:tc>
          <w:tcPr>
            <w:tcW w:w="3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tcPr>
          <w:p>
            <w:pPr>
              <w:jc w:val="center"/>
              <w:ind w:right="408"/>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5"/>
              </w:rPr>
              <w:t>Six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3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8"/>
              </w:rPr>
              <w:t>June 30, 2018</w:t>
            </w:r>
          </w:p>
        </w:tc>
        <w:tc>
          <w:tcPr>
            <w:tcW w:w="3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540" w:type="dxa"/>
            <w:vAlign w:val="bottom"/>
            <w:gridSpan w:val="4"/>
            <w:vMerge w:val="restart"/>
          </w:tcPr>
          <w:p>
            <w:pPr>
              <w:ind w:left="202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80" w:type="dxa"/>
            <w:vAlign w:val="bottom"/>
            <w:gridSpan w:val="2"/>
          </w:tcPr>
          <w:p>
            <w:pPr>
              <w:spacing w:after="0"/>
              <w:rPr>
                <w:sz w:val="10"/>
                <w:szCs w:val="10"/>
                <w:color w:val="auto"/>
              </w:rPr>
            </w:pPr>
          </w:p>
        </w:tc>
        <w:tc>
          <w:tcPr>
            <w:tcW w:w="8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12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88"/>
              </w:rPr>
              <w:t>Net Sales</w:t>
            </w:r>
          </w:p>
        </w:tc>
        <w:tc>
          <w:tcPr>
            <w:tcW w:w="860" w:type="dxa"/>
            <w:vAlign w:val="bottom"/>
            <w:gridSpan w:val="6"/>
            <w:vMerge w:val="continue"/>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Net Sales</w:t>
            </w:r>
          </w:p>
        </w:tc>
        <w:tc>
          <w:tcPr>
            <w:tcW w:w="7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120" w:type="dxa"/>
            <w:vAlign w:val="bottom"/>
            <w:gridSpan w:val="2"/>
          </w:tcPr>
          <w:p>
            <w:pPr>
              <w:ind w:left="202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27.1%</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12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40" w:type="dxa"/>
            <w:vAlign w:val="bottom"/>
            <w:vMerge w:val="restart"/>
          </w:tcPr>
          <w:p>
            <w:pPr>
              <w:ind w:left="580"/>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Net sales were $362.5 million for the six months ended June 30, 2019, a $3.0 million, or 0.8%, decrease compared to $365.5 million for the six months ended June 30, 2018. This decrease was primarily attributable to a decrease in revenue from our Foundry Services Group, which was offset in part by an increase in revenue from our Standard Products Group as described below.</w:t>
      </w:r>
    </w:p>
    <w:p>
      <w:pPr>
        <w:spacing w:after="0" w:line="18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Net sales from our Foundry Services Group segment were $130.2 million for the six months ended June 30, 2019,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$28.2 million, or 17.8%, decrease compared to $158.3 million for the six months ended June 30, 2018. The decrease was primarily attributable to weaker demand from our foundry customers as a result of softening global market conditions, including macroeconomic uncertainties, and us being more selective about new business as a result of our strategic evaluation of our Foundry Services Group business and Fab 4. This decrease was offset in part by an increase in sales of certain communication-related products from global power management IC foundry customers and higher sales of certain gate driver ICs for a foundry customer serving the global computing sector.</w:t>
      </w:r>
    </w:p>
    <w:p>
      <w:pPr>
        <w:spacing w:after="0" w:line="17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Net sales from our Standard Products Group segment were $232.2 million for the six months ended June 30, 2019,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$25.1 million, or 12.1%, increase compared to $207.1 million for the six months ended June 30, 2018. This increase was primarily attributable to an increase in revenue related to our mobile OLED display driver ICs due to the introduction of new OLED smartphones by Chinese and Korean manufacturers and higher demand for premium power products such as high-end MOSFETs and IGBTs primarily for TV and industrial applications. This increase was offset in part by a strategic reduction of our lower margin LCD business.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Total gross profit was $66.5 million for the six months ended June 30, 2019 compared to $98.4 million for the six months ended June 30, 2018, representing a $31.9 million, or 32.4%, decrease. Gross profit as a percentage of net sales for the six months ended June 30, 2019 decreased to 18.4% compared to 26.9% for the six months ended June 30, 2018. The decrease in gross profit and gross profit as a percentage of net sales was due to a decrease in gross profit and gross profit as a percentage of net sales in both of our Foundry Services Group and Standard Products Group segments as described below.</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$15.8 million for the six months ended June 30, 2019, 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$27.0 million, or 63.1%, decrease compared to $42.8 million for the six months ended June 30, 2018. Gross profit as a percentage of net sales for the six</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months ended June 30, 2019 decreased to 12.1% compared to 27.1% for the six months ended June 30, 2018. The decrease in both gross profit and gross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profit margin was primarily attributable to an unfavorable product mix and a significant drop in the utilization rate, which was affected in part by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softening of global market conditions, including macroeconomic uncertainties, and by being more selective about new business as a result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strategic evaluation of our Foundry Services Group business and Fab 4.</w:t>
      </w:r>
    </w:p>
    <w:p>
      <w:pPr>
        <w:spacing w:after="0" w:line="21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Gross profit from our Standard Products Group segment was $50.6 million for the six months ended June 30, 2019,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$5.1 million, or 9.1%, decrease from $55.7 million for the six months ended June 30, 2018. Gross profit as a percentage of net sales for the six months ended June 30, 2019 decreased to 21.8% compared to 26.9% for the six months ended June 30, 2018. The decrease in both gross profit and gross profit margin was primarily attributable to inventory reserves related to certain legacy display products and a significant drop in the utilization rate. This decrease was offset in part by a better product mix from an increase in sales of our mobile OLED display driver ICs and premium power products such as high-end MOSFETs and IGBTs primarily for TV and industrial applications.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report net sales by geographic region based on the location to which the products are billed. The following table sets forth our net sales by geographic region and the percentage of total net sales represented by each geographic region for the six months ended June 30, 2019 and the six months ended June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Six Months Ended</w:t>
            </w:r>
          </w:p>
        </w:tc>
        <w:tc>
          <w:tcPr>
            <w:tcW w:w="18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0"/>
                <w:szCs w:val="10"/>
                <w:color w:val="auto"/>
              </w:rPr>
            </w:pPr>
          </w:p>
        </w:tc>
        <w:tc>
          <w:tcPr>
            <w:tcW w:w="56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8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0"/>
                <w:szCs w:val="10"/>
                <w:color w:val="auto"/>
              </w:rPr>
            </w:pPr>
          </w:p>
        </w:tc>
        <w:tc>
          <w:tcPr>
            <w:tcW w:w="56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Sales</w:t>
            </w:r>
          </w:p>
        </w:tc>
        <w:tc>
          <w:tcPr>
            <w:tcW w:w="880" w:type="dxa"/>
            <w:vAlign w:val="bottom"/>
            <w:gridSpan w:val="3"/>
            <w:vMerge w:val="continue"/>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Net Sales</w:t>
            </w:r>
          </w:p>
        </w:tc>
        <w:tc>
          <w:tcPr>
            <w:tcW w:w="7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(In millions)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$ 119.9</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$ 112.7</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204.3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209.4</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362.5</w:t>
            </w:r>
          </w:p>
        </w:tc>
        <w:tc>
          <w:tcPr>
            <w:tcW w:w="260" w:type="dxa"/>
            <w:vAlign w:val="bottom"/>
            <w:vMerge w:val="continue"/>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365.5</w:t>
            </w:r>
          </w:p>
        </w:tc>
        <w:tc>
          <w:tcPr>
            <w:tcW w:w="1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Net sales in Korea for the six months ended June 30, 2019 increased from $112.7 million to $119.9 million compared to the six months ended June 30, 2018, or by $7.1 million, or 6.3%, primarily due to higher sales of certain gate driver ICs for a foundry customer serving the global computing sector and increased sales of our premium power products, which was offset in part by a strategic reduction of lower margin LCD business.</w:t>
      </w:r>
    </w:p>
    <w:p>
      <w:pPr>
        <w:spacing w:after="0" w:line="14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Net sales in Asia Pacific (other than Korea) for the six months ended June 30, 2019 decreased from $209.4 million to $204.3 million compared to the six months ended June 30, 2018, or by $5.1 million, or 2.5%, primarily due to weaker demand from our foundry customers in part as a result of softening global market conditions, including macroeconomic uncertainties, us being more selective about new business as a result of the strategic evaluation of the Foundry business and Fab 4, and a lower demand for certain of our lower margin power products. These decreases were offset in part by an increase in revenue related to mobile OLED display driver ICs in connection with the introduction of new OLED smartphones by Chinese and Korean manufacturers.</w:t>
      </w:r>
    </w:p>
    <w:p>
      <w:pPr>
        <w:spacing w:after="0" w:line="19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Net sales in the United States for the six months ended June 30, 2019 decreased from $23.4 million to $13.6 million compared to the six months ended June 30, 2018, or by $9.8 million, or 41.9%, primarily due to a decrease in sales of certain products from a global power management IC foundry customer.</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Net sales in Europe for the six months ended June 30, 2019 increased from $18.6 million to $24.0 million compared to the six months ended</w:t>
      </w:r>
    </w:p>
    <w:p>
      <w:pPr>
        <w:spacing w:after="0" w:line="35"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June 30, 2018, or by $5.4 million, or 29.2%, primarily due to an increase in sales of certain charger related products in the communications industry. The increase was also attributable to an increase in sales of sensor-related ICs for automotive.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$35.0 million, or 9.7% of net sales,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2019, compared to $36.6 million, or 10.0% of net sales, for the six months ended June 30, 2018. The decrease of $1.5 million, or 4.1%, was primarily attributable to a decrease in certain employee incentives, equity-based compensation and legal and consulting service fees. This decrease was offset in part by a $0.5 million in a legal settlement charge relating to a dispute with a prior customer recorded in the first quarter of 2019.</w:t>
      </w:r>
    </w:p>
    <w:p>
      <w:pPr>
        <w:spacing w:after="0" w:line="154"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$39.0 million, or 10.8% of net sales, for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2019, compared to $40.6 million, or 11.1% of net sales, for the six months ended June 30, 2018. The decrease of $1.6 million, or 3.9%, was primarily attributable to a decrease in certain employee incentives, and a decrease in outside service fees and various overhead expenses, which was offset in part by an increase in development activities for our 28-nanometer OLED display driver ICs.</w:t>
      </w:r>
    </w:p>
    <w:p>
      <w:pPr>
        <w:spacing w:after="0" w:line="171"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and Other Charges. </w:t>
      </w:r>
      <w:r>
        <w:rPr>
          <w:rFonts w:ascii="Arial" w:cs="Arial" w:eastAsia="Arial" w:hAnsi="Arial"/>
          <w:sz w:val="18"/>
          <w:szCs w:val="18"/>
          <w:color w:val="auto"/>
        </w:rPr>
        <w:t>Restructuring and other charges were $4.0 million for the six months ended June 30, 2019,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resulted from a $2.2 million restructuring related charge to our fab employees and $1.9 million in legal and consulting service fees incurred in connection with the strategic evaluation of our Foundry Services Group business and Fab 4.</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jc w:val="both"/>
        <w:ind w:left="200" w:right="280" w:firstLine="441"/>
        <w:spacing w:after="0" w:line="302" w:lineRule="auto"/>
        <w:rPr>
          <w:sz w:val="20"/>
          <w:szCs w:val="20"/>
          <w:color w:val="auto"/>
        </w:rPr>
      </w:pPr>
      <w:r>
        <w:rPr>
          <w:rFonts w:ascii="Arial" w:cs="Arial" w:eastAsia="Arial" w:hAnsi="Arial"/>
          <w:sz w:val="16"/>
          <w:szCs w:val="16"/>
          <w:color w:val="auto"/>
        </w:rPr>
        <w:t>As a result of the foregoing, an operating loss of $11.5 million was recorded for the six months ended June 30, 2019 compared to an operating income of $21.3 million for the six months ended June 30, 2018. As discussed above, the decrease in operating income of $32.8 million was resulted primarily from a $31.9 million decrease in gross profit and a $4.0 million increase in restructuring and other charges, which was partially offset by a $1.5 million decrease in selling, general and administrative expenses and a $1.6 million decrease in research and development expenses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were $11.3 million and $11.0 million for the six months ended June 30, 2019 and June 30, 2018, respectively.</w:t>
      </w:r>
    </w:p>
    <w:p>
      <w:pPr>
        <w:spacing w:after="0" w:line="24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six months ended June 30, 2019 was $20.4 million compared to net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loss of $26.1 million for the six months ended June 30, 2018, which was due to the depreciation in value of the Korean won relative to the US dollar during the period.</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spacing w:after="0" w:line="273" w:lineRule="auto"/>
        <w:rPr>
          <w:sz w:val="20"/>
          <w:szCs w:val="20"/>
          <w:color w:val="auto"/>
        </w:rPr>
      </w:pPr>
      <w:r>
        <w:rPr>
          <w:rFonts w:ascii="Arial" w:cs="Arial" w:eastAsia="Arial" w:hAnsi="Arial"/>
          <w:sz w:val="17"/>
          <w:szCs w:val="17"/>
          <w:color w:val="auto"/>
        </w:rPr>
        <w:t>US dollar. As of June 30, 2019 and June 30, 2018, the outstanding intercompany loan balances, including accrued interests between our Korean subsidiary and our Dutch subsidiary were $673 million and $685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7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Loss on Early Extinguishment of Long-Term Borrowings, Net. </w:t>
      </w:r>
      <w:r>
        <w:rPr>
          <w:rFonts w:ascii="Arial" w:cs="Arial" w:eastAsia="Arial" w:hAnsi="Arial"/>
          <w:sz w:val="18"/>
          <w:szCs w:val="18"/>
          <w:color w:val="auto"/>
        </w:rPr>
        <w:t>For the six months ended June 30, 2019, we repurchased a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 million and $0.9 million of the 2021 Notes and the Exchangeable Notes, respectively. In connection with these repurchases, we recognized a $0.04 million of net loss.</w:t>
      </w:r>
    </w:p>
    <w:p>
      <w:pPr>
        <w:spacing w:after="0" w:line="18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Others, Net. </w:t>
      </w:r>
      <w:r>
        <w:rPr>
          <w:rFonts w:ascii="Arial" w:cs="Arial" w:eastAsia="Arial" w:hAnsi="Arial"/>
          <w:sz w:val="18"/>
          <w:szCs w:val="18"/>
          <w:color w:val="auto"/>
        </w:rPr>
        <w:t>Others, Net were comprised of rental income, interest income, and gains and losses from valuation of derivatives which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as hedging instruments. Others, Net for the six months ended June 30, 2019 and the six months ended June 30, 2018 were $1.3 million and negative $0.4 million,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Income tax expense was $1.7 million and $2.5 million for the six months ended June 30, 2019 and for the six months ended June 30, 2018, respectively. Income tax expense was recorded for our Korean subsidiary based on the estimated taxable income for the respective periods, combined with its ability to utilize net operating loss carryforwards up to 70% in 2018 and 60% in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left="200" w:right="880" w:firstLine="441"/>
        <w:spacing w:after="0" w:line="312" w:lineRule="auto"/>
        <w:rPr>
          <w:sz w:val="20"/>
          <w:szCs w:val="20"/>
          <w:color w:val="auto"/>
        </w:rPr>
      </w:pPr>
      <w:r>
        <w:rPr>
          <w:rFonts w:ascii="Arial" w:cs="Arial" w:eastAsia="Arial" w:hAnsi="Arial"/>
          <w:sz w:val="16"/>
          <w:szCs w:val="16"/>
          <w:color w:val="auto"/>
        </w:rPr>
        <w:t>As a result of the foregoing, a net loss of $43.6 million was recorded for the six months ended June 30, 2019 compared to a net loss of $18.7 million for the six months ended June 30, 2018. As discussed above, the increase in net loss of $24.9 million primarily resulted from a $32.8 million decrease in operating income, which was offset in part by a $5.7 million decrease in net foreign currency loss.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Financial Statements and Supplementary Data—Notes to Consolidated Financial Statements—Note 2. Accounts Receivable” included elsewhere in this Report. In addition, from time to time, we may make payments to our vendors on extended terms with their consent. As of June 30, 2019, we do not have any accounts payable on extended terms or payment deferment with our vendors.</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may, from time to time, repurchase a portion of our outstanding 2021 Notes and our Exchangeable Notes through open market purchases or privately negotiated transactions subject to prevailing market conditions and our available cash reserves.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Cash inflow provided by operating activities totaled $17.2 million for the six months ended June 30, 2019, compared to $21.8 million for the six months ended June 30, 2018. The net operating cash inflow for the six months ended June 30, 2019 reflects our net loss of $43.6 million, as adjusted favorably by $50.4 million, which mainly consisted of depreciation and amortization, provision for severance benefits and net foreign currency loss, and net favorable impact of $10.4 million from changes of operating assets and liabilities.</w:t>
      </w:r>
    </w:p>
    <w:p>
      <w:pPr>
        <w:spacing w:after="0" w:line="18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working capital balance as of June 30, 2019 was $197.4 million compared to $220.1 million as of December 31, 2018. The $22.7 million decrease was primarily attributable to a $30.4 million increase in account payables, an $8.7 million decrease in cash and cash equivalents, a $7.5 million decrease in unbilled account receivables, net and a $4.4 million decrease in inventories, net. These decreases were offset in part by a $16.8 million increase in account receivables, net and a $3.7 million increase in hedge collateral. The increase in account payables and account receivables, net were primarily due to the timing of payment to certain vendors and receipt from certain customers as the quarter end fell on a weekend.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Cash outflow used in investing activities totaled $20.2 million for the six months ended June 30, 2019, compared to $18.3 million of cash outflow used in investing activities for the six months ended June 30, 2018. The $1.9 million increase was primarily attributable to a $1.6 million net increase in guarantee deposit and a $1.1 million net increase in hedge collateral, which was partially offset by a $0.7 million decrease in purchase of plant, property and equipment.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Cash outflow used in financing activities totaled $4.0 million for the six months ended June 30, 2019, compared to $4.7 million of cash inflow provided by financing activities for the six months ended June 30, 2018. The financing cash outflow for the six months ended June 30, 2019 was primarily attributable to a payment of $1.2 million for the repurchases of 2021 Notes and Exchangeable Notes in the first quarter of 2019 and a payment of $2.4 million for the repurchases of our common stock in January 2019 pursuant to our stock repurchase plan. The financing cash inflow for the six months ended June 30, 2018 was primarily attributable to proceeds of $4.3 million in connection with the water treatment facility arrangement.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200" w:firstLine="441"/>
        <w:spacing w:after="0" w:line="274" w:lineRule="auto"/>
        <w:rPr>
          <w:sz w:val="20"/>
          <w:szCs w:val="20"/>
          <w:color w:val="auto"/>
        </w:rPr>
      </w:pPr>
      <w:r>
        <w:rPr>
          <w:rFonts w:ascii="Arial" w:cs="Arial" w:eastAsia="Arial" w:hAnsi="Arial"/>
          <w:sz w:val="17"/>
          <w:szCs w:val="17"/>
          <w:color w:val="auto"/>
        </w:rPr>
        <w:t>We routinely make capital expenditures for fabrication facility maintenance, enhancement of our existing facilities and reinforcement of our global research and development capability. For the six months ended June 30, 2019, capital expenditures for plant, property and equipment were</w:t>
      </w:r>
    </w:p>
    <w:p>
      <w:pPr>
        <w:ind w:left="200" w:right="160"/>
        <w:spacing w:after="0" w:line="277" w:lineRule="auto"/>
        <w:rPr>
          <w:sz w:val="20"/>
          <w:szCs w:val="20"/>
          <w:color w:val="auto"/>
        </w:rPr>
      </w:pPr>
      <w:r>
        <w:rPr>
          <w:rFonts w:ascii="Arial" w:cs="Arial" w:eastAsia="Arial" w:hAnsi="Arial"/>
          <w:sz w:val="17"/>
          <w:szCs w:val="17"/>
          <w:color w:val="auto"/>
        </w:rPr>
        <w:t>$15.0 million, a $0.7 million, or $4.5%, decrease from $15.7 million, including a $4.3 million payment for the purchase of certain facilities related to a water treatment facility arrangement, for the six months ended June 30, 2018. The capital expenditures for the six months ended June 30, 2019 were related to meeting our customer demand, and supporting technology and facility improvement at our fabrication facilities.</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contractual obligations as of June 30,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jc w:val="right"/>
              <w:ind w:right="54"/>
              <w:spacing w:after="0" w:line="119" w:lineRule="exact"/>
              <w:rPr>
                <w:sz w:val="20"/>
                <w:szCs w:val="20"/>
                <w:color w:val="auto"/>
              </w:rPr>
            </w:pPr>
            <w:r>
              <w:rPr>
                <w:rFonts w:ascii="Arial" w:cs="Arial" w:eastAsia="Arial" w:hAnsi="Arial"/>
                <w:sz w:val="13"/>
                <w:szCs w:val="13"/>
                <w:b w:val="1"/>
                <w:bCs w:val="1"/>
                <w:color w:val="auto"/>
              </w:rPr>
              <w:t>Remainder</w:t>
            </w: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68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auto"/>
              </w:rPr>
              <w:t>of</w:t>
            </w:r>
          </w:p>
        </w:tc>
        <w:tc>
          <w:tcPr>
            <w:tcW w:w="5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8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2022</w:t>
            </w: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5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(In millions)</w:t>
            </w: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$ 92.1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$ 85.8</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notes(2)</w:t>
            </w:r>
          </w:p>
        </w:tc>
        <w:tc>
          <w:tcPr>
            <w:tcW w:w="2400" w:type="dxa"/>
            <w:vAlign w:val="bottom"/>
            <w:gridSpan w:val="2"/>
          </w:tcPr>
          <w:p>
            <w:pPr>
              <w:jc w:val="right"/>
              <w:ind w:right="68"/>
              <w:spacing w:after="0"/>
              <w:rPr>
                <w:sz w:val="20"/>
                <w:szCs w:val="20"/>
                <w:color w:val="auto"/>
              </w:rPr>
            </w:pPr>
            <w:r>
              <w:rPr>
                <w:rFonts w:ascii="Arial" w:cs="Arial" w:eastAsia="Arial" w:hAnsi="Arial"/>
                <w:sz w:val="18"/>
                <w:szCs w:val="18"/>
                <w:color w:val="auto"/>
              </w:rPr>
              <w:t>261.4</w:t>
            </w:r>
          </w:p>
        </w:tc>
        <w:tc>
          <w:tcPr>
            <w:tcW w:w="26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7.4</w:t>
            </w: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239.1</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leases(3)</w:t>
            </w:r>
          </w:p>
        </w:tc>
        <w:tc>
          <w:tcPr>
            <w:tcW w:w="2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Finance leases(3)</w:t>
            </w:r>
          </w:p>
        </w:tc>
        <w:tc>
          <w:tcPr>
            <w:tcW w:w="2400" w:type="dxa"/>
            <w:vAlign w:val="bottom"/>
            <w:gridSpan w:val="2"/>
          </w:tcPr>
          <w:p>
            <w:pPr>
              <w:jc w:val="right"/>
              <w:ind w:right="68"/>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0.4</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Services(3)(4)</w:t>
            </w:r>
          </w:p>
        </w:tc>
        <w:tc>
          <w:tcPr>
            <w:tcW w:w="2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51.6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8.3</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Others(5)</w:t>
            </w:r>
          </w:p>
        </w:tc>
        <w:tc>
          <w:tcPr>
            <w:tcW w:w="2400" w:type="dxa"/>
            <w:vAlign w:val="bottom"/>
            <w:gridSpan w:val="2"/>
          </w:tcPr>
          <w:p>
            <w:pPr>
              <w:jc w:val="right"/>
              <w:ind w:right="68"/>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20"/>
                <w:szCs w:val="20"/>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4.8</w:t>
            </w: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4.9</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160" w:hanging="436"/>
        <w:spacing w:after="0" w:line="256"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as well as $83.7 million aggregate principal amount of the Exchangeable Notes outstanding as of June 30, 2019, which bear interest at a rate of 5.0% per annum and are scheduled to mature in 2021 if not earlier exchanged at the price of approximately $8.26 per share of common stock.</w:t>
      </w:r>
    </w:p>
    <w:p>
      <w:pPr>
        <w:ind w:left="640" w:right="6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payments as well as $224.3 million aggregate principal amount of the 2021 Notes outstanding as of June 30, 2019, which bear interest at a rate of 6.625% per annum and are scheduled to mature in 2021 if not earlier redeemed.</w:t>
      </w: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1,156.8:1, the exchange rate as of June 30,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facilities in Korea based on the contractual terms.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21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Financial Statements and Supplementary Data—Notes to Consolidated Financial Statements—Note 10.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We are a party to arrangements for the water treatment facilities in Cheongju and Gumi, Korea, which include 5-year and 10-year service agreements, respectively.</w:t>
      </w:r>
    </w:p>
    <w:p>
      <w:pPr>
        <w:spacing w:after="0" w:line="170"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6"/>
          <w:szCs w:val="16"/>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June 30, 2019, our accrued severance benefits totaled</w:t>
      </w:r>
    </w:p>
    <w:p>
      <w:pPr>
        <w:spacing w:after="0" w:line="2" w:lineRule="exact"/>
        <w:rPr>
          <w:sz w:val="20"/>
          <w:szCs w:val="20"/>
          <w:color w:val="auto"/>
        </w:rPr>
      </w:pPr>
    </w:p>
    <w:p>
      <w:pPr>
        <w:jc w:val="both"/>
        <w:ind w:left="200" w:right="380"/>
        <w:spacing w:after="0" w:line="255" w:lineRule="auto"/>
        <w:rPr>
          <w:sz w:val="20"/>
          <w:szCs w:val="20"/>
          <w:color w:val="auto"/>
        </w:rPr>
      </w:pPr>
      <w:r>
        <w:rPr>
          <w:rFonts w:ascii="Arial" w:cs="Arial" w:eastAsia="Arial" w:hAnsi="Arial"/>
          <w:sz w:val="18"/>
          <w:szCs w:val="18"/>
          <w:color w:val="auto"/>
        </w:rPr>
        <w:t>$142.4 million and cumulative contributions to these severance insurance deposit accounts amounted to $3.0 million. Our related cash payments for future contributions are $1.7 million and $3.5 million for the remaining period of 2019 and 2020, respectively, to the extent that our obligations are contractual, fixed and reasonably estimable.</w:t>
      </w:r>
    </w:p>
    <w:p>
      <w:pPr>
        <w:spacing w:after="0" w:line="19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June 30, 2019. These unrecognized tax benefits have been excluded from the above table because we cannot estimate the period of cash settlement with the respective taxing authorities.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2018, or our 2018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2018 Form 10-K, under “Management’s Discussion and Analysis of Financial Conditions and Reports of Operations—Critical Accounting Policies and Estimates.” Our critical accounting policies for leases as updated for the adoption of the new lease standard are disclosed in the following section. There have been no other material changes to our critical accounting policies and estimates as compared to our critical accounting policies and estimates included in our 2018 Form 10-K.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determine if an arrangement is a lease at inception of a contract considering whether the arrangement conveys the right to control the use of an identified asset over the period of use. Control of an underlying asset is conveyed if we have the right to direct the use of, and to obtain substantially all of the economic benefits from the use of, the identified asset. We account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and equipment, net and the related lease liabilities are included in other current liabilities and other non-current liabilities on the consolidated balance sheets.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Right-of-use assets represent our right to use an underlying asset during the lease term and lease liabilities represent our obligation to make lease payments arising from the lease. Right-of-use assets and liabilities are recognized based on the present value of the future minimum lease payments over the lease term. As most of our leases do not provide a readily determinable implicit rate, we estimate its incremental borrowing rates in determining the present value of future payments based on the lease term of each lease and market information available at commencement date. Fixed lease expenses for operating leases and depreciation expenses for finance leases are recognized on a straight-line basis over the respective lease term.</w:t>
      </w:r>
    </w:p>
    <w:p>
      <w:pPr>
        <w:spacing w:after="0" w:line="15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us. Operating lease right-of-use assets may also include any advance lease payments made and exclude lease incentives and initial direct costs incurred. We have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do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exposure to foreign currency exchange rate fluctuations on net income from our subsidiaries denominated in currencies other than</w:t>
      </w:r>
    </w:p>
    <w:p>
      <w:pPr>
        <w:spacing w:after="0" w:line="35"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30, 2019 for our Korean subsidiary, a</w:t>
      </w:r>
    </w:p>
    <w:p>
      <w:pPr>
        <w:spacing w:after="0" w:line="2"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10% devaluation of the Korean won against the US dollar would have resulted in a decrease of $1.2 million in our US dollar financial instruments and cash balances.</w:t>
      </w:r>
    </w:p>
    <w:p>
      <w:pPr>
        <w:spacing w:after="0" w:line="18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See “Note 8.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As of June 30, 2019, $83.74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June 30, 2019, $224.25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connection with the preparation of this Report, we carried out an evaluation under the supervision of and with the participation of our management, including our Chief Executive Officer and Chief Financial Officer, as of June 30, 2019,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2019.</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2019 that have materially affected, or are reasonably likely to materially affect, our internal control over financial reporting.</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240" w:top="459"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 discussion of legal proceedings, see “Part I: Item 3. Legal Proceedings” of our 2018 Form 10-K.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also “Part I: Item 1A. Risk Factors” and Note 18 of our 2018 Form 10-K for additional information.</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2018 Form 10-K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material changes to the Company’s risk factors disclosed in “Part I: Item 1A. Risk Factors” of our 2018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240" w:top="459" w:right="6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7"/>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540" w:type="dxa"/>
            <w:vAlign w:val="bottom"/>
            <w:gridSpan w:val="4"/>
            <w:vMerge w:val="restart"/>
          </w:tcPr>
          <w:p>
            <w:pPr>
              <w:ind w:left="3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5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60" w:type="dxa"/>
            <w:vAlign w:val="bottom"/>
            <w:tcBorders>
              <w:top w:val="single" w:sz="8" w:color="auto"/>
            </w:tcBorders>
            <w:gridSpan w:val="6"/>
          </w:tcPr>
          <w:p>
            <w:pPr>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Certification pursuant to Rule 13a-14(a) or Rule 15d-14(a) of the Securities Exchange Act of 1934 of the Chief Executive Officer.</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pursuant to Rule 13a-14(a) or Rule 15d-14(a) of the Securities Exchange Act of 1934 of the Chief Financial Officer.</w:t>
              </w:r>
            </w:hyperlink>
          </w:p>
        </w:tc>
        <w:tc>
          <w:tcPr>
            <w:tcW w:w="4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Executive Officer.</w:t>
              </w:r>
            </w:hyperlink>
          </w:p>
        </w:tc>
        <w:tc>
          <w:tcPr>
            <w:tcW w:w="85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200"/>
        <w:spacing w:after="0"/>
        <w:tabs>
          <w:tab w:leader="none" w:pos="5820" w:val="left"/>
          <w:tab w:leader="none" w:pos="6240" w:val="left"/>
        </w:tabs>
        <w:rPr>
          <w:sz w:val="20"/>
          <w:szCs w:val="20"/>
          <w:color w:val="auto"/>
        </w:rPr>
      </w:pPr>
      <w:r>
        <w:rPr>
          <w:rFonts w:ascii="Arial" w:cs="Arial" w:eastAsia="Arial" w:hAnsi="Arial"/>
          <w:sz w:val="18"/>
          <w:szCs w:val="18"/>
          <w:color w:val="auto"/>
        </w:rPr>
        <w:t>Dated: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200"/>
        <w:spacing w:after="0"/>
        <w:tabs>
          <w:tab w:leader="none" w:pos="5820" w:val="left"/>
          <w:tab w:leader="none" w:pos="6240" w:val="left"/>
        </w:tabs>
        <w:rPr>
          <w:sz w:val="20"/>
          <w:szCs w:val="20"/>
          <w:color w:val="auto"/>
        </w:rPr>
      </w:pPr>
      <w:r>
        <w:rPr>
          <w:rFonts w:ascii="Arial" w:cs="Arial" w:eastAsia="Arial" w:hAnsi="Arial"/>
          <w:sz w:val="18"/>
          <w:szCs w:val="18"/>
          <w:color w:val="auto"/>
        </w:rPr>
        <w:t>Dated: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 Executive Vice President and</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480"/>
          </w:cols>
          <w:pgMar w:left="240" w:top="459" w:right="11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76"/>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444"/>
        <w:spacing w:after="0" w:line="342" w:lineRule="auto"/>
        <w:tabs>
          <w:tab w:leader="none" w:pos="6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117" w:lineRule="exact"/>
        <w:rPr>
          <w:sz w:val="20"/>
          <w:szCs w:val="20"/>
          <w:color w:val="auto"/>
        </w:rPr>
      </w:pPr>
    </w:p>
    <w:p>
      <w:pPr>
        <w:ind w:left="620" w:hanging="176"/>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444"/>
        <w:spacing w:after="0" w:line="342" w:lineRule="auto"/>
        <w:tabs>
          <w:tab w:leader="none" w:pos="6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40" w:firstLine="444"/>
        <w:spacing w:after="0" w:line="264" w:lineRule="auto"/>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2019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700" w:firstLine="444"/>
        <w:spacing w:after="0" w:line="277" w:lineRule="auto"/>
        <w:tabs>
          <w:tab w:leader="none" w:pos="7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August 8, 2019</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ind w:right="240" w:firstLine="444"/>
        <w:spacing w:after="0" w:line="264" w:lineRule="auto"/>
        <w:tabs>
          <w:tab w:leader="none" w:pos="6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2019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700" w:firstLine="444"/>
        <w:spacing w:after="0" w:line="277" w:lineRule="auto"/>
        <w:tabs>
          <w:tab w:leader="none" w:pos="7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August 8, 2019</w:t>
      </w:r>
      <w:r>
        <w:rPr>
          <w:sz w:val="20"/>
          <w:szCs w:val="20"/>
          <w:color w:val="auto"/>
        </w:rPr>
        <w:tab/>
      </w:r>
      <w:r>
        <w:rPr>
          <w:rFonts w:ascii="Arial" w:cs="Arial" w:eastAsia="Arial" w:hAnsi="Arial"/>
          <w:sz w:val="16"/>
          <w:szCs w:val="16"/>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220"/>
    </w:lvl>
  </w:abstractNum>
  <w:abstractNum w:abstractNumId="3">
    <w:nsid w:val="7FDCC233"/>
    <w:multiLevelType w:val="hybridMultilevel"/>
    <w:lvl w:ilvl="0">
      <w:lvlJc w:val="left"/>
      <w:lvlText w:val="%1)"/>
      <w:numFmt w:val="decimal"/>
      <w:start w:val="84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6"/>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lvl w:ilvl="1">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4"/>
    </w:lvl>
    <w:lvl w:ilvl="1">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2019-12-28T07:54:57Z</dcterms:created>
  <dcterms:modified xsi:type="dcterms:W3CDTF">2019-12-28T07:54:57Z</dcterms:modified>
</cp:coreProperties>
</file>