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507010dsd.htm"/>
      <w:bookmarkStart w:id="1" w:name="ksd507010dsd"/>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FORM SD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 xml:space="preserve">Specialized Disclosure Report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Magnachip Semiconductor Corporation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84"/>
        <w:gridCol w:w="105"/>
        <w:gridCol w:w="3372"/>
        <w:gridCol w:w="105"/>
        <w:gridCol w:w="3373"/>
      </w:tblGrid>
      <w:tr>
        <w:trPr/>
        <w:tc>
          <w:tcPr>
            <w:tcW w:w="3584"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3372"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3373" w:type="dxa"/>
            <w:tcBorders/>
            <w:shd w:fill="auto" w:val="clear"/>
            <w:vAlign w:val="center"/>
          </w:tcPr>
          <w:p>
            <w:pPr>
              <w:pStyle w:val="TableContents"/>
              <w:spacing w:before="0" w:after="283"/>
              <w:rPr>
                <w:sz w:val="4"/>
                <w:szCs w:val="4"/>
              </w:rPr>
            </w:pPr>
            <w:r>
              <w:rPr>
                <w:sz w:val="4"/>
                <w:szCs w:val="4"/>
              </w:rPr>
            </w:r>
          </w:p>
        </w:tc>
      </w:tr>
      <w:tr>
        <w:trPr/>
        <w:tc>
          <w:tcPr>
            <w:tcW w:w="3584" w:type="dxa"/>
            <w:tcBorders/>
            <w:shd w:fill="auto" w:val="clear"/>
          </w:tcPr>
          <w:p>
            <w:pPr>
              <w:pStyle w:val="TableContents"/>
              <w:spacing w:before="0" w:after="283"/>
              <w:jc w:val="center"/>
              <w:rPr>
                <w:b/>
              </w:rPr>
            </w:pPr>
            <w:r>
              <w:rPr>
                <w:b/>
              </w:rPr>
              <w:t>Delaware</w:t>
            </w:r>
          </w:p>
        </w:tc>
        <w:tc>
          <w:tcPr>
            <w:tcW w:w="105" w:type="dxa"/>
            <w:tcBorders/>
            <w:shd w:fill="auto" w:val="clear"/>
            <w:vAlign w:val="bottom"/>
          </w:tcPr>
          <w:p>
            <w:pPr>
              <w:pStyle w:val="TableContents"/>
              <w:spacing w:before="0" w:after="283"/>
              <w:rPr/>
            </w:pPr>
            <w:r>
              <w:rPr/>
              <w:t> </w:t>
            </w:r>
          </w:p>
        </w:tc>
        <w:tc>
          <w:tcPr>
            <w:tcW w:w="3372" w:type="dxa"/>
            <w:tcBorders/>
            <w:shd w:fill="auto" w:val="clear"/>
          </w:tcPr>
          <w:p>
            <w:pPr>
              <w:pStyle w:val="TableContents"/>
              <w:spacing w:before="0" w:after="283"/>
              <w:jc w:val="center"/>
              <w:rPr>
                <w:b/>
              </w:rPr>
            </w:pPr>
            <w:r>
              <w:rPr>
                <w:b/>
              </w:rPr>
              <w:t>001-34791</w:t>
            </w:r>
          </w:p>
        </w:tc>
        <w:tc>
          <w:tcPr>
            <w:tcW w:w="105" w:type="dxa"/>
            <w:tcBorders/>
            <w:shd w:fill="auto" w:val="clear"/>
            <w:vAlign w:val="bottom"/>
          </w:tcPr>
          <w:p>
            <w:pPr>
              <w:pStyle w:val="TableContents"/>
              <w:spacing w:before="0" w:after="283"/>
              <w:rPr/>
            </w:pPr>
            <w:r>
              <w:rPr/>
              <w:t> </w:t>
            </w:r>
          </w:p>
        </w:tc>
        <w:tc>
          <w:tcPr>
            <w:tcW w:w="3373" w:type="dxa"/>
            <w:tcBorders/>
            <w:shd w:fill="auto" w:val="clear"/>
          </w:tcPr>
          <w:p>
            <w:pPr>
              <w:pStyle w:val="TableContents"/>
              <w:spacing w:before="0" w:after="283"/>
              <w:jc w:val="center"/>
              <w:rPr>
                <w:b/>
              </w:rPr>
            </w:pPr>
            <w:r>
              <w:rPr>
                <w:b/>
              </w:rPr>
              <w:t>83-0406195</w:t>
            </w:r>
          </w:p>
        </w:tc>
      </w:tr>
      <w:tr>
        <w:trPr/>
        <w:tc>
          <w:tcPr>
            <w:tcW w:w="3584"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(State or other jurisdiction of</w:t>
            </w:r>
          </w:p>
          <w:p>
            <w:pPr>
              <w:pStyle w:val="TableContents"/>
              <w:spacing w:before="0" w:after="20"/>
              <w:jc w:val="center"/>
              <w:rPr>
                <w:rFonts w:ascii="Times New Roman" w:hAnsi="Times New Roman"/>
                <w:b/>
                <w:sz w:val="16"/>
              </w:rPr>
            </w:pPr>
            <w:r>
              <w:rPr>
                <w:rFonts w:ascii="Times New Roman" w:hAnsi="Times New Roman"/>
                <w:b/>
                <w:sz w:val="16"/>
              </w:rPr>
              <w:t>incorporation or organization)</w:t>
            </w:r>
          </w:p>
        </w:tc>
        <w:tc>
          <w:tcPr>
            <w:tcW w:w="105" w:type="dxa"/>
            <w:tcBorders/>
            <w:shd w:fill="auto" w:val="clear"/>
            <w:vAlign w:val="bottom"/>
          </w:tcPr>
          <w:p>
            <w:pPr>
              <w:pStyle w:val="TableContents"/>
              <w:spacing w:before="0" w:after="283"/>
              <w:rPr/>
            </w:pPr>
            <w:r>
              <w:rPr/>
              <w:t> </w:t>
            </w:r>
          </w:p>
        </w:tc>
        <w:tc>
          <w:tcPr>
            <w:tcW w:w="3372"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105" w:type="dxa"/>
            <w:tcBorders/>
            <w:shd w:fill="auto" w:val="clear"/>
            <w:vAlign w:val="bottom"/>
          </w:tcPr>
          <w:p>
            <w:pPr>
              <w:pStyle w:val="TableContents"/>
              <w:spacing w:before="0" w:after="283"/>
              <w:rPr/>
            </w:pPr>
            <w:r>
              <w:rPr/>
              <w:t> </w:t>
            </w:r>
          </w:p>
        </w:tc>
        <w:tc>
          <w:tcPr>
            <w:tcW w:w="3373"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240" w:after="0"/>
        <w:jc w:val="center"/>
        <w:rPr>
          <w:rFonts w:ascii="Times New Roman" w:hAnsi="Times New Roman"/>
          <w:b/>
          <w:sz w:val="20"/>
        </w:rPr>
      </w:pPr>
      <w:r>
        <w:rPr>
          <w:rFonts w:ascii="Times New Roman" w:hAnsi="Times New Roman"/>
          <w:b/>
          <w:sz w:val="20"/>
        </w:rPr>
        <w:t xml:space="preserve">c/o Magnachip Semiconductor, Ltd. </w:t>
      </w:r>
    </w:p>
    <w:p>
      <w:pPr>
        <w:pStyle w:val="TextBody"/>
        <w:spacing w:before="240" w:after="0"/>
        <w:jc w:val="center"/>
        <w:rPr>
          <w:rFonts w:ascii="Times New Roman" w:hAnsi="Times New Roman"/>
          <w:b/>
          <w:sz w:val="20"/>
        </w:rPr>
      </w:pPr>
      <w:r>
        <w:rPr>
          <w:rFonts w:ascii="Times New Roman" w:hAnsi="Times New Roman"/>
          <w:b/>
          <w:sz w:val="20"/>
        </w:rPr>
        <w:t xml:space="preserve">15F, 76 Jikji-daero 436beon-gil, Heungdeok-gu </w:t>
      </w:r>
    </w:p>
    <w:p>
      <w:pPr>
        <w:pStyle w:val="TextBody"/>
        <w:spacing w:before="0" w:after="0"/>
        <w:jc w:val="center"/>
        <w:rPr>
          <w:rFonts w:ascii="Times New Roman" w:hAnsi="Times New Roman"/>
          <w:b/>
          <w:sz w:val="20"/>
        </w:rPr>
      </w:pPr>
      <w:r>
        <w:rPr>
          <w:rFonts w:ascii="Times New Roman" w:hAnsi="Times New Roman"/>
          <w:b/>
          <w:sz w:val="20"/>
        </w:rPr>
        <w:t xml:space="preserve">Cheongju-si, Chungcheongbuk-do, 28581, Republic of Kore </w:t>
      </w:r>
    </w:p>
    <w:p>
      <w:pPr>
        <w:pStyle w:val="TextBody"/>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spacing w:before="240" w:after="0"/>
        <w:jc w:val="center"/>
        <w:rPr>
          <w:rFonts w:ascii="Times New Roman" w:hAnsi="Times New Roman"/>
          <w:b/>
          <w:sz w:val="20"/>
        </w:rPr>
      </w:pPr>
      <w:r>
        <w:rPr>
          <w:rFonts w:ascii="Times New Roman" w:hAnsi="Times New Roman"/>
          <w:b/>
          <w:sz w:val="20"/>
        </w:rPr>
        <w:t xml:space="preserve">Theodore S. Kim </w:t>
      </w:r>
    </w:p>
    <w:p>
      <w:pPr>
        <w:pStyle w:val="TextBody"/>
        <w:spacing w:before="0" w:after="0"/>
        <w:jc w:val="center"/>
        <w:rPr>
          <w:rFonts w:ascii="Times New Roman" w:hAnsi="Times New Roman"/>
          <w:b/>
          <w:sz w:val="20"/>
        </w:rPr>
      </w:pPr>
      <w:r>
        <w:rPr>
          <w:rFonts w:ascii="Times New Roman" w:hAnsi="Times New Roman"/>
          <w:b/>
          <w:sz w:val="20"/>
        </w:rPr>
        <w:t xml:space="preserve">Chief Compliance Officer, Executive Vice President, General Counsel and Secretary </w:t>
      </w:r>
    </w:p>
    <w:p>
      <w:pPr>
        <w:pStyle w:val="TextBody"/>
        <w:spacing w:before="240" w:after="0"/>
        <w:jc w:val="center"/>
        <w:rPr>
          <w:rFonts w:ascii="Times New Roman" w:hAnsi="Times New Roman"/>
          <w:b/>
          <w:sz w:val="20"/>
        </w:rPr>
      </w:pPr>
      <w:r>
        <w:rPr>
          <w:rFonts w:ascii="Times New Roman" w:hAnsi="Times New Roman"/>
          <w:b/>
          <w:sz w:val="20"/>
        </w:rPr>
        <w:t xml:space="preserve">Telephone: +82-2-6903-3054 </w:t>
      </w:r>
    </w:p>
    <w:p>
      <w:pPr>
        <w:pStyle w:val="TextBody"/>
        <w:spacing w:before="0" w:after="0"/>
        <w:jc w:val="center"/>
        <w:rPr>
          <w:rFonts w:ascii="Times New Roman" w:hAnsi="Times New Roman"/>
          <w:b/>
          <w:sz w:val="20"/>
        </w:rPr>
      </w:pPr>
      <w:r>
        <w:rPr>
          <w:rFonts w:ascii="Times New Roman" w:hAnsi="Times New Roman"/>
          <w:b/>
          <w:sz w:val="20"/>
        </w:rPr>
        <w:t xml:space="preserve">Fax: +82-2-6903-3019 </w:t>
      </w:r>
    </w:p>
    <w:p>
      <w:pPr>
        <w:pStyle w:val="TextBody"/>
        <w:spacing w:before="0" w:after="0"/>
        <w:jc w:val="center"/>
        <w:rPr>
          <w:rFonts w:ascii="Times New Roman" w:hAnsi="Times New Roman"/>
          <w:b/>
          <w:sz w:val="16"/>
        </w:rPr>
      </w:pPr>
      <w:r>
        <w:rPr>
          <w:rFonts w:ascii="Times New Roman" w:hAnsi="Times New Roman"/>
          <w:b/>
          <w:sz w:val="16"/>
        </w:rPr>
        <w:t xml:space="preserve">(Name and telephone number, including area code, of person to contact in connection with this report.)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Check the appropriate box to indicate the rule pursuant to which this form is being filed, and provide the period to which the information in this form applies: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20"/>
        <w:gridCol w:w="10119"/>
      </w:tblGrid>
      <w:tr>
        <w:trPr/>
        <w:tc>
          <w:tcPr>
            <w:tcW w:w="420" w:type="dxa"/>
            <w:tcBorders/>
            <w:shd w:fill="auto" w:val="clear"/>
          </w:tcPr>
          <w:p>
            <w:pPr>
              <w:pStyle w:val="TableContents"/>
              <w:spacing w:before="0" w:after="283"/>
              <w:jc w:val="left"/>
              <w:rPr/>
            </w:pPr>
            <w:r>
              <w:rPr/>
              <w:t>☒</w:t>
            </w:r>
          </w:p>
        </w:tc>
        <w:tc>
          <w:tcPr>
            <w:tcW w:w="101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Rule 13p-1 under the Securities Exchange Act (17 CFR 240.13p-1) for the reporting period from January 1 to December 31, 2022. </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Section 1. Conflict Minerals Disclosure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53"/>
        <w:gridCol w:w="9486"/>
      </w:tblGrid>
      <w:tr>
        <w:trPr/>
        <w:tc>
          <w:tcPr>
            <w:tcW w:w="1053" w:type="dxa"/>
            <w:tcBorders/>
            <w:shd w:fill="auto" w:val="clear"/>
          </w:tcPr>
          <w:p>
            <w:pPr>
              <w:pStyle w:val="TableContents"/>
              <w:spacing w:before="0" w:after="283"/>
              <w:jc w:val="left"/>
              <w:rPr>
                <w:b/>
              </w:rPr>
            </w:pPr>
            <w:r>
              <w:rPr>
                <w:b/>
              </w:rPr>
              <w:t>Item 1.01.</w:t>
            </w:r>
          </w:p>
        </w:tc>
        <w:tc>
          <w:tcPr>
            <w:tcW w:w="948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Conflict Minerals Disclosure and Report. </w:t>
            </w:r>
          </w:p>
        </w:tc>
      </w:tr>
    </w:tbl>
    <w:p>
      <w:pPr>
        <w:pStyle w:val="TextBody"/>
        <w:spacing w:before="120" w:after="0"/>
        <w:jc w:val="left"/>
        <w:rPr>
          <w:rFonts w:ascii="Times New Roman" w:hAnsi="Times New Roman"/>
          <w:b/>
          <w:sz w:val="20"/>
        </w:rPr>
      </w:pPr>
      <w:r>
        <w:rPr>
          <w:rFonts w:ascii="Times New Roman" w:hAnsi="Times New Roman"/>
          <w:b/>
          <w:sz w:val="20"/>
        </w:rPr>
        <w:t xml:space="preserve">Conflict Minerals Disclosure </w:t>
      </w:r>
    </w:p>
    <w:p>
      <w:pPr>
        <w:pStyle w:val="TextBody"/>
        <w:spacing w:before="120" w:after="0"/>
        <w:jc w:val="left"/>
        <w:rPr>
          <w:rFonts w:ascii="Times New Roman" w:hAnsi="Times New Roman"/>
          <w:sz w:val="20"/>
        </w:rPr>
      </w:pPr>
      <w:r>
        <w:rPr>
          <w:rFonts w:ascii="Times New Roman" w:hAnsi="Times New Roman"/>
          <w:sz w:val="20"/>
        </w:rPr>
        <w:t>Magnachip Semiconductor Corporation (including its consolidated subsidiaries, the </w:t>
      </w:r>
      <w:r>
        <w:rPr>
          <w:rFonts w:ascii="Times New Roman" w:hAnsi="Times New Roman"/>
          <w:b/>
          <w:i/>
          <w:sz w:val="20"/>
        </w:rPr>
        <w:t>Company</w:t>
      </w:r>
      <w:r>
        <w:rPr>
          <w:rFonts w:ascii="Times New Roman" w:hAnsi="Times New Roman"/>
          <w:sz w:val="20"/>
        </w:rPr>
        <w:t>) has conducted a good faith reasonable country of origin inquiry (</w:t>
      </w:r>
      <w:r>
        <w:rPr>
          <w:rFonts w:ascii="Times New Roman" w:hAnsi="Times New Roman"/>
          <w:b/>
          <w:i/>
          <w:sz w:val="20"/>
        </w:rPr>
        <w:t>RCOI</w:t>
      </w:r>
      <w:r>
        <w:rPr>
          <w:rFonts w:ascii="Times New Roman" w:hAnsi="Times New Roman"/>
          <w:sz w:val="20"/>
        </w:rPr>
        <w:t xml:space="preserve">) regarding the conflict minerals included in its products for the reporting period from January 1, 2022 to December 31, 2022. The results of the Companys RCOI regarding the conflict minerals included in its products, as well as its additional due diligence regarding the sources of such conflict minerals, are contained in the Companys Conflict Minerals Report, a copy of which is filed as Exhibit 1.01 to this Form SD, and is publicly available at </w:t>
      </w:r>
      <w:r>
        <w:rPr>
          <w:rFonts w:ascii="Times New Roman" w:hAnsi="Times New Roman"/>
          <w:i/>
          <w:sz w:val="20"/>
        </w:rPr>
        <w:t>https://www.magnachip.com/about-us/corporate-responsibility/sustainability/conflict-mineral/</w:t>
      </w:r>
      <w:r>
        <w:rPr>
          <w:rFonts w:ascii="Times New Roman" w:hAnsi="Times New Roman"/>
          <w:sz w:val="20"/>
        </w:rPr>
        <w:t xml:space="preserve">. The content on, or accessible through, any web site referred to in this Form SD is not incorporated by reference into this Form SD unless expressly noted.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53"/>
        <w:gridCol w:w="9486"/>
      </w:tblGrid>
      <w:tr>
        <w:trPr/>
        <w:tc>
          <w:tcPr>
            <w:tcW w:w="1053" w:type="dxa"/>
            <w:tcBorders/>
            <w:shd w:fill="auto" w:val="clear"/>
          </w:tcPr>
          <w:p>
            <w:pPr>
              <w:pStyle w:val="TableContents"/>
              <w:spacing w:before="0" w:after="283"/>
              <w:jc w:val="left"/>
              <w:rPr>
                <w:b/>
              </w:rPr>
            </w:pPr>
            <w:r>
              <w:rPr>
                <w:b/>
              </w:rPr>
              <w:t>Item 1.02.</w:t>
            </w:r>
          </w:p>
        </w:tc>
        <w:tc>
          <w:tcPr>
            <w:tcW w:w="948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Exhibit. </w:t>
            </w:r>
          </w:p>
        </w:tc>
      </w:tr>
    </w:tbl>
    <w:p>
      <w:pPr>
        <w:pStyle w:val="TextBody"/>
        <w:spacing w:before="120" w:after="0"/>
        <w:jc w:val="left"/>
        <w:rPr>
          <w:rFonts w:ascii="Times New Roman" w:hAnsi="Times New Roman"/>
          <w:sz w:val="20"/>
        </w:rPr>
      </w:pPr>
      <w:r>
        <w:rPr>
          <w:rFonts w:ascii="Times New Roman" w:hAnsi="Times New Roman"/>
          <w:sz w:val="20"/>
        </w:rPr>
        <w:t xml:space="preserve">As specified in Section 2 of Form SD, the Company is hereby filing its Conflict Minerals Report required by Items 1.01 and 1.02 as Exhibit 1.01 to this Form SD. </w:t>
      </w:r>
    </w:p>
    <w:p>
      <w:pPr>
        <w:pStyle w:val="TextBody"/>
        <w:spacing w:before="480" w:after="0"/>
        <w:jc w:val="center"/>
        <w:rPr>
          <w:rFonts w:ascii="Times New Roman" w:hAnsi="Times New Roman"/>
          <w:b/>
          <w:sz w:val="20"/>
        </w:rPr>
      </w:pPr>
      <w:r>
        <w:rPr>
          <w:rFonts w:ascii="Times New Roman" w:hAnsi="Times New Roman"/>
          <w:b/>
          <w:sz w:val="20"/>
        </w:rPr>
        <w:t xml:space="preserve">Section 2. Exhibits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53"/>
        <w:gridCol w:w="9486"/>
      </w:tblGrid>
      <w:tr>
        <w:trPr/>
        <w:tc>
          <w:tcPr>
            <w:tcW w:w="1053" w:type="dxa"/>
            <w:tcBorders/>
            <w:shd w:fill="auto" w:val="clear"/>
          </w:tcPr>
          <w:p>
            <w:pPr>
              <w:pStyle w:val="TableContents"/>
              <w:spacing w:before="0" w:after="283"/>
              <w:jc w:val="left"/>
              <w:rPr>
                <w:b/>
              </w:rPr>
            </w:pPr>
            <w:r>
              <w:rPr>
                <w:b/>
              </w:rPr>
              <w:t>Item 2.01.</w:t>
            </w:r>
          </w:p>
        </w:tc>
        <w:tc>
          <w:tcPr>
            <w:tcW w:w="9486"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spacing w:before="120" w:after="0"/>
        <w:jc w:val="left"/>
        <w:rPr>
          <w:rFonts w:ascii="Times New Roman" w:hAnsi="Times New Roman"/>
          <w:sz w:val="20"/>
        </w:rPr>
      </w:pPr>
      <w:r>
        <w:rPr>
          <w:rFonts w:ascii="Times New Roman" w:hAnsi="Times New Roman"/>
          <w:sz w:val="20"/>
        </w:rPr>
        <w:t xml:space="preserve">The following exhibit is filed as part of this Form SD.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222"/>
        <w:gridCol w:w="677"/>
        <w:gridCol w:w="8640"/>
      </w:tblGrid>
      <w:tr>
        <w:trPr/>
        <w:tc>
          <w:tcPr>
            <w:tcW w:w="1222"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bottom"/>
          </w:tcPr>
          <w:p>
            <w:pPr>
              <w:pStyle w:val="TableContents"/>
              <w:spacing w:before="0" w:after="283"/>
              <w:rPr>
                <w:sz w:val="4"/>
                <w:szCs w:val="4"/>
              </w:rPr>
            </w:pPr>
            <w:r>
              <w:rPr>
                <w:sz w:val="4"/>
                <w:szCs w:val="4"/>
              </w:rPr>
            </w:r>
          </w:p>
        </w:tc>
        <w:tc>
          <w:tcPr>
            <w:tcW w:w="8640" w:type="dxa"/>
            <w:tcBorders/>
            <w:shd w:fill="auto" w:val="clear"/>
            <w:vAlign w:val="center"/>
          </w:tcPr>
          <w:p>
            <w:pPr>
              <w:pStyle w:val="TableContents"/>
              <w:spacing w:before="0" w:after="283"/>
              <w:rPr>
                <w:sz w:val="4"/>
                <w:szCs w:val="4"/>
              </w:rPr>
            </w:pPr>
            <w:r>
              <w:rPr>
                <w:sz w:val="4"/>
                <w:szCs w:val="4"/>
              </w:rPr>
            </w:r>
          </w:p>
        </w:tc>
      </w:tr>
      <w:tr>
        <w:trPr/>
        <w:tc>
          <w:tcPr>
            <w:tcW w:w="1222" w:type="dxa"/>
            <w:tcBorders>
              <w:bottom w:val="single" w:sz="8" w:space="0" w:color="000000"/>
            </w:tcBorders>
            <w:shd w:fill="auto" w:val="clear"/>
            <w:tcMar>
              <w:bottom w:w="28" w:type="dxa"/>
            </w:tcMar>
            <w:vAlign w:val="bottom"/>
          </w:tcPr>
          <w:p>
            <w:pPr>
              <w:pStyle w:val="TableContents"/>
              <w:spacing w:before="0" w:after="283"/>
              <w:jc w:val="center"/>
              <w:rPr>
                <w:b/>
              </w:rPr>
            </w:pPr>
            <w:r>
              <w:rPr>
                <w:b/>
              </w:rPr>
              <w:t>Exhibit No.</w:t>
            </w:r>
          </w:p>
        </w:tc>
        <w:tc>
          <w:tcPr>
            <w:tcW w:w="677" w:type="dxa"/>
            <w:tcBorders/>
            <w:shd w:fill="auto" w:val="clear"/>
            <w:vAlign w:val="bottom"/>
          </w:tcPr>
          <w:p>
            <w:pPr>
              <w:pStyle w:val="TableContents"/>
              <w:spacing w:before="0" w:after="283"/>
              <w:rPr/>
            </w:pPr>
            <w:r>
              <w:rPr/>
              <w:t>  </w:t>
            </w:r>
          </w:p>
        </w:tc>
        <w:tc>
          <w:tcPr>
            <w:tcW w:w="8640"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Description</w:t>
            </w:r>
          </w:p>
        </w:tc>
      </w:tr>
      <w:tr>
        <w:trPr>
          <w:trHeight w:val="120" w:hRule="atLeast"/>
        </w:trPr>
        <w:tc>
          <w:tcPr>
            <w:tcW w:w="1222" w:type="dxa"/>
            <w:tcBorders/>
            <w:shd w:fill="auto" w:val="clear"/>
            <w:vAlign w:val="center"/>
          </w:tcPr>
          <w:p>
            <w:pPr>
              <w:pStyle w:val="TableContents"/>
              <w:spacing w:before="0" w:after="283"/>
              <w:rPr>
                <w:sz w:val="4"/>
                <w:szCs w:val="4"/>
              </w:rPr>
            </w:pPr>
            <w:r>
              <w:rPr>
                <w:sz w:val="4"/>
                <w:szCs w:val="4"/>
              </w:rPr>
            </w:r>
          </w:p>
        </w:tc>
        <w:tc>
          <w:tcPr>
            <w:tcW w:w="9317" w:type="dxa"/>
            <w:gridSpan w:val="2"/>
            <w:tcBorders/>
            <w:shd w:fill="auto" w:val="clear"/>
            <w:vAlign w:val="center"/>
          </w:tcPr>
          <w:p>
            <w:pPr>
              <w:pStyle w:val="TableContents"/>
              <w:spacing w:before="0" w:after="283"/>
              <w:rPr>
                <w:sz w:val="4"/>
                <w:szCs w:val="4"/>
              </w:rPr>
            </w:pPr>
            <w:r>
              <w:rPr>
                <w:sz w:val="4"/>
                <w:szCs w:val="4"/>
              </w:rPr>
            </w:r>
          </w:p>
        </w:tc>
      </w:tr>
      <w:tr>
        <w:trPr/>
        <w:tc>
          <w:tcPr>
            <w:tcW w:w="1222" w:type="dxa"/>
            <w:tcBorders/>
            <w:shd w:fill="auto" w:val="clear"/>
          </w:tcPr>
          <w:p>
            <w:pPr>
              <w:pStyle w:val="TableContents"/>
              <w:spacing w:before="0" w:after="283"/>
              <w:rPr/>
            </w:pPr>
            <w:r>
              <w:rPr/>
              <w:t>1.01</w:t>
            </w:r>
          </w:p>
        </w:tc>
        <w:tc>
          <w:tcPr>
            <w:tcW w:w="677" w:type="dxa"/>
            <w:tcBorders/>
            <w:shd w:fill="auto" w:val="clear"/>
            <w:vAlign w:val="bottom"/>
          </w:tcPr>
          <w:p>
            <w:pPr>
              <w:pStyle w:val="TableContents"/>
              <w:spacing w:before="0" w:after="283"/>
              <w:rPr/>
            </w:pPr>
            <w:r>
              <w:rPr/>
              <w:t>  </w:t>
            </w:r>
          </w:p>
        </w:tc>
        <w:tc>
          <w:tcPr>
            <w:tcW w:w="8640" w:type="dxa"/>
            <w:tcBorders/>
            <w:shd w:fill="auto" w:val="clear"/>
          </w:tcPr>
          <w:p>
            <w:pPr>
              <w:pStyle w:val="TableContents"/>
              <w:spacing w:before="0" w:after="283"/>
              <w:rPr/>
            </w:pPr>
            <w:hyperlink w:anchor="d507010dex101.htm">
              <w:r>
                <w:rPr>
                  <w:rStyle w:val="InternetLink"/>
                </w:rPr>
                <w:t>Conflict Minerals Report of Magnachip Semiconductor Corporation for the reporting period from January 1, 2022 to December 31, 2022</w:t>
              </w:r>
            </w:hyperlink>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duly authorized undersigned.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16"/>
        <w:gridCol w:w="104"/>
        <w:gridCol w:w="4649"/>
        <w:gridCol w:w="105"/>
        <w:gridCol w:w="422"/>
        <w:gridCol w:w="60"/>
        <w:gridCol w:w="23"/>
        <w:gridCol w:w="105"/>
        <w:gridCol w:w="4755"/>
      </w:tblGrid>
      <w:tr>
        <w:trPr/>
        <w:tc>
          <w:tcPr>
            <w:tcW w:w="316"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4649"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4755" w:type="dxa"/>
            <w:tcBorders/>
            <w:shd w:fill="auto" w:val="clear"/>
            <w:vAlign w:val="center"/>
          </w:tcPr>
          <w:p>
            <w:pPr>
              <w:pStyle w:val="TableContents"/>
              <w:spacing w:before="0" w:after="283"/>
              <w:rPr>
                <w:sz w:val="4"/>
                <w:szCs w:val="4"/>
              </w:rPr>
            </w:pPr>
            <w:r>
              <w:rPr>
                <w:sz w:val="4"/>
                <w:szCs w:val="4"/>
              </w:rPr>
            </w:r>
          </w:p>
        </w:tc>
      </w:tr>
      <w:tr>
        <w:trPr/>
        <w:tc>
          <w:tcPr>
            <w:tcW w:w="10539" w:type="dxa"/>
            <w:gridSpan w:val="9"/>
            <w:tcBorders/>
            <w:shd w:fill="auto" w:val="clear"/>
            <w:vAlign w:val="bottom"/>
          </w:tcPr>
          <w:p>
            <w:pPr>
              <w:pStyle w:val="TableContents"/>
              <w:spacing w:before="0" w:after="283"/>
              <w:rPr>
                <w:b/>
              </w:rPr>
            </w:pPr>
            <w:r>
              <w:rPr>
                <w:b/>
              </w:rPr>
              <w:t>MAGNACHIP SEMICONDUCTOR CORPORATION</w:t>
            </w:r>
          </w:p>
        </w:tc>
      </w:tr>
      <w:tr>
        <w:trPr>
          <w:trHeight w:val="240" w:hRule="atLeast"/>
        </w:trPr>
        <w:tc>
          <w:tcPr>
            <w:tcW w:w="316" w:type="dxa"/>
            <w:tcBorders/>
            <w:shd w:fill="auto" w:val="clear"/>
            <w:vAlign w:val="center"/>
          </w:tcPr>
          <w:p>
            <w:pPr>
              <w:pStyle w:val="TableContents"/>
              <w:spacing w:before="0" w:after="283"/>
              <w:rPr>
                <w:sz w:val="4"/>
                <w:szCs w:val="4"/>
              </w:rPr>
            </w:pPr>
            <w:r>
              <w:rPr>
                <w:sz w:val="4"/>
                <w:szCs w:val="4"/>
              </w:rPr>
            </w:r>
          </w:p>
        </w:tc>
        <w:tc>
          <w:tcPr>
            <w:tcW w:w="4753" w:type="dxa"/>
            <w:gridSpan w:val="2"/>
            <w:tcBorders/>
            <w:shd w:fill="auto" w:val="clear"/>
            <w:vAlign w:val="center"/>
          </w:tcPr>
          <w:p>
            <w:pPr>
              <w:pStyle w:val="TableContents"/>
              <w:spacing w:before="0" w:after="283"/>
              <w:rPr>
                <w:sz w:val="4"/>
                <w:szCs w:val="4"/>
              </w:rPr>
            </w:pPr>
            <w:r>
              <w:rPr>
                <w:sz w:val="4"/>
                <w:szCs w:val="4"/>
              </w:rPr>
            </w:r>
          </w:p>
        </w:tc>
        <w:tc>
          <w:tcPr>
            <w:tcW w:w="527" w:type="dxa"/>
            <w:gridSpan w:val="2"/>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860" w:type="dxa"/>
            <w:gridSpan w:val="2"/>
            <w:tcBorders/>
            <w:shd w:fill="auto" w:val="clear"/>
            <w:vAlign w:val="center"/>
          </w:tcPr>
          <w:p>
            <w:pPr>
              <w:pStyle w:val="TableContents"/>
              <w:spacing w:before="0" w:after="283"/>
              <w:rPr>
                <w:sz w:val="4"/>
                <w:szCs w:val="4"/>
              </w:rPr>
            </w:pPr>
            <w:r>
              <w:rPr>
                <w:sz w:val="4"/>
                <w:szCs w:val="4"/>
              </w:rPr>
            </w:r>
          </w:p>
        </w:tc>
      </w:tr>
      <w:tr>
        <w:trPr/>
        <w:tc>
          <w:tcPr>
            <w:tcW w:w="316" w:type="dxa"/>
            <w:tcBorders/>
            <w:shd w:fill="auto" w:val="clear"/>
            <w:vAlign w:val="bottom"/>
          </w:tcPr>
          <w:p>
            <w:pPr>
              <w:pStyle w:val="TableContents"/>
              <w:spacing w:before="0" w:after="283"/>
              <w:rPr/>
            </w:pPr>
            <w:r>
              <w:rPr/>
              <w:t>By:</w:t>
            </w:r>
          </w:p>
        </w:tc>
        <w:tc>
          <w:tcPr>
            <w:tcW w:w="104" w:type="dxa"/>
            <w:tcBorders>
              <w:bottom w:val="single" w:sz="2" w:space="0" w:color="000000"/>
            </w:tcBorders>
            <w:shd w:fill="auto" w:val="clear"/>
            <w:tcMar>
              <w:bottom w:w="28" w:type="dxa"/>
            </w:tcMar>
            <w:vAlign w:val="bottom"/>
          </w:tcPr>
          <w:p>
            <w:pPr>
              <w:pStyle w:val="TableContents"/>
              <w:spacing w:before="0" w:after="283"/>
              <w:rPr/>
            </w:pPr>
            <w:r>
              <w:rPr/>
              <w:t> </w:t>
            </w:r>
          </w:p>
        </w:tc>
        <w:tc>
          <w:tcPr>
            <w:tcW w:w="4649" w:type="dxa"/>
            <w:tcBorders>
              <w:bottom w:val="single" w:sz="2" w:space="0" w:color="000000"/>
            </w:tcBorders>
            <w:shd w:fill="auto" w:val="clear"/>
            <w:tcMar>
              <w:bottom w:w="28" w:type="dxa"/>
            </w:tcMar>
            <w:vAlign w:val="bottom"/>
          </w:tcPr>
          <w:p>
            <w:pPr>
              <w:pStyle w:val="TableContents"/>
              <w:spacing w:before="0" w:after="283"/>
              <w:rPr/>
            </w:pPr>
            <w:r>
              <w:rPr/>
              <w:t>/s/ Theodore S. Kim</w:t>
            </w:r>
          </w:p>
        </w:tc>
        <w:tc>
          <w:tcPr>
            <w:tcW w:w="105"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105" w:type="dxa"/>
            <w:tcBorders>
              <w:bottom w:val="single" w:sz="2" w:space="0" w:color="000000"/>
            </w:tcBorders>
            <w:shd w:fill="auto" w:val="clear"/>
            <w:tcMar>
              <w:bottom w:w="28" w:type="dxa"/>
            </w:tcMar>
            <w:vAlign w:val="bottom"/>
          </w:tcPr>
          <w:p>
            <w:pPr>
              <w:pStyle w:val="TableContents"/>
              <w:spacing w:before="0" w:after="283"/>
              <w:rPr/>
            </w:pPr>
            <w:r>
              <w:rPr/>
              <w:t> </w:t>
            </w:r>
          </w:p>
        </w:tc>
        <w:tc>
          <w:tcPr>
            <w:tcW w:w="4755" w:type="dxa"/>
            <w:tcBorders>
              <w:bottom w:val="single" w:sz="2" w:space="0" w:color="000000"/>
            </w:tcBorders>
            <w:shd w:fill="auto" w:val="clear"/>
            <w:tcMar>
              <w:bottom w:w="28" w:type="dxa"/>
            </w:tcMar>
            <w:vAlign w:val="bottom"/>
          </w:tcPr>
          <w:p>
            <w:pPr>
              <w:pStyle w:val="TableContents"/>
              <w:spacing w:before="0" w:after="283"/>
              <w:jc w:val="center"/>
              <w:rPr/>
            </w:pPr>
            <w:r>
              <w:rPr/>
              <w:t>May 30, 2023</w:t>
            </w:r>
          </w:p>
        </w:tc>
      </w:tr>
      <w:tr>
        <w:trPr/>
        <w:tc>
          <w:tcPr>
            <w:tcW w:w="316"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4649" w:type="dxa"/>
            <w:tcBorders/>
            <w:shd w:fill="auto" w:val="clear"/>
            <w:vAlign w:val="bottom"/>
          </w:tcPr>
          <w:p>
            <w:pPr>
              <w:pStyle w:val="TableContents"/>
              <w:spacing w:before="0" w:after="283"/>
              <w:rPr/>
            </w:pPr>
            <w:r>
              <w:rPr/>
              <w:t>Theodore S. Kim</w:t>
            </w:r>
          </w:p>
        </w:tc>
        <w:tc>
          <w:tcPr>
            <w:tcW w:w="105"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pPr>
            <w:r>
              <w:rPr/>
              <w:t> </w:t>
            </w:r>
          </w:p>
        </w:tc>
        <w:tc>
          <w:tcPr>
            <w:tcW w:w="4755" w:type="dxa"/>
            <w:tcBorders/>
            <w:shd w:fill="auto" w:val="clear"/>
            <w:vAlign w:val="bottom"/>
          </w:tcPr>
          <w:p>
            <w:pPr>
              <w:pStyle w:val="TableContents"/>
              <w:spacing w:before="0" w:after="283"/>
              <w:jc w:val="center"/>
              <w:rPr/>
            </w:pPr>
            <w:r>
              <w:rPr/>
              <w:t>(Date)</w:t>
            </w:r>
          </w:p>
        </w:tc>
      </w:tr>
      <w:tr>
        <w:trPr/>
        <w:tc>
          <w:tcPr>
            <w:tcW w:w="316"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4649" w:type="dxa"/>
            <w:tcBorders/>
            <w:shd w:fill="auto" w:val="clear"/>
            <w:vAlign w:val="bottom"/>
          </w:tcPr>
          <w:p>
            <w:pPr>
              <w:pStyle w:val="TableContents"/>
              <w:spacing w:before="0" w:after="283"/>
              <w:rPr/>
            </w:pPr>
            <w:r>
              <w:rPr/>
              <w:t>Chief Compliance Officer, Executive Vice President, General Counsel and Secretary</w:t>
            </w:r>
          </w:p>
        </w:tc>
        <w:tc>
          <w:tcPr>
            <w:tcW w:w="105"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pPr>
            <w:r>
              <w:rPr/>
              <w:t> </w:t>
            </w:r>
          </w:p>
        </w:tc>
        <w:tc>
          <w:tcPr>
            <w:tcW w:w="4755"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TextBody"/>
        <w:spacing w:before="0" w:after="0"/>
        <w:jc w:val="right"/>
        <w:rPr>
          <w:rFonts w:ascii="Times New Roman" w:hAnsi="Times New Roman"/>
          <w:b/>
          <w:sz w:val="20"/>
        </w:rPr>
      </w:pPr>
      <w:bookmarkStart w:id="2" w:name="d507010dex101.htm"/>
      <w:bookmarkStart w:id="3" w:name="ksd507010dex101"/>
      <w:bookmarkEnd w:id="2"/>
      <w:bookmarkEnd w:id="3"/>
      <w:r>
        <w:rPr>
          <w:rFonts w:ascii="Times New Roman" w:hAnsi="Times New Roman"/>
          <w:b/>
          <w:sz w:val="20"/>
        </w:rPr>
        <w:t xml:space="preserve">Exhibit 1.01 </w:t>
      </w:r>
    </w:p>
    <w:p>
      <w:pPr>
        <w:pStyle w:val="TextBody"/>
        <w:spacing w:before="240" w:after="0"/>
        <w:jc w:val="center"/>
        <w:rPr>
          <w:rFonts w:ascii="Times New Roman" w:hAnsi="Times New Roman"/>
          <w:b/>
          <w:sz w:val="20"/>
        </w:rPr>
      </w:pPr>
      <w:r>
        <w:rPr>
          <w:rFonts w:ascii="Times New Roman" w:hAnsi="Times New Roman"/>
          <w:b/>
          <w:sz w:val="20"/>
        </w:rPr>
        <w:t xml:space="preserve">Magnachip Semiconductor Corporation </w:t>
      </w:r>
    </w:p>
    <w:p>
      <w:pPr>
        <w:pStyle w:val="TextBody"/>
        <w:spacing w:before="0" w:after="0"/>
        <w:jc w:val="center"/>
        <w:rPr>
          <w:rFonts w:ascii="Times New Roman" w:hAnsi="Times New Roman"/>
          <w:b/>
          <w:sz w:val="20"/>
        </w:rPr>
      </w:pPr>
      <w:r>
        <w:rPr>
          <w:rFonts w:ascii="Times New Roman" w:hAnsi="Times New Roman"/>
          <w:b/>
          <w:sz w:val="20"/>
        </w:rPr>
        <w:t xml:space="preserve">Conflict Minerals Report </w:t>
      </w:r>
    </w:p>
    <w:p>
      <w:pPr>
        <w:pStyle w:val="TextBody"/>
        <w:spacing w:before="0" w:after="0"/>
        <w:jc w:val="center"/>
        <w:rPr>
          <w:rFonts w:ascii="Times New Roman" w:hAnsi="Times New Roman"/>
          <w:b/>
          <w:sz w:val="20"/>
        </w:rPr>
      </w:pPr>
      <w:r>
        <w:rPr>
          <w:rFonts w:ascii="Times New Roman" w:hAnsi="Times New Roman"/>
          <w:b/>
          <w:sz w:val="20"/>
        </w:rPr>
        <w:t xml:space="preserve">For the reporting period from January 1, 2022 to December 31, 2022 </w:t>
      </w:r>
    </w:p>
    <w:p>
      <w:pPr>
        <w:pStyle w:val="TextBody"/>
        <w:spacing w:before="240" w:after="0"/>
        <w:jc w:val="left"/>
        <w:rPr>
          <w:rFonts w:ascii="Times New Roman" w:hAnsi="Times New Roman"/>
          <w:sz w:val="20"/>
        </w:rPr>
      </w:pPr>
      <w:r>
        <w:rPr>
          <w:rFonts w:ascii="Times New Roman" w:hAnsi="Times New Roman"/>
          <w:sz w:val="20"/>
        </w:rPr>
        <w:t>This Conflict Minerals Report (this </w:t>
      </w:r>
      <w:r>
        <w:rPr>
          <w:rFonts w:ascii="Times New Roman" w:hAnsi="Times New Roman"/>
          <w:b/>
          <w:i/>
          <w:sz w:val="20"/>
        </w:rPr>
        <w:t>Report</w:t>
      </w:r>
      <w:r>
        <w:rPr>
          <w:rFonts w:ascii="Times New Roman" w:hAnsi="Times New Roman"/>
          <w:sz w:val="20"/>
        </w:rPr>
        <w:t>) of Magnachip Semiconductor Corporation (including its consolidated subsidiaries, the </w:t>
      </w:r>
      <w:r>
        <w:rPr>
          <w:rFonts w:ascii="Times New Roman" w:hAnsi="Times New Roman"/>
          <w:b/>
          <w:i/>
          <w:sz w:val="20"/>
        </w:rPr>
        <w:t>Company</w:t>
      </w:r>
      <w:r>
        <w:rPr>
          <w:rFonts w:ascii="Times New Roman" w:hAnsi="Times New Roman"/>
          <w:sz w:val="20"/>
        </w:rPr>
        <w:t>) has been prepared pursuant to Rule 13p-1 and Form SD promulgated under the Securities Exchange Act of 1934 for the reporting period from January 1, 2022 to December 31, 2022 (the </w:t>
      </w:r>
      <w:r>
        <w:rPr>
          <w:rFonts w:ascii="Times New Roman" w:hAnsi="Times New Roman"/>
          <w:b/>
          <w:i/>
          <w:sz w:val="20"/>
        </w:rPr>
        <w:t>Reporting Period</w:t>
      </w:r>
      <w:r>
        <w:rPr>
          <w:rFonts w:ascii="Times New Roman" w:hAnsi="Times New Roman"/>
          <w:sz w:val="20"/>
        </w:rPr>
        <w:t xml:space="preserve">). </w:t>
      </w:r>
    </w:p>
    <w:p>
      <w:pPr>
        <w:pStyle w:val="TextBody"/>
        <w:spacing w:before="240" w:after="0"/>
        <w:jc w:val="left"/>
        <w:rPr>
          <w:rFonts w:ascii="Times New Roman" w:hAnsi="Times New Roman"/>
          <w:i/>
          <w:sz w:val="20"/>
        </w:rPr>
      </w:pPr>
      <w:r>
        <w:rPr>
          <w:rFonts w:ascii="Times New Roman" w:hAnsi="Times New Roman"/>
          <w:i/>
          <w:sz w:val="20"/>
        </w:rPr>
        <w:t xml:space="preserve">Forward-looking statements contained in this Report are made based on known events and circumstances at the time of release, and as such, are subject in the future to unforeseen uncertainties and risks. Statements in this Report which express a belief, expectation or intention, as well as those that are not historical fact, are forward-looking statements, including statements related to the Companys compliance efforts and expected actions identified in this Report. These forward-looking statements are subject to various risks, uncertainties and assumptions, including, among other matters, the Companys customers requirements to use certain suppliers, the Companys suppliers responsiveness and cooperation with the Companys due diligence efforts, the Companys ability to implement improvements in its conflict minerals program and the Companys ability to identify and mitigate related risks in its supply chain. If one or more of these or other risks materialize, actual results may vary materially from those expressed. </w:t>
      </w:r>
    </w:p>
    <w:p>
      <w:pPr>
        <w:pStyle w:val="TextBody"/>
        <w:spacing w:before="240" w:after="0"/>
        <w:jc w:val="left"/>
        <w:rPr>
          <w:rFonts w:ascii="Times New Roman" w:hAnsi="Times New Roman"/>
          <w:sz w:val="20"/>
        </w:rPr>
      </w:pPr>
      <w:r>
        <w:rPr>
          <w:rFonts w:ascii="Times New Roman" w:hAnsi="Times New Roman"/>
          <w:sz w:val="20"/>
        </w:rPr>
        <w:t>Rule 13p-1, through Form SD, requires the disclosure of certain information if a company manufactures or contracts to manufacture products for which certain conflict minerals (as defined below) are necessary to the functionality or production of such products. Form SD defines </w:t>
      </w:r>
      <w:r>
        <w:rPr>
          <w:rFonts w:ascii="Times New Roman" w:hAnsi="Times New Roman"/>
          <w:b/>
          <w:i/>
          <w:sz w:val="20"/>
        </w:rPr>
        <w:t>conflict minerals</w:t>
      </w:r>
      <w:r>
        <w:rPr>
          <w:rFonts w:ascii="Times New Roman" w:hAnsi="Times New Roman"/>
          <w:sz w:val="20"/>
        </w:rPr>
        <w:t> as: (i)(a) columbite-tantalite (or coltan, the metal ore from which tantalum is extracted), (b) cassiterite (the metal ore from which tin is extracted), (c) gold and (d)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Times New Roman" w:hAnsi="Times New Roman"/>
          <w:b/>
          <w:i/>
          <w:sz w:val="20"/>
        </w:rPr>
        <w:t>Covered Countries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Companys business is currently conducted through its standard products business, which consists of the Display Solutions and Power Solutions business lines. </w:t>
      </w:r>
    </w:p>
    <w:p>
      <w:pPr>
        <w:pStyle w:val="TextBody"/>
        <w:spacing w:before="240" w:after="0"/>
        <w:jc w:val="left"/>
        <w:rPr>
          <w:rFonts w:ascii="Times New Roman" w:hAnsi="Times New Roman"/>
          <w:sz w:val="20"/>
        </w:rPr>
      </w:pPr>
      <w:r>
        <w:rPr>
          <w:rFonts w:ascii="Times New Roman" w:hAnsi="Times New Roman"/>
          <w:sz w:val="20"/>
        </w:rPr>
        <w:t xml:space="preserve">The Companys Display Solutions line of products provide flat panel display solutions to major suppliers of large and small flat panel displays. These products include source and gate drivers and timing controllers that cover a wide range of flat panel displays used in mobile communications, automotives, entertainment devices, notebook PCs, monitors and liquid crystal display (LCD), organic light emitting diodes (OLED), and micro light emitting diode (microLED) televisions. The Companys Display Solutions products support the industrys most advanced display technologies such as OLEDs and low temperature polysilicon thin film transistors (LTPS TFTs), as well as high-volume display technologies such as amorphous silicon thin film transistors (a-SiTFTs). Since 2007, the Company has designed and manufactured OLED display driver integrated circuit (IC) products. The Companys current portfolio of OLED solutions address a wide range of resolutions ranging from High Definition (HD) to Wide Quad High Definition (WQHD) for a wide range of applications, including smartphones, TVs, automotives and IT applications. </w:t>
      </w:r>
    </w:p>
    <w:p>
      <w:pPr>
        <w:pStyle w:val="TextBody"/>
        <w:spacing w:before="240" w:after="0"/>
        <w:jc w:val="left"/>
        <w:rPr>
          <w:rFonts w:ascii="Times New Roman" w:hAnsi="Times New Roman"/>
          <w:sz w:val="20"/>
        </w:rPr>
      </w:pPr>
      <w:r>
        <w:rPr>
          <w:rFonts w:ascii="Times New Roman" w:hAnsi="Times New Roman"/>
          <w:sz w:val="20"/>
        </w:rPr>
        <w:t xml:space="preserve">The Companys Power Solutions business line produces power management semiconductor products, including discrete and integrated circuit solutions for power management in communications, consumer, computing, server, automotive and industrial applications. These products include metal oxide semiconductor field effect transistors (MOSFETs), insulated-gate bipolar transistors (IGBTs), AC-DC/DC-DC converters, LED drivers, regulators and power management integrated circuits (PMICs) for a range of devices, including televisions, smartphones, mobile phones, wearable devices, desktop PCs, notebooks, tablet PCs, other consumer electrics, automotives, and industrial applications such as power suppliers, e-bikes, photovoltaic inverters, LED lighting, and motor drives. </w:t>
      </w:r>
    </w:p>
    <w:p>
      <w:pPr>
        <w:pStyle w:val="TextBody"/>
        <w:spacing w:before="240" w:after="0"/>
        <w:jc w:val="left"/>
        <w:rPr>
          <w:rFonts w:ascii="Times New Roman" w:hAnsi="Times New Roman"/>
          <w:sz w:val="20"/>
        </w:rPr>
      </w:pPr>
      <w:r>
        <w:rPr>
          <w:rFonts w:ascii="Times New Roman" w:hAnsi="Times New Roman"/>
          <w:sz w:val="20"/>
        </w:rPr>
        <w:t>The Companys operations during the Reporting Period may have at times manufactured, or contracted to manufacture, products, including the products listed above, for which conflict minerals are necessary to the functionality or production of those products (collectively, the </w:t>
      </w:r>
      <w:r>
        <w:rPr>
          <w:rFonts w:ascii="Times New Roman" w:hAnsi="Times New Roman"/>
          <w:b/>
          <w:i/>
          <w:sz w:val="20"/>
        </w:rPr>
        <w:t>products</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As required by Form SD, the Company has conducted a good faith reasonable country of origin inquiry (</w:t>
      </w:r>
      <w:r>
        <w:rPr>
          <w:rFonts w:ascii="Times New Roman" w:hAnsi="Times New Roman"/>
          <w:b/>
          <w:i/>
          <w:sz w:val="20"/>
        </w:rPr>
        <w:t>RCOI</w:t>
      </w:r>
      <w:r>
        <w:rPr>
          <w:rFonts w:ascii="Times New Roman" w:hAnsi="Times New Roman"/>
          <w:sz w:val="20"/>
        </w:rPr>
        <w:t>) regarding the conflict minerals included in such products during the Reporting Period, which the Company refers to as the </w:t>
      </w:r>
      <w:r>
        <w:rPr>
          <w:rFonts w:ascii="Times New Roman" w:hAnsi="Times New Roman"/>
          <w:b/>
          <w:i/>
          <w:sz w:val="20"/>
        </w:rPr>
        <w:t>Subject Minerals</w:t>
      </w:r>
      <w:r>
        <w:rPr>
          <w:rFonts w:ascii="Times New Roman" w:hAnsi="Times New Roman"/>
          <w:sz w:val="20"/>
        </w:rPr>
        <w:t xml:space="preserve">,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the Companys additional due diligence regarding the sources of such Subject Minerals, are contained in this Report, which is publicly available at </w:t>
      </w:r>
      <w:r>
        <w:rPr>
          <w:rFonts w:ascii="Times New Roman" w:hAnsi="Times New Roman"/>
          <w:i/>
          <w:sz w:val="20"/>
        </w:rPr>
        <w:t>https://www.magnachip.com/about-us/corporate-responsibility/sustainability/conflict-mineral/</w:t>
      </w:r>
      <w:r>
        <w:rPr>
          <w:rFonts w:ascii="Times New Roman" w:hAnsi="Times New Roman"/>
          <w:sz w:val="20"/>
        </w:rPr>
        <w:t xml:space="preserve">. The content on, or accessible through, any web site referred to in this Report is not incorporated by reference into this Report unless expressly noted. </w:t>
      </w:r>
    </w:p>
    <w:p>
      <w:pPr>
        <w:pStyle w:val="TextBody"/>
        <w:spacing w:before="360" w:after="0"/>
        <w:jc w:val="left"/>
        <w:rPr>
          <w:rFonts w:ascii="Times New Roman" w:hAnsi="Times New Roman"/>
          <w:b/>
          <w:sz w:val="20"/>
        </w:rPr>
      </w:pPr>
      <w:r>
        <w:rPr>
          <w:rFonts w:ascii="Times New Roman" w:hAnsi="Times New Roman"/>
          <w:b/>
          <w:sz w:val="20"/>
        </w:rPr>
        <w:t xml:space="preserve">1. </w:t>
      </w:r>
      <w:r>
        <w:rPr>
          <w:rFonts w:ascii="Times New Roman" w:hAnsi="Times New Roman"/>
          <w:b/>
          <w:sz w:val="20"/>
          <w:u w:val="single"/>
        </w:rPr>
        <w:t>RCOI and Due Diligence Process</w:t>
      </w:r>
      <w:r>
        <w:rPr>
          <w:rFonts w:ascii="Times New Roman" w:hAnsi="Times New Roman"/>
          <w:b/>
          <w:sz w:val="20"/>
        </w:rPr>
        <w:t xml:space="preserve">. </w:t>
      </w:r>
    </w:p>
    <w:p>
      <w:pPr>
        <w:pStyle w:val="TextBody"/>
        <w:spacing w:before="120" w:after="0"/>
        <w:jc w:val="left"/>
        <w:rPr>
          <w:rFonts w:ascii="Times New Roman" w:hAnsi="Times New Roman"/>
          <w:sz w:val="20"/>
        </w:rPr>
      </w:pPr>
      <w:r>
        <w:rPr>
          <w:rFonts w:ascii="Times New Roman" w:hAnsi="Times New Roman"/>
          <w:sz w:val="20"/>
        </w:rPr>
        <w:t>The Company has conducted a good faith RCOI regarding the Subject Minerals. This good faith RCOI was reasonably designed to determine whether any of the Subject Minerals originated in the Covered Countries and whether any of the Subject Minerals may be from recycled or scrap sources, in accordance with Form SD and related guidance provided by the Securities and Exchange Commission (the </w:t>
      </w:r>
      <w:r>
        <w:rPr>
          <w:rFonts w:ascii="Times New Roman" w:hAnsi="Times New Roman"/>
          <w:b/>
          <w:i/>
          <w:sz w:val="20"/>
        </w:rPr>
        <w:t>SEC</w:t>
      </w:r>
      <w:r>
        <w:rPr>
          <w:rFonts w:ascii="Times New Roman" w:hAnsi="Times New Roman"/>
          <w:sz w:val="20"/>
        </w:rPr>
        <w:t>). The Company also exercised due diligence on the source of the Subject Minerals. The Companys due diligence measures have been designed to follow the framework in the Organization for Economic Co-operation and Development Due Diligence Guidance for Responsible Supply Chains of Minerals from Conflict-Affected and High Risk Areas, including the related supplements on gold, tin, tantalum and tungsten (the </w:t>
      </w:r>
      <w:r>
        <w:rPr>
          <w:rFonts w:ascii="Times New Roman" w:hAnsi="Times New Roman"/>
          <w:b/>
          <w:i/>
          <w:sz w:val="20"/>
        </w:rPr>
        <w:t>OECD Guidelines</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RCOI </w:t>
      </w:r>
    </w:p>
    <w:p>
      <w:pPr>
        <w:pStyle w:val="TextBody"/>
        <w:spacing w:before="120" w:after="0"/>
        <w:jc w:val="left"/>
        <w:rPr>
          <w:rFonts w:ascii="Times New Roman" w:hAnsi="Times New Roman"/>
          <w:sz w:val="20"/>
        </w:rPr>
      </w:pPr>
      <w:r>
        <w:rPr>
          <w:rFonts w:ascii="Times New Roman" w:hAnsi="Times New Roman"/>
          <w:sz w:val="20"/>
        </w:rPr>
        <w:t xml:space="preserve">The Companys global supply chain is complex. In the course of its business operations, the Company may purchase materials and components containing conflict minerals. These materials and components may, in turn, be included in the Companys products or products manufactured by the Company. Because the Company does not purchase conflict minerals directly from mines, smelters or refiners, there are many third parties in the supply chain between the Company and the original sources of conflict minerals. As a result, the Company relies on its suppliers and outsourcing manufacturers to provide information regarding the origin of any conflict minerals that are included in its products. In accordance with the OECD Guidelines and related guidance provided by the SEC, the Company worked with its suppliers and outsourcing manufacturers to identify, where possible, the smelters and countries of origin of the Subject Minerals. </w:t>
      </w:r>
    </w:p>
    <w:p>
      <w:pPr>
        <w:pStyle w:val="TextBody"/>
        <w:spacing w:before="240" w:after="0"/>
        <w:jc w:val="left"/>
        <w:rPr>
          <w:rFonts w:ascii="Times New Roman" w:hAnsi="Times New Roman"/>
          <w:sz w:val="20"/>
        </w:rPr>
      </w:pPr>
      <w:r>
        <w:rPr>
          <w:rFonts w:ascii="Times New Roman" w:hAnsi="Times New Roman"/>
          <w:sz w:val="20"/>
        </w:rPr>
        <w:t>During the Reporting Period, the Company worked to identify its Tier 1 suppliers and outsourcing manufacturers that it believed could potentially provide materials or components containing Subject Minerals (collectively, the </w:t>
      </w:r>
      <w:r>
        <w:rPr>
          <w:rFonts w:ascii="Times New Roman" w:hAnsi="Times New Roman"/>
          <w:b/>
          <w:i/>
          <w:sz w:val="20"/>
        </w:rPr>
        <w:t>Covered Suppliers</w:t>
      </w:r>
      <w:r>
        <w:rPr>
          <w:rFonts w:ascii="Times New Roman" w:hAnsi="Times New Roman"/>
          <w:sz w:val="20"/>
        </w:rPr>
        <w:t>) as part of its RCOI. The Company focused on its suppliers providing materials or components for products that the Company identified as containing Subject Minerals and all of its outsourcing manufacturers. During the Reporting Period, the Company asked the Covered Suppliers to complete and return the Conflict Minerals Reporting Template (</w:t>
      </w:r>
      <w:r>
        <w:rPr>
          <w:rFonts w:ascii="Times New Roman" w:hAnsi="Times New Roman"/>
          <w:b/>
          <w:i/>
          <w:sz w:val="20"/>
        </w:rPr>
        <w:t>CMRT</w:t>
      </w:r>
      <w:r>
        <w:rPr>
          <w:rFonts w:ascii="Times New Roman" w:hAnsi="Times New Roman"/>
          <w:sz w:val="20"/>
        </w:rPr>
        <w:t xml:space="preserve"> ) that was developed by the Responsible Minerals Initiative (formerly the Conflict-Free Sourcing Initiative) (the </w:t>
      </w:r>
      <w:r>
        <w:rPr>
          <w:rFonts w:ascii="Times New Roman" w:hAnsi="Times New Roman"/>
          <w:b/>
          <w:i/>
          <w:sz w:val="20"/>
        </w:rPr>
        <w:t>RMI</w:t>
      </w:r>
      <w:r>
        <w:rPr>
          <w:rFonts w:ascii="Times New Roman" w:hAnsi="Times New Roman"/>
          <w:sz w:val="20"/>
        </w:rPr>
        <w:t>). The RMI was founded by the Responsible Business Alliance (RBA) (formerly the Electronic Industry Citizenship Coalition) and the Global e-Sustainability Initiative (GeSI) and has grown into a multi-industry initiative addressing conflict mineral issues in the supply chain. The CMRT is a widely-used standard form to collect information through the supply chain, including the names of smelters and refiners of conflict minerals. The RMIs Responsible Minerals Assurance Process (formerly the Conflict-Free Smelter Program) (the </w:t>
      </w:r>
      <w:r>
        <w:rPr>
          <w:rFonts w:ascii="Times New Roman" w:hAnsi="Times New Roman"/>
          <w:b/>
          <w:i/>
          <w:sz w:val="20"/>
        </w:rPr>
        <w:t>RMAP</w:t>
      </w:r>
      <w:r>
        <w:rPr>
          <w:rFonts w:ascii="Times New Roman" w:hAnsi="Times New Roman"/>
          <w:sz w:val="20"/>
        </w:rPr>
        <w:t xml:space="preserve">) sponsors independent third-party audits of smelters and refiners of conflict minerals which determine the country of origin of minerals processed through those smelters and refiners. </w:t>
      </w:r>
    </w:p>
    <w:p>
      <w:pPr>
        <w:pStyle w:val="TextBody"/>
        <w:spacing w:before="240" w:after="0"/>
        <w:jc w:val="left"/>
        <w:rPr>
          <w:rFonts w:ascii="Times New Roman" w:hAnsi="Times New Roman"/>
          <w:sz w:val="20"/>
        </w:rPr>
      </w:pPr>
      <w:r>
        <w:rPr>
          <w:rFonts w:ascii="Times New Roman" w:hAnsi="Times New Roman"/>
          <w:sz w:val="20"/>
        </w:rPr>
        <w:t xml:space="preserve">Using a risk-based approach, the Company evaluated responses from the Covered Suppliers for plausibility, consistency, and gaps both in terms of which materials or components were stated to contain or not contain Subject Minerals, as well as the origin of those Subject Minerals.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The Company obtained representations from all of its Covered Suppliers, including completed CMRTs indicating the facilities at which the Subject Minerals were processed. Based on the information obtained pursuant to the RCOI process described above, however, the Company does not have sufficient information with respect to the Reporting Period to determine with specificity the country of origin of the Subject Minerals contained in the products. The Companys RCOI procedures are an evolving process. See Additional Due Diligence and Risk Mitigation below for additional detail. </w:t>
      </w:r>
    </w:p>
    <w:p>
      <w:pPr>
        <w:pStyle w:val="TextBody"/>
        <w:spacing w:before="360" w:after="0"/>
        <w:jc w:val="left"/>
        <w:rPr>
          <w:rFonts w:ascii="Times New Roman" w:hAnsi="Times New Roman"/>
          <w:b/>
          <w:sz w:val="20"/>
        </w:rPr>
      </w:pPr>
      <w:r>
        <w:rPr>
          <w:rFonts w:ascii="Times New Roman" w:hAnsi="Times New Roman"/>
          <w:b/>
          <w:sz w:val="20"/>
        </w:rPr>
        <w:t xml:space="preserve">Due Diligence </w:t>
      </w:r>
    </w:p>
    <w:p>
      <w:pPr>
        <w:pStyle w:val="TextBody"/>
        <w:spacing w:before="120" w:after="0"/>
        <w:jc w:val="left"/>
        <w:rPr>
          <w:rFonts w:ascii="Times New Roman" w:hAnsi="Times New Roman"/>
          <w:sz w:val="20"/>
        </w:rPr>
      </w:pPr>
      <w:r>
        <w:rPr>
          <w:rFonts w:ascii="Times New Roman" w:hAnsi="Times New Roman"/>
          <w:sz w:val="20"/>
        </w:rPr>
        <w:t xml:space="preserve">The Companys due diligence process is designed to follow the OECD Guidelines. Due diligence measures undertaken by the Company during the Reporting Period included the following: </w:t>
      </w:r>
    </w:p>
    <w:p>
      <w:pPr>
        <w:pStyle w:val="TextBody"/>
        <w:spacing w:before="120" w:after="0"/>
        <w:jc w:val="left"/>
        <w:rPr>
          <w:rFonts w:ascii="Times New Roman" w:hAnsi="Times New Roman"/>
          <w:b/>
          <w:i/>
          <w:sz w:val="20"/>
        </w:rPr>
      </w:pPr>
      <w:r>
        <w:rPr>
          <w:rFonts w:ascii="Times New Roman" w:hAnsi="Times New Roman"/>
          <w:b/>
          <w:i/>
          <w:sz w:val="20"/>
        </w:rPr>
        <w:t xml:space="preserve">Establish Strong Company Management Systems </w:t>
      </w:r>
    </w:p>
    <w:p>
      <w:pPr>
        <w:pStyle w:val="TextBody"/>
        <w:spacing w:before="120" w:after="0"/>
        <w:jc w:val="left"/>
        <w:rPr>
          <w:rFonts w:ascii="Times New Roman" w:hAnsi="Times New Roman"/>
          <w:i/>
          <w:sz w:val="20"/>
        </w:rPr>
      </w:pPr>
      <w:r>
        <w:rPr>
          <w:rFonts w:ascii="Times New Roman" w:hAnsi="Times New Roman"/>
          <w:i/>
          <w:sz w:val="20"/>
        </w:rPr>
        <w:t xml:space="preserve">Internal Team to Support Supply Chain Due Diligence. </w:t>
      </w:r>
    </w:p>
    <w:p>
      <w:pPr>
        <w:pStyle w:val="TextBody"/>
        <w:spacing w:before="120" w:after="0"/>
        <w:jc w:val="left"/>
        <w:rPr>
          <w:rFonts w:ascii="Times New Roman" w:hAnsi="Times New Roman"/>
          <w:sz w:val="20"/>
        </w:rPr>
      </w:pPr>
      <w:r>
        <w:rPr>
          <w:rFonts w:ascii="Times New Roman" w:hAnsi="Times New Roman"/>
          <w:sz w:val="20"/>
        </w:rPr>
        <w:t xml:space="preserve">The Company has an internal team, consisting of members from its supply management and legal departments, to manage conflict minerals engagement with its suppliers and outsourcing manufacturers. This team is charged with overseeing and driving conflict minerals compliance. This team also works with the Companys other employees to provide training and guidance, receive and track responses and facilitate communication between departments with respect to compliance with the SECs reporting requirements regarding conflict minerals. </w:t>
      </w:r>
    </w:p>
    <w:p>
      <w:pPr>
        <w:pStyle w:val="TextBody"/>
        <w:spacing w:before="240" w:after="0"/>
        <w:jc w:val="left"/>
        <w:rPr>
          <w:rFonts w:ascii="Times New Roman" w:hAnsi="Times New Roman"/>
          <w:i/>
          <w:sz w:val="20"/>
        </w:rPr>
      </w:pPr>
      <w:r>
        <w:rPr>
          <w:rFonts w:ascii="Times New Roman" w:hAnsi="Times New Roman"/>
          <w:i/>
          <w:sz w:val="20"/>
        </w:rPr>
        <w:t xml:space="preserve">Internal Policy Developed to Establish Expectations of Suppliers. </w:t>
      </w:r>
    </w:p>
    <w:p>
      <w:pPr>
        <w:pStyle w:val="TextBody"/>
        <w:spacing w:before="120" w:after="0"/>
        <w:jc w:val="left"/>
        <w:rPr>
          <w:rFonts w:ascii="Times New Roman" w:hAnsi="Times New Roman"/>
          <w:sz w:val="20"/>
        </w:rPr>
      </w:pPr>
      <w:r>
        <w:rPr>
          <w:rFonts w:ascii="Times New Roman" w:hAnsi="Times New Roman"/>
          <w:sz w:val="20"/>
        </w:rPr>
        <w:t xml:space="preserve">The Company has adopted and published a position statement establishing the expectations of its suppliers and outsourcing manufacturers to responsibly source products on a conflict-free basis. The position statement can be found on the Companys website at </w:t>
      </w:r>
      <w:r>
        <w:rPr>
          <w:rFonts w:ascii="Times New Roman" w:hAnsi="Times New Roman"/>
          <w:i/>
          <w:sz w:val="20"/>
        </w:rPr>
        <w:t>https://www.magnachip.com/about-us/corporate-responsibility/social-responsibility/ethics-and-compliances/</w:t>
      </w:r>
      <w:r>
        <w:rPr>
          <w:rFonts w:ascii="Times New Roman" w:hAnsi="Times New Roman"/>
          <w:sz w:val="20"/>
        </w:rPr>
        <w:t>. The Companys position statement will be periodically reviewed and updated as needed. The Companys internal conflict minerals team also continually evaluates its supply agreements and purchasing procedures to determine whether additional contractual or other means of implementing the Companys policy should be adopted as described below under </w:t>
      </w:r>
      <w:r>
        <w:rPr>
          <w:rFonts w:ascii="Times New Roman" w:hAnsi="Times New Roman"/>
          <w:i/>
          <w:sz w:val="20"/>
        </w:rPr>
        <w:t>Additional Due Diligence and Risk Mitigation</w:t>
      </w:r>
      <w:r>
        <w:rPr>
          <w:rFonts w:ascii="Times New Roman" w:hAnsi="Times New Roman"/>
          <w:sz w:val="20"/>
        </w:rPr>
        <w:t xml:space="preserve">. </w:t>
      </w:r>
    </w:p>
    <w:p>
      <w:pPr>
        <w:pStyle w:val="TextBody"/>
        <w:spacing w:before="360" w:after="0"/>
        <w:jc w:val="left"/>
        <w:rPr>
          <w:rFonts w:ascii="Times New Roman" w:hAnsi="Times New Roman"/>
          <w:b/>
          <w:i/>
          <w:sz w:val="20"/>
        </w:rPr>
      </w:pPr>
      <w:r>
        <w:rPr>
          <w:rFonts w:ascii="Times New Roman" w:hAnsi="Times New Roman"/>
          <w:b/>
          <w:i/>
          <w:sz w:val="20"/>
        </w:rPr>
        <w:t xml:space="preserve">Identify and Assess Risks in the Supply Chain </w:t>
      </w:r>
    </w:p>
    <w:p>
      <w:pPr>
        <w:pStyle w:val="TextBody"/>
        <w:spacing w:before="120" w:after="0"/>
        <w:jc w:val="left"/>
        <w:rPr>
          <w:rFonts w:ascii="Times New Roman" w:hAnsi="Times New Roman"/>
          <w:sz w:val="20"/>
        </w:rPr>
      </w:pPr>
      <w:r>
        <w:rPr>
          <w:rFonts w:ascii="Times New Roman" w:hAnsi="Times New Roman"/>
          <w:sz w:val="20"/>
        </w:rPr>
        <w:t xml:space="preserve">The Company continues to assess its supply chain risks and work with its suppliers and outsourcing manufacturers in developing greater supply chain transparency. </w:t>
      </w:r>
    </w:p>
    <w:p>
      <w:pPr>
        <w:pStyle w:val="TextBody"/>
        <w:spacing w:before="360" w:after="0"/>
        <w:jc w:val="left"/>
        <w:rPr>
          <w:rFonts w:ascii="Times New Roman" w:hAnsi="Times New Roman"/>
          <w:b/>
          <w:i/>
          <w:sz w:val="20"/>
        </w:rPr>
      </w:pPr>
      <w:r>
        <w:rPr>
          <w:rFonts w:ascii="Times New Roman" w:hAnsi="Times New Roman"/>
          <w:b/>
          <w:i/>
          <w:sz w:val="20"/>
        </w:rPr>
        <w:t xml:space="preserve">Design and Implement a Strategy to Respond to Identified Risks </w:t>
      </w:r>
    </w:p>
    <w:p>
      <w:pPr>
        <w:pStyle w:val="TextBody"/>
        <w:spacing w:before="120" w:after="0"/>
        <w:jc w:val="left"/>
        <w:rPr>
          <w:rFonts w:ascii="Times New Roman" w:hAnsi="Times New Roman"/>
          <w:sz w:val="20"/>
        </w:rPr>
      </w:pPr>
      <w:r>
        <w:rPr>
          <w:rFonts w:ascii="Times New Roman" w:hAnsi="Times New Roman"/>
          <w:sz w:val="20"/>
        </w:rPr>
        <w:t xml:space="preserve">The Company is committed to maintaining high standards of corporate responsibility through its compliance with Form SD. As required by Form SD, the Company is reporting the findings of its RCOI and additional due diligence measures through the preparation of this Report. The Companys internal team that manages conflict minerals engagement with the Companys suppliers and outsourcing manufacturers also works to address any significant due diligence findings as they arise. </w:t>
      </w:r>
    </w:p>
    <w:p>
      <w:pPr>
        <w:pStyle w:val="TextBody"/>
        <w:spacing w:before="360" w:after="0"/>
        <w:jc w:val="left"/>
        <w:rPr>
          <w:rFonts w:ascii="Times New Roman" w:hAnsi="Times New Roman"/>
          <w:b/>
          <w:i/>
          <w:sz w:val="20"/>
        </w:rPr>
      </w:pPr>
      <w:r>
        <w:rPr>
          <w:rFonts w:ascii="Times New Roman" w:hAnsi="Times New Roman"/>
          <w:b/>
          <w:i/>
          <w:sz w:val="20"/>
        </w:rPr>
        <w:t xml:space="preserve">Carry Out Independent Third-Party Audit of Smelters / Refiners Due Diligence Practices </w:t>
      </w:r>
    </w:p>
    <w:p>
      <w:pPr>
        <w:pStyle w:val="TextBody"/>
        <w:spacing w:before="120" w:after="0"/>
        <w:jc w:val="left"/>
        <w:rPr>
          <w:rFonts w:ascii="Times New Roman" w:hAnsi="Times New Roman"/>
          <w:sz w:val="20"/>
        </w:rPr>
      </w:pPr>
      <w:r>
        <w:rPr>
          <w:rFonts w:ascii="Times New Roman" w:hAnsi="Times New Roman"/>
          <w:sz w:val="20"/>
        </w:rPr>
        <w:t>Where possible, the Company has relied on third party assurances and certifications. For example, the Company accepts as reliable any smelter that is a member of the RMAP (in this Report, we refer to RMAP-conformant smelters as </w:t>
      </w:r>
      <w:r>
        <w:rPr>
          <w:rFonts w:ascii="Times New Roman" w:hAnsi="Times New Roman"/>
          <w:b/>
          <w:i/>
          <w:sz w:val="20"/>
        </w:rPr>
        <w:t>Members</w:t>
      </w:r>
      <w:r>
        <w:rPr>
          <w:rFonts w:ascii="Times New Roman" w:hAnsi="Times New Roman"/>
          <w:sz w:val="20"/>
        </w:rPr>
        <w:t xml:space="preserve">). </w:t>
      </w:r>
    </w:p>
    <w:p>
      <w:pPr>
        <w:pStyle w:val="TextBody"/>
        <w:spacing w:before="360" w:after="0"/>
        <w:jc w:val="left"/>
        <w:rPr>
          <w:rFonts w:ascii="Times New Roman" w:hAnsi="Times New Roman"/>
          <w:b/>
          <w:i/>
          <w:sz w:val="20"/>
        </w:rPr>
      </w:pPr>
      <w:r>
        <w:rPr>
          <w:rFonts w:ascii="Times New Roman" w:hAnsi="Times New Roman"/>
          <w:b/>
          <w:i/>
          <w:sz w:val="20"/>
        </w:rPr>
        <w:t xml:space="preserve">Report Annually on Supply Chain Due Diligence </w:t>
      </w:r>
    </w:p>
    <w:p>
      <w:pPr>
        <w:pStyle w:val="TextBody"/>
        <w:spacing w:before="120" w:after="0"/>
        <w:jc w:val="left"/>
        <w:rPr>
          <w:rFonts w:ascii="Times New Roman" w:hAnsi="Times New Roman"/>
          <w:sz w:val="20"/>
        </w:rPr>
      </w:pPr>
      <w:r>
        <w:rPr>
          <w:rFonts w:ascii="Times New Roman" w:hAnsi="Times New Roman"/>
          <w:sz w:val="20"/>
        </w:rPr>
        <w:t xml:space="preserve">This Report is publicly available at </w:t>
      </w:r>
      <w:r>
        <w:rPr>
          <w:rFonts w:ascii="Times New Roman" w:hAnsi="Times New Roman"/>
          <w:i/>
          <w:sz w:val="20"/>
        </w:rPr>
        <w:t xml:space="preserve">https://www.magnachip.com/about-us/corporate-responsibility/sustainability/conflict-mineral/ </w:t>
      </w:r>
      <w:r>
        <w:rPr>
          <w:rFonts w:ascii="Times New Roman" w:hAnsi="Times New Roman"/>
          <w:sz w:val="20"/>
        </w:rPr>
        <w:t xml:space="preserve">and meets the OECD recommendation to report annually on supply chain due diligence.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2. </w:t>
      </w:r>
      <w:r>
        <w:rPr>
          <w:rFonts w:ascii="Times New Roman" w:hAnsi="Times New Roman"/>
          <w:b/>
          <w:sz w:val="20"/>
          <w:u w:val="single"/>
        </w:rPr>
        <w:t>Due Diligence Results</w:t>
      </w:r>
      <w:r>
        <w:rPr>
          <w:rFonts w:ascii="Times New Roman" w:hAnsi="Times New Roman"/>
          <w:b/>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Based solely on the information obtained pursuant to the RCOI and due diligence process described above, including review of CMRTs completed by the Covered Suppliers in 2022, the Companys Covered Suppliers reported that all of them solely used Members for the Companys products. However, the Company does not have sufficient information, with respect to the Reporting Period, to determine the known country of origin of the Subject Minerals because certain of the Covered Suppliers did not provide country of origin information for several smelters and refiners that those Covered Suppliers identified as being Members. Therefore, the Company is not able to determine that the Subject Minerals in the Companys products came from recycled or scrap sources or did not come from the Covered Countries. </w:t>
      </w:r>
    </w:p>
    <w:p>
      <w:pPr>
        <w:pStyle w:val="TextBody"/>
        <w:spacing w:before="240" w:after="0"/>
        <w:jc w:val="left"/>
        <w:rPr>
          <w:rFonts w:ascii="Times New Roman" w:hAnsi="Times New Roman"/>
          <w:sz w:val="20"/>
        </w:rPr>
      </w:pPr>
      <w:r>
        <w:rPr>
          <w:rFonts w:ascii="Times New Roman" w:hAnsi="Times New Roman"/>
          <w:sz w:val="20"/>
        </w:rPr>
        <w:t>Any Covered Suppliers failure to identify a specific facility/smelter and/or country of origin with respect to the Companys products at any point in its supply chain will drive an equivalent response for the Company and, therefore, the Company is unable to report a complete list of facilities/smelters and/or countries of origin for the Subject Minerals at this time. The Company has, however, included in this Report a list of facilities that may have been used to process the Subject Minerals in the Companys products as reported by the Covered Suppliers in their completed CMRTs, as noted in </w:t>
      </w:r>
      <w:r>
        <w:rPr>
          <w:rFonts w:ascii="Times New Roman" w:hAnsi="Times New Roman"/>
          <w:i/>
          <w:sz w:val="20"/>
        </w:rPr>
        <w:t>Facilities Used to Process Subject Minerals and Country of Origin</w:t>
      </w:r>
      <w:r>
        <w:rPr>
          <w:rFonts w:ascii="Times New Roman" w:hAnsi="Times New Roman"/>
          <w:sz w:val="20"/>
        </w:rPr>
        <w:t xml:space="preserve"> below. </w:t>
      </w:r>
    </w:p>
    <w:p>
      <w:pPr>
        <w:pStyle w:val="TextBody"/>
        <w:spacing w:before="240" w:after="0"/>
        <w:jc w:val="left"/>
        <w:rPr>
          <w:rFonts w:ascii="Times New Roman" w:hAnsi="Times New Roman"/>
          <w:sz w:val="20"/>
        </w:rPr>
      </w:pPr>
      <w:r>
        <w:rPr>
          <w:rFonts w:ascii="Times New Roman" w:hAnsi="Times New Roman"/>
          <w:sz w:val="20"/>
        </w:rPr>
        <w:t>The Company expects to continue to implement and refine its conflict minerals program to improve its supply chain transparency by seeking more accurate and more complete information from its suppliers and outsourcing manufacturers. See </w:t>
      </w:r>
      <w:r>
        <w:rPr>
          <w:rFonts w:ascii="Times New Roman" w:hAnsi="Times New Roman"/>
          <w:i/>
          <w:sz w:val="20"/>
        </w:rPr>
        <w:t>Additional Due Diligence and Risk Mitigation</w:t>
      </w:r>
      <w:r>
        <w:rPr>
          <w:rFonts w:ascii="Times New Roman" w:hAnsi="Times New Roman"/>
          <w:sz w:val="20"/>
        </w:rPr>
        <w:t xml:space="preserve"> below for additional detail. </w:t>
      </w:r>
    </w:p>
    <w:p>
      <w:pPr>
        <w:pStyle w:val="TextBody"/>
        <w:spacing w:before="360" w:after="0"/>
        <w:jc w:val="left"/>
        <w:rPr>
          <w:rFonts w:ascii="Times New Roman" w:hAnsi="Times New Roman"/>
          <w:b/>
          <w:sz w:val="20"/>
        </w:rPr>
      </w:pPr>
      <w:r>
        <w:rPr>
          <w:rFonts w:ascii="Times New Roman" w:hAnsi="Times New Roman"/>
          <w:b/>
          <w:sz w:val="20"/>
        </w:rPr>
        <w:t xml:space="preserve">3. </w:t>
      </w:r>
      <w:r>
        <w:rPr>
          <w:rFonts w:ascii="Times New Roman" w:hAnsi="Times New Roman"/>
          <w:b/>
          <w:sz w:val="20"/>
          <w:u w:val="single"/>
        </w:rPr>
        <w:t>Additional Due Diligence and Risk Mitigation</w:t>
      </w:r>
      <w:r>
        <w:rPr>
          <w:rFonts w:ascii="Times New Roman" w:hAnsi="Times New Roman"/>
          <w:b/>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The Company expects to take the following steps, among others, to improve its RCOI process and due diligence measures: </w:t>
      </w:r>
    </w:p>
    <w:p>
      <w:pPr>
        <w:pStyle w:val="TextBody"/>
        <w:spacing w:before="360" w:after="0"/>
        <w:jc w:val="left"/>
        <w:rPr>
          <w:rFonts w:ascii="Times New Roman" w:hAnsi="Times New Roman"/>
          <w:b/>
          <w:i/>
          <w:sz w:val="20"/>
        </w:rPr>
      </w:pPr>
      <w:r>
        <w:rPr>
          <w:rFonts w:ascii="Times New Roman" w:hAnsi="Times New Roman"/>
          <w:b/>
          <w:i/>
          <w:sz w:val="20"/>
        </w:rPr>
        <w:t xml:space="preserve">Additional Terms and Conditions / Supplier Code of Conduct </w:t>
      </w:r>
    </w:p>
    <w:p>
      <w:pPr>
        <w:pStyle w:val="TextBody"/>
        <w:spacing w:before="120" w:after="0"/>
        <w:jc w:val="left"/>
        <w:rPr>
          <w:rFonts w:ascii="Times New Roman" w:hAnsi="Times New Roman"/>
          <w:sz w:val="20"/>
        </w:rPr>
      </w:pPr>
      <w:r>
        <w:rPr>
          <w:rFonts w:ascii="Times New Roman" w:hAnsi="Times New Roman"/>
          <w:sz w:val="20"/>
        </w:rPr>
        <w:t xml:space="preserve">Within the Companys supplier relationships, the Company seeks to manage its sourcing processes ethically, and to hold the Company, its suppliers, and its outsourcing manufacturers to high standards of behavior. This means that the Company is committed to working with its suppliers and outsourcing manufacturers to encourage responsible practices throughout the supply network. The Company continually works to strengthen its commitment to the responsible sourcing of conflict minerals, including by using the Companys purchasing power and relationships to influence its suppliers and outsourcing manufacturers, and evaluating the use of specific terms and conditions in certain supply agreements and purchase orders. For example, the Company includes in its purchase order form a request that the supplier declare that all products supplied to the Company do not contain Subject Minerals that originate from the Covered Countries and that the supplier does not use smelters that have not been validated to be conflict free. The Company has also required certifications from its suppliers and outsourcing manufacturers that they will adhere to the Companys conflict minerals policy and assist in its reporting requirements. The Company expects to continue to refine, develop and implement specific terms, conditions and expectations with its suppliers and outsourcing manufacturers that require, among other matters, that no materials or components supplied or manufactured on behalf of the Company contain any conflict minerals that directly or indirectly finance any armed group that has been identified as a perpetrator of human rights abuses. </w:t>
      </w:r>
    </w:p>
    <w:p>
      <w:pPr>
        <w:pStyle w:val="TextBody"/>
        <w:spacing w:before="360" w:after="0"/>
        <w:jc w:val="left"/>
        <w:rPr>
          <w:rFonts w:ascii="Times New Roman" w:hAnsi="Times New Roman"/>
          <w:b/>
          <w:i/>
          <w:sz w:val="20"/>
        </w:rPr>
      </w:pPr>
      <w:r>
        <w:rPr>
          <w:rFonts w:ascii="Times New Roman" w:hAnsi="Times New Roman"/>
          <w:b/>
          <w:i/>
          <w:sz w:val="20"/>
        </w:rPr>
        <w:t xml:space="preserve">Continuous Improvement of Supply Chain Due Diligence </w:t>
      </w:r>
    </w:p>
    <w:p>
      <w:pPr>
        <w:pStyle w:val="TextBody"/>
        <w:spacing w:before="120" w:after="0"/>
        <w:jc w:val="left"/>
        <w:rPr>
          <w:rFonts w:ascii="Times New Roman" w:hAnsi="Times New Roman"/>
          <w:sz w:val="20"/>
        </w:rPr>
      </w:pPr>
      <w:r>
        <w:rPr>
          <w:rFonts w:ascii="Times New Roman" w:hAnsi="Times New Roman"/>
          <w:sz w:val="20"/>
        </w:rPr>
        <w:t xml:space="preserve">The Company continually seeks to improve its supply chain due diligence efforts. Such measures may include, but are not limited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7"/>
        <w:gridCol w:w="105"/>
        <w:gridCol w:w="9591"/>
      </w:tblGrid>
      <w:tr>
        <w:trPr/>
        <w:tc>
          <w:tcPr>
            <w:tcW w:w="526" w:type="dxa"/>
            <w:tcBorders/>
            <w:shd w:fill="auto" w:val="clear"/>
            <w:vAlign w:val="center"/>
          </w:tcPr>
          <w:p>
            <w:pPr>
              <w:pStyle w:val="TableContents"/>
              <w:spacing w:before="0" w:after="283"/>
              <w:rPr/>
            </w:pPr>
            <w:r>
              <w:rPr/>
              <w:t> </w:t>
            </w:r>
          </w:p>
        </w:tc>
        <w:tc>
          <w:tcPr>
            <w:tcW w:w="317"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assessing the presence of conflict minerals in its supply chain;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clearly communicating expectations with regard to transparency of supplier sourcing of conflict minerals;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increasing the detail and transparency of responses received in the RCOI and due diligence process, including by continuing to request that suppliers provide CMRTs twice a year.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526"/>
        <w:gridCol w:w="316"/>
        <w:gridCol w:w="105"/>
        <w:gridCol w:w="9592"/>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5" w:type="dxa"/>
            <w:tcBorders/>
            <w:shd w:fill="auto" w:val="clear"/>
          </w:tcPr>
          <w:p>
            <w:pPr>
              <w:pStyle w:val="TableContents"/>
              <w:spacing w:before="0" w:after="283"/>
              <w:rPr/>
            </w:pPr>
            <w:r>
              <w:rPr/>
              <w:t> </w:t>
            </w:r>
          </w:p>
        </w:tc>
        <w:tc>
          <w:tcPr>
            <w:tcW w:w="95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continuing to compare RCOI and due diligence results to information collected via independent conflict free smelter validation programs such as the RMAP;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26"/>
        <w:gridCol w:w="316"/>
        <w:gridCol w:w="104"/>
        <w:gridCol w:w="9593"/>
      </w:tblGrid>
      <w:tr>
        <w:trPr/>
        <w:tc>
          <w:tcPr>
            <w:tcW w:w="526" w:type="dxa"/>
            <w:tcBorders/>
            <w:shd w:fill="auto" w:val="clear"/>
            <w:vAlign w:val="center"/>
          </w:tcPr>
          <w:p>
            <w:pPr>
              <w:pStyle w:val="TableContents"/>
              <w:spacing w:before="0" w:after="283"/>
              <w:rPr/>
            </w:pPr>
            <w:r>
              <w:rPr/>
              <w:t> </w:t>
            </w:r>
          </w:p>
        </w:tc>
        <w:tc>
          <w:tcPr>
            <w:tcW w:w="316"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5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contacting suppliers and outsourcing manufacturers regarding smelters identified as a result of the RCOI and due diligence process and request their participation in obtaining a conflict free designation from an industry program such as the RMAP. </w:t>
            </w:r>
          </w:p>
        </w:tc>
      </w:tr>
    </w:tbl>
    <w:p>
      <w:pPr>
        <w:pStyle w:val="TextBody"/>
        <w:spacing w:before="360" w:after="0"/>
        <w:jc w:val="left"/>
        <w:rPr>
          <w:rFonts w:ascii="Times New Roman" w:hAnsi="Times New Roman"/>
          <w:b/>
          <w:sz w:val="20"/>
        </w:rPr>
      </w:pPr>
      <w:r>
        <w:rPr>
          <w:rFonts w:ascii="Times New Roman" w:hAnsi="Times New Roman"/>
          <w:b/>
          <w:sz w:val="20"/>
        </w:rPr>
        <w:t xml:space="preserve">4. </w:t>
      </w:r>
      <w:r>
        <w:rPr>
          <w:rFonts w:ascii="Times New Roman" w:hAnsi="Times New Roman"/>
          <w:b/>
          <w:sz w:val="20"/>
          <w:u w:val="single"/>
        </w:rPr>
        <w:t>Facilities Used to Process Subject Minerals and Country of Origin</w:t>
      </w:r>
      <w:r>
        <w:rPr>
          <w:rFonts w:ascii="Times New Roman" w:hAnsi="Times New Roman"/>
          <w:b/>
          <w:sz w:val="20"/>
        </w:rPr>
        <w:t xml:space="preserve">. </w:t>
      </w:r>
    </w:p>
    <w:p>
      <w:pPr>
        <w:pStyle w:val="TextBody"/>
        <w:spacing w:before="120" w:after="0"/>
        <w:jc w:val="left"/>
        <w:rPr>
          <w:rFonts w:ascii="Times New Roman" w:hAnsi="Times New Roman"/>
          <w:sz w:val="20"/>
        </w:rPr>
      </w:pPr>
      <w:r>
        <w:rPr>
          <w:rFonts w:ascii="Times New Roman" w:hAnsi="Times New Roman"/>
          <w:sz w:val="20"/>
        </w:rPr>
        <w:t>Based on the information obtained pursuant to the RCOI and due diligence process described above, the Company does not have sufficient information, with respect to the Reporting Period, to determine the known country of origin of the Subject Minerals, or whether the Subject Minerals in its products are from recycled or scrap sources, for the reasons described above under </w:t>
      </w:r>
      <w:r>
        <w:rPr>
          <w:rFonts w:ascii="Times New Roman" w:hAnsi="Times New Roman"/>
          <w:i/>
          <w:sz w:val="20"/>
        </w:rPr>
        <w:t>Due Diligence Results</w:t>
      </w:r>
      <w:r>
        <w:rPr>
          <w:rFonts w:ascii="Times New Roman" w:hAnsi="Times New Roman"/>
          <w:sz w:val="20"/>
        </w:rPr>
        <w:t xml:space="preserve">. Based on the information provided by the Covered Suppliers in their completed CMRTs, however, the Company believes that facilities that may have been used to process the Subject Minerals in the Companys products during the Reporting Period include the following smelters and refiners.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685"/>
        <w:gridCol w:w="211"/>
        <w:gridCol w:w="5271"/>
        <w:gridCol w:w="210"/>
        <w:gridCol w:w="3162"/>
      </w:tblGrid>
      <w:tr>
        <w:trPr/>
        <w:tc>
          <w:tcPr>
            <w:tcW w:w="16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527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3162" w:type="dxa"/>
            <w:tcBorders/>
            <w:shd w:fill="auto" w:val="clear"/>
            <w:vAlign w:val="center"/>
          </w:tcPr>
          <w:p>
            <w:pPr>
              <w:pStyle w:val="TableContents"/>
              <w:spacing w:before="0" w:after="283"/>
              <w:rPr>
                <w:sz w:val="4"/>
                <w:szCs w:val="4"/>
              </w:rPr>
            </w:pPr>
            <w:r>
              <w:rPr>
                <w:sz w:val="4"/>
                <w:szCs w:val="4"/>
              </w:rPr>
            </w:r>
          </w:p>
        </w:tc>
      </w:tr>
      <w:tr>
        <w:trPr/>
        <w:tc>
          <w:tcPr>
            <w:tcW w:w="1685"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Subject Mineral</w:t>
            </w:r>
          </w:p>
        </w:tc>
        <w:tc>
          <w:tcPr>
            <w:tcW w:w="211" w:type="dxa"/>
            <w:tcBorders/>
            <w:shd w:fill="auto" w:val="clear"/>
            <w:vAlign w:val="bottom"/>
          </w:tcPr>
          <w:p>
            <w:pPr>
              <w:pStyle w:val="TableContents"/>
              <w:spacing w:before="0" w:after="283"/>
              <w:rPr/>
            </w:pPr>
            <w:r>
              <w:rPr/>
              <w:t>  </w:t>
            </w:r>
          </w:p>
        </w:tc>
        <w:tc>
          <w:tcPr>
            <w:tcW w:w="5271"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Smelter or Refiner Name</w:t>
            </w:r>
          </w:p>
        </w:tc>
        <w:tc>
          <w:tcPr>
            <w:tcW w:w="210" w:type="dxa"/>
            <w:tcBorders/>
            <w:shd w:fill="auto" w:val="clear"/>
            <w:vAlign w:val="bottom"/>
          </w:tcPr>
          <w:p>
            <w:pPr>
              <w:pStyle w:val="TableContents"/>
              <w:spacing w:before="0" w:after="283"/>
              <w:rPr/>
            </w:pPr>
            <w:r>
              <w:rPr/>
              <w:t>  </w:t>
            </w:r>
          </w:p>
        </w:tc>
        <w:tc>
          <w:tcPr>
            <w:tcW w:w="3162"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Country Location of</w:t>
            </w:r>
          </w:p>
          <w:p>
            <w:pPr>
              <w:pStyle w:val="TableContents"/>
              <w:spacing w:before="0" w:after="20"/>
              <w:jc w:val="center"/>
              <w:rPr>
                <w:rFonts w:ascii="Times New Roman" w:hAnsi="Times New Roman"/>
                <w:b/>
                <w:sz w:val="16"/>
              </w:rPr>
            </w:pPr>
            <w:r>
              <w:rPr>
                <w:rFonts w:ascii="Times New Roman" w:hAnsi="Times New Roman"/>
                <w:b/>
                <w:sz w:val="16"/>
              </w:rPr>
              <w:t>Smelter or Refiner</w:t>
            </w:r>
          </w:p>
        </w:tc>
      </w:tr>
      <w:tr>
        <w:trPr/>
        <w:tc>
          <w:tcPr>
            <w:tcW w:w="1685" w:type="dxa"/>
            <w:tcBorders/>
            <w:shd w:fill="auto" w:val="clear"/>
          </w:tcPr>
          <w:p>
            <w:pPr>
              <w:pStyle w:val="TableContents"/>
              <w:spacing w:before="0" w:after="283"/>
              <w:rPr/>
            </w:pPr>
            <w:r>
              <w:rPr/>
              <w:t>Gold</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Argor-Heraeus S.A.</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Switzerland</w:t>
            </w:r>
          </w:p>
        </w:tc>
      </w:tr>
      <w:tr>
        <w:trPr/>
        <w:tc>
          <w:tcPr>
            <w:tcW w:w="1685" w:type="dxa"/>
            <w:tcBorders/>
            <w:shd w:fill="auto" w:val="clear"/>
          </w:tcPr>
          <w:p>
            <w:pPr>
              <w:pStyle w:val="TableContents"/>
              <w:spacing w:before="0" w:after="283"/>
              <w:rPr/>
            </w:pPr>
            <w:r>
              <w:rPr/>
              <w:t>Gold</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Asahi Pretec Corp.</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Japan</w:t>
            </w:r>
          </w:p>
        </w:tc>
      </w:tr>
      <w:tr>
        <w:trPr/>
        <w:tc>
          <w:tcPr>
            <w:tcW w:w="1685" w:type="dxa"/>
            <w:tcBorders/>
            <w:shd w:fill="auto" w:val="clear"/>
          </w:tcPr>
          <w:p>
            <w:pPr>
              <w:pStyle w:val="TableContents"/>
              <w:spacing w:before="0" w:after="283"/>
              <w:rPr/>
            </w:pPr>
            <w:r>
              <w:rPr/>
              <w:t>Gold</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Heraeus Precious Metals GmbH &amp; Co. KG</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Germany</w:t>
            </w:r>
          </w:p>
        </w:tc>
      </w:tr>
      <w:tr>
        <w:trPr/>
        <w:tc>
          <w:tcPr>
            <w:tcW w:w="1685" w:type="dxa"/>
            <w:tcBorders/>
            <w:shd w:fill="auto" w:val="clear"/>
          </w:tcPr>
          <w:p>
            <w:pPr>
              <w:pStyle w:val="TableContents"/>
              <w:spacing w:before="0" w:after="283"/>
              <w:rPr/>
            </w:pPr>
            <w:r>
              <w:rPr/>
              <w:t>Gold</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Ishifuku Metal Industry Co., Ltd.</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Japan</w:t>
            </w:r>
          </w:p>
        </w:tc>
      </w:tr>
      <w:tr>
        <w:trPr/>
        <w:tc>
          <w:tcPr>
            <w:tcW w:w="1685" w:type="dxa"/>
            <w:tcBorders/>
            <w:shd w:fill="auto" w:val="clear"/>
          </w:tcPr>
          <w:p>
            <w:pPr>
              <w:pStyle w:val="TableContents"/>
              <w:spacing w:before="0" w:after="283"/>
              <w:rPr/>
            </w:pPr>
            <w:r>
              <w:rPr/>
              <w:t>Gold</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JX Nippon Mining &amp; Metals Co., Ltd.</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Japan</w:t>
            </w:r>
          </w:p>
        </w:tc>
      </w:tr>
      <w:tr>
        <w:trPr/>
        <w:tc>
          <w:tcPr>
            <w:tcW w:w="1685" w:type="dxa"/>
            <w:tcBorders/>
            <w:shd w:fill="auto" w:val="clear"/>
          </w:tcPr>
          <w:p>
            <w:pPr>
              <w:pStyle w:val="TableContents"/>
              <w:spacing w:before="0" w:after="283"/>
              <w:rPr/>
            </w:pPr>
            <w:r>
              <w:rPr/>
              <w:t>Gold</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LS-NIKKO Copper Inc.</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Korea, Republic Of</w:t>
            </w:r>
          </w:p>
        </w:tc>
      </w:tr>
      <w:tr>
        <w:trPr/>
        <w:tc>
          <w:tcPr>
            <w:tcW w:w="1685" w:type="dxa"/>
            <w:tcBorders/>
            <w:shd w:fill="auto" w:val="clear"/>
          </w:tcPr>
          <w:p>
            <w:pPr>
              <w:pStyle w:val="TableContents"/>
              <w:spacing w:before="0" w:after="283"/>
              <w:rPr/>
            </w:pPr>
            <w:r>
              <w:rPr/>
              <w:t>Gold</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Matsuda Sangyo Co., Ltd.</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Japan</w:t>
            </w:r>
          </w:p>
        </w:tc>
      </w:tr>
      <w:tr>
        <w:trPr/>
        <w:tc>
          <w:tcPr>
            <w:tcW w:w="1685" w:type="dxa"/>
            <w:tcBorders/>
            <w:shd w:fill="auto" w:val="clear"/>
          </w:tcPr>
          <w:p>
            <w:pPr>
              <w:pStyle w:val="TableContents"/>
              <w:spacing w:before="0" w:after="283"/>
              <w:rPr/>
            </w:pPr>
            <w:r>
              <w:rPr/>
              <w:t>Gold</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Metalor Technologies (Hong Kong) Ltd.</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China</w:t>
            </w:r>
          </w:p>
        </w:tc>
      </w:tr>
      <w:tr>
        <w:trPr/>
        <w:tc>
          <w:tcPr>
            <w:tcW w:w="1685" w:type="dxa"/>
            <w:tcBorders/>
            <w:shd w:fill="auto" w:val="clear"/>
          </w:tcPr>
          <w:p>
            <w:pPr>
              <w:pStyle w:val="TableContents"/>
              <w:spacing w:before="0" w:after="283"/>
              <w:rPr/>
            </w:pPr>
            <w:r>
              <w:rPr/>
              <w:t>Gold</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Metalor Technologies (Singapore) Pte., Ltd.</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Singapore</w:t>
            </w:r>
          </w:p>
        </w:tc>
      </w:tr>
      <w:tr>
        <w:trPr/>
        <w:tc>
          <w:tcPr>
            <w:tcW w:w="1685" w:type="dxa"/>
            <w:tcBorders/>
            <w:shd w:fill="auto" w:val="clear"/>
          </w:tcPr>
          <w:p>
            <w:pPr>
              <w:pStyle w:val="TableContents"/>
              <w:spacing w:before="0" w:after="283"/>
              <w:rPr/>
            </w:pPr>
            <w:r>
              <w:rPr/>
              <w:t>Gold</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Metalor Technologies S.A.</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Switzerland</w:t>
            </w:r>
          </w:p>
        </w:tc>
      </w:tr>
      <w:tr>
        <w:trPr/>
        <w:tc>
          <w:tcPr>
            <w:tcW w:w="1685" w:type="dxa"/>
            <w:tcBorders/>
            <w:shd w:fill="auto" w:val="clear"/>
          </w:tcPr>
          <w:p>
            <w:pPr>
              <w:pStyle w:val="TableContents"/>
              <w:spacing w:before="0" w:after="283"/>
              <w:rPr/>
            </w:pPr>
            <w:r>
              <w:rPr/>
              <w:t>Gold</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Mitsubishi Materials Corporation</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Japan</w:t>
            </w:r>
          </w:p>
        </w:tc>
      </w:tr>
      <w:tr>
        <w:trPr/>
        <w:tc>
          <w:tcPr>
            <w:tcW w:w="1685" w:type="dxa"/>
            <w:tcBorders/>
            <w:shd w:fill="auto" w:val="clear"/>
          </w:tcPr>
          <w:p>
            <w:pPr>
              <w:pStyle w:val="TableContents"/>
              <w:spacing w:before="0" w:after="283"/>
              <w:rPr/>
            </w:pPr>
            <w:r>
              <w:rPr/>
              <w:t>Gold</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Mitsui Mining and Smelting Co., Ltd.</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Japan</w:t>
            </w:r>
          </w:p>
        </w:tc>
      </w:tr>
      <w:tr>
        <w:trPr/>
        <w:tc>
          <w:tcPr>
            <w:tcW w:w="1685" w:type="dxa"/>
            <w:tcBorders/>
            <w:shd w:fill="auto" w:val="clear"/>
          </w:tcPr>
          <w:p>
            <w:pPr>
              <w:pStyle w:val="TableContents"/>
              <w:spacing w:before="0" w:after="283"/>
              <w:rPr/>
            </w:pPr>
            <w:r>
              <w:rPr/>
              <w:t>Gold</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Nihon Material Co., Ltd.</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Japan</w:t>
            </w:r>
          </w:p>
        </w:tc>
      </w:tr>
      <w:tr>
        <w:trPr/>
        <w:tc>
          <w:tcPr>
            <w:tcW w:w="1685" w:type="dxa"/>
            <w:tcBorders/>
            <w:shd w:fill="auto" w:val="clear"/>
          </w:tcPr>
          <w:p>
            <w:pPr>
              <w:pStyle w:val="TableContents"/>
              <w:spacing w:before="0" w:after="283"/>
              <w:rPr/>
            </w:pPr>
            <w:r>
              <w:rPr/>
              <w:t>Gold</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Shandong Zhaojin Gold &amp; Silver Refinery Co., Ltd.</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China</w:t>
            </w:r>
          </w:p>
        </w:tc>
      </w:tr>
      <w:tr>
        <w:trPr/>
        <w:tc>
          <w:tcPr>
            <w:tcW w:w="1685" w:type="dxa"/>
            <w:tcBorders/>
            <w:shd w:fill="auto" w:val="clear"/>
          </w:tcPr>
          <w:p>
            <w:pPr>
              <w:pStyle w:val="TableContents"/>
              <w:spacing w:before="0" w:after="283"/>
              <w:rPr/>
            </w:pPr>
            <w:r>
              <w:rPr/>
              <w:t>Gold</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Sumitomo Metal Mining Co., Ltd.</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Japan</w:t>
            </w:r>
          </w:p>
        </w:tc>
      </w:tr>
      <w:tr>
        <w:trPr/>
        <w:tc>
          <w:tcPr>
            <w:tcW w:w="1685" w:type="dxa"/>
            <w:tcBorders/>
            <w:shd w:fill="auto" w:val="clear"/>
          </w:tcPr>
          <w:p>
            <w:pPr>
              <w:pStyle w:val="TableContents"/>
              <w:spacing w:before="0" w:after="283"/>
              <w:rPr/>
            </w:pPr>
            <w:r>
              <w:rPr/>
              <w:t>Gold</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Tanaka Kikinzoku Kogyo K.K</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Japan</w:t>
            </w:r>
          </w:p>
        </w:tc>
      </w:tr>
      <w:tr>
        <w:trPr/>
        <w:tc>
          <w:tcPr>
            <w:tcW w:w="1685" w:type="dxa"/>
            <w:tcBorders/>
            <w:shd w:fill="auto" w:val="clear"/>
          </w:tcPr>
          <w:p>
            <w:pPr>
              <w:pStyle w:val="TableContents"/>
              <w:spacing w:before="0" w:after="283"/>
              <w:rPr/>
            </w:pPr>
            <w:r>
              <w:rPr/>
              <w:t>Gold</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Tokuriki Honten Co., Ltd.</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Japan</w:t>
            </w:r>
          </w:p>
        </w:tc>
      </w:tr>
      <w:tr>
        <w:trPr/>
        <w:tc>
          <w:tcPr>
            <w:tcW w:w="1685" w:type="dxa"/>
            <w:tcBorders/>
            <w:shd w:fill="auto" w:val="clear"/>
          </w:tcPr>
          <w:p>
            <w:pPr>
              <w:pStyle w:val="TableContents"/>
              <w:spacing w:before="0" w:after="283"/>
              <w:rPr/>
            </w:pPr>
            <w:r>
              <w:rPr/>
              <w:t>Gold</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Western Australian Mint (T/a The Perth Mint)</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Australia</w:t>
            </w:r>
          </w:p>
        </w:tc>
      </w:tr>
      <w:tr>
        <w:trPr/>
        <w:tc>
          <w:tcPr>
            <w:tcW w:w="1685" w:type="dxa"/>
            <w:tcBorders/>
            <w:shd w:fill="auto" w:val="clear"/>
          </w:tcPr>
          <w:p>
            <w:pPr>
              <w:pStyle w:val="TableContents"/>
              <w:spacing w:before="0" w:after="283"/>
              <w:rPr/>
            </w:pPr>
            <w:r>
              <w:rPr/>
              <w:t>Gold</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Zhongyuan Gold Smelter of Zhongjin Gold Corporation</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China</w:t>
            </w:r>
          </w:p>
        </w:tc>
      </w:tr>
      <w:tr>
        <w:trPr/>
        <w:tc>
          <w:tcPr>
            <w:tcW w:w="1685" w:type="dxa"/>
            <w:tcBorders/>
            <w:shd w:fill="auto" w:val="clear"/>
          </w:tcPr>
          <w:p>
            <w:pPr>
              <w:pStyle w:val="TableContents"/>
              <w:spacing w:before="0" w:after="283"/>
              <w:rPr/>
            </w:pPr>
            <w:r>
              <w:rPr/>
              <w:t>Tantalum</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Changsha South Tantalum Niobium Co., Ltd.</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China</w:t>
            </w:r>
          </w:p>
        </w:tc>
      </w:tr>
      <w:tr>
        <w:trPr/>
        <w:tc>
          <w:tcPr>
            <w:tcW w:w="1685" w:type="dxa"/>
            <w:tcBorders/>
            <w:shd w:fill="auto" w:val="clear"/>
          </w:tcPr>
          <w:p>
            <w:pPr>
              <w:pStyle w:val="TableContents"/>
              <w:spacing w:before="0" w:after="283"/>
              <w:rPr/>
            </w:pPr>
            <w:r>
              <w:rPr/>
              <w:t>Tantalum</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F&amp;X Electro-Materials Ltd.</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China</w:t>
            </w:r>
          </w:p>
        </w:tc>
      </w:tr>
      <w:tr>
        <w:trPr/>
        <w:tc>
          <w:tcPr>
            <w:tcW w:w="1685" w:type="dxa"/>
            <w:tcBorders/>
            <w:shd w:fill="auto" w:val="clear"/>
          </w:tcPr>
          <w:p>
            <w:pPr>
              <w:pStyle w:val="TableContents"/>
              <w:spacing w:before="0" w:after="283"/>
              <w:rPr/>
            </w:pPr>
            <w:r>
              <w:rPr/>
              <w:t>Tantalum</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XIMEI RESOURCES (GUANGDONG) LIMITED</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China</w:t>
            </w:r>
          </w:p>
        </w:tc>
      </w:tr>
      <w:tr>
        <w:trPr/>
        <w:tc>
          <w:tcPr>
            <w:tcW w:w="1685" w:type="dxa"/>
            <w:tcBorders/>
            <w:shd w:fill="auto" w:val="clear"/>
          </w:tcPr>
          <w:p>
            <w:pPr>
              <w:pStyle w:val="TableContents"/>
              <w:spacing w:before="0" w:after="283"/>
              <w:rPr/>
            </w:pPr>
            <w:r>
              <w:rPr/>
              <w:t>Tantalum</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JiuJiang JinXin Nonferrous Metals Co., Ltd.</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China</w:t>
            </w:r>
          </w:p>
        </w:tc>
      </w:tr>
      <w:tr>
        <w:trPr/>
        <w:tc>
          <w:tcPr>
            <w:tcW w:w="1685" w:type="dxa"/>
            <w:tcBorders/>
            <w:shd w:fill="auto" w:val="clear"/>
          </w:tcPr>
          <w:p>
            <w:pPr>
              <w:pStyle w:val="TableContents"/>
              <w:spacing w:before="0" w:after="283"/>
              <w:rPr/>
            </w:pPr>
            <w:r>
              <w:rPr/>
              <w:t>Tantalum</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Jiujiang Tanbre Co., Ltd.</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China</w:t>
            </w:r>
          </w:p>
        </w:tc>
      </w:tr>
      <w:tr>
        <w:trPr/>
        <w:tc>
          <w:tcPr>
            <w:tcW w:w="1685" w:type="dxa"/>
            <w:tcBorders/>
            <w:shd w:fill="auto" w:val="clear"/>
          </w:tcPr>
          <w:p>
            <w:pPr>
              <w:pStyle w:val="TableContents"/>
              <w:spacing w:before="0" w:after="283"/>
              <w:rPr/>
            </w:pPr>
            <w:r>
              <w:rPr/>
              <w:t>Tantalum</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Metallurgical Products India Pvt., Ltd.</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India</w:t>
            </w:r>
          </w:p>
        </w:tc>
      </w:tr>
      <w:tr>
        <w:trPr/>
        <w:tc>
          <w:tcPr>
            <w:tcW w:w="1685" w:type="dxa"/>
            <w:tcBorders/>
            <w:shd w:fill="auto" w:val="clear"/>
          </w:tcPr>
          <w:p>
            <w:pPr>
              <w:pStyle w:val="TableContents"/>
              <w:spacing w:before="0" w:after="283"/>
              <w:rPr/>
            </w:pPr>
            <w:r>
              <w:rPr/>
              <w:t>Tantalum</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Mineracao Taboca S.A.</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Brazil</w:t>
            </w:r>
          </w:p>
        </w:tc>
      </w:tr>
      <w:tr>
        <w:trPr/>
        <w:tc>
          <w:tcPr>
            <w:tcW w:w="1685" w:type="dxa"/>
            <w:tcBorders/>
            <w:shd w:fill="auto" w:val="clear"/>
          </w:tcPr>
          <w:p>
            <w:pPr>
              <w:pStyle w:val="TableContents"/>
              <w:spacing w:before="0" w:after="283"/>
              <w:rPr/>
            </w:pPr>
            <w:r>
              <w:rPr/>
              <w:t>Tantalum</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Mitsui Mining and Smelting Co., Ltd.</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Japan</w:t>
            </w:r>
          </w:p>
        </w:tc>
      </w:tr>
      <w:tr>
        <w:trPr/>
        <w:tc>
          <w:tcPr>
            <w:tcW w:w="1685" w:type="dxa"/>
            <w:tcBorders/>
            <w:shd w:fill="auto" w:val="clear"/>
          </w:tcPr>
          <w:p>
            <w:pPr>
              <w:pStyle w:val="TableContents"/>
              <w:spacing w:before="0" w:after="283"/>
              <w:rPr/>
            </w:pPr>
            <w:r>
              <w:rPr/>
              <w:t>Tantalum</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NPM Silmet AS</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Estonia</w:t>
            </w:r>
          </w:p>
        </w:tc>
      </w:tr>
      <w:tr>
        <w:trPr/>
        <w:tc>
          <w:tcPr>
            <w:tcW w:w="1685" w:type="dxa"/>
            <w:tcBorders/>
            <w:shd w:fill="auto" w:val="clear"/>
          </w:tcPr>
          <w:p>
            <w:pPr>
              <w:pStyle w:val="TableContents"/>
              <w:spacing w:before="0" w:after="283"/>
              <w:rPr/>
            </w:pPr>
            <w:r>
              <w:rPr/>
              <w:t>Tantalum</w:t>
            </w:r>
          </w:p>
        </w:tc>
        <w:tc>
          <w:tcPr>
            <w:tcW w:w="211" w:type="dxa"/>
            <w:tcBorders/>
            <w:shd w:fill="auto" w:val="clear"/>
            <w:vAlign w:val="bottom"/>
          </w:tcPr>
          <w:p>
            <w:pPr>
              <w:pStyle w:val="TableContents"/>
              <w:spacing w:before="0" w:after="283"/>
              <w:rPr/>
            </w:pPr>
            <w:r>
              <w:rPr/>
              <w:t>  </w:t>
            </w:r>
          </w:p>
        </w:tc>
        <w:tc>
          <w:tcPr>
            <w:tcW w:w="5271" w:type="dxa"/>
            <w:tcBorders/>
            <w:shd w:fill="auto" w:val="clear"/>
          </w:tcPr>
          <w:p>
            <w:pPr>
              <w:pStyle w:val="TableContents"/>
              <w:spacing w:before="0" w:after="283"/>
              <w:rPr/>
            </w:pPr>
            <w:r>
              <w:rPr/>
              <w:t>Ningxia Orient Tantalum Industry Co., Ltd.</w:t>
            </w:r>
          </w:p>
        </w:tc>
        <w:tc>
          <w:tcPr>
            <w:tcW w:w="210" w:type="dxa"/>
            <w:tcBorders/>
            <w:shd w:fill="auto" w:val="clear"/>
            <w:vAlign w:val="bottom"/>
          </w:tcPr>
          <w:p>
            <w:pPr>
              <w:pStyle w:val="TableContents"/>
              <w:spacing w:before="0" w:after="283"/>
              <w:rPr/>
            </w:pPr>
            <w:r>
              <w:rPr/>
              <w:t>  </w:t>
            </w:r>
          </w:p>
        </w:tc>
        <w:tc>
          <w:tcPr>
            <w:tcW w:w="3162" w:type="dxa"/>
            <w:tcBorders/>
            <w:shd w:fill="auto" w:val="clear"/>
          </w:tcPr>
          <w:p>
            <w:pPr>
              <w:pStyle w:val="TableContents"/>
              <w:spacing w:before="0" w:after="283"/>
              <w:rPr/>
            </w:pPr>
            <w:r>
              <w:rPr/>
              <w:t>China</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686"/>
        <w:gridCol w:w="210"/>
        <w:gridCol w:w="5270"/>
        <w:gridCol w:w="210"/>
        <w:gridCol w:w="3163"/>
      </w:tblGrid>
      <w:tr>
        <w:trPr/>
        <w:tc>
          <w:tcPr>
            <w:tcW w:w="168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527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3163" w:type="dxa"/>
            <w:tcBorders/>
            <w:shd w:fill="auto" w:val="clear"/>
            <w:vAlign w:val="center"/>
          </w:tcPr>
          <w:p>
            <w:pPr>
              <w:pStyle w:val="TableContents"/>
              <w:spacing w:before="0" w:after="283"/>
              <w:rPr>
                <w:sz w:val="4"/>
                <w:szCs w:val="4"/>
              </w:rPr>
            </w:pPr>
            <w:r>
              <w:rPr>
                <w:sz w:val="4"/>
                <w:szCs w:val="4"/>
              </w:rPr>
            </w:r>
          </w:p>
        </w:tc>
      </w:tr>
      <w:tr>
        <w:trPr/>
        <w:tc>
          <w:tcPr>
            <w:tcW w:w="1686" w:type="dxa"/>
            <w:tcBorders/>
            <w:shd w:fill="auto" w:val="clear"/>
          </w:tcPr>
          <w:p>
            <w:pPr>
              <w:pStyle w:val="TableContents"/>
              <w:spacing w:before="0" w:after="283"/>
              <w:rPr/>
            </w:pPr>
            <w:r>
              <w:rPr/>
              <w:t>Tantalum</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Yanling Jincheng Tantalum &amp; Niobium Co., Ltd.</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China</w:t>
            </w:r>
          </w:p>
        </w:tc>
      </w:tr>
      <w:tr>
        <w:trPr/>
        <w:tc>
          <w:tcPr>
            <w:tcW w:w="1686" w:type="dxa"/>
            <w:tcBorders/>
            <w:shd w:fill="auto" w:val="clear"/>
          </w:tcPr>
          <w:p>
            <w:pPr>
              <w:pStyle w:val="TableContents"/>
              <w:spacing w:before="0" w:after="283"/>
              <w:rPr/>
            </w:pPr>
            <w:r>
              <w:rPr/>
              <w:t>Tantalum</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Telex Metals</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United States of America</w:t>
            </w:r>
          </w:p>
        </w:tc>
      </w:tr>
      <w:tr>
        <w:trPr/>
        <w:tc>
          <w:tcPr>
            <w:tcW w:w="1686" w:type="dxa"/>
            <w:tcBorders/>
            <w:shd w:fill="auto" w:val="clear"/>
          </w:tcPr>
          <w:p>
            <w:pPr>
              <w:pStyle w:val="TableContents"/>
              <w:spacing w:before="0" w:after="283"/>
              <w:rPr/>
            </w:pPr>
            <w:r>
              <w:rPr/>
              <w:t>Tantalum</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Ulba Metallurgical Plant JSC</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Kazakhstan</w:t>
            </w:r>
          </w:p>
        </w:tc>
      </w:tr>
      <w:tr>
        <w:trPr/>
        <w:tc>
          <w:tcPr>
            <w:tcW w:w="1686" w:type="dxa"/>
            <w:tcBorders/>
            <w:shd w:fill="auto" w:val="clear"/>
          </w:tcPr>
          <w:p>
            <w:pPr>
              <w:pStyle w:val="TableContents"/>
              <w:spacing w:before="0" w:after="283"/>
              <w:rPr/>
            </w:pPr>
            <w:r>
              <w:rPr/>
              <w:t>Tantalum</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Hengyang King Xing Lifeng New Materials Co., Ltd.</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China</w:t>
            </w:r>
          </w:p>
        </w:tc>
      </w:tr>
      <w:tr>
        <w:trPr/>
        <w:tc>
          <w:tcPr>
            <w:tcW w:w="1686" w:type="dxa"/>
            <w:tcBorders/>
            <w:shd w:fill="auto" w:val="clear"/>
          </w:tcPr>
          <w:p>
            <w:pPr>
              <w:pStyle w:val="TableContents"/>
              <w:spacing w:before="0" w:after="283"/>
              <w:rPr/>
            </w:pPr>
            <w:r>
              <w:rPr/>
              <w:t>Tantalum</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D Block Metals, LLC</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United States of America</w:t>
            </w:r>
          </w:p>
        </w:tc>
      </w:tr>
      <w:tr>
        <w:trPr/>
        <w:tc>
          <w:tcPr>
            <w:tcW w:w="1686" w:type="dxa"/>
            <w:tcBorders/>
            <w:shd w:fill="auto" w:val="clear"/>
          </w:tcPr>
          <w:p>
            <w:pPr>
              <w:pStyle w:val="TableContents"/>
              <w:spacing w:before="0" w:after="283"/>
              <w:rPr/>
            </w:pPr>
            <w:r>
              <w:rPr/>
              <w:t>Tantalum</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FIR Metals &amp; Resource Ltd.</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China</w:t>
            </w:r>
          </w:p>
        </w:tc>
      </w:tr>
      <w:tr>
        <w:trPr/>
        <w:tc>
          <w:tcPr>
            <w:tcW w:w="1686" w:type="dxa"/>
            <w:tcBorders/>
            <w:shd w:fill="auto" w:val="clear"/>
          </w:tcPr>
          <w:p>
            <w:pPr>
              <w:pStyle w:val="TableContents"/>
              <w:spacing w:before="0" w:after="283"/>
              <w:rPr/>
            </w:pPr>
            <w:r>
              <w:rPr/>
              <w:t>Tantalum</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H.C. Starck Co., Ltd.</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Thailand</w:t>
            </w:r>
          </w:p>
        </w:tc>
      </w:tr>
      <w:tr>
        <w:trPr/>
        <w:tc>
          <w:tcPr>
            <w:tcW w:w="1686" w:type="dxa"/>
            <w:tcBorders/>
            <w:shd w:fill="auto" w:val="clear"/>
          </w:tcPr>
          <w:p>
            <w:pPr>
              <w:pStyle w:val="TableContents"/>
              <w:spacing w:before="0" w:after="283"/>
              <w:rPr/>
            </w:pPr>
            <w:r>
              <w:rPr/>
              <w:t>Tantalum</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H.C. Starck Tantalum and Niobium GmbH</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Germany</w:t>
            </w:r>
          </w:p>
        </w:tc>
      </w:tr>
      <w:tr>
        <w:trPr/>
        <w:tc>
          <w:tcPr>
            <w:tcW w:w="1686" w:type="dxa"/>
            <w:tcBorders/>
            <w:shd w:fill="auto" w:val="clear"/>
          </w:tcPr>
          <w:p>
            <w:pPr>
              <w:pStyle w:val="TableContents"/>
              <w:spacing w:before="0" w:after="283"/>
              <w:rPr/>
            </w:pPr>
            <w:r>
              <w:rPr/>
              <w:t>Tantalum</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H.C. Starck Hermsdorf GmbH</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Germany</w:t>
            </w:r>
          </w:p>
        </w:tc>
      </w:tr>
      <w:tr>
        <w:trPr/>
        <w:tc>
          <w:tcPr>
            <w:tcW w:w="1686" w:type="dxa"/>
            <w:tcBorders/>
            <w:shd w:fill="auto" w:val="clear"/>
          </w:tcPr>
          <w:p>
            <w:pPr>
              <w:pStyle w:val="TableContents"/>
              <w:spacing w:before="0" w:after="283"/>
              <w:rPr/>
            </w:pPr>
            <w:r>
              <w:rPr/>
              <w:t>Tantalum</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H.C. Starck Inc.</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United States of America</w:t>
            </w:r>
          </w:p>
        </w:tc>
      </w:tr>
      <w:tr>
        <w:trPr/>
        <w:tc>
          <w:tcPr>
            <w:tcW w:w="1686" w:type="dxa"/>
            <w:tcBorders/>
            <w:shd w:fill="auto" w:val="clear"/>
          </w:tcPr>
          <w:p>
            <w:pPr>
              <w:pStyle w:val="TableContents"/>
              <w:spacing w:before="0" w:after="283"/>
              <w:rPr/>
            </w:pPr>
            <w:r>
              <w:rPr/>
              <w:t>Tantalum</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TANIOBIS Japan Co., Ltd.</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Japan</w:t>
            </w:r>
          </w:p>
        </w:tc>
      </w:tr>
      <w:tr>
        <w:trPr/>
        <w:tc>
          <w:tcPr>
            <w:tcW w:w="1686" w:type="dxa"/>
            <w:tcBorders/>
            <w:shd w:fill="auto" w:val="clear"/>
          </w:tcPr>
          <w:p>
            <w:pPr>
              <w:pStyle w:val="TableContents"/>
              <w:spacing w:before="0" w:after="283"/>
              <w:rPr/>
            </w:pPr>
            <w:r>
              <w:rPr/>
              <w:t>Tantalum</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TANIOBIS Smelting GmbH &amp; Co. KG</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Germany</w:t>
            </w:r>
          </w:p>
        </w:tc>
      </w:tr>
      <w:tr>
        <w:trPr/>
        <w:tc>
          <w:tcPr>
            <w:tcW w:w="1686" w:type="dxa"/>
            <w:tcBorders/>
            <w:shd w:fill="auto" w:val="clear"/>
          </w:tcPr>
          <w:p>
            <w:pPr>
              <w:pStyle w:val="TableContents"/>
              <w:spacing w:before="0" w:after="283"/>
              <w:rPr/>
            </w:pPr>
            <w:r>
              <w:rPr/>
              <w:t>Tantalum</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Global Advanced Metals Boyertown</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United States of America</w:t>
            </w:r>
          </w:p>
        </w:tc>
      </w:tr>
      <w:tr>
        <w:trPr/>
        <w:tc>
          <w:tcPr>
            <w:tcW w:w="1686" w:type="dxa"/>
            <w:tcBorders/>
            <w:shd w:fill="auto" w:val="clear"/>
          </w:tcPr>
          <w:p>
            <w:pPr>
              <w:pStyle w:val="TableContents"/>
              <w:spacing w:before="0" w:after="283"/>
              <w:rPr/>
            </w:pPr>
            <w:r>
              <w:rPr/>
              <w:t>Tantalum</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Global Advanced Metals Aizu</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Japan</w:t>
            </w:r>
          </w:p>
        </w:tc>
      </w:tr>
      <w:tr>
        <w:trPr/>
        <w:tc>
          <w:tcPr>
            <w:tcW w:w="1686" w:type="dxa"/>
            <w:tcBorders/>
            <w:shd w:fill="auto" w:val="clear"/>
          </w:tcPr>
          <w:p>
            <w:pPr>
              <w:pStyle w:val="TableContents"/>
              <w:spacing w:before="0" w:after="283"/>
              <w:rPr/>
            </w:pPr>
            <w:r>
              <w:rPr/>
              <w:t>Tantalum</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Jiangxi Tuohong New Raw Material</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China</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Chenzhou Yunxiang Mining and Metallurgy Co., Ltd.</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China</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Alpha</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United States of America</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Dowa</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Japan</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Fenix Metals</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Poland</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Gejiu Non-Ferrous Metal Processing Co., Ltd.</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China</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Gejiu Zili Mining And Metallurgy Co., Ltd.</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China</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China Tin Group Co., Ltd.</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China</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Malaysia Smelting Corporation (MSC)</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Malaysia</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Metallic Resources, Inc.</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United States of America</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Mineracao Taboca S.A.</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Brazil</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Minsur</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Peru</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Mitsubishi Materials Corporation</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Japan</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Operaciones Metalurgicas S.A.</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Bolivia (Plurinational State of)</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PT Artha Cipta Langgeng</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Indonesia</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PT Mitra Stania Prima</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Indonesia</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PT Prima Timah Utama</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Indonesia</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PT Refined Bangka Tin</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Indonesia</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PT Timah (Persero) Tbk Kundur</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Indonesia</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PT Timah Tbk Mentok</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Indonesia</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Rui Da Hung</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Taiwan, Province of China</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Thaisarco</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Thailand</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Gejiu Yunxin Nonferrous Electrolysis Co., Ltd.</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China</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White Solder Metalurgia e Mineracao Ltda.</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Brazil</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Yunnan Chengfeng Non-ferrous Metals Co., Ltd.</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China</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Yunnan Tin Company Limited</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China</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PT ATD Makmur Mandiri Jaya</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Indonesia</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O.M. Manufacturing Philippines, Inc.</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Philippines</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Metallo Belgium N.V.</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Belgium</w:t>
            </w:r>
          </w:p>
        </w:tc>
      </w:tr>
      <w:tr>
        <w:trPr/>
        <w:tc>
          <w:tcPr>
            <w:tcW w:w="1686" w:type="dxa"/>
            <w:tcBorders/>
            <w:shd w:fill="auto" w:val="clear"/>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0" w:type="dxa"/>
            <w:tcBorders/>
            <w:shd w:fill="auto" w:val="clear"/>
          </w:tcPr>
          <w:p>
            <w:pPr>
              <w:pStyle w:val="TableContents"/>
              <w:spacing w:before="0" w:after="283"/>
              <w:rPr/>
            </w:pPr>
            <w:r>
              <w:rPr/>
              <w:t>Thai Nguyen Mining and Metallurgy Co., Ltd.</w:t>
            </w:r>
          </w:p>
        </w:tc>
        <w:tc>
          <w:tcPr>
            <w:tcW w:w="210" w:type="dxa"/>
            <w:tcBorders/>
            <w:shd w:fill="auto" w:val="clear"/>
            <w:vAlign w:val="bottom"/>
          </w:tcPr>
          <w:p>
            <w:pPr>
              <w:pStyle w:val="TableContents"/>
              <w:spacing w:before="0" w:after="283"/>
              <w:rPr/>
            </w:pPr>
            <w:r>
              <w:rPr/>
              <w:t>  </w:t>
            </w:r>
          </w:p>
        </w:tc>
        <w:tc>
          <w:tcPr>
            <w:tcW w:w="3163" w:type="dxa"/>
            <w:tcBorders/>
            <w:shd w:fill="auto" w:val="clear"/>
          </w:tcPr>
          <w:p>
            <w:pPr>
              <w:pStyle w:val="TableContents"/>
              <w:spacing w:before="0" w:after="283"/>
              <w:rPr/>
            </w:pPr>
            <w:r>
              <w:rPr/>
              <w:t>Vietnam</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685"/>
        <w:gridCol w:w="210"/>
        <w:gridCol w:w="5271"/>
        <w:gridCol w:w="210"/>
        <w:gridCol w:w="3163"/>
      </w:tblGrid>
      <w:tr>
        <w:trPr/>
        <w:tc>
          <w:tcPr>
            <w:tcW w:w="168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527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3163" w:type="dxa"/>
            <w:tcBorders/>
            <w:shd w:fill="auto" w:val="clear"/>
            <w:vAlign w:val="center"/>
          </w:tcPr>
          <w:p>
            <w:pPr>
              <w:pStyle w:val="TableContents"/>
              <w:spacing w:before="0" w:after="283"/>
              <w:rPr>
                <w:sz w:val="4"/>
                <w:szCs w:val="4"/>
              </w:rPr>
            </w:pPr>
            <w:r>
              <w:rPr>
                <w:sz w:val="4"/>
                <w:szCs w:val="4"/>
              </w:rPr>
            </w:r>
          </w:p>
        </w:tc>
      </w:tr>
      <w:tr>
        <w:trPr/>
        <w:tc>
          <w:tcPr>
            <w:tcW w:w="1685" w:type="dxa"/>
            <w:tcBorders/>
            <w:shd w:fill="auto" w:val="clear"/>
            <w:vAlign w:val="bottom"/>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1" w:type="dxa"/>
            <w:tcBorders/>
            <w:shd w:fill="auto" w:val="clear"/>
            <w:vAlign w:val="bottom"/>
          </w:tcPr>
          <w:p>
            <w:pPr>
              <w:pStyle w:val="TableContents"/>
              <w:spacing w:before="0" w:after="283"/>
              <w:rPr/>
            </w:pPr>
            <w:r>
              <w:rPr/>
              <w:t>PT Menara Cipta Mulia</w:t>
            </w:r>
          </w:p>
        </w:tc>
        <w:tc>
          <w:tcPr>
            <w:tcW w:w="210" w:type="dxa"/>
            <w:tcBorders/>
            <w:shd w:fill="auto" w:val="clear"/>
            <w:vAlign w:val="bottom"/>
          </w:tcPr>
          <w:p>
            <w:pPr>
              <w:pStyle w:val="TableContents"/>
              <w:spacing w:before="0" w:after="283"/>
              <w:rPr/>
            </w:pPr>
            <w:r>
              <w:rPr/>
              <w:t>  </w:t>
            </w:r>
          </w:p>
        </w:tc>
        <w:tc>
          <w:tcPr>
            <w:tcW w:w="3163" w:type="dxa"/>
            <w:tcBorders/>
            <w:shd w:fill="auto" w:val="clear"/>
            <w:vAlign w:val="bottom"/>
          </w:tcPr>
          <w:p>
            <w:pPr>
              <w:pStyle w:val="TableContents"/>
              <w:spacing w:before="0" w:after="283"/>
              <w:rPr/>
            </w:pPr>
            <w:r>
              <w:rPr/>
              <w:t>Indonesia</w:t>
            </w:r>
          </w:p>
        </w:tc>
      </w:tr>
      <w:tr>
        <w:trPr/>
        <w:tc>
          <w:tcPr>
            <w:tcW w:w="1685" w:type="dxa"/>
            <w:tcBorders/>
            <w:shd w:fill="auto" w:val="clear"/>
            <w:vAlign w:val="bottom"/>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1" w:type="dxa"/>
            <w:tcBorders/>
            <w:shd w:fill="auto" w:val="clear"/>
            <w:vAlign w:val="bottom"/>
          </w:tcPr>
          <w:p>
            <w:pPr>
              <w:pStyle w:val="TableContents"/>
              <w:spacing w:before="0" w:after="283"/>
              <w:rPr/>
            </w:pPr>
            <w:r>
              <w:rPr/>
              <w:t>Guangdong Hanhe Non-Ferrous Metal Co., Ltd.</w:t>
            </w:r>
          </w:p>
        </w:tc>
        <w:tc>
          <w:tcPr>
            <w:tcW w:w="210" w:type="dxa"/>
            <w:tcBorders/>
            <w:shd w:fill="auto" w:val="clear"/>
            <w:vAlign w:val="bottom"/>
          </w:tcPr>
          <w:p>
            <w:pPr>
              <w:pStyle w:val="TableContents"/>
              <w:spacing w:before="0" w:after="283"/>
              <w:rPr/>
            </w:pPr>
            <w:r>
              <w:rPr/>
              <w:t>  </w:t>
            </w:r>
          </w:p>
        </w:tc>
        <w:tc>
          <w:tcPr>
            <w:tcW w:w="3163" w:type="dxa"/>
            <w:tcBorders/>
            <w:shd w:fill="auto" w:val="clear"/>
            <w:vAlign w:val="bottom"/>
          </w:tcPr>
          <w:p>
            <w:pPr>
              <w:pStyle w:val="TableContents"/>
              <w:spacing w:before="0" w:after="283"/>
              <w:rPr/>
            </w:pPr>
            <w:r>
              <w:rPr/>
              <w:t>China</w:t>
            </w:r>
          </w:p>
        </w:tc>
      </w:tr>
      <w:tr>
        <w:trPr/>
        <w:tc>
          <w:tcPr>
            <w:tcW w:w="1685" w:type="dxa"/>
            <w:tcBorders/>
            <w:shd w:fill="auto" w:val="clear"/>
            <w:vAlign w:val="bottom"/>
          </w:tcPr>
          <w:p>
            <w:pPr>
              <w:pStyle w:val="TableContents"/>
              <w:spacing w:before="0" w:after="283"/>
              <w:rPr/>
            </w:pPr>
            <w:r>
              <w:rPr/>
              <w:t>Tin</w:t>
            </w:r>
          </w:p>
        </w:tc>
        <w:tc>
          <w:tcPr>
            <w:tcW w:w="210" w:type="dxa"/>
            <w:tcBorders/>
            <w:shd w:fill="auto" w:val="clear"/>
            <w:vAlign w:val="bottom"/>
          </w:tcPr>
          <w:p>
            <w:pPr>
              <w:pStyle w:val="TableContents"/>
              <w:spacing w:before="0" w:after="283"/>
              <w:rPr/>
            </w:pPr>
            <w:r>
              <w:rPr/>
              <w:t>  </w:t>
            </w:r>
          </w:p>
        </w:tc>
        <w:tc>
          <w:tcPr>
            <w:tcW w:w="5271" w:type="dxa"/>
            <w:tcBorders/>
            <w:shd w:fill="auto" w:val="clear"/>
            <w:vAlign w:val="bottom"/>
          </w:tcPr>
          <w:p>
            <w:pPr>
              <w:pStyle w:val="TableContents"/>
              <w:spacing w:before="0" w:after="283"/>
              <w:rPr/>
            </w:pPr>
            <w:r>
              <w:rPr/>
              <w:t>Tin Technology &amp; Refining</w:t>
            </w:r>
          </w:p>
        </w:tc>
        <w:tc>
          <w:tcPr>
            <w:tcW w:w="210" w:type="dxa"/>
            <w:tcBorders/>
            <w:shd w:fill="auto" w:val="clear"/>
            <w:vAlign w:val="bottom"/>
          </w:tcPr>
          <w:p>
            <w:pPr>
              <w:pStyle w:val="TableContents"/>
              <w:spacing w:before="0" w:after="283"/>
              <w:rPr/>
            </w:pPr>
            <w:r>
              <w:rPr/>
              <w:t>  </w:t>
            </w:r>
          </w:p>
        </w:tc>
        <w:tc>
          <w:tcPr>
            <w:tcW w:w="3163" w:type="dxa"/>
            <w:tcBorders/>
            <w:shd w:fill="auto" w:val="clear"/>
            <w:vAlign w:val="bottom"/>
          </w:tcPr>
          <w:p>
            <w:pPr>
              <w:pStyle w:val="TableContents"/>
              <w:spacing w:before="0" w:after="283"/>
              <w:rPr/>
            </w:pPr>
            <w:r>
              <w:rPr/>
              <w:t>United States of America</w:t>
            </w:r>
          </w:p>
        </w:tc>
      </w:tr>
      <w:tr>
        <w:trPr/>
        <w:tc>
          <w:tcPr>
            <w:tcW w:w="1685" w:type="dxa"/>
            <w:tcBorders/>
            <w:shd w:fill="auto" w:val="clear"/>
            <w:vAlign w:val="bottom"/>
          </w:tcPr>
          <w:p>
            <w:pPr>
              <w:pStyle w:val="TableContents"/>
              <w:spacing w:before="0" w:after="283"/>
              <w:rPr/>
            </w:pPr>
            <w:r>
              <w:rPr/>
              <w:t>Tungsten</w:t>
            </w:r>
          </w:p>
        </w:tc>
        <w:tc>
          <w:tcPr>
            <w:tcW w:w="210" w:type="dxa"/>
            <w:tcBorders/>
            <w:shd w:fill="auto" w:val="clear"/>
            <w:vAlign w:val="bottom"/>
          </w:tcPr>
          <w:p>
            <w:pPr>
              <w:pStyle w:val="TableContents"/>
              <w:spacing w:before="0" w:after="283"/>
              <w:rPr/>
            </w:pPr>
            <w:r>
              <w:rPr/>
              <w:t>  </w:t>
            </w:r>
          </w:p>
        </w:tc>
        <w:tc>
          <w:tcPr>
            <w:tcW w:w="5271" w:type="dxa"/>
            <w:tcBorders/>
            <w:shd w:fill="auto" w:val="clear"/>
            <w:vAlign w:val="bottom"/>
          </w:tcPr>
          <w:p>
            <w:pPr>
              <w:pStyle w:val="TableContents"/>
              <w:spacing w:before="0" w:after="283"/>
              <w:rPr/>
            </w:pPr>
            <w:r>
              <w:rPr/>
              <w:t>A.L.M.T. Corp.</w:t>
            </w:r>
          </w:p>
        </w:tc>
        <w:tc>
          <w:tcPr>
            <w:tcW w:w="210" w:type="dxa"/>
            <w:tcBorders/>
            <w:shd w:fill="auto" w:val="clear"/>
            <w:vAlign w:val="bottom"/>
          </w:tcPr>
          <w:p>
            <w:pPr>
              <w:pStyle w:val="TableContents"/>
              <w:spacing w:before="0" w:after="283"/>
              <w:rPr/>
            </w:pPr>
            <w:r>
              <w:rPr/>
              <w:t>  </w:t>
            </w:r>
          </w:p>
        </w:tc>
        <w:tc>
          <w:tcPr>
            <w:tcW w:w="3163" w:type="dxa"/>
            <w:tcBorders/>
            <w:shd w:fill="auto" w:val="clear"/>
            <w:vAlign w:val="bottom"/>
          </w:tcPr>
          <w:p>
            <w:pPr>
              <w:pStyle w:val="TableContents"/>
              <w:spacing w:before="0" w:after="283"/>
              <w:rPr/>
            </w:pPr>
            <w:r>
              <w:rPr/>
              <w:t>Japan</w:t>
            </w:r>
          </w:p>
        </w:tc>
      </w:tr>
      <w:tr>
        <w:trPr/>
        <w:tc>
          <w:tcPr>
            <w:tcW w:w="1685" w:type="dxa"/>
            <w:tcBorders/>
            <w:shd w:fill="auto" w:val="clear"/>
            <w:vAlign w:val="bottom"/>
          </w:tcPr>
          <w:p>
            <w:pPr>
              <w:pStyle w:val="TableContents"/>
              <w:spacing w:before="0" w:after="283"/>
              <w:rPr/>
            </w:pPr>
            <w:r>
              <w:rPr/>
              <w:t>Tungsten</w:t>
            </w:r>
          </w:p>
        </w:tc>
        <w:tc>
          <w:tcPr>
            <w:tcW w:w="210" w:type="dxa"/>
            <w:tcBorders/>
            <w:shd w:fill="auto" w:val="clear"/>
            <w:vAlign w:val="bottom"/>
          </w:tcPr>
          <w:p>
            <w:pPr>
              <w:pStyle w:val="TableContents"/>
              <w:spacing w:before="0" w:after="283"/>
              <w:rPr/>
            </w:pPr>
            <w:r>
              <w:rPr/>
              <w:t>  </w:t>
            </w:r>
          </w:p>
        </w:tc>
        <w:tc>
          <w:tcPr>
            <w:tcW w:w="5271" w:type="dxa"/>
            <w:tcBorders/>
            <w:shd w:fill="auto" w:val="clear"/>
            <w:vAlign w:val="bottom"/>
          </w:tcPr>
          <w:p>
            <w:pPr>
              <w:pStyle w:val="TableContents"/>
              <w:spacing w:before="0" w:after="283"/>
              <w:rPr/>
            </w:pPr>
            <w:r>
              <w:rPr/>
              <w:t>Chongyi Zhangyuan Tungsten Co., Ltd.</w:t>
            </w:r>
          </w:p>
        </w:tc>
        <w:tc>
          <w:tcPr>
            <w:tcW w:w="210" w:type="dxa"/>
            <w:tcBorders/>
            <w:shd w:fill="auto" w:val="clear"/>
            <w:vAlign w:val="bottom"/>
          </w:tcPr>
          <w:p>
            <w:pPr>
              <w:pStyle w:val="TableContents"/>
              <w:spacing w:before="0" w:after="283"/>
              <w:rPr/>
            </w:pPr>
            <w:r>
              <w:rPr/>
              <w:t>  </w:t>
            </w:r>
          </w:p>
        </w:tc>
        <w:tc>
          <w:tcPr>
            <w:tcW w:w="3163" w:type="dxa"/>
            <w:tcBorders/>
            <w:shd w:fill="auto" w:val="clear"/>
            <w:vAlign w:val="bottom"/>
          </w:tcPr>
          <w:p>
            <w:pPr>
              <w:pStyle w:val="TableContents"/>
              <w:spacing w:before="0" w:after="283"/>
              <w:rPr/>
            </w:pPr>
            <w:r>
              <w:rPr/>
              <w:t>China</w:t>
            </w:r>
          </w:p>
        </w:tc>
      </w:tr>
      <w:tr>
        <w:trPr/>
        <w:tc>
          <w:tcPr>
            <w:tcW w:w="1685" w:type="dxa"/>
            <w:tcBorders/>
            <w:shd w:fill="auto" w:val="clear"/>
            <w:vAlign w:val="bottom"/>
          </w:tcPr>
          <w:p>
            <w:pPr>
              <w:pStyle w:val="TableContents"/>
              <w:spacing w:before="0" w:after="283"/>
              <w:rPr/>
            </w:pPr>
            <w:r>
              <w:rPr/>
              <w:t>Tungsten</w:t>
            </w:r>
          </w:p>
        </w:tc>
        <w:tc>
          <w:tcPr>
            <w:tcW w:w="210" w:type="dxa"/>
            <w:tcBorders/>
            <w:shd w:fill="auto" w:val="clear"/>
            <w:vAlign w:val="bottom"/>
          </w:tcPr>
          <w:p>
            <w:pPr>
              <w:pStyle w:val="TableContents"/>
              <w:spacing w:before="0" w:after="283"/>
              <w:rPr/>
            </w:pPr>
            <w:r>
              <w:rPr/>
              <w:t>  </w:t>
            </w:r>
          </w:p>
        </w:tc>
        <w:tc>
          <w:tcPr>
            <w:tcW w:w="5271" w:type="dxa"/>
            <w:tcBorders/>
            <w:shd w:fill="auto" w:val="clear"/>
            <w:vAlign w:val="bottom"/>
          </w:tcPr>
          <w:p>
            <w:pPr>
              <w:pStyle w:val="TableContents"/>
              <w:spacing w:before="0" w:after="283"/>
              <w:rPr/>
            </w:pPr>
            <w:r>
              <w:rPr/>
              <w:t>Global Tungsten &amp; Powders Corp.</w:t>
            </w:r>
          </w:p>
        </w:tc>
        <w:tc>
          <w:tcPr>
            <w:tcW w:w="210" w:type="dxa"/>
            <w:tcBorders/>
            <w:shd w:fill="auto" w:val="clear"/>
            <w:vAlign w:val="bottom"/>
          </w:tcPr>
          <w:p>
            <w:pPr>
              <w:pStyle w:val="TableContents"/>
              <w:spacing w:before="0" w:after="283"/>
              <w:rPr/>
            </w:pPr>
            <w:r>
              <w:rPr/>
              <w:t>  </w:t>
            </w:r>
          </w:p>
        </w:tc>
        <w:tc>
          <w:tcPr>
            <w:tcW w:w="3163" w:type="dxa"/>
            <w:tcBorders/>
            <w:shd w:fill="auto" w:val="clear"/>
            <w:vAlign w:val="bottom"/>
          </w:tcPr>
          <w:p>
            <w:pPr>
              <w:pStyle w:val="TableContents"/>
              <w:spacing w:before="0" w:after="283"/>
              <w:rPr/>
            </w:pPr>
            <w:r>
              <w:rPr/>
              <w:t>United States of America</w:t>
            </w:r>
          </w:p>
        </w:tc>
      </w:tr>
      <w:tr>
        <w:trPr/>
        <w:tc>
          <w:tcPr>
            <w:tcW w:w="1685" w:type="dxa"/>
            <w:tcBorders/>
            <w:shd w:fill="auto" w:val="clear"/>
            <w:vAlign w:val="bottom"/>
          </w:tcPr>
          <w:p>
            <w:pPr>
              <w:pStyle w:val="TableContents"/>
              <w:spacing w:before="0" w:after="283"/>
              <w:rPr/>
            </w:pPr>
            <w:r>
              <w:rPr/>
              <w:t>Tungsten</w:t>
            </w:r>
          </w:p>
        </w:tc>
        <w:tc>
          <w:tcPr>
            <w:tcW w:w="210" w:type="dxa"/>
            <w:tcBorders/>
            <w:shd w:fill="auto" w:val="clear"/>
            <w:vAlign w:val="bottom"/>
          </w:tcPr>
          <w:p>
            <w:pPr>
              <w:pStyle w:val="TableContents"/>
              <w:spacing w:before="0" w:after="283"/>
              <w:rPr/>
            </w:pPr>
            <w:r>
              <w:rPr/>
              <w:t>  </w:t>
            </w:r>
          </w:p>
        </w:tc>
        <w:tc>
          <w:tcPr>
            <w:tcW w:w="5271" w:type="dxa"/>
            <w:tcBorders/>
            <w:shd w:fill="auto" w:val="clear"/>
            <w:vAlign w:val="bottom"/>
          </w:tcPr>
          <w:p>
            <w:pPr>
              <w:pStyle w:val="TableContents"/>
              <w:spacing w:before="0" w:after="283"/>
              <w:rPr/>
            </w:pPr>
            <w:r>
              <w:rPr/>
              <w:t>Hunan Chunchang Nonferrous Metals Co., Ltd.</w:t>
            </w:r>
          </w:p>
        </w:tc>
        <w:tc>
          <w:tcPr>
            <w:tcW w:w="210" w:type="dxa"/>
            <w:tcBorders/>
            <w:shd w:fill="auto" w:val="clear"/>
            <w:vAlign w:val="bottom"/>
          </w:tcPr>
          <w:p>
            <w:pPr>
              <w:pStyle w:val="TableContents"/>
              <w:spacing w:before="0" w:after="283"/>
              <w:rPr/>
            </w:pPr>
            <w:r>
              <w:rPr/>
              <w:t>  </w:t>
            </w:r>
          </w:p>
        </w:tc>
        <w:tc>
          <w:tcPr>
            <w:tcW w:w="3163" w:type="dxa"/>
            <w:tcBorders/>
            <w:shd w:fill="auto" w:val="clear"/>
            <w:vAlign w:val="bottom"/>
          </w:tcPr>
          <w:p>
            <w:pPr>
              <w:pStyle w:val="TableContents"/>
              <w:spacing w:before="0" w:after="283"/>
              <w:rPr/>
            </w:pPr>
            <w:r>
              <w:rPr/>
              <w:t>China</w:t>
            </w:r>
          </w:p>
        </w:tc>
      </w:tr>
      <w:tr>
        <w:trPr/>
        <w:tc>
          <w:tcPr>
            <w:tcW w:w="1685" w:type="dxa"/>
            <w:tcBorders/>
            <w:shd w:fill="auto" w:val="clear"/>
            <w:vAlign w:val="bottom"/>
          </w:tcPr>
          <w:p>
            <w:pPr>
              <w:pStyle w:val="TableContents"/>
              <w:spacing w:before="0" w:after="283"/>
              <w:rPr/>
            </w:pPr>
            <w:r>
              <w:rPr/>
              <w:t>Tungsten</w:t>
            </w:r>
          </w:p>
        </w:tc>
        <w:tc>
          <w:tcPr>
            <w:tcW w:w="210" w:type="dxa"/>
            <w:tcBorders/>
            <w:shd w:fill="auto" w:val="clear"/>
            <w:vAlign w:val="bottom"/>
          </w:tcPr>
          <w:p>
            <w:pPr>
              <w:pStyle w:val="TableContents"/>
              <w:spacing w:before="0" w:after="283"/>
              <w:rPr/>
            </w:pPr>
            <w:r>
              <w:rPr/>
              <w:t>  </w:t>
            </w:r>
          </w:p>
        </w:tc>
        <w:tc>
          <w:tcPr>
            <w:tcW w:w="5271" w:type="dxa"/>
            <w:tcBorders/>
            <w:shd w:fill="auto" w:val="clear"/>
            <w:vAlign w:val="bottom"/>
          </w:tcPr>
          <w:p>
            <w:pPr>
              <w:pStyle w:val="TableContents"/>
              <w:spacing w:before="0" w:after="283"/>
              <w:rPr/>
            </w:pPr>
            <w:r>
              <w:rPr/>
              <w:t>Ganzhou Huaxing Tungsten Products Co., Ltd.</w:t>
            </w:r>
          </w:p>
        </w:tc>
        <w:tc>
          <w:tcPr>
            <w:tcW w:w="210" w:type="dxa"/>
            <w:tcBorders/>
            <w:shd w:fill="auto" w:val="clear"/>
            <w:vAlign w:val="bottom"/>
          </w:tcPr>
          <w:p>
            <w:pPr>
              <w:pStyle w:val="TableContents"/>
              <w:spacing w:before="0" w:after="283"/>
              <w:rPr/>
            </w:pPr>
            <w:r>
              <w:rPr/>
              <w:t>  </w:t>
            </w:r>
          </w:p>
        </w:tc>
        <w:tc>
          <w:tcPr>
            <w:tcW w:w="3163" w:type="dxa"/>
            <w:tcBorders/>
            <w:shd w:fill="auto" w:val="clear"/>
            <w:vAlign w:val="bottom"/>
          </w:tcPr>
          <w:p>
            <w:pPr>
              <w:pStyle w:val="TableContents"/>
              <w:spacing w:before="0" w:after="283"/>
              <w:rPr/>
            </w:pPr>
            <w:r>
              <w:rPr/>
              <w:t>China</w:t>
            </w:r>
          </w:p>
        </w:tc>
      </w:tr>
      <w:tr>
        <w:trPr/>
        <w:tc>
          <w:tcPr>
            <w:tcW w:w="1685" w:type="dxa"/>
            <w:tcBorders/>
            <w:shd w:fill="auto" w:val="clear"/>
            <w:vAlign w:val="bottom"/>
          </w:tcPr>
          <w:p>
            <w:pPr>
              <w:pStyle w:val="TableContents"/>
              <w:spacing w:before="0" w:after="283"/>
              <w:rPr/>
            </w:pPr>
            <w:r>
              <w:rPr/>
              <w:t>Tungsten</w:t>
            </w:r>
          </w:p>
        </w:tc>
        <w:tc>
          <w:tcPr>
            <w:tcW w:w="210" w:type="dxa"/>
            <w:tcBorders/>
            <w:shd w:fill="auto" w:val="clear"/>
            <w:vAlign w:val="bottom"/>
          </w:tcPr>
          <w:p>
            <w:pPr>
              <w:pStyle w:val="TableContents"/>
              <w:spacing w:before="0" w:after="283"/>
              <w:rPr/>
            </w:pPr>
            <w:r>
              <w:rPr/>
              <w:t>  </w:t>
            </w:r>
          </w:p>
        </w:tc>
        <w:tc>
          <w:tcPr>
            <w:tcW w:w="5271" w:type="dxa"/>
            <w:tcBorders/>
            <w:shd w:fill="auto" w:val="clear"/>
            <w:vAlign w:val="bottom"/>
          </w:tcPr>
          <w:p>
            <w:pPr>
              <w:pStyle w:val="TableContents"/>
              <w:spacing w:before="0" w:after="283"/>
              <w:rPr/>
            </w:pPr>
            <w:r>
              <w:rPr/>
              <w:t>Ganzhou Huaxing Tungsten Products Co., Ltd.</w:t>
            </w:r>
          </w:p>
        </w:tc>
        <w:tc>
          <w:tcPr>
            <w:tcW w:w="210" w:type="dxa"/>
            <w:tcBorders/>
            <w:shd w:fill="auto" w:val="clear"/>
            <w:vAlign w:val="bottom"/>
          </w:tcPr>
          <w:p>
            <w:pPr>
              <w:pStyle w:val="TableContents"/>
              <w:spacing w:before="0" w:after="283"/>
              <w:rPr/>
            </w:pPr>
            <w:r>
              <w:rPr/>
              <w:t>  </w:t>
            </w:r>
          </w:p>
        </w:tc>
        <w:tc>
          <w:tcPr>
            <w:tcW w:w="3163" w:type="dxa"/>
            <w:tcBorders/>
            <w:shd w:fill="auto" w:val="clear"/>
            <w:vAlign w:val="bottom"/>
          </w:tcPr>
          <w:p>
            <w:pPr>
              <w:pStyle w:val="TableContents"/>
              <w:spacing w:before="0" w:after="283"/>
              <w:rPr/>
            </w:pPr>
            <w:r>
              <w:rPr/>
              <w:t>China</w:t>
            </w:r>
          </w:p>
        </w:tc>
      </w:tr>
      <w:tr>
        <w:trPr/>
        <w:tc>
          <w:tcPr>
            <w:tcW w:w="1685" w:type="dxa"/>
            <w:tcBorders/>
            <w:shd w:fill="auto" w:val="clear"/>
            <w:vAlign w:val="bottom"/>
          </w:tcPr>
          <w:p>
            <w:pPr>
              <w:pStyle w:val="TableContents"/>
              <w:spacing w:before="0" w:after="283"/>
              <w:rPr/>
            </w:pPr>
            <w:r>
              <w:rPr/>
              <w:t>Tungsten</w:t>
            </w:r>
          </w:p>
        </w:tc>
        <w:tc>
          <w:tcPr>
            <w:tcW w:w="210" w:type="dxa"/>
            <w:tcBorders/>
            <w:shd w:fill="auto" w:val="clear"/>
            <w:vAlign w:val="bottom"/>
          </w:tcPr>
          <w:p>
            <w:pPr>
              <w:pStyle w:val="TableContents"/>
              <w:spacing w:before="0" w:after="283"/>
              <w:rPr/>
            </w:pPr>
            <w:r>
              <w:rPr/>
              <w:t>  </w:t>
            </w:r>
          </w:p>
        </w:tc>
        <w:tc>
          <w:tcPr>
            <w:tcW w:w="5271" w:type="dxa"/>
            <w:tcBorders/>
            <w:shd w:fill="auto" w:val="clear"/>
            <w:vAlign w:val="bottom"/>
          </w:tcPr>
          <w:p>
            <w:pPr>
              <w:pStyle w:val="TableContents"/>
              <w:spacing w:before="0" w:after="283"/>
              <w:rPr/>
            </w:pPr>
            <w:r>
              <w:rPr/>
              <w:t>Wolfram Bergbau und Hutten AG</w:t>
            </w:r>
          </w:p>
        </w:tc>
        <w:tc>
          <w:tcPr>
            <w:tcW w:w="210" w:type="dxa"/>
            <w:tcBorders/>
            <w:shd w:fill="auto" w:val="clear"/>
            <w:vAlign w:val="bottom"/>
          </w:tcPr>
          <w:p>
            <w:pPr>
              <w:pStyle w:val="TableContents"/>
              <w:spacing w:before="0" w:after="283"/>
              <w:rPr/>
            </w:pPr>
            <w:r>
              <w:rPr/>
              <w:t>  </w:t>
            </w:r>
          </w:p>
        </w:tc>
        <w:tc>
          <w:tcPr>
            <w:tcW w:w="3163" w:type="dxa"/>
            <w:tcBorders/>
            <w:shd w:fill="auto" w:val="clear"/>
            <w:vAlign w:val="bottom"/>
          </w:tcPr>
          <w:p>
            <w:pPr>
              <w:pStyle w:val="TableContents"/>
              <w:spacing w:before="0" w:after="283"/>
              <w:rPr/>
            </w:pPr>
            <w:r>
              <w:rPr/>
              <w:t>Austria</w:t>
            </w:r>
          </w:p>
        </w:tc>
      </w:tr>
      <w:tr>
        <w:trPr/>
        <w:tc>
          <w:tcPr>
            <w:tcW w:w="1685" w:type="dxa"/>
            <w:tcBorders/>
            <w:shd w:fill="auto" w:val="clear"/>
            <w:vAlign w:val="bottom"/>
          </w:tcPr>
          <w:p>
            <w:pPr>
              <w:pStyle w:val="TableContents"/>
              <w:spacing w:before="0" w:after="283"/>
              <w:rPr/>
            </w:pPr>
            <w:r>
              <w:rPr/>
              <w:t>Tungsten</w:t>
            </w:r>
          </w:p>
        </w:tc>
        <w:tc>
          <w:tcPr>
            <w:tcW w:w="210" w:type="dxa"/>
            <w:tcBorders/>
            <w:shd w:fill="auto" w:val="clear"/>
            <w:vAlign w:val="bottom"/>
          </w:tcPr>
          <w:p>
            <w:pPr>
              <w:pStyle w:val="TableContents"/>
              <w:spacing w:before="0" w:after="283"/>
              <w:rPr/>
            </w:pPr>
            <w:r>
              <w:rPr/>
              <w:t>  </w:t>
            </w:r>
          </w:p>
        </w:tc>
        <w:tc>
          <w:tcPr>
            <w:tcW w:w="5271" w:type="dxa"/>
            <w:tcBorders/>
            <w:shd w:fill="auto" w:val="clear"/>
            <w:vAlign w:val="bottom"/>
          </w:tcPr>
          <w:p>
            <w:pPr>
              <w:pStyle w:val="TableContents"/>
              <w:spacing w:before="0" w:after="283"/>
              <w:rPr/>
            </w:pPr>
            <w:r>
              <w:rPr/>
              <w:t>Xiamen Tungsten Co., Ltd.</w:t>
            </w:r>
          </w:p>
        </w:tc>
        <w:tc>
          <w:tcPr>
            <w:tcW w:w="210" w:type="dxa"/>
            <w:tcBorders/>
            <w:shd w:fill="auto" w:val="clear"/>
            <w:vAlign w:val="bottom"/>
          </w:tcPr>
          <w:p>
            <w:pPr>
              <w:pStyle w:val="TableContents"/>
              <w:spacing w:before="0" w:after="283"/>
              <w:rPr/>
            </w:pPr>
            <w:r>
              <w:rPr/>
              <w:t>  </w:t>
            </w:r>
          </w:p>
        </w:tc>
        <w:tc>
          <w:tcPr>
            <w:tcW w:w="3163" w:type="dxa"/>
            <w:tcBorders/>
            <w:shd w:fill="auto" w:val="clear"/>
            <w:vAlign w:val="bottom"/>
          </w:tcPr>
          <w:p>
            <w:pPr>
              <w:pStyle w:val="TableContents"/>
              <w:spacing w:before="0" w:after="283"/>
              <w:rPr/>
            </w:pPr>
            <w:r>
              <w:rPr/>
              <w:t>China</w:t>
            </w:r>
          </w:p>
        </w:tc>
      </w:tr>
      <w:tr>
        <w:trPr/>
        <w:tc>
          <w:tcPr>
            <w:tcW w:w="1685" w:type="dxa"/>
            <w:tcBorders/>
            <w:shd w:fill="auto" w:val="clear"/>
            <w:vAlign w:val="bottom"/>
          </w:tcPr>
          <w:p>
            <w:pPr>
              <w:pStyle w:val="TableContents"/>
              <w:spacing w:before="0" w:after="283"/>
              <w:rPr/>
            </w:pPr>
            <w:r>
              <w:rPr/>
              <w:t>Tungsten</w:t>
            </w:r>
          </w:p>
        </w:tc>
        <w:tc>
          <w:tcPr>
            <w:tcW w:w="210" w:type="dxa"/>
            <w:tcBorders/>
            <w:shd w:fill="auto" w:val="clear"/>
            <w:vAlign w:val="bottom"/>
          </w:tcPr>
          <w:p>
            <w:pPr>
              <w:pStyle w:val="TableContents"/>
              <w:spacing w:before="0" w:after="283"/>
              <w:rPr/>
            </w:pPr>
            <w:r>
              <w:rPr/>
              <w:t>  </w:t>
            </w:r>
          </w:p>
        </w:tc>
        <w:tc>
          <w:tcPr>
            <w:tcW w:w="5271" w:type="dxa"/>
            <w:tcBorders/>
            <w:shd w:fill="auto" w:val="clear"/>
            <w:vAlign w:val="bottom"/>
          </w:tcPr>
          <w:p>
            <w:pPr>
              <w:pStyle w:val="TableContents"/>
              <w:spacing w:before="0" w:after="283"/>
              <w:rPr/>
            </w:pPr>
            <w:r>
              <w:rPr/>
              <w:t>Jiangxi Yaosheng Tungsten Co., Ltd.</w:t>
            </w:r>
          </w:p>
        </w:tc>
        <w:tc>
          <w:tcPr>
            <w:tcW w:w="210" w:type="dxa"/>
            <w:tcBorders/>
            <w:shd w:fill="auto" w:val="clear"/>
            <w:vAlign w:val="bottom"/>
          </w:tcPr>
          <w:p>
            <w:pPr>
              <w:pStyle w:val="TableContents"/>
              <w:spacing w:before="0" w:after="283"/>
              <w:rPr/>
            </w:pPr>
            <w:r>
              <w:rPr/>
              <w:t>  </w:t>
            </w:r>
          </w:p>
        </w:tc>
        <w:tc>
          <w:tcPr>
            <w:tcW w:w="3163" w:type="dxa"/>
            <w:tcBorders/>
            <w:shd w:fill="auto" w:val="clear"/>
            <w:vAlign w:val="bottom"/>
          </w:tcPr>
          <w:p>
            <w:pPr>
              <w:pStyle w:val="TableContents"/>
              <w:spacing w:before="0" w:after="283"/>
              <w:rPr/>
            </w:pPr>
            <w:r>
              <w:rPr/>
              <w:t>China</w:t>
            </w:r>
          </w:p>
        </w:tc>
      </w:tr>
      <w:tr>
        <w:trPr/>
        <w:tc>
          <w:tcPr>
            <w:tcW w:w="1685" w:type="dxa"/>
            <w:tcBorders/>
            <w:shd w:fill="auto" w:val="clear"/>
            <w:vAlign w:val="bottom"/>
          </w:tcPr>
          <w:p>
            <w:pPr>
              <w:pStyle w:val="TableContents"/>
              <w:spacing w:before="0" w:after="283"/>
              <w:rPr/>
            </w:pPr>
            <w:r>
              <w:rPr/>
              <w:t>Tungsten</w:t>
            </w:r>
          </w:p>
        </w:tc>
        <w:tc>
          <w:tcPr>
            <w:tcW w:w="210" w:type="dxa"/>
            <w:tcBorders/>
            <w:shd w:fill="auto" w:val="clear"/>
            <w:vAlign w:val="bottom"/>
          </w:tcPr>
          <w:p>
            <w:pPr>
              <w:pStyle w:val="TableContents"/>
              <w:spacing w:before="0" w:after="283"/>
              <w:rPr/>
            </w:pPr>
            <w:r>
              <w:rPr/>
              <w:t>  </w:t>
            </w:r>
          </w:p>
        </w:tc>
        <w:tc>
          <w:tcPr>
            <w:tcW w:w="5271" w:type="dxa"/>
            <w:tcBorders/>
            <w:shd w:fill="auto" w:val="clear"/>
            <w:vAlign w:val="bottom"/>
          </w:tcPr>
          <w:p>
            <w:pPr>
              <w:pStyle w:val="TableContents"/>
              <w:spacing w:before="0" w:after="283"/>
              <w:rPr/>
            </w:pPr>
            <w:r>
              <w:rPr/>
              <w:t>Jiangxi Tonggu Non-ferrous Metallurgical &amp; Chemical Co., Ltd.</w:t>
            </w:r>
          </w:p>
        </w:tc>
        <w:tc>
          <w:tcPr>
            <w:tcW w:w="210" w:type="dxa"/>
            <w:tcBorders/>
            <w:shd w:fill="auto" w:val="clear"/>
            <w:vAlign w:val="bottom"/>
          </w:tcPr>
          <w:p>
            <w:pPr>
              <w:pStyle w:val="TableContents"/>
              <w:spacing w:before="0" w:after="283"/>
              <w:rPr/>
            </w:pPr>
            <w:r>
              <w:rPr/>
              <w:t>  </w:t>
            </w:r>
          </w:p>
        </w:tc>
        <w:tc>
          <w:tcPr>
            <w:tcW w:w="3163" w:type="dxa"/>
            <w:tcBorders/>
            <w:shd w:fill="auto" w:val="clear"/>
            <w:vAlign w:val="bottom"/>
          </w:tcPr>
          <w:p>
            <w:pPr>
              <w:pStyle w:val="TableContents"/>
              <w:spacing w:before="0" w:after="283"/>
              <w:rPr/>
            </w:pPr>
            <w:r>
              <w:rPr/>
              <w:t>China</w:t>
            </w:r>
          </w:p>
        </w:tc>
      </w:tr>
      <w:tr>
        <w:trPr/>
        <w:tc>
          <w:tcPr>
            <w:tcW w:w="1685" w:type="dxa"/>
            <w:tcBorders/>
            <w:shd w:fill="auto" w:val="clear"/>
            <w:vAlign w:val="bottom"/>
          </w:tcPr>
          <w:p>
            <w:pPr>
              <w:pStyle w:val="TableContents"/>
              <w:spacing w:before="0" w:after="283"/>
              <w:rPr/>
            </w:pPr>
            <w:r>
              <w:rPr/>
              <w:t>Tungsten</w:t>
            </w:r>
          </w:p>
        </w:tc>
        <w:tc>
          <w:tcPr>
            <w:tcW w:w="210" w:type="dxa"/>
            <w:tcBorders/>
            <w:shd w:fill="auto" w:val="clear"/>
            <w:vAlign w:val="bottom"/>
          </w:tcPr>
          <w:p>
            <w:pPr>
              <w:pStyle w:val="TableContents"/>
              <w:spacing w:before="0" w:after="283"/>
              <w:rPr/>
            </w:pPr>
            <w:r>
              <w:rPr/>
              <w:t>  </w:t>
            </w:r>
          </w:p>
        </w:tc>
        <w:tc>
          <w:tcPr>
            <w:tcW w:w="5271" w:type="dxa"/>
            <w:tcBorders/>
            <w:shd w:fill="auto" w:val="clear"/>
            <w:vAlign w:val="bottom"/>
          </w:tcPr>
          <w:p>
            <w:pPr>
              <w:pStyle w:val="TableContents"/>
              <w:spacing w:before="0" w:after="283"/>
              <w:rPr/>
            </w:pPr>
            <w:r>
              <w:rPr/>
              <w:t>Xiamen Tungsten (H.C.) Co., Ltd.</w:t>
            </w:r>
          </w:p>
        </w:tc>
        <w:tc>
          <w:tcPr>
            <w:tcW w:w="210" w:type="dxa"/>
            <w:tcBorders/>
            <w:shd w:fill="auto" w:val="clear"/>
            <w:vAlign w:val="bottom"/>
          </w:tcPr>
          <w:p>
            <w:pPr>
              <w:pStyle w:val="TableContents"/>
              <w:spacing w:before="0" w:after="283"/>
              <w:rPr/>
            </w:pPr>
            <w:r>
              <w:rPr/>
              <w:t>  </w:t>
            </w:r>
          </w:p>
        </w:tc>
        <w:tc>
          <w:tcPr>
            <w:tcW w:w="3163" w:type="dxa"/>
            <w:tcBorders/>
            <w:shd w:fill="auto" w:val="clear"/>
            <w:vAlign w:val="bottom"/>
          </w:tcPr>
          <w:p>
            <w:pPr>
              <w:pStyle w:val="TableContents"/>
              <w:spacing w:before="0" w:after="283"/>
              <w:rPr/>
            </w:pPr>
            <w:r>
              <w:rPr/>
              <w:t>China</w:t>
            </w:r>
          </w:p>
        </w:tc>
      </w:tr>
      <w:tr>
        <w:trPr/>
        <w:tc>
          <w:tcPr>
            <w:tcW w:w="1685" w:type="dxa"/>
            <w:tcBorders/>
            <w:shd w:fill="auto" w:val="clear"/>
            <w:vAlign w:val="bottom"/>
          </w:tcPr>
          <w:p>
            <w:pPr>
              <w:pStyle w:val="TableContents"/>
              <w:spacing w:before="0" w:after="283"/>
              <w:rPr/>
            </w:pPr>
            <w:r>
              <w:rPr/>
              <w:t>Tungsten</w:t>
            </w:r>
          </w:p>
        </w:tc>
        <w:tc>
          <w:tcPr>
            <w:tcW w:w="210" w:type="dxa"/>
            <w:tcBorders/>
            <w:shd w:fill="auto" w:val="clear"/>
            <w:vAlign w:val="bottom"/>
          </w:tcPr>
          <w:p>
            <w:pPr>
              <w:pStyle w:val="TableContents"/>
              <w:spacing w:before="0" w:after="283"/>
              <w:rPr/>
            </w:pPr>
            <w:r>
              <w:rPr/>
              <w:t>  </w:t>
            </w:r>
          </w:p>
        </w:tc>
        <w:tc>
          <w:tcPr>
            <w:tcW w:w="5271" w:type="dxa"/>
            <w:tcBorders/>
            <w:shd w:fill="auto" w:val="clear"/>
            <w:vAlign w:val="bottom"/>
          </w:tcPr>
          <w:p>
            <w:pPr>
              <w:pStyle w:val="TableContents"/>
              <w:spacing w:before="0" w:after="283"/>
              <w:rPr/>
            </w:pPr>
            <w:r>
              <w:rPr/>
              <w:t>Xiamen Tungsten (H.C.) Co., Ltd.</w:t>
            </w:r>
          </w:p>
        </w:tc>
        <w:tc>
          <w:tcPr>
            <w:tcW w:w="210" w:type="dxa"/>
            <w:tcBorders/>
            <w:shd w:fill="auto" w:val="clear"/>
            <w:vAlign w:val="bottom"/>
          </w:tcPr>
          <w:p>
            <w:pPr>
              <w:pStyle w:val="TableContents"/>
              <w:spacing w:before="0" w:after="283"/>
              <w:rPr/>
            </w:pPr>
            <w:r>
              <w:rPr/>
              <w:t>  </w:t>
            </w:r>
          </w:p>
        </w:tc>
        <w:tc>
          <w:tcPr>
            <w:tcW w:w="3163" w:type="dxa"/>
            <w:tcBorders/>
            <w:shd w:fill="auto" w:val="clear"/>
            <w:vAlign w:val="bottom"/>
          </w:tcPr>
          <w:p>
            <w:pPr>
              <w:pStyle w:val="TableContents"/>
              <w:spacing w:before="0" w:after="283"/>
              <w:rPr/>
            </w:pPr>
            <w:r>
              <w:rPr/>
              <w:t>China</w:t>
            </w:r>
          </w:p>
        </w:tc>
      </w:tr>
      <w:tr>
        <w:trPr/>
        <w:tc>
          <w:tcPr>
            <w:tcW w:w="1685" w:type="dxa"/>
            <w:tcBorders/>
            <w:shd w:fill="auto" w:val="clear"/>
            <w:vAlign w:val="bottom"/>
          </w:tcPr>
          <w:p>
            <w:pPr>
              <w:pStyle w:val="TableContents"/>
              <w:spacing w:before="0" w:after="283"/>
              <w:rPr/>
            </w:pPr>
            <w:r>
              <w:rPr/>
              <w:t>Tungsten</w:t>
            </w:r>
          </w:p>
        </w:tc>
        <w:tc>
          <w:tcPr>
            <w:tcW w:w="210" w:type="dxa"/>
            <w:tcBorders/>
            <w:shd w:fill="auto" w:val="clear"/>
            <w:vAlign w:val="bottom"/>
          </w:tcPr>
          <w:p>
            <w:pPr>
              <w:pStyle w:val="TableContents"/>
              <w:spacing w:before="0" w:after="283"/>
              <w:rPr/>
            </w:pPr>
            <w:r>
              <w:rPr/>
              <w:t>  </w:t>
            </w:r>
          </w:p>
        </w:tc>
        <w:tc>
          <w:tcPr>
            <w:tcW w:w="5271" w:type="dxa"/>
            <w:tcBorders/>
            <w:shd w:fill="auto" w:val="clear"/>
            <w:vAlign w:val="bottom"/>
          </w:tcPr>
          <w:p>
            <w:pPr>
              <w:pStyle w:val="TableContents"/>
              <w:spacing w:before="0" w:after="283"/>
              <w:rPr/>
            </w:pPr>
            <w:r>
              <w:rPr/>
              <w:t>Ganzhou Seadragon W &amp; Mo Co., Ltd.</w:t>
            </w:r>
          </w:p>
        </w:tc>
        <w:tc>
          <w:tcPr>
            <w:tcW w:w="210" w:type="dxa"/>
            <w:tcBorders/>
            <w:shd w:fill="auto" w:val="clear"/>
            <w:vAlign w:val="bottom"/>
          </w:tcPr>
          <w:p>
            <w:pPr>
              <w:pStyle w:val="TableContents"/>
              <w:spacing w:before="0" w:after="283"/>
              <w:rPr/>
            </w:pPr>
            <w:r>
              <w:rPr/>
              <w:t>  </w:t>
            </w:r>
          </w:p>
        </w:tc>
        <w:tc>
          <w:tcPr>
            <w:tcW w:w="3163" w:type="dxa"/>
            <w:tcBorders/>
            <w:shd w:fill="auto" w:val="clear"/>
            <w:vAlign w:val="bottom"/>
          </w:tcPr>
          <w:p>
            <w:pPr>
              <w:pStyle w:val="TableContents"/>
              <w:spacing w:before="0" w:after="283"/>
              <w:rPr/>
            </w:pPr>
            <w:r>
              <w:rPr/>
              <w:t>China</w:t>
            </w:r>
          </w:p>
        </w:tc>
      </w:tr>
      <w:tr>
        <w:trPr/>
        <w:tc>
          <w:tcPr>
            <w:tcW w:w="1685" w:type="dxa"/>
            <w:tcBorders/>
            <w:shd w:fill="auto" w:val="clear"/>
            <w:vAlign w:val="bottom"/>
          </w:tcPr>
          <w:p>
            <w:pPr>
              <w:pStyle w:val="TableContents"/>
              <w:spacing w:before="0" w:after="283"/>
              <w:rPr/>
            </w:pPr>
            <w:r>
              <w:rPr/>
              <w:t>Tungsten</w:t>
            </w:r>
          </w:p>
        </w:tc>
        <w:tc>
          <w:tcPr>
            <w:tcW w:w="210" w:type="dxa"/>
            <w:tcBorders/>
            <w:shd w:fill="auto" w:val="clear"/>
            <w:vAlign w:val="bottom"/>
          </w:tcPr>
          <w:p>
            <w:pPr>
              <w:pStyle w:val="TableContents"/>
              <w:spacing w:before="0" w:after="283"/>
              <w:rPr/>
            </w:pPr>
            <w:r>
              <w:rPr/>
              <w:t>  </w:t>
            </w:r>
          </w:p>
        </w:tc>
        <w:tc>
          <w:tcPr>
            <w:tcW w:w="5271" w:type="dxa"/>
            <w:tcBorders/>
            <w:shd w:fill="auto" w:val="clear"/>
            <w:vAlign w:val="bottom"/>
          </w:tcPr>
          <w:p>
            <w:pPr>
              <w:pStyle w:val="TableContents"/>
              <w:spacing w:before="0" w:after="283"/>
              <w:rPr/>
            </w:pPr>
            <w:r>
              <w:rPr/>
              <w:t>Chenzhou Diamond Tungsten Products Co., Ltd.</w:t>
            </w:r>
          </w:p>
        </w:tc>
        <w:tc>
          <w:tcPr>
            <w:tcW w:w="210" w:type="dxa"/>
            <w:tcBorders/>
            <w:shd w:fill="auto" w:val="clear"/>
            <w:vAlign w:val="bottom"/>
          </w:tcPr>
          <w:p>
            <w:pPr>
              <w:pStyle w:val="TableContents"/>
              <w:spacing w:before="0" w:after="283"/>
              <w:rPr/>
            </w:pPr>
            <w:r>
              <w:rPr/>
              <w:t>  </w:t>
            </w:r>
          </w:p>
        </w:tc>
        <w:tc>
          <w:tcPr>
            <w:tcW w:w="3163" w:type="dxa"/>
            <w:tcBorders/>
            <w:shd w:fill="auto" w:val="clear"/>
            <w:vAlign w:val="bottom"/>
          </w:tcPr>
          <w:p>
            <w:pPr>
              <w:pStyle w:val="TableContents"/>
              <w:spacing w:before="0" w:after="283"/>
              <w:rPr/>
            </w:pPr>
            <w:r>
              <w:rPr/>
              <w:t>China</w:t>
            </w:r>
          </w:p>
        </w:tc>
      </w:tr>
      <w:tr>
        <w:trPr/>
        <w:tc>
          <w:tcPr>
            <w:tcW w:w="1685" w:type="dxa"/>
            <w:tcBorders/>
            <w:shd w:fill="auto" w:val="clear"/>
            <w:vAlign w:val="bottom"/>
          </w:tcPr>
          <w:p>
            <w:pPr>
              <w:pStyle w:val="TableContents"/>
              <w:spacing w:before="0" w:after="283"/>
              <w:rPr/>
            </w:pPr>
            <w:r>
              <w:rPr/>
              <w:t>Tungsten</w:t>
            </w:r>
          </w:p>
        </w:tc>
        <w:tc>
          <w:tcPr>
            <w:tcW w:w="210" w:type="dxa"/>
            <w:tcBorders/>
            <w:shd w:fill="auto" w:val="clear"/>
            <w:vAlign w:val="bottom"/>
          </w:tcPr>
          <w:p>
            <w:pPr>
              <w:pStyle w:val="TableContents"/>
              <w:spacing w:before="0" w:after="283"/>
              <w:rPr/>
            </w:pPr>
            <w:r>
              <w:rPr/>
              <w:t>  </w:t>
            </w:r>
          </w:p>
        </w:tc>
        <w:tc>
          <w:tcPr>
            <w:tcW w:w="5271" w:type="dxa"/>
            <w:tcBorders/>
            <w:shd w:fill="auto" w:val="clear"/>
            <w:vAlign w:val="bottom"/>
          </w:tcPr>
          <w:p>
            <w:pPr>
              <w:pStyle w:val="TableContents"/>
              <w:spacing w:before="0" w:after="283"/>
              <w:rPr/>
            </w:pPr>
            <w:r>
              <w:rPr/>
              <w:t>H.C. Starck Tungsten GmbH</w:t>
            </w:r>
          </w:p>
        </w:tc>
        <w:tc>
          <w:tcPr>
            <w:tcW w:w="210" w:type="dxa"/>
            <w:tcBorders/>
            <w:shd w:fill="auto" w:val="clear"/>
            <w:vAlign w:val="bottom"/>
          </w:tcPr>
          <w:p>
            <w:pPr>
              <w:pStyle w:val="TableContents"/>
              <w:spacing w:before="0" w:after="283"/>
              <w:rPr/>
            </w:pPr>
            <w:r>
              <w:rPr/>
              <w:t>  </w:t>
            </w:r>
          </w:p>
        </w:tc>
        <w:tc>
          <w:tcPr>
            <w:tcW w:w="3163" w:type="dxa"/>
            <w:tcBorders/>
            <w:shd w:fill="auto" w:val="clear"/>
            <w:vAlign w:val="bottom"/>
          </w:tcPr>
          <w:p>
            <w:pPr>
              <w:pStyle w:val="TableContents"/>
              <w:spacing w:before="0" w:after="283"/>
              <w:rPr/>
            </w:pPr>
            <w:r>
              <w:rPr/>
              <w:t>Germany</w:t>
            </w:r>
          </w:p>
        </w:tc>
      </w:tr>
      <w:tr>
        <w:trPr/>
        <w:tc>
          <w:tcPr>
            <w:tcW w:w="1685" w:type="dxa"/>
            <w:tcBorders/>
            <w:shd w:fill="auto" w:val="clear"/>
            <w:vAlign w:val="bottom"/>
          </w:tcPr>
          <w:p>
            <w:pPr>
              <w:pStyle w:val="TableContents"/>
              <w:spacing w:before="0" w:after="283"/>
              <w:rPr/>
            </w:pPr>
            <w:r>
              <w:rPr/>
              <w:t>Tungsten</w:t>
            </w:r>
          </w:p>
        </w:tc>
        <w:tc>
          <w:tcPr>
            <w:tcW w:w="210" w:type="dxa"/>
            <w:tcBorders/>
            <w:shd w:fill="auto" w:val="clear"/>
            <w:vAlign w:val="bottom"/>
          </w:tcPr>
          <w:p>
            <w:pPr>
              <w:pStyle w:val="TableContents"/>
              <w:spacing w:before="0" w:after="283"/>
              <w:rPr/>
            </w:pPr>
            <w:r>
              <w:rPr/>
              <w:t>  </w:t>
            </w:r>
          </w:p>
        </w:tc>
        <w:tc>
          <w:tcPr>
            <w:tcW w:w="5271" w:type="dxa"/>
            <w:tcBorders/>
            <w:shd w:fill="auto" w:val="clear"/>
            <w:vAlign w:val="bottom"/>
          </w:tcPr>
          <w:p>
            <w:pPr>
              <w:pStyle w:val="TableContents"/>
              <w:spacing w:before="0" w:after="283"/>
              <w:rPr/>
            </w:pPr>
            <w:r>
              <w:rPr/>
              <w:t>Masan High-Tech Materials</w:t>
            </w:r>
          </w:p>
        </w:tc>
        <w:tc>
          <w:tcPr>
            <w:tcW w:w="210" w:type="dxa"/>
            <w:tcBorders/>
            <w:shd w:fill="auto" w:val="clear"/>
            <w:vAlign w:val="bottom"/>
          </w:tcPr>
          <w:p>
            <w:pPr>
              <w:pStyle w:val="TableContents"/>
              <w:spacing w:before="0" w:after="283"/>
              <w:rPr/>
            </w:pPr>
            <w:r>
              <w:rPr/>
              <w:t>  </w:t>
            </w:r>
          </w:p>
        </w:tc>
        <w:tc>
          <w:tcPr>
            <w:tcW w:w="3163" w:type="dxa"/>
            <w:tcBorders/>
            <w:shd w:fill="auto" w:val="clear"/>
            <w:vAlign w:val="bottom"/>
          </w:tcPr>
          <w:p>
            <w:pPr>
              <w:pStyle w:val="TableContents"/>
              <w:spacing w:before="0" w:after="283"/>
              <w:rPr/>
            </w:pPr>
            <w:r>
              <w:rPr/>
              <w:t>Vietnam</w:t>
            </w:r>
          </w:p>
        </w:tc>
      </w:tr>
      <w:tr>
        <w:trPr/>
        <w:tc>
          <w:tcPr>
            <w:tcW w:w="1685" w:type="dxa"/>
            <w:tcBorders/>
            <w:shd w:fill="auto" w:val="clear"/>
            <w:vAlign w:val="bottom"/>
          </w:tcPr>
          <w:p>
            <w:pPr>
              <w:pStyle w:val="TableContents"/>
              <w:spacing w:before="0" w:after="283"/>
              <w:rPr/>
            </w:pPr>
            <w:r>
              <w:rPr/>
              <w:t>Tungsten</w:t>
            </w:r>
          </w:p>
        </w:tc>
        <w:tc>
          <w:tcPr>
            <w:tcW w:w="210" w:type="dxa"/>
            <w:tcBorders/>
            <w:shd w:fill="auto" w:val="clear"/>
            <w:vAlign w:val="bottom"/>
          </w:tcPr>
          <w:p>
            <w:pPr>
              <w:pStyle w:val="TableContents"/>
              <w:spacing w:before="0" w:after="283"/>
              <w:rPr/>
            </w:pPr>
            <w:r>
              <w:rPr/>
              <w:t>  </w:t>
            </w:r>
          </w:p>
        </w:tc>
        <w:tc>
          <w:tcPr>
            <w:tcW w:w="5271" w:type="dxa"/>
            <w:tcBorders/>
            <w:shd w:fill="auto" w:val="clear"/>
            <w:vAlign w:val="bottom"/>
          </w:tcPr>
          <w:p>
            <w:pPr>
              <w:pStyle w:val="TableContents"/>
              <w:spacing w:before="0" w:after="283"/>
              <w:rPr/>
            </w:pPr>
            <w:r>
              <w:rPr/>
              <w:t>Jiangwu H.C. Starck Tungsten Products Co., Ltd.</w:t>
            </w:r>
          </w:p>
        </w:tc>
        <w:tc>
          <w:tcPr>
            <w:tcW w:w="210" w:type="dxa"/>
            <w:tcBorders/>
            <w:shd w:fill="auto" w:val="clear"/>
            <w:vAlign w:val="bottom"/>
          </w:tcPr>
          <w:p>
            <w:pPr>
              <w:pStyle w:val="TableContents"/>
              <w:spacing w:before="0" w:after="283"/>
              <w:rPr/>
            </w:pPr>
            <w:r>
              <w:rPr/>
              <w:t>  </w:t>
            </w:r>
          </w:p>
        </w:tc>
        <w:tc>
          <w:tcPr>
            <w:tcW w:w="3163" w:type="dxa"/>
            <w:tcBorders/>
            <w:shd w:fill="auto" w:val="clear"/>
            <w:vAlign w:val="bottom"/>
          </w:tcPr>
          <w:p>
            <w:pPr>
              <w:pStyle w:val="TableContents"/>
              <w:spacing w:before="0" w:after="283"/>
              <w:rPr/>
            </w:pPr>
            <w:r>
              <w:rPr/>
              <w:t>China</w:t>
            </w:r>
          </w:p>
        </w:tc>
      </w:tr>
      <w:tr>
        <w:trPr/>
        <w:tc>
          <w:tcPr>
            <w:tcW w:w="1685" w:type="dxa"/>
            <w:tcBorders/>
            <w:shd w:fill="auto" w:val="clear"/>
            <w:vAlign w:val="bottom"/>
          </w:tcPr>
          <w:p>
            <w:pPr>
              <w:pStyle w:val="TableContents"/>
              <w:spacing w:before="0" w:after="283"/>
              <w:rPr/>
            </w:pPr>
            <w:r>
              <w:rPr/>
              <w:t>Tungsten</w:t>
            </w:r>
          </w:p>
        </w:tc>
        <w:tc>
          <w:tcPr>
            <w:tcW w:w="210" w:type="dxa"/>
            <w:tcBorders/>
            <w:shd w:fill="auto" w:val="clear"/>
            <w:vAlign w:val="bottom"/>
          </w:tcPr>
          <w:p>
            <w:pPr>
              <w:pStyle w:val="TableContents"/>
              <w:spacing w:before="0" w:after="283"/>
              <w:rPr/>
            </w:pPr>
            <w:r>
              <w:rPr/>
              <w:t>  </w:t>
            </w:r>
          </w:p>
        </w:tc>
        <w:tc>
          <w:tcPr>
            <w:tcW w:w="5271" w:type="dxa"/>
            <w:tcBorders/>
            <w:shd w:fill="auto" w:val="clear"/>
            <w:vAlign w:val="bottom"/>
          </w:tcPr>
          <w:p>
            <w:pPr>
              <w:pStyle w:val="TableContents"/>
              <w:spacing w:before="0" w:after="283"/>
              <w:rPr/>
            </w:pPr>
            <w:r>
              <w:rPr/>
              <w:t>Niagara Refining LLC</w:t>
            </w:r>
          </w:p>
        </w:tc>
        <w:tc>
          <w:tcPr>
            <w:tcW w:w="210" w:type="dxa"/>
            <w:tcBorders/>
            <w:shd w:fill="auto" w:val="clear"/>
            <w:vAlign w:val="bottom"/>
          </w:tcPr>
          <w:p>
            <w:pPr>
              <w:pStyle w:val="TableContents"/>
              <w:spacing w:before="0" w:after="283"/>
              <w:rPr/>
            </w:pPr>
            <w:r>
              <w:rPr/>
              <w:t>  </w:t>
            </w:r>
          </w:p>
        </w:tc>
        <w:tc>
          <w:tcPr>
            <w:tcW w:w="3163" w:type="dxa"/>
            <w:tcBorders/>
            <w:shd w:fill="auto" w:val="clear"/>
            <w:vAlign w:val="bottom"/>
          </w:tcPr>
          <w:p>
            <w:pPr>
              <w:pStyle w:val="TableContents"/>
              <w:spacing w:before="0" w:after="283"/>
              <w:rPr/>
            </w:pPr>
            <w:r>
              <w:rPr/>
              <w:t>United States of America</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3852</Words>
  <CharactersWithSpaces>25707</CharactersWithSpaces>
  <Paragraphs>658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