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540" w:right="100" w:hanging="424"/>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5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9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580"/>
        <w:spacing w:after="0"/>
        <w:tabs>
          <w:tab w:leader="none" w:pos="6700" w:val="left"/>
          <w:tab w:leader="none" w:pos="7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3776345</wp:posOffset>
            </wp:positionH>
            <wp:positionV relativeFrom="paragraph">
              <wp:posOffset>-7620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001-34791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428625</wp:posOffset>
            </wp:positionV>
            <wp:extent cx="2820035" cy="557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003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Magnachip Semiconductor Corporation</w:t>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1962"/>
              <w:spacing w:after="0"/>
              <w:rPr>
                <w:sz w:val="20"/>
                <w:szCs w:val="20"/>
                <w:color w:val="auto"/>
              </w:rPr>
            </w:pPr>
            <w:r>
              <w:rPr>
                <w:rFonts w:ascii="Arial" w:cs="Arial" w:eastAsia="Arial" w:hAnsi="Arial"/>
                <w:sz w:val="18"/>
                <w:szCs w:val="18"/>
                <w:b w:val="1"/>
                <w:bCs w:val="1"/>
                <w:color w:val="auto"/>
                <w:w w:val="91"/>
              </w:rPr>
              <w:t>83-0406195</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(352) 45-62-62</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12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2" w:lineRule="exact"/>
        <w:rPr>
          <w:sz w:val="24"/>
          <w:szCs w:val="24"/>
          <w:color w:val="auto"/>
        </w:rPr>
      </w:pPr>
    </w:p>
    <w:p>
      <w:pPr>
        <w:ind w:left="120" w:right="38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230" w:right="439" w:bottom="0" w:gutter="0" w:footer="0" w:header="0"/>
        </w:sectPr>
      </w:pPr>
    </w:p>
    <w:p>
      <w:pPr>
        <w:spacing w:after="0" w:line="211" w:lineRule="exact"/>
        <w:rPr>
          <w:sz w:val="24"/>
          <w:szCs w:val="24"/>
          <w:color w:val="auto"/>
        </w:rPr>
      </w:pPr>
    </w:p>
    <w:p>
      <w:pPr>
        <w:ind w:left="1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40" w:space="380"/>
            <w:col w:w="5660" w:space="720"/>
            <w:col w:w="1700" w:space="720"/>
            <w:col w:w="220"/>
          </w:cols>
          <w:pgMar w:left="320" w:top="230" w:right="439" w:bottom="0" w:gutter="0" w:footer="0" w:header="0"/>
          <w:type w:val="continuous"/>
        </w:sectPr>
      </w:pPr>
    </w:p>
    <w:p>
      <w:pPr>
        <w:spacing w:after="0" w:line="33" w:lineRule="exact"/>
        <w:rPr>
          <w:sz w:val="24"/>
          <w:szCs w:val="24"/>
          <w:color w:val="auto"/>
        </w:rPr>
      </w:pPr>
    </w:p>
    <w:p>
      <w:pPr>
        <w:ind w:left="1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640" w:space="480"/>
            <w:col w:w="5660" w:space="720"/>
            <w:col w:w="1960" w:space="460"/>
            <w:col w:w="220"/>
          </w:cols>
          <w:pgMar w:left="320" w:top="230" w:right="439" w:bottom="0" w:gutter="0" w:footer="0" w:header="0"/>
          <w:type w:val="continuous"/>
        </w:sectPr>
      </w:pPr>
    </w:p>
    <w:bookmarkStart w:id="1" w:name="page2"/>
    <w:bookmarkEnd w:id="1"/>
    <w:p>
      <w:pPr>
        <w:ind w:left="8380"/>
        <w:spacing w:after="0" w:line="207" w:lineRule="exact"/>
        <w:tabs>
          <w:tab w:leader="none" w:pos="107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9" w:lineRule="exact"/>
        <w:rPr>
          <w:sz w:val="20"/>
          <w:szCs w:val="20"/>
          <w:color w:val="auto"/>
        </w:rPr>
      </w:pPr>
    </w:p>
    <w:p>
      <w:pPr>
        <w:ind w:right="10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440"/>
        <w:spacing w:after="0" w:line="196" w:lineRule="exact"/>
        <w:tabs>
          <w:tab w:leader="none" w:pos="938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October 29, 2021, the registrant had 46,464,889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91"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840" w:type="dxa"/>
            <w:vAlign w:val="bottom"/>
            <w:gridSpan w:val="8"/>
            <w:vMerge w:val="restart"/>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PART I FINANCIAL INFORMATION</w:t>
              </w:r>
            </w:hyperlink>
          </w:p>
        </w:tc>
        <w:tc>
          <w:tcPr>
            <w:tcW w:w="7560" w:type="dxa"/>
            <w:vAlign w:val="bottom"/>
            <w:gridSpan w:val="14"/>
            <w:vMerge w:val="restart"/>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93"/>
              </w:rPr>
              <w:t>Page No.</w:t>
            </w:r>
          </w:p>
        </w:tc>
        <w:tc>
          <w:tcPr>
            <w:tcW w:w="0" w:type="dxa"/>
            <w:vAlign w:val="bottom"/>
          </w:tcPr>
          <w:p>
            <w:pPr>
              <w:spacing w:after="0"/>
              <w:rPr>
                <w:sz w:val="1"/>
                <w:szCs w:val="1"/>
                <w:color w:val="auto"/>
              </w:rPr>
            </w:pPr>
          </w:p>
        </w:tc>
      </w:tr>
      <w:tr>
        <w:trPr>
          <w:trHeight w:val="160"/>
        </w:trPr>
        <w:tc>
          <w:tcPr>
            <w:tcW w:w="2840" w:type="dxa"/>
            <w:vAlign w:val="bottom"/>
            <w:tcBorders>
              <w:bottom w:val="single" w:sz="8" w:color="0000EE"/>
            </w:tcBorders>
            <w:gridSpan w:val="8"/>
            <w:vMerge w:val="continue"/>
          </w:tcPr>
          <w:p>
            <w:pPr>
              <w:spacing w:after="0"/>
              <w:rPr>
                <w:sz w:val="13"/>
                <w:szCs w:val="13"/>
                <w:color w:val="auto"/>
              </w:rPr>
            </w:pPr>
          </w:p>
        </w:tc>
        <w:tc>
          <w:tcPr>
            <w:tcW w:w="7560" w:type="dxa"/>
            <w:vAlign w:val="bottom"/>
            <w:gridSpan w:val="14"/>
            <w:vMerge w:val="continue"/>
          </w:tcPr>
          <w:p>
            <w:pPr>
              <w:spacing w:after="0"/>
              <w:rPr>
                <w:sz w:val="13"/>
                <w:szCs w:val="13"/>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39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Interim Consolidated Financial Statements (Unaudited)</w:t>
              </w:r>
            </w:hyperlink>
          </w:p>
        </w:tc>
        <w:tc>
          <w:tcPr>
            <w:tcW w:w="5200" w:type="dxa"/>
            <w:vAlign w:val="bottom"/>
            <w:gridSpan w:val="10"/>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Magnachip Semiconductor Corporation and Subsidiaries Consolidated Balance Sheets as of September 30, 2021 and</w:t>
              </w:r>
            </w:hyperlink>
          </w:p>
        </w:tc>
        <w:tc>
          <w:tcPr>
            <w:tcW w:w="78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December 31, 2020</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gridSpan w:val="20"/>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Magnachip Semiconductor Corporation and Subsidiaries Consolidated Statements of Operations for the Three and Nine</w:t>
              </w:r>
            </w:hyperlink>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Months Ended September 30, 2021 and 2020</w:t>
              </w:r>
            </w:hyperlink>
          </w:p>
        </w:tc>
        <w:tc>
          <w:tcPr>
            <w:tcW w:w="560" w:type="dxa"/>
            <w:vAlign w:val="bottom"/>
            <w:gridSpan w:val="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gridSpan w:val="20"/>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Magnachip Semiconductor Corporation and Subsidiaries Consolidated Statements of Comprehensive Income (Loss) for the</w:t>
              </w:r>
            </w:hyperlink>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Three and Nine Months Ended September 30, 2021 and 2020</w:t>
              </w:r>
            </w:hyperlink>
          </w:p>
        </w:tc>
        <w:tc>
          <w:tcPr>
            <w:tcW w:w="30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76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Magnachip Semiconductor Corporation and Subsidiaries Consolidated Statements of Changes in Stockholders’ Equity for</w:t>
              </w:r>
            </w:hyperlink>
          </w:p>
        </w:tc>
        <w:tc>
          <w:tcPr>
            <w:tcW w:w="40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the Three and Nine Months Ended September 30, 2021 and 2020</w:t>
              </w:r>
            </w:hyperlink>
          </w:p>
        </w:tc>
        <w:tc>
          <w:tcPr>
            <w:tcW w:w="4500" w:type="dxa"/>
            <w:vAlign w:val="bottom"/>
            <w:gridSpan w:val="8"/>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gridSpan w:val="20"/>
          </w:tcPr>
          <w:p>
            <w:pPr>
              <w:spacing w:after="0" w:line="196" w:lineRule="exact"/>
              <w:rPr>
                <w:rFonts w:ascii="Arial" w:cs="Arial" w:eastAsia="Arial" w:hAnsi="Arial"/>
                <w:sz w:val="18"/>
                <w:szCs w:val="18"/>
                <w:color w:val="0000EE"/>
                <w:w w:val="97"/>
              </w:rPr>
            </w:pPr>
            <w:hyperlink w:anchor="page8">
              <w:r>
                <w:rPr>
                  <w:rFonts w:ascii="Arial" w:cs="Arial" w:eastAsia="Arial" w:hAnsi="Arial"/>
                  <w:sz w:val="18"/>
                  <w:szCs w:val="18"/>
                  <w:color w:val="0000EE"/>
                  <w:w w:val="97"/>
                </w:rPr>
                <w:t>Magnachip Semiconductor Corporation and Subsidiaries Consolidated Statements of Cash Flows for the Nine Months</w:t>
              </w:r>
            </w:hyperlink>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5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Ended September 30, 2021 and 2020</w:t>
              </w:r>
            </w:hyperlink>
          </w:p>
        </w:tc>
        <w:tc>
          <w:tcPr>
            <w:tcW w:w="680" w:type="dxa"/>
            <w:vAlign w:val="bottom"/>
            <w:gridSpan w:val="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Magnachip Semiconductor Corporation and Subsidiaries Notes to Consolidated Financial Statements</w:t>
              </w:r>
            </w:hyperlink>
          </w:p>
        </w:tc>
        <w:tc>
          <w:tcPr>
            <w:tcW w:w="1900" w:type="dxa"/>
            <w:vAlign w:val="bottom"/>
            <w:gridSpan w:val="6"/>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2.</w:t>
            </w:r>
          </w:p>
        </w:tc>
        <w:tc>
          <w:tcPr>
            <w:tcW w:w="918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3.</w:t>
            </w:r>
          </w:p>
        </w:tc>
        <w:tc>
          <w:tcPr>
            <w:tcW w:w="64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Quantitative and Qualitative Disclosures About Market Risk</w:t>
              </w:r>
            </w:hyperlink>
          </w:p>
        </w:tc>
        <w:tc>
          <w:tcPr>
            <w:tcW w:w="2740" w:type="dxa"/>
            <w:vAlign w:val="bottom"/>
            <w:gridSpan w:val="7"/>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4.</w:t>
            </w:r>
          </w:p>
        </w:tc>
        <w:tc>
          <w:tcPr>
            <w:tcW w:w="17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Controls and Procedures</w:t>
              </w:r>
            </w:hyperlink>
          </w:p>
        </w:tc>
        <w:tc>
          <w:tcPr>
            <w:tcW w:w="2640" w:type="dxa"/>
            <w:vAlign w:val="bottom"/>
            <w:tcBorders>
              <w:top w:val="single" w:sz="8" w:color="0000EE"/>
            </w:tcBorders>
            <w:gridSpan w:val="4"/>
          </w:tcPr>
          <w:p>
            <w:pPr>
              <w:spacing w:after="0"/>
              <w:rPr>
                <w:sz w:val="17"/>
                <w:szCs w:val="17"/>
                <w:color w:val="auto"/>
              </w:rPr>
            </w:pPr>
          </w:p>
        </w:tc>
        <w:tc>
          <w:tcPr>
            <w:tcW w:w="4780" w:type="dxa"/>
            <w:vAlign w:val="bottom"/>
            <w:gridSpan w:val="9"/>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0400" w:type="dxa"/>
            <w:vAlign w:val="bottom"/>
            <w:gridSpan w:val="22"/>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PART II OTHER INFORMATION</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60" w:type="dxa"/>
            <w:vAlign w:val="bottom"/>
            <w:gridSpan w:val="1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w:t>
            </w:r>
          </w:p>
        </w:tc>
        <w:tc>
          <w:tcPr>
            <w:tcW w:w="9180" w:type="dxa"/>
            <w:vAlign w:val="bottom"/>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7"/>
                <w:szCs w:val="17"/>
                <w:color w:val="auto"/>
              </w:rPr>
            </w:pPr>
          </w:p>
        </w:tc>
        <w:tc>
          <w:tcPr>
            <w:tcW w:w="7860" w:type="dxa"/>
            <w:vAlign w:val="bottom"/>
            <w:gridSpan w:val="16"/>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6.</w:t>
            </w:r>
          </w:p>
        </w:tc>
        <w:tc>
          <w:tcPr>
            <w:tcW w:w="9180" w:type="dxa"/>
            <w:vAlign w:val="bottom"/>
            <w:gridSpan w:val="2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Exhibits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85"/>
        </w:trPr>
        <w:tc>
          <w:tcPr>
            <w:tcW w:w="1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11"/>
          </w:tcPr>
          <w:p>
            <w:pPr>
              <w:ind w:left="424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8320" w:type="dxa"/>
            <w:vAlign w:val="bottom"/>
          </w:tcPr>
          <w:p>
            <w:pPr>
              <w:jc w:val="center"/>
              <w:ind w:left="1510"/>
              <w:spacing w:after="0"/>
              <w:rPr>
                <w:sz w:val="20"/>
                <w:szCs w:val="20"/>
                <w:color w:val="auto"/>
              </w:rPr>
            </w:pPr>
            <w:r>
              <w:rPr>
                <w:rFonts w:ascii="Arial" w:cs="Arial" w:eastAsia="Arial" w:hAnsi="Arial"/>
                <w:sz w:val="18"/>
                <w:szCs w:val="18"/>
                <w:b w:val="1"/>
                <w:bCs w:val="1"/>
                <w:color w:val="auto"/>
              </w:rPr>
              <w:t>PART I—FINANCIAL INFORMATION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320" w:type="dxa"/>
            <w:vAlign w:val="bottom"/>
          </w:tcPr>
          <w:p>
            <w:pPr>
              <w:ind w:left="540"/>
              <w:spacing w:after="0"/>
              <w:rPr>
                <w:sz w:val="20"/>
                <w:szCs w:val="20"/>
                <w:color w:val="auto"/>
              </w:rPr>
            </w:pPr>
            <w:r>
              <w:rPr>
                <w:rFonts w:ascii="Arial" w:cs="Arial" w:eastAsia="Arial" w:hAnsi="Arial"/>
                <w:sz w:val="18"/>
                <w:szCs w:val="18"/>
                <w:b w:val="1"/>
                <w:bCs w:val="1"/>
                <w:color w:val="auto"/>
              </w:rPr>
              <w:t>Interim Consolidated Financial Statements (Unaudited)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0" w:type="dxa"/>
            <w:vAlign w:val="bottom"/>
          </w:tcPr>
          <w:p>
            <w:pPr>
              <w:spacing w:after="0"/>
              <w:rPr>
                <w:sz w:val="24"/>
                <w:szCs w:val="24"/>
                <w:color w:val="auto"/>
              </w:rPr>
            </w:pPr>
          </w:p>
        </w:tc>
        <w:tc>
          <w:tcPr>
            <w:tcW w:w="8320" w:type="dxa"/>
            <w:vAlign w:val="bottom"/>
          </w:tcPr>
          <w:p>
            <w:pPr>
              <w:jc w:val="center"/>
              <w:ind w:left="1530"/>
              <w:spacing w:after="0"/>
              <w:rPr>
                <w:sz w:val="20"/>
                <w:szCs w:val="20"/>
                <w:color w:val="auto"/>
              </w:rPr>
            </w:pPr>
            <w:r>
              <w:rPr>
                <w:rFonts w:ascii="Arial" w:cs="Arial" w:eastAsia="Arial" w:hAnsi="Arial"/>
                <w:sz w:val="18"/>
                <w:szCs w:val="18"/>
                <w:b w:val="1"/>
                <w:bCs w:val="1"/>
                <w:color w:val="auto"/>
              </w:rPr>
              <w:t>MAGNACHIP SEMICONDUCTOR CORPORATION AND SUBSIDIARIES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8320" w:type="dxa"/>
            <w:vAlign w:val="bottom"/>
          </w:tcPr>
          <w:p>
            <w:pPr>
              <w:jc w:val="center"/>
              <w:ind w:left="1510"/>
              <w:spacing w:after="0"/>
              <w:rPr>
                <w:sz w:val="20"/>
                <w:szCs w:val="20"/>
                <w:color w:val="auto"/>
              </w:rPr>
            </w:pPr>
            <w:r>
              <w:rPr>
                <w:rFonts w:ascii="Arial" w:cs="Arial" w:eastAsia="Arial" w:hAnsi="Arial"/>
                <w:sz w:val="18"/>
                <w:szCs w:val="18"/>
                <w:b w:val="1"/>
                <w:bCs w:val="1"/>
                <w:color w:val="auto"/>
                <w:w w:val="97"/>
              </w:rPr>
              <w:t>CONSOLIDATED BALANCE SHEETS (Unaudited)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54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0" w:type="dxa"/>
            <w:vAlign w:val="bottom"/>
          </w:tcPr>
          <w:p>
            <w:pPr>
              <w:spacing w:after="0"/>
              <w:rPr>
                <w:sz w:val="10"/>
                <w:szCs w:val="10"/>
                <w:color w:val="auto"/>
              </w:rPr>
            </w:pPr>
          </w:p>
        </w:tc>
        <w:tc>
          <w:tcPr>
            <w:tcW w:w="8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gridSpan w:val="5"/>
          </w:tcPr>
          <w:p>
            <w:pPr>
              <w:jc w:val="right"/>
              <w:ind w:right="31"/>
              <w:spacing w:after="0" w:line="119" w:lineRule="exact"/>
              <w:rPr>
                <w:sz w:val="20"/>
                <w:szCs w:val="20"/>
                <w:color w:val="auto"/>
              </w:rPr>
            </w:pPr>
            <w:r>
              <w:rPr>
                <w:rFonts w:ascii="Arial" w:cs="Arial" w:eastAsia="Arial" w:hAnsi="Arial"/>
                <w:sz w:val="13"/>
                <w:szCs w:val="13"/>
                <w:b w:val="1"/>
                <w:bCs w:val="1"/>
                <w:color w:val="auto"/>
                <w:w w:val="98"/>
              </w:rPr>
              <w:t>(In thousands of U.S. dollars,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except share data)</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Assets</w:t>
            </w:r>
          </w:p>
        </w:tc>
        <w:tc>
          <w:tcPr>
            <w:tcW w:w="8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276,301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279,940</w:t>
            </w:r>
          </w:p>
        </w:tc>
        <w:tc>
          <w:tcPr>
            <w:tcW w:w="0" w:type="dxa"/>
            <w:vAlign w:val="bottom"/>
          </w:tcPr>
          <w:p>
            <w:pPr>
              <w:spacing w:after="0"/>
              <w:rPr>
                <w:sz w:val="1"/>
                <w:szCs w:val="1"/>
                <w:color w:val="auto"/>
              </w:rPr>
            </w:pP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52,523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64,390</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38,773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39,039</w:t>
            </w:r>
          </w:p>
        </w:tc>
        <w:tc>
          <w:tcPr>
            <w:tcW w:w="0" w:type="dxa"/>
            <w:vAlign w:val="bottom"/>
          </w:tcPr>
          <w:p>
            <w:pPr>
              <w:spacing w:after="0"/>
              <w:rPr>
                <w:sz w:val="1"/>
                <w:szCs w:val="1"/>
                <w:color w:val="auto"/>
              </w:rPr>
            </w:pP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Other receivables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8,971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9,666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Hedge collateral (Note 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3,720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5,250</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current assets (Notes 10 and 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9,321</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832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391,873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103,352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96,383</w:t>
            </w:r>
          </w:p>
        </w:tc>
        <w:tc>
          <w:tcPr>
            <w:tcW w:w="0" w:type="dxa"/>
            <w:vAlign w:val="bottom"/>
          </w:tcPr>
          <w:p>
            <w:pPr>
              <w:spacing w:after="0"/>
              <w:rPr>
                <w:sz w:val="1"/>
                <w:szCs w:val="1"/>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3,727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Long-term prepaid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9,451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41,255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44,541</w:t>
            </w:r>
          </w:p>
        </w:tc>
        <w:tc>
          <w:tcPr>
            <w:tcW w:w="0" w:type="dxa"/>
            <w:vAlign w:val="bottom"/>
          </w:tcPr>
          <w:p>
            <w:pPr>
              <w:spacing w:after="0"/>
              <w:rPr>
                <w:sz w:val="1"/>
                <w:szCs w:val="1"/>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10,626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9,739</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562,689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571,690</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33,386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52,164</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18,671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Accrued expenses (Note 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13,168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16,241</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12,398</w:t>
            </w:r>
          </w:p>
        </w:tc>
        <w:tc>
          <w:tcPr>
            <w:tcW w:w="0" w:type="dxa"/>
            <w:vAlign w:val="bottom"/>
          </w:tcPr>
          <w:p>
            <w:pPr>
              <w:spacing w:after="0"/>
              <w:rPr>
                <w:sz w:val="1"/>
                <w:szCs w:val="1"/>
                <w:color w:val="auto"/>
              </w:rPr>
            </w:pP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Operating lease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1,757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portion of long-term borrowings,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83,479</w:t>
            </w:r>
          </w:p>
        </w:tc>
        <w:tc>
          <w:tcPr>
            <w:tcW w:w="0" w:type="dxa"/>
            <w:vAlign w:val="bottom"/>
          </w:tcPr>
          <w:p>
            <w:pPr>
              <w:spacing w:after="0"/>
              <w:rPr>
                <w:sz w:val="1"/>
                <w:szCs w:val="1"/>
                <w:color w:val="auto"/>
              </w:rPr>
            </w:pP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Other current liabilities (Note 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4,595</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76,737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173,618</w:t>
            </w:r>
          </w:p>
        </w:tc>
        <w:tc>
          <w:tcPr>
            <w:tcW w:w="0" w:type="dxa"/>
            <w:vAlign w:val="bottom"/>
          </w:tcPr>
          <w:p>
            <w:pPr>
              <w:spacing w:after="0"/>
              <w:rPr>
                <w:sz w:val="1"/>
                <w:szCs w:val="1"/>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Accrued severance benefits,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37,741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40,462</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Other non-current liabilities (Note 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12,944</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9,588</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129,392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226,090</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color w:val="auto"/>
              </w:rPr>
              <w:t>Commitments and contingencies (Note 19)</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6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8"/>
              </w:rPr>
              <w:t>Common stock, $0.01 par value, 150,000,000 shares authorized, 55,676,851 shares issued and 46,464,889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92"/>
              </w:rPr>
              <w:t>outstanding at September 30, 2021 and 44,943,854 shares issued and 35,783,347 outstanding at December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557</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256,619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163,010</w:t>
            </w:r>
          </w:p>
        </w:tc>
        <w:tc>
          <w:tcPr>
            <w:tcW w:w="0" w:type="dxa"/>
            <w:vAlign w:val="bottom"/>
          </w:tcPr>
          <w:p>
            <w:pPr>
              <w:spacing w:after="0"/>
              <w:rPr>
                <w:sz w:val="1"/>
                <w:szCs w:val="1"/>
                <w:color w:val="auto"/>
              </w:rPr>
            </w:pP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289,931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286,834</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1"/>
              </w:rPr>
              <w:t>Treasury stock, 9,211,962 shares at September 30, 2021 and 9,160,507 shares at December 31, 2020, respectively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(109,407)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(108,397)</w:t>
            </w:r>
          </w:p>
        </w:tc>
        <w:tc>
          <w:tcPr>
            <w:tcW w:w="0" w:type="dxa"/>
            <w:vAlign w:val="bottom"/>
          </w:tcPr>
          <w:p>
            <w:pPr>
              <w:spacing w:after="0"/>
              <w:rPr>
                <w:sz w:val="1"/>
                <w:szCs w:val="1"/>
                <w:color w:val="auto"/>
              </w:rPr>
            </w:pP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(4,403)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433,297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345,600</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832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562,689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571,690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140"/>
          </w:cols>
          <w:pgMar w:left="320" w:top="486" w:right="439" w:bottom="1440" w:gutter="0" w:footer="0" w:header="0"/>
        </w:sectPr>
      </w:pP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140"/>
          </w:cols>
          <w:pgMar w:left="320" w:top="486" w:right="4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5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960" w:type="dxa"/>
            <w:vAlign w:val="bottom"/>
            <w:gridSpan w:val="9"/>
          </w:tcPr>
          <w:p>
            <w:pPr>
              <w:jc w:val="right"/>
              <w:spacing w:after="0" w:line="142" w:lineRule="exact"/>
              <w:rPr>
                <w:sz w:val="20"/>
                <w:szCs w:val="20"/>
                <w:color w:val="auto"/>
              </w:rPr>
            </w:pPr>
            <w:r>
              <w:rPr>
                <w:rFonts w:ascii="Arial" w:cs="Arial" w:eastAsia="Arial" w:hAnsi="Arial"/>
                <w:sz w:val="14"/>
                <w:szCs w:val="14"/>
                <w:b w:val="1"/>
                <w:bCs w:val="1"/>
                <w:color w:val="auto"/>
                <w:w w:val="91"/>
              </w:rPr>
              <w:t>(In thousands of U.S. dollars, except share data)</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660" w:type="dxa"/>
            <w:vAlign w:val="bottom"/>
            <w:gridSpan w:val="2"/>
          </w:tcPr>
          <w:p>
            <w:pPr>
              <w:ind w:left="58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8"/>
              <w:spacing w:after="0"/>
              <w:rPr>
                <w:sz w:val="20"/>
                <w:szCs w:val="20"/>
                <w:color w:val="auto"/>
              </w:rPr>
            </w:pPr>
            <w:r>
              <w:rPr>
                <w:rFonts w:ascii="Arial" w:cs="Arial" w:eastAsia="Arial" w:hAnsi="Arial"/>
                <w:sz w:val="18"/>
                <w:szCs w:val="18"/>
                <w:color w:val="auto"/>
              </w:rPr>
              <w:t>117,415</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116,262</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333,589</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335,953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9,585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30,306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28,161</w:t>
            </w:r>
          </w:p>
        </w:tc>
        <w:tc>
          <w:tcPr>
            <w:tcW w:w="0" w:type="dxa"/>
            <w:vAlign w:val="bottom"/>
          </w:tcPr>
          <w:p>
            <w:pPr>
              <w:spacing w:after="0"/>
              <w:rPr>
                <w:sz w:val="1"/>
                <w:szCs w:val="1"/>
                <w:color w:val="auto"/>
              </w:rPr>
            </w:pPr>
          </w:p>
        </w:tc>
      </w:tr>
      <w:tr>
        <w:trPr>
          <w:trHeight w:val="223"/>
        </w:trPr>
        <w:tc>
          <w:tcPr>
            <w:tcW w:w="554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124,813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363,895</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364,114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8"/>
                <w:szCs w:val="18"/>
                <w:color w:val="auto"/>
              </w:rPr>
              <w:t>71,641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87,494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221,297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245,917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transitional Fab 3 foundry services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8,772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27,659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28,341</w:t>
            </w:r>
          </w:p>
        </w:tc>
        <w:tc>
          <w:tcPr>
            <w:tcW w:w="0" w:type="dxa"/>
            <w:vAlign w:val="bottom"/>
          </w:tcPr>
          <w:p>
            <w:pPr>
              <w:spacing w:after="0"/>
              <w:rPr>
                <w:sz w:val="1"/>
                <w:szCs w:val="1"/>
                <w:color w:val="auto"/>
              </w:rPr>
            </w:pPr>
          </w:p>
        </w:tc>
      </w:tr>
      <w:tr>
        <w:trPr>
          <w:trHeight w:val="230"/>
        </w:trPr>
        <w:tc>
          <w:tcPr>
            <w:tcW w:w="554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96,225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248,956</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274,258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46,587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114,939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89,856</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12,550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39,185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37,398</w:t>
            </w: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8"/>
                <w:szCs w:val="18"/>
                <w:color w:val="auto"/>
              </w:rPr>
              <w:t>12,270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12,477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39,015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34,094</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charges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1,766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30"/>
        </w:trPr>
        <w:tc>
          <w:tcPr>
            <w:tcW w:w="55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26,586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25,365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95,402</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20,001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19,537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17,810</w:t>
            </w: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88"/>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(5,485)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(1,239)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(16,522)</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gain (loss), net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(7,579)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(13,638)</w:t>
            </w: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2,839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 expense</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(10,007)</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6,040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(10,843)</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264,501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289,227</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10,768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272,962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3,097</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278,384</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Basic earnings (loss) per common share—</w:t>
            </w: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Continuing operations</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0.23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0.07</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Discontinued operations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0.23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0.07</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Diluted earnings (loss) per common share—</w:t>
            </w: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Continuing operations</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0.23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0.07</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Discontinued operations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0.23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0.07</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w:t>
            </w: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88"/>
              </w:rPr>
              <w:t>46,449,234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35,280,864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44,377,250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35,089,479</w:t>
            </w:r>
          </w:p>
        </w:tc>
        <w:tc>
          <w:tcPr>
            <w:tcW w:w="0" w:type="dxa"/>
            <w:vAlign w:val="bottom"/>
          </w:tcPr>
          <w:p>
            <w:pPr>
              <w:spacing w:after="0"/>
              <w:rPr>
                <w:sz w:val="1"/>
                <w:szCs w:val="1"/>
                <w:color w:val="auto"/>
              </w:rPr>
            </w:pP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Diluted</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8"/>
                <w:szCs w:val="18"/>
                <w:color w:val="auto"/>
                <w:w w:val="88"/>
              </w:rPr>
              <w:t>47,808,457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46,581,788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45,811,792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35,089,479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 (LOSS) (Unaudited)</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6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r>
      <w:tr>
        <w:trPr>
          <w:trHeight w:val="17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42"/>
        </w:trPr>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gridSpan w:val="6"/>
          </w:tcPr>
          <w:p>
            <w:pPr>
              <w:jc w:val="right"/>
              <w:ind w:right="400"/>
              <w:spacing w:after="0" w:line="142" w:lineRule="exact"/>
              <w:rPr>
                <w:sz w:val="20"/>
                <w:szCs w:val="20"/>
                <w:color w:val="auto"/>
              </w:rPr>
            </w:pPr>
            <w:r>
              <w:rPr>
                <w:rFonts w:ascii="Arial" w:cs="Arial" w:eastAsia="Arial" w:hAnsi="Arial"/>
                <w:sz w:val="14"/>
                <w:szCs w:val="14"/>
                <w:b w:val="1"/>
                <w:bCs w:val="1"/>
                <w:color w:val="auto"/>
                <w:w w:val="93"/>
              </w:rPr>
              <w:t>(In thousands of U.S. dollars)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10,768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272,962</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3,097</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278,384</w:t>
            </w: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9,191</w:t>
            </w: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Derivative adjustments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Fair valuation of derivatives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(1,410)</w:t>
            </w:r>
          </w:p>
        </w:tc>
      </w:tr>
      <w:tr>
        <w:trPr>
          <w:trHeight w:val="202"/>
        </w:trPr>
        <w:tc>
          <w:tcPr>
            <w:tcW w:w="6220" w:type="dxa"/>
            <w:vAlign w:val="bottom"/>
          </w:tcPr>
          <w:p>
            <w:pPr>
              <w:ind w:left="720"/>
              <w:spacing w:after="0" w:line="201" w:lineRule="exact"/>
              <w:rPr>
                <w:sz w:val="20"/>
                <w:szCs w:val="20"/>
                <w:color w:val="auto"/>
              </w:rPr>
            </w:pPr>
            <w:r>
              <w:rPr>
                <w:rFonts w:ascii="Arial" w:cs="Arial" w:eastAsia="Arial" w:hAnsi="Arial"/>
                <w:sz w:val="18"/>
                <w:szCs w:val="18"/>
                <w:color w:val="auto"/>
                <w:w w:val="96"/>
              </w:rPr>
              <w:t>Reclassification adjustment for loss (gain) on derivatives included in net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220" w:type="dxa"/>
            <w:vAlign w:val="bottom"/>
          </w:tcPr>
          <w:p>
            <w:pPr>
              <w:ind w:left="900"/>
              <w:spacing w:after="0"/>
              <w:rPr>
                <w:sz w:val="20"/>
                <w:szCs w:val="20"/>
                <w:color w:val="auto"/>
              </w:rPr>
            </w:pPr>
            <w:r>
              <w:rPr>
                <w:rFonts w:ascii="Arial" w:cs="Arial" w:eastAsia="Arial" w:hAnsi="Arial"/>
                <w:sz w:val="18"/>
                <w:szCs w:val="18"/>
                <w:color w:val="auto"/>
              </w:rPr>
              <w:t>income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653</w:t>
            </w:r>
          </w:p>
        </w:tc>
        <w:tc>
          <w:tcPr>
            <w:tcW w:w="22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292</w:t>
            </w:r>
          </w:p>
        </w:tc>
      </w:tr>
      <w:tr>
        <w:trPr>
          <w:trHeight w:val="27"/>
        </w:trPr>
        <w:tc>
          <w:tcPr>
            <w:tcW w:w="6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(5,086)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8,073</w:t>
            </w: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267,876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286,457</w:t>
            </w:r>
          </w:p>
        </w:tc>
        <w:tc>
          <w:tcPr>
            <w:tcW w:w="12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w w:val="89"/>
              </w:rPr>
              <w:t>Common Stock</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3"/>
              </w:rPr>
              <w:t>Additional</w:t>
            </w:r>
          </w:p>
        </w:tc>
        <w:tc>
          <w:tcPr>
            <w:tcW w:w="8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Borders>
              <w:bottom w:val="single" w:sz="8" w:color="auto"/>
            </w:tcBorders>
            <w:gridSpan w:val="4"/>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3"/>
          </w:tcPr>
          <w:p>
            <w:pPr>
              <w:jc w:val="center"/>
              <w:ind w:right="340"/>
              <w:spacing w:after="0" w:line="158"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of U.S. dollars, except share data)</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0"/>
                <w:szCs w:val="10"/>
                <w:color w:val="auto"/>
              </w:rPr>
            </w:pPr>
          </w:p>
        </w:tc>
        <w:tc>
          <w:tcPr>
            <w:tcW w:w="940" w:type="dxa"/>
            <w:vAlign w:val="bottom"/>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Paid-In</w:t>
            </w:r>
          </w:p>
        </w:tc>
        <w:tc>
          <w:tcPr>
            <w:tcW w:w="82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0"/>
                <w:szCs w:val="10"/>
                <w:color w:val="auto"/>
              </w:rPr>
            </w:pPr>
          </w:p>
        </w:tc>
        <w:tc>
          <w:tcPr>
            <w:tcW w:w="1000" w:type="dxa"/>
            <w:vAlign w:val="bottom"/>
            <w:gridSpan w:val="3"/>
          </w:tcPr>
          <w:p>
            <w:pPr>
              <w:jc w:val="right"/>
              <w:ind w:right="281"/>
              <w:spacing w:after="0" w:line="119" w:lineRule="exact"/>
              <w:rPr>
                <w:sz w:val="20"/>
                <w:szCs w:val="20"/>
                <w:color w:val="auto"/>
              </w:rPr>
            </w:pPr>
            <w:r>
              <w:rPr>
                <w:rFonts w:ascii="Arial" w:cs="Arial" w:eastAsia="Arial" w:hAnsi="Arial"/>
                <w:sz w:val="13"/>
                <w:szCs w:val="13"/>
                <w:b w:val="1"/>
                <w:bCs w:val="1"/>
                <w:color w:val="auto"/>
              </w:rPr>
              <w:t>Treasury</w:t>
            </w:r>
          </w:p>
        </w:tc>
        <w:tc>
          <w:tcPr>
            <w:tcW w:w="11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0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000" w:type="dxa"/>
            <w:vAlign w:val="bottom"/>
            <w:gridSpan w:val="3"/>
          </w:tcPr>
          <w:p>
            <w:pPr>
              <w:jc w:val="right"/>
              <w:ind w:right="381"/>
              <w:spacing w:after="0"/>
              <w:rPr>
                <w:sz w:val="20"/>
                <w:szCs w:val="20"/>
                <w:color w:val="auto"/>
              </w:rPr>
            </w:pPr>
            <w:r>
              <w:rPr>
                <w:rFonts w:ascii="Arial" w:cs="Arial" w:eastAsia="Arial" w:hAnsi="Arial"/>
                <w:sz w:val="14"/>
                <w:szCs w:val="14"/>
                <w:b w:val="1"/>
                <w:bCs w:val="1"/>
                <w:color w:val="auto"/>
              </w:rPr>
              <w:t>Stock</w:t>
            </w:r>
          </w:p>
        </w:tc>
        <w:tc>
          <w:tcPr>
            <w:tcW w:w="11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2021: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2021</w:t>
            </w:r>
          </w:p>
        </w:tc>
        <w:tc>
          <w:tcPr>
            <w:tcW w:w="1240" w:type="dxa"/>
            <w:vAlign w:val="bottom"/>
            <w:gridSpan w:val="5"/>
          </w:tcPr>
          <w:p>
            <w:pPr>
              <w:jc w:val="right"/>
              <w:ind w:right="200"/>
              <w:spacing w:after="0"/>
              <w:rPr>
                <w:sz w:val="20"/>
                <w:szCs w:val="20"/>
                <w:color w:val="auto"/>
              </w:rPr>
            </w:pPr>
            <w:r>
              <w:rPr>
                <w:rFonts w:ascii="Arial" w:cs="Arial" w:eastAsia="Arial" w:hAnsi="Arial"/>
                <w:sz w:val="18"/>
                <w:szCs w:val="18"/>
                <w:color w:val="auto"/>
              </w:rPr>
              <w:t>46,350,945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3"/>
          </w:tcPr>
          <w:p>
            <w:pPr>
              <w:ind w:left="60"/>
              <w:spacing w:after="0"/>
              <w:rPr>
                <w:sz w:val="20"/>
                <w:szCs w:val="20"/>
                <w:color w:val="auto"/>
              </w:rPr>
            </w:pPr>
            <w:r>
              <w:rPr>
                <w:rFonts w:ascii="Arial" w:cs="Arial" w:eastAsia="Arial" w:hAnsi="Arial"/>
                <w:sz w:val="18"/>
                <w:szCs w:val="18"/>
                <w:color w:val="auto"/>
              </w:rPr>
              <w:t>556</w:t>
            </w:r>
          </w:p>
        </w:tc>
        <w:tc>
          <w:tcPr>
            <w:tcW w:w="1100" w:type="dxa"/>
            <w:vAlign w:val="bottom"/>
            <w:gridSpan w:val="4"/>
          </w:tcPr>
          <w:p>
            <w:pPr>
              <w:jc w:val="right"/>
              <w:ind w:right="260"/>
              <w:spacing w:after="0"/>
              <w:rPr>
                <w:sz w:val="20"/>
                <w:szCs w:val="20"/>
                <w:color w:val="auto"/>
              </w:rPr>
            </w:pPr>
            <w:r>
              <w:rPr>
                <w:rFonts w:ascii="Arial" w:cs="Arial" w:eastAsia="Arial" w:hAnsi="Arial"/>
                <w:sz w:val="18"/>
                <w:szCs w:val="18"/>
                <w:color w:val="auto"/>
              </w:rPr>
              <w:t>$253,244</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w w:val="87"/>
              </w:rPr>
              <w:t>$279,163</w:t>
            </w:r>
          </w:p>
        </w:tc>
        <w:tc>
          <w:tcPr>
            <w:tcW w:w="1120" w:type="dxa"/>
            <w:vAlign w:val="bottom"/>
            <w:gridSpan w:val="4"/>
          </w:tcPr>
          <w:p>
            <w:pPr>
              <w:jc w:val="right"/>
              <w:ind w:right="121"/>
              <w:spacing w:after="0"/>
              <w:rPr>
                <w:sz w:val="20"/>
                <w:szCs w:val="20"/>
                <w:color w:val="auto"/>
              </w:rPr>
            </w:pPr>
            <w:r>
              <w:rPr>
                <w:rFonts w:ascii="Arial" w:cs="Arial" w:eastAsia="Arial" w:hAnsi="Arial"/>
                <w:sz w:val="18"/>
                <w:szCs w:val="18"/>
                <w:color w:val="auto"/>
              </w:rPr>
              <w:t>$(109,407)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(925)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422,631</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2,005</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Exercise of stock options</w:t>
            </w:r>
          </w:p>
        </w:tc>
        <w:tc>
          <w:tcPr>
            <w:tcW w:w="1240" w:type="dxa"/>
            <w:vAlign w:val="bottom"/>
            <w:gridSpan w:val="5"/>
          </w:tcPr>
          <w:p>
            <w:pPr>
              <w:jc w:val="right"/>
              <w:ind w:right="200"/>
              <w:spacing w:after="0"/>
              <w:rPr>
                <w:sz w:val="20"/>
                <w:szCs w:val="20"/>
                <w:color w:val="auto"/>
              </w:rPr>
            </w:pPr>
            <w:r>
              <w:rPr>
                <w:rFonts w:ascii="Arial" w:cs="Arial" w:eastAsia="Arial" w:hAnsi="Arial"/>
                <w:sz w:val="18"/>
                <w:szCs w:val="18"/>
                <w:color w:val="auto"/>
              </w:rPr>
              <w:t>112,944</w:t>
            </w:r>
          </w:p>
        </w:tc>
        <w:tc>
          <w:tcPr>
            <w:tcW w:w="200" w:type="dxa"/>
            <w:vAlign w:val="bottom"/>
          </w:tcPr>
          <w:p>
            <w:pPr>
              <w:spacing w:after="0"/>
              <w:rPr>
                <w:sz w:val="18"/>
                <w:szCs w:val="18"/>
                <w:color w:val="auto"/>
              </w:rPr>
            </w:pPr>
          </w:p>
        </w:tc>
        <w:tc>
          <w:tcPr>
            <w:tcW w:w="400" w:type="dxa"/>
            <w:vAlign w:val="bottom"/>
            <w:gridSpan w:val="3"/>
          </w:tcPr>
          <w:p>
            <w:pPr>
              <w:ind w:left="240"/>
              <w:spacing w:after="0"/>
              <w:rPr>
                <w:sz w:val="20"/>
                <w:szCs w:val="20"/>
                <w:color w:val="auto"/>
              </w:rPr>
            </w:pPr>
            <w:r>
              <w:rPr>
                <w:rFonts w:ascii="Arial" w:cs="Arial" w:eastAsia="Arial" w:hAnsi="Arial"/>
                <w:sz w:val="18"/>
                <w:szCs w:val="18"/>
                <w:color w:val="auto"/>
              </w:rPr>
              <w:t>1</w:t>
            </w:r>
          </w:p>
        </w:tc>
        <w:tc>
          <w:tcPr>
            <w:tcW w:w="1100" w:type="dxa"/>
            <w:vAlign w:val="bottom"/>
            <w:gridSpan w:val="4"/>
          </w:tcPr>
          <w:p>
            <w:pPr>
              <w:jc w:val="right"/>
              <w:ind w:right="260"/>
              <w:spacing w:after="0"/>
              <w:rPr>
                <w:sz w:val="20"/>
                <w:szCs w:val="20"/>
                <w:color w:val="auto"/>
              </w:rPr>
            </w:pPr>
            <w:r>
              <w:rPr>
                <w:rFonts w:ascii="Arial" w:cs="Arial" w:eastAsia="Arial" w:hAnsi="Arial"/>
                <w:sz w:val="18"/>
                <w:szCs w:val="18"/>
                <w:color w:val="auto"/>
              </w:rPr>
              <w:t>1,370</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3"/>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Settlement of restricted stock units</w:t>
            </w:r>
          </w:p>
        </w:tc>
        <w:tc>
          <w:tcPr>
            <w:tcW w:w="1240" w:type="dxa"/>
            <w:vAlign w:val="bottom"/>
            <w:tcBorders>
              <w:right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0</w:t>
            </w:r>
          </w:p>
        </w:tc>
        <w:tc>
          <w:tcPr>
            <w:tcW w:w="110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Other comprehensive loss, net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3"/>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(3,478)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(3,478)</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10,768</w:t>
            </w: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10,768</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46,464,889</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color w:val="auto"/>
                <w:w w:val="79"/>
              </w:rPr>
              <w:t>557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256,619</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289,931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(109,407</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(4,403)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433,297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2020</w:t>
            </w:r>
          </w:p>
        </w:tc>
        <w:tc>
          <w:tcPr>
            <w:tcW w:w="1240" w:type="dxa"/>
            <w:vAlign w:val="bottom"/>
            <w:gridSpan w:val="5"/>
          </w:tcPr>
          <w:p>
            <w:pPr>
              <w:jc w:val="right"/>
              <w:ind w:right="200"/>
              <w:spacing w:after="0"/>
              <w:rPr>
                <w:sz w:val="20"/>
                <w:szCs w:val="20"/>
                <w:color w:val="auto"/>
              </w:rPr>
            </w:pPr>
            <w:r>
              <w:rPr>
                <w:rFonts w:ascii="Arial" w:cs="Arial" w:eastAsia="Arial" w:hAnsi="Arial"/>
                <w:sz w:val="18"/>
                <w:szCs w:val="18"/>
                <w:color w:val="auto"/>
              </w:rPr>
              <w:t>35,143,033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3"/>
          </w:tcPr>
          <w:p>
            <w:pPr>
              <w:ind w:left="60"/>
              <w:spacing w:after="0"/>
              <w:rPr>
                <w:sz w:val="20"/>
                <w:szCs w:val="20"/>
                <w:color w:val="auto"/>
              </w:rPr>
            </w:pPr>
            <w:r>
              <w:rPr>
                <w:rFonts w:ascii="Arial" w:cs="Arial" w:eastAsia="Arial" w:hAnsi="Arial"/>
                <w:sz w:val="18"/>
                <w:szCs w:val="18"/>
                <w:color w:val="auto"/>
              </w:rPr>
              <w:t>443</w:t>
            </w:r>
          </w:p>
        </w:tc>
        <w:tc>
          <w:tcPr>
            <w:tcW w:w="1100" w:type="dxa"/>
            <w:vAlign w:val="bottom"/>
            <w:gridSpan w:val="4"/>
          </w:tcPr>
          <w:p>
            <w:pPr>
              <w:jc w:val="right"/>
              <w:ind w:right="260"/>
              <w:spacing w:after="0"/>
              <w:rPr>
                <w:sz w:val="20"/>
                <w:szCs w:val="20"/>
                <w:color w:val="auto"/>
              </w:rPr>
            </w:pPr>
            <w:r>
              <w:rPr>
                <w:rFonts w:ascii="Arial" w:cs="Arial" w:eastAsia="Arial" w:hAnsi="Arial"/>
                <w:sz w:val="18"/>
                <w:szCs w:val="18"/>
                <w:color w:val="auto"/>
              </w:rPr>
              <w:t>$155,591</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w w:val="87"/>
              </w:rPr>
              <w:t>$ (52,709)</w:t>
            </w:r>
          </w:p>
        </w:tc>
        <w:tc>
          <w:tcPr>
            <w:tcW w:w="1120" w:type="dxa"/>
            <w:vAlign w:val="bottom"/>
            <w:gridSpan w:val="4"/>
          </w:tcPr>
          <w:p>
            <w:pPr>
              <w:jc w:val="right"/>
              <w:ind w:right="121"/>
              <w:spacing w:after="0"/>
              <w:rPr>
                <w:sz w:val="20"/>
                <w:szCs w:val="20"/>
                <w:color w:val="auto"/>
              </w:rPr>
            </w:pPr>
            <w:r>
              <w:rPr>
                <w:rFonts w:ascii="Arial" w:cs="Arial" w:eastAsia="Arial" w:hAnsi="Arial"/>
                <w:sz w:val="18"/>
                <w:szCs w:val="18"/>
                <w:color w:val="auto"/>
              </w:rPr>
              <w:t>$(107,649)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10,499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6,175</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2,226</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Exercise of stock options</w:t>
            </w:r>
          </w:p>
        </w:tc>
        <w:tc>
          <w:tcPr>
            <w:tcW w:w="1240" w:type="dxa"/>
            <w:vAlign w:val="bottom"/>
            <w:gridSpan w:val="5"/>
          </w:tcPr>
          <w:p>
            <w:pPr>
              <w:jc w:val="right"/>
              <w:ind w:right="200"/>
              <w:spacing w:after="0"/>
              <w:rPr>
                <w:sz w:val="20"/>
                <w:szCs w:val="20"/>
                <w:color w:val="auto"/>
              </w:rPr>
            </w:pPr>
            <w:r>
              <w:rPr>
                <w:rFonts w:ascii="Arial" w:cs="Arial" w:eastAsia="Arial" w:hAnsi="Arial"/>
                <w:sz w:val="18"/>
                <w:szCs w:val="18"/>
                <w:color w:val="auto"/>
              </w:rPr>
              <w:t>287,292</w:t>
            </w:r>
          </w:p>
        </w:tc>
        <w:tc>
          <w:tcPr>
            <w:tcW w:w="200" w:type="dxa"/>
            <w:vAlign w:val="bottom"/>
          </w:tcPr>
          <w:p>
            <w:pPr>
              <w:spacing w:after="0"/>
              <w:rPr>
                <w:sz w:val="18"/>
                <w:szCs w:val="18"/>
                <w:color w:val="auto"/>
              </w:rPr>
            </w:pPr>
          </w:p>
        </w:tc>
        <w:tc>
          <w:tcPr>
            <w:tcW w:w="400" w:type="dxa"/>
            <w:vAlign w:val="bottom"/>
            <w:gridSpan w:val="3"/>
          </w:tcPr>
          <w:p>
            <w:pPr>
              <w:ind w:left="240"/>
              <w:spacing w:after="0"/>
              <w:rPr>
                <w:sz w:val="20"/>
                <w:szCs w:val="20"/>
                <w:color w:val="auto"/>
              </w:rPr>
            </w:pPr>
            <w:r>
              <w:rPr>
                <w:rFonts w:ascii="Arial" w:cs="Arial" w:eastAsia="Arial" w:hAnsi="Arial"/>
                <w:sz w:val="18"/>
                <w:szCs w:val="18"/>
                <w:color w:val="auto"/>
              </w:rPr>
              <w:t>3</w:t>
            </w:r>
          </w:p>
        </w:tc>
        <w:tc>
          <w:tcPr>
            <w:tcW w:w="1100" w:type="dxa"/>
            <w:vAlign w:val="bottom"/>
            <w:gridSpan w:val="4"/>
          </w:tcPr>
          <w:p>
            <w:pPr>
              <w:jc w:val="right"/>
              <w:ind w:right="260"/>
              <w:spacing w:after="0"/>
              <w:rPr>
                <w:sz w:val="20"/>
                <w:szCs w:val="20"/>
                <w:color w:val="auto"/>
              </w:rPr>
            </w:pPr>
            <w:r>
              <w:rPr>
                <w:rFonts w:ascii="Arial" w:cs="Arial" w:eastAsia="Arial" w:hAnsi="Arial"/>
                <w:sz w:val="18"/>
                <w:szCs w:val="18"/>
                <w:color w:val="auto"/>
              </w:rPr>
              <w:t>2,024</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3"/>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Settlement of restricted stock units</w:t>
            </w:r>
          </w:p>
        </w:tc>
        <w:tc>
          <w:tcPr>
            <w:tcW w:w="1240" w:type="dxa"/>
            <w:vAlign w:val="bottom"/>
            <w:tcBorders>
              <w:right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59,395</w:t>
            </w:r>
          </w:p>
        </w:tc>
        <w:tc>
          <w:tcPr>
            <w:tcW w:w="2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1</w:t>
            </w:r>
          </w:p>
        </w:tc>
        <w:tc>
          <w:tcPr>
            <w:tcW w:w="110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Other comprehensive loss, net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3"/>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(5,086)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(5,086)</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272,962</w:t>
            </w: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272,962</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35,489,720</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color w:val="auto"/>
                <w:w w:val="79"/>
              </w:rPr>
              <w:t>447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159,840</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220,253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(107,649</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5,413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278,304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w w:val="97"/>
              </w:rPr>
              <w:t>Common Stock</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84"/>
              </w:rPr>
              <w:t>Additional</w:t>
            </w:r>
          </w:p>
        </w:tc>
        <w:tc>
          <w:tcPr>
            <w:tcW w:w="8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3"/>
          </w:tcPr>
          <w:p>
            <w:pPr>
              <w:jc w:val="center"/>
              <w:ind w:right="360"/>
              <w:spacing w:after="0" w:line="158"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of U.S. dollars, except share data)</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0"/>
                <w:szCs w:val="10"/>
                <w:color w:val="auto"/>
              </w:rPr>
            </w:pPr>
          </w:p>
        </w:tc>
        <w:tc>
          <w:tcPr>
            <w:tcW w:w="940" w:type="dxa"/>
            <w:vAlign w:val="bottom"/>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rPr>
              <w:t>Paid-In</w:t>
            </w:r>
          </w:p>
        </w:tc>
        <w:tc>
          <w:tcPr>
            <w:tcW w:w="82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0"/>
                <w:szCs w:val="10"/>
                <w:color w:val="auto"/>
              </w:rPr>
            </w:pPr>
          </w:p>
        </w:tc>
        <w:tc>
          <w:tcPr>
            <w:tcW w:w="1000" w:type="dxa"/>
            <w:vAlign w:val="bottom"/>
            <w:gridSpan w:val="3"/>
          </w:tcPr>
          <w:p>
            <w:pPr>
              <w:jc w:val="right"/>
              <w:ind w:right="301"/>
              <w:spacing w:after="0" w:line="119" w:lineRule="exact"/>
              <w:rPr>
                <w:sz w:val="20"/>
                <w:szCs w:val="20"/>
                <w:color w:val="auto"/>
              </w:rPr>
            </w:pPr>
            <w:r>
              <w:rPr>
                <w:rFonts w:ascii="Arial" w:cs="Arial" w:eastAsia="Arial" w:hAnsi="Arial"/>
                <w:sz w:val="13"/>
                <w:szCs w:val="13"/>
                <w:b w:val="1"/>
                <w:bCs w:val="1"/>
                <w:color w:val="auto"/>
              </w:rPr>
              <w:t>Treasury</w:t>
            </w:r>
          </w:p>
        </w:tc>
        <w:tc>
          <w:tcPr>
            <w:tcW w:w="11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0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Capital</w:t>
            </w: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000" w:type="dxa"/>
            <w:vAlign w:val="bottom"/>
            <w:gridSpan w:val="3"/>
          </w:tcPr>
          <w:p>
            <w:pPr>
              <w:jc w:val="right"/>
              <w:ind w:right="401"/>
              <w:spacing w:after="0"/>
              <w:rPr>
                <w:sz w:val="20"/>
                <w:szCs w:val="20"/>
                <w:color w:val="auto"/>
              </w:rPr>
            </w:pPr>
            <w:r>
              <w:rPr>
                <w:rFonts w:ascii="Arial" w:cs="Arial" w:eastAsia="Arial" w:hAnsi="Arial"/>
                <w:sz w:val="14"/>
                <w:szCs w:val="14"/>
                <w:b w:val="1"/>
                <w:bCs w:val="1"/>
                <w:color w:val="auto"/>
              </w:rPr>
              <w:t>Stock</w:t>
            </w:r>
          </w:p>
        </w:tc>
        <w:tc>
          <w:tcPr>
            <w:tcW w:w="11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2021: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2020</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35,783,347</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20"/>
                <w:szCs w:val="20"/>
                <w:color w:val="auto"/>
              </w:rPr>
            </w:pPr>
            <w:r>
              <w:rPr>
                <w:rFonts w:ascii="Arial" w:cs="Arial" w:eastAsia="Arial" w:hAnsi="Arial"/>
                <w:sz w:val="18"/>
                <w:szCs w:val="18"/>
                <w:color w:val="auto"/>
                <w:w w:val="99"/>
              </w:rPr>
              <w:t>450</w:t>
            </w:r>
          </w:p>
        </w:tc>
        <w:tc>
          <w:tcPr>
            <w:tcW w:w="8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$163,010</w:t>
            </w:r>
          </w:p>
        </w:tc>
        <w:tc>
          <w:tcPr>
            <w:tcW w:w="2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82"/>
              </w:rPr>
              <w:t>$286,834</w:t>
            </w:r>
          </w:p>
        </w:tc>
        <w:tc>
          <w:tcPr>
            <w:tcW w:w="140" w:type="dxa"/>
            <w:vAlign w:val="bottom"/>
          </w:tcPr>
          <w:p>
            <w:pPr>
              <w:spacing w:after="0"/>
              <w:rPr>
                <w:sz w:val="18"/>
                <w:szCs w:val="18"/>
                <w:color w:val="auto"/>
              </w:rPr>
            </w:pPr>
          </w:p>
        </w:tc>
        <w:tc>
          <w:tcPr>
            <w:tcW w:w="1120" w:type="dxa"/>
            <w:vAlign w:val="bottom"/>
            <w:gridSpan w:val="4"/>
          </w:tcPr>
          <w:p>
            <w:pPr>
              <w:jc w:val="right"/>
              <w:ind w:right="141"/>
              <w:spacing w:after="0"/>
              <w:rPr>
                <w:sz w:val="20"/>
                <w:szCs w:val="20"/>
                <w:color w:val="auto"/>
              </w:rPr>
            </w:pPr>
            <w:r>
              <w:rPr>
                <w:rFonts w:ascii="Arial" w:cs="Arial" w:eastAsia="Arial" w:hAnsi="Arial"/>
                <w:sz w:val="18"/>
                <w:szCs w:val="18"/>
                <w:color w:val="auto"/>
              </w:rPr>
              <w:t>$(108,397)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3,703</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345,600</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6,056</w:t>
            </w:r>
          </w:p>
        </w:tc>
        <w:tc>
          <w:tcPr>
            <w:tcW w:w="26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6,056</w:t>
            </w: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Exchange of exchangeable senior note</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10,144,131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w w:val="99"/>
              </w:rPr>
              <w:t>101</w:t>
            </w:r>
          </w:p>
        </w:tc>
        <w:tc>
          <w:tcPr>
            <w:tcW w:w="8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83,639</w:t>
            </w:r>
          </w:p>
        </w:tc>
        <w:tc>
          <w:tcPr>
            <w:tcW w:w="26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3"/>
          </w:tcPr>
          <w:p>
            <w:pPr>
              <w:jc w:val="right"/>
              <w:ind w:right="30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83,740</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289,704</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3,917</w:t>
            </w:r>
          </w:p>
        </w:tc>
        <w:tc>
          <w:tcPr>
            <w:tcW w:w="26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Settlement of restricted stock units</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299,162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100" w:type="dxa"/>
            <w:vAlign w:val="bottom"/>
            <w:gridSpan w:val="4"/>
          </w:tcPr>
          <w:p>
            <w:pPr>
              <w:jc w:val="right"/>
              <w:ind w:right="260"/>
              <w:spacing w:after="0"/>
              <w:rPr>
                <w:sz w:val="20"/>
                <w:szCs w:val="20"/>
                <w:color w:val="auto"/>
              </w:rPr>
            </w:pPr>
            <w:r>
              <w:rPr>
                <w:rFonts w:ascii="Arial" w:cs="Arial" w:eastAsia="Arial" w:hAnsi="Arial"/>
                <w:sz w:val="18"/>
                <w:szCs w:val="18"/>
                <w:color w:val="auto"/>
              </w:rPr>
              <w:t>(3)</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3"/>
          </w:tcPr>
          <w:p>
            <w:pPr>
              <w:jc w:val="right"/>
              <w:ind w:right="30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Acquisition of treasury stock</w:t>
            </w: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(51,455)</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4"/>
            <w:shd w:val="clear" w:color="auto" w:fill="CCEEFF"/>
          </w:tcPr>
          <w:p>
            <w:pPr>
              <w:jc w:val="right"/>
              <w:ind w:right="141"/>
              <w:spacing w:after="0"/>
              <w:rPr>
                <w:sz w:val="20"/>
                <w:szCs w:val="20"/>
                <w:color w:val="auto"/>
              </w:rPr>
            </w:pPr>
            <w:r>
              <w:rPr>
                <w:rFonts w:ascii="Arial" w:cs="Arial" w:eastAsia="Arial" w:hAnsi="Arial"/>
                <w:sz w:val="18"/>
                <w:szCs w:val="18"/>
                <w:color w:val="auto"/>
              </w:rPr>
              <w:t>(1,010)</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Other comprehensive loss, net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gridSpan w:val="3"/>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3"/>
          </w:tcPr>
          <w:p>
            <w:pPr>
              <w:jc w:val="right"/>
              <w:ind w:right="30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(8,106)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(8,106)</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3,097</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3,097</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2021</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46,464,889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557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256,619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289,931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(109,407</w:t>
            </w:r>
          </w:p>
        </w:tc>
        <w:tc>
          <w:tcPr>
            <w:tcW w:w="280" w:type="dxa"/>
            <w:vAlign w:val="bottom"/>
            <w:gridSpan w:val="2"/>
          </w:tcPr>
          <w:p>
            <w:pPr>
              <w:jc w:val="right"/>
              <w:ind w:right="14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(4,403)</w:t>
            </w:r>
          </w:p>
        </w:tc>
        <w:tc>
          <w:tcPr>
            <w:tcW w:w="1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433,297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2019</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34,800,312</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20"/>
                <w:szCs w:val="20"/>
                <w:color w:val="auto"/>
              </w:rPr>
            </w:pPr>
            <w:r>
              <w:rPr>
                <w:rFonts w:ascii="Arial" w:cs="Arial" w:eastAsia="Arial" w:hAnsi="Arial"/>
                <w:sz w:val="18"/>
                <w:szCs w:val="18"/>
                <w:color w:val="auto"/>
                <w:w w:val="99"/>
              </w:rPr>
              <w:t>439</w:t>
            </w:r>
          </w:p>
        </w:tc>
        <w:tc>
          <w:tcPr>
            <w:tcW w:w="8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$152,404</w:t>
            </w:r>
          </w:p>
        </w:tc>
        <w:tc>
          <w:tcPr>
            <w:tcW w:w="26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w w:val="82"/>
              </w:rPr>
              <w:t>$ (58,131)</w:t>
            </w:r>
          </w:p>
        </w:tc>
        <w:tc>
          <w:tcPr>
            <w:tcW w:w="1120" w:type="dxa"/>
            <w:vAlign w:val="bottom"/>
            <w:gridSpan w:val="4"/>
          </w:tcPr>
          <w:p>
            <w:pPr>
              <w:jc w:val="right"/>
              <w:ind w:right="141"/>
              <w:spacing w:after="0"/>
              <w:rPr>
                <w:sz w:val="20"/>
                <w:szCs w:val="20"/>
                <w:color w:val="auto"/>
              </w:rPr>
            </w:pPr>
            <w:r>
              <w:rPr>
                <w:rFonts w:ascii="Arial" w:cs="Arial" w:eastAsia="Arial" w:hAnsi="Arial"/>
                <w:sz w:val="18"/>
                <w:szCs w:val="18"/>
                <w:color w:val="auto"/>
              </w:rPr>
              <w:t>$(107,033)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(2,660)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(14,981)</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4,754</w:t>
            </w:r>
          </w:p>
        </w:tc>
        <w:tc>
          <w:tcPr>
            <w:tcW w:w="26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4,754</w:t>
            </w: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375,643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2,686</w:t>
            </w:r>
          </w:p>
        </w:tc>
        <w:tc>
          <w:tcPr>
            <w:tcW w:w="26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3"/>
          </w:tcPr>
          <w:p>
            <w:pPr>
              <w:jc w:val="right"/>
              <w:ind w:right="30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Settlement of restricted stock units</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367,759</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Acquisition of treasury stock</w:t>
            </w: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(53,994)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141"/>
              <w:spacing w:after="0"/>
              <w:rPr>
                <w:sz w:val="20"/>
                <w:szCs w:val="20"/>
                <w:color w:val="auto"/>
              </w:rPr>
            </w:pPr>
            <w:r>
              <w:rPr>
                <w:rFonts w:ascii="Arial" w:cs="Arial" w:eastAsia="Arial" w:hAnsi="Arial"/>
                <w:sz w:val="18"/>
                <w:szCs w:val="18"/>
                <w:color w:val="auto"/>
              </w:rPr>
              <w:t>(616)</w:t>
            </w:r>
          </w:p>
        </w:tc>
        <w:tc>
          <w:tcPr>
            <w:tcW w:w="18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comprehensive income, net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8,073</w:t>
            </w: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278,384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30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278,384</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35,489,720</w:t>
            </w:r>
          </w:p>
        </w:tc>
        <w:tc>
          <w:tcPr>
            <w:tcW w:w="1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447</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159,840</w:t>
            </w:r>
          </w:p>
        </w:tc>
        <w:tc>
          <w:tcPr>
            <w:tcW w:w="26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220,253</w:t>
            </w:r>
          </w:p>
        </w:tc>
        <w:tc>
          <w:tcPr>
            <w:tcW w:w="1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4"/>
            <w:shd w:val="clear" w:color="auto" w:fill="CCEEFF"/>
          </w:tcPr>
          <w:p>
            <w:pPr>
              <w:jc w:val="right"/>
              <w:ind w:right="141"/>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(107,649)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5,413</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278,304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8640" w:type="dxa"/>
            <w:vAlign w:val="bottom"/>
          </w:tcPr>
          <w:p>
            <w:pPr>
              <w:spacing w:after="0"/>
              <w:rPr>
                <w:sz w:val="10"/>
                <w:szCs w:val="10"/>
                <w:color w:val="auto"/>
              </w:rPr>
            </w:pPr>
          </w:p>
        </w:tc>
        <w:tc>
          <w:tcPr>
            <w:tcW w:w="11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r>
      <w:tr>
        <w:trPr>
          <w:trHeight w:val="171"/>
        </w:trPr>
        <w:tc>
          <w:tcPr>
            <w:tcW w:w="8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56"/>
        </w:trPr>
        <w:tc>
          <w:tcPr>
            <w:tcW w:w="8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00" w:type="dxa"/>
            <w:vAlign w:val="bottom"/>
            <w:gridSpan w:val="5"/>
          </w:tcPr>
          <w:p>
            <w:pPr>
              <w:jc w:val="right"/>
              <w:ind w:right="150"/>
              <w:spacing w:after="0" w:line="155" w:lineRule="exact"/>
              <w:rPr>
                <w:sz w:val="20"/>
                <w:szCs w:val="20"/>
                <w:color w:val="auto"/>
              </w:rPr>
            </w:pPr>
            <w:r>
              <w:rPr>
                <w:rFonts w:ascii="Arial" w:cs="Arial" w:eastAsia="Arial" w:hAnsi="Arial"/>
                <w:sz w:val="14"/>
                <w:szCs w:val="14"/>
                <w:b w:val="1"/>
                <w:bCs w:val="1"/>
                <w:color w:val="auto"/>
                <w:w w:val="94"/>
              </w:rPr>
              <w:t>(In thousands of U.S. dollars)</w:t>
            </w:r>
          </w:p>
        </w:tc>
        <w:tc>
          <w:tcPr>
            <w:tcW w:w="120" w:type="dxa"/>
            <w:vAlign w:val="bottom"/>
          </w:tcPr>
          <w:p>
            <w:pPr>
              <w:spacing w:after="0"/>
              <w:rPr>
                <w:sz w:val="13"/>
                <w:szCs w:val="13"/>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3,097</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278,384</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10,576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13,333</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14,150</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original issue discount</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1,824</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foreign currency, net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32,607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6,609</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Restructuring and other charges</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490</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inventory reserves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4,079</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6,056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4,754</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discontinued operations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(287,117)</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6,696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(16,583)</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accounts receivable, net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14,260</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1,390</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6,111</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7,933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9,143</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(5,156)</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Other accounts payable</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(3,729)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(8,034)</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1,991</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Accrued income taxes</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(8,308)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12,546</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2,243</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2,868</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severance benefits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(5,888)</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r>
      <w:tr>
        <w:trPr>
          <w:trHeight w:val="27"/>
        </w:trPr>
        <w:tc>
          <w:tcPr>
            <w:tcW w:w="8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51,541</w:t>
            </w:r>
          </w:p>
        </w:tc>
      </w:tr>
      <w:tr>
        <w:trPr>
          <w:trHeight w:val="216"/>
        </w:trPr>
        <w:tc>
          <w:tcPr>
            <w:tcW w:w="86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settlement of hedge collateral</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8,029</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Payment of hedge collateral</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(7,841)</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property, plant and equipment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(16,353)</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Payment for intellectual property registration</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(664)</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Collection of guarantee deposits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891</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Payment of guarantee deposits</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(4,960)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(611)</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discontinued operations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350,553</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r>
      <w:tr>
        <w:trPr>
          <w:trHeight w:val="27"/>
        </w:trPr>
        <w:tc>
          <w:tcPr>
            <w:tcW w:w="8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334,030</w:t>
            </w:r>
          </w:p>
        </w:tc>
      </w:tr>
      <w:tr>
        <w:trPr>
          <w:trHeight w:val="216"/>
        </w:trPr>
        <w:tc>
          <w:tcPr>
            <w:tcW w:w="86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2,690</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Acquisition of treasury stock</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(1,021)</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Repayment of principal portion of finance lease liabilities</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r>
      <w:tr>
        <w:trPr>
          <w:trHeight w:val="27"/>
        </w:trPr>
        <w:tc>
          <w:tcPr>
            <w:tcW w:w="8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1,102</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(21,003)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3,781</w:t>
            </w:r>
          </w:p>
        </w:tc>
      </w:tr>
      <w:tr>
        <w:trPr>
          <w:trHeight w:val="27"/>
        </w:trPr>
        <w:tc>
          <w:tcPr>
            <w:tcW w:w="8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390,454</w:t>
            </w:r>
          </w:p>
        </w:tc>
      </w:tr>
      <w:tr>
        <w:trPr>
          <w:trHeight w:val="216"/>
        </w:trPr>
        <w:tc>
          <w:tcPr>
            <w:tcW w:w="864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279,940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151,657</w:t>
            </w: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End of the period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276,301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542,111</w:t>
            </w:r>
          </w:p>
        </w:tc>
        <w:tc>
          <w:tcPr>
            <w:tcW w:w="120" w:type="dxa"/>
            <w:vAlign w:val="bottom"/>
          </w:tcPr>
          <w:p>
            <w:pPr>
              <w:spacing w:after="0"/>
              <w:rPr>
                <w:sz w:val="19"/>
                <w:szCs w:val="19"/>
                <w:color w:val="auto"/>
              </w:rPr>
            </w:pPr>
          </w:p>
        </w:tc>
      </w:tr>
      <w:tr>
        <w:trPr>
          <w:trHeight w:val="20"/>
        </w:trPr>
        <w:tc>
          <w:tcPr>
            <w:tcW w:w="8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2,094</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19,044</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12,609</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2,573</w:t>
            </w:r>
          </w:p>
        </w:tc>
      </w:tr>
      <w:tr>
        <w:trPr>
          <w:trHeight w:val="216"/>
        </w:trPr>
        <w:tc>
          <w:tcPr>
            <w:tcW w:w="8640" w:type="dxa"/>
            <w:vAlign w:val="bottom"/>
          </w:tcPr>
          <w:p>
            <w:pPr>
              <w:spacing w:after="0"/>
              <w:rPr>
                <w:sz w:val="20"/>
                <w:szCs w:val="20"/>
                <w:color w:val="auto"/>
              </w:rPr>
            </w:pPr>
            <w:r>
              <w:rPr>
                <w:rFonts w:ascii="Arial" w:cs="Arial" w:eastAsia="Arial" w:hAnsi="Arial"/>
                <w:sz w:val="18"/>
                <w:szCs w:val="18"/>
                <w:b w:val="1"/>
                <w:bCs w:val="1"/>
                <w:color w:val="auto"/>
              </w:rPr>
              <w:t>Non-cash investing activities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additions in other 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11,513</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3,865</w:t>
            </w:r>
          </w:p>
        </w:tc>
      </w:tr>
      <w:tr>
        <w:trPr>
          <w:trHeight w:val="216"/>
        </w:trPr>
        <w:tc>
          <w:tcPr>
            <w:tcW w:w="8640" w:type="dxa"/>
            <w:vAlign w:val="bottom"/>
          </w:tcPr>
          <w:p>
            <w:pPr>
              <w:spacing w:after="0"/>
              <w:rPr>
                <w:sz w:val="20"/>
                <w:szCs w:val="20"/>
                <w:color w:val="auto"/>
              </w:rPr>
            </w:pPr>
            <w:r>
              <w:rPr>
                <w:rFonts w:ascii="Arial" w:cs="Arial" w:eastAsia="Arial" w:hAnsi="Arial"/>
                <w:sz w:val="18"/>
                <w:szCs w:val="18"/>
                <w:b w:val="1"/>
                <w:bCs w:val="1"/>
                <w:color w:val="auto"/>
              </w:rPr>
              <w:t>Non-cash financing activities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Exchange of exchangeable senior notes into common stock</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83,740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86" w:right="439" w:bottom="1091"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2500"/>
        <w:spacing w:after="0" w:line="266" w:lineRule="auto"/>
        <w:rPr>
          <w:sz w:val="20"/>
          <w:szCs w:val="20"/>
          <w:color w:val="auto"/>
        </w:rPr>
      </w:pPr>
      <w:r>
        <w:rPr>
          <w:rFonts w:ascii="Arial" w:cs="Arial" w:eastAsia="Arial" w:hAnsi="Arial"/>
          <w:sz w:val="18"/>
          <w:szCs w:val="18"/>
          <w:b w:val="1"/>
          <w:bCs w:val="1"/>
          <w:color w:val="auto"/>
        </w:rPr>
        <w:t>MAGNACHIP SEMICONDUCTOR CORPORATION AND SUBSIDIARIES NOTES TO CONSOLIDATED FINANCIAL STATEMENTS (TABULAR DOLLARS IN THOUSANDS, EXCEPT SHARE DATA)</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Business, Basis of Presentation and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Magnachip Semiconductor Corporation (together with its subsidiaries, the “Company”) is a designer and manufacturer of analog and mixed-signal semiconductor platform solutions for communications, Internet of Things (“IoT”) applications, consumer and industrial applications.</w:t>
      </w:r>
    </w:p>
    <w:p>
      <w:pPr>
        <w:spacing w:after="0" w:line="146"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On September 1, 2020 (the “Closing Date”), the Company completed the sale of the Company’s Foundry Services Group business and its fabrication facility located in Cheongju, Korea, known as “Fab 4” to Key Foundry Co., Ltd. (the “Buyer”), a Korean corporation, in exchange for a purchase price equal to approximately $350.6 million in cash, pursuant to the terms of a business transfer agreement (the “Business Transfer Agreement”) dated March 31, 2020 by and among the Company and Magnus Semiconductor, LLC, a Korean limited liability company (“Magnus”). The purchase price was paid in a combination of U.S. Dollars in the amount of $46.5 million and Korean Won in the amount of approximately KRW</w:t>
      </w:r>
    </w:p>
    <w:p>
      <w:pPr>
        <w:spacing w:after="0" w:line="2"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360.6 billion. In addition to the purchase price, the Buyer assumed all severance liabilities relating to the transferred employees, which had a value of approximately $100 million. The Buyer is a wholly owned subsidiary of Magnus, which was established by Alchemist Capital Partners Korea Co., Ltd. and Credian Partners, Inc. On April 20, 2020, Magnus assigned, and the Buyer assumed, all rights and obligations of Magnus under the Business Transfer Agreement. This divestiture of the Foundry Services Group business and Fab 4 was made in connection with the Company’s strategic shift of its operational focus to its standard products business. The Foundry Services Group was historically a reportable segment. The Foundry Services Group business was classified as discontinued operations in the Company’s consolidated statements of operations and excluded from both continuing operations and segment results for the three and nine months ended September 30, 2020. Accordingly, the Company has one reportable segment, its standard products business, together with transitional foundry services associated with its fabrication facility located in Gumi, Korea, known as “Fab 3,” that it expects to perform for the Buyer for a period of up to three years from the Closing Date (the “Transitional Fab 3 Foundry Services”).</w:t>
      </w:r>
    </w:p>
    <w:p>
      <w:pPr>
        <w:spacing w:after="0" w:line="172"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The Company’s standard products business includes its Display Solutions and Power Solutions business lines. The Company’s Display Solutions products provide panel display solutions to major suppliers of large and small rigid and flexible panel displays, and mobile, automotive applications and home appliances. The Company’s Power Solutions products include discrete and integrated circuit solutions for power management in communications, consumer and industrial applications.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(“ASC”) 270, “Interim Reporting” and, accordingly, do not include all of the information and note disclosures required by U.S. GAAP for complete financial statements, except for the changes below. The results of operations for the three and nine months ended September 30, 2021 are not necessarily indicative of the results to be expected for a full year or for any other periods. The consolidated statement of cash flow for the nine months ended September 30, 2020 has not been adjusted to separately disclose the cash flow related to discontinued operations, but the material items in the operating and investing activities of the cash flow relating to discontinued operations for the same period is disclosed in Note 3. Unless otherwise stated, information in these notes to consolidated financial statements relates to the Company’s continuing operations and excludes the discontinued operations.</w:t>
      </w:r>
    </w:p>
    <w:p>
      <w:pPr>
        <w:spacing w:after="0" w:line="18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December 31, 2020 balance sheet data was derived from the Company’s audited financial statements, but does not include all disclosures required by U.S. GAAP. The interim consolidated financial statements should be read in conjunction with the Company’s Annual Report on Form 10-K for the fiscal year ended December 31, 2020.</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86"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No. 2019-12, “Income Taxes (Topic 740): Simplifying the Accounting for Income Taxes” (“ASU 2019-12”). ASU 2019-12 removes certain exceptions to the general principles in Topic 740 and improves consistent application of and simplifies GAAP for other areas of Topic 740 by clarifying and amending existing guidance. The Company adopted ASU 2019-12 as of January 1, 2021, and the adoption of ASU 2019-12 did not have a material impact on the Company’s consolidated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Merger Agreement</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On March 25, 2021, the Company, South Dearborn Limited, an exempted company incorporated in the Cayman Islands with limited liability (“Parent”), formed by an affiliate of Wise Road Capital LTD, and Michigan Merger Sub, Inc., a Delaware corporation and a wholly owned subsidiary of Parent (“Merger Sub”), entered into an Agreement and Plan of Merger (as it may be amended, supplemented or modified from time to time, the “Merger Agreement”). The Merger Agreement provides that, among other things, and subject to the terms and conditions thereof, Merger Sub will be merged with and into the Company (the “Merger”), with the Company continuing its corporate existence under the General Corporation Law of the State of Delaware (the “DGCL”) as the surviving corporation in the Merger and becoming a wholly owned subsidiary of Parent.</w:t>
      </w:r>
    </w:p>
    <w:p>
      <w:pPr>
        <w:spacing w:after="0" w:line="16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Pursuant to the Merger Agreement, each share of the Company’s common stock, par value $0.01 per share (the “Common Stock”), issued and outstanding immediately before the effective time of the Merger (the “Effective Time”) (other than (a) shares of Common Stock owned by the Company or any of its wholly owned subsidiaries or by Parent or any of its subsidiaries immediately before the Effective Time (collectively, the “Excluded Shares”) and (b) any shares of Common Stock for which the holder thereof (i) has not voted in favor of the Merger or consented to it in writing and</w:t>
      </w:r>
    </w:p>
    <w:p>
      <w:pPr>
        <w:spacing w:after="0" w:line="1" w:lineRule="exact"/>
        <w:rPr>
          <w:sz w:val="20"/>
          <w:szCs w:val="20"/>
          <w:color w:val="auto"/>
        </w:rPr>
      </w:pPr>
    </w:p>
    <w:p>
      <w:pPr>
        <w:ind w:left="120" w:right="220" w:hanging="4"/>
        <w:spacing w:after="0" w:line="255" w:lineRule="auto"/>
        <w:tabs>
          <w:tab w:leader="none" w:pos="385" w:val="left"/>
        </w:tabs>
        <w:numPr>
          <w:ilvl w:val="0"/>
          <w:numId w:val="3"/>
        </w:numPr>
        <w:rPr>
          <w:rFonts w:ascii="Arial" w:cs="Arial" w:eastAsia="Arial" w:hAnsi="Arial"/>
          <w:sz w:val="18"/>
          <w:szCs w:val="18"/>
          <w:color w:val="auto"/>
        </w:rPr>
      </w:pPr>
      <w:r>
        <w:rPr>
          <w:rFonts w:ascii="Arial" w:cs="Arial" w:eastAsia="Arial" w:hAnsi="Arial"/>
          <w:sz w:val="18"/>
          <w:szCs w:val="18"/>
          <w:color w:val="auto"/>
        </w:rPr>
        <w:t>has properly and validly exercised their statutory rights of appraisal in respect of such shares of Common Stock in accordance with Section 262 of the DGCL (collectively, “Dissenting Shares”)) will be cancelled and will cease to exist and will be automatically converted into the right to receive $29.00 in cash, without interest (the “Merger Consideration”), subject to applicable withholding taxes.</w:t>
      </w:r>
    </w:p>
    <w:p>
      <w:pPr>
        <w:spacing w:after="0" w:line="190"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Consummation of the Merger is subject to certain customary closing conditions, including (i) approval of the Merger Agreement by our stockholders, (ii) the receipt of certain required or requested governmental approvals or authorizations (including from the Committee on Foreign Investment in the United States (“CFIUS”) and the Korean Ministry of Trade, Industry and Energy (“MOTIE”)), (iii) the absence of any order or law issued, enacted or deemed applicable by certain governmental authorities specified in the Merger Agreement that makes consummation of the Merger illegal and that remains in effect (a “Prohibitive Order”), (iv) the absence of a Company Material Adverse Effect (as defined in the Merger Agreement) and (v) other customary closing conditions, including the accuracy of each party’s representations and warranties, and each party’s compliance with its obligations under the Merger Agreement (subject in the case of this clause (v) to certain materiality qualifiers).</w:t>
      </w:r>
    </w:p>
    <w:p>
      <w:pPr>
        <w:spacing w:after="0" w:line="17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Merger Agreement contains termination rights for each of the Company and Parent, including if (i) the consummation of the Merger does not occur by 11:59 p.m. (New York time) on December 25, 2021 (subject to extension to March 25, 2022 at the option of either party if certain regulatory approvals or authorizations have not been obtained by such date or certain governmental authorities specified in the Merger Agreement have issued, enacted or deemed applicable a Prohibitive Order), (ii) the Requisite Company Vote is not obtained, (iii) any of certain governmental authorities specified in the Merger Agreement issues, enacts or deems applicable after the date of the Merger Agreement a Prohibitive Order that has become final and non-appealable, or (iv) the other party has breached the Merger Agreement, which breach would give rise to a failure, or has materially contributed to the failure, of certain conditions to the non-breaching party’s obligations to close (subject to a cure period). Additionally, each of the Company and Parent may terminate the Merger Agreement in certain other circumstances.</w:t>
      </w:r>
    </w:p>
    <w:p>
      <w:pPr>
        <w:spacing w:after="0" w:line="178" w:lineRule="exact"/>
        <w:rPr>
          <w:sz w:val="20"/>
          <w:szCs w:val="20"/>
          <w:color w:val="auto"/>
        </w:rPr>
      </w:pPr>
    </w:p>
    <w:p>
      <w:pPr>
        <w:jc w:val="both"/>
        <w:ind w:left="120" w:right="620" w:firstLine="440"/>
        <w:spacing w:after="0" w:line="263" w:lineRule="auto"/>
        <w:rPr>
          <w:sz w:val="20"/>
          <w:szCs w:val="20"/>
          <w:color w:val="auto"/>
        </w:rPr>
      </w:pPr>
      <w:r>
        <w:rPr>
          <w:rFonts w:ascii="Arial" w:cs="Arial" w:eastAsia="Arial" w:hAnsi="Arial"/>
          <w:sz w:val="18"/>
          <w:szCs w:val="18"/>
          <w:color w:val="auto"/>
        </w:rPr>
        <w:t>For the three and nine months ended September 30, 2021, the Company incurred $1,552 thousand and $13,842 thousand, respectively, of professional fees and certain transaction related-expenses incurred in connection with the Merger, which were recognized in other charges in the consolidated statements of operations.</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foregoing description of the Merger Agreement is not complete and is qualified in its entirety by reference to the Merger Agreement, which is filed as Exhibit 2.1 to the Company’s Current Report on Form 8-K filed on March 29, 2021 and as amended by the Letter Agreement attached as Exhibit 2.1 to the Company’s Form 8-K filed on August 23, 2021.</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Discontinued Operations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On September 1, 2020, the Company completed the sale of the Company’s Foundry Services Group business and Fab 4. As a result of the sale of the Foundry Services Group business and Fab 4, the Company recorded a gain of $287,117 thousand and all operations from the Foundry Services Group business and Fab 4 were classified as discontinued operations for the three and nine months ended September 30, 2020. Following the consummation of the sale, and for up to three years, the Company is expected to provide the Transitional Fab 3 Foundry Services at an agreed upon cost plus mark-up. For the periods prior to the Closing Date, revenue from providing the Transitional Fab 3 Foundry Services to the Foundry Services Group is recorded at cost on both of the continuing and discontinued businesses for comparative purposes. Cash inflows to the Company from the Buyer related to providing the Transitional Fab 3 Foundry Services were $11,428 thousand and $36,218 thousand for the three and nine months ended September 30, 2021, respectively.</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results from discontinued operations, net of tax, for the three and nine months ended September 30, 2020.</w:t>
      </w:r>
    </w:p>
    <w:p>
      <w:pPr>
        <w:spacing w:after="0" w:line="25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w:t>
            </w:r>
          </w:p>
        </w:tc>
        <w:tc>
          <w:tcPr>
            <w:tcW w:w="2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Nine Months</w:t>
            </w:r>
          </w:p>
        </w:tc>
      </w:tr>
      <w:tr>
        <w:trPr>
          <w:trHeight w:val="171"/>
        </w:trPr>
        <w:tc>
          <w:tcPr>
            <w:tcW w:w="5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Ended</w:t>
            </w:r>
          </w:p>
        </w:tc>
        <w:tc>
          <w:tcPr>
            <w:tcW w:w="2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4"/>
                <w:szCs w:val="14"/>
                <w:color w:val="auto"/>
              </w:rPr>
            </w:pPr>
          </w:p>
        </w:tc>
      </w:tr>
      <w:tr>
        <w:trPr>
          <w:trHeight w:val="169"/>
        </w:trPr>
        <w:tc>
          <w:tcPr>
            <w:tcW w:w="5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September 30, 2020</w:t>
            </w:r>
          </w:p>
        </w:tc>
      </w:tr>
      <w:tr>
        <w:trPr>
          <w:trHeight w:val="142"/>
        </w:trPr>
        <w:tc>
          <w:tcPr>
            <w:tcW w:w="5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5"/>
          </w:tcPr>
          <w:p>
            <w:pPr>
              <w:jc w:val="right"/>
              <w:ind w:right="95"/>
              <w:spacing w:after="0" w:line="142" w:lineRule="exact"/>
              <w:rPr>
                <w:sz w:val="20"/>
                <w:szCs w:val="20"/>
                <w:color w:val="auto"/>
              </w:rPr>
            </w:pPr>
            <w:r>
              <w:rPr>
                <w:rFonts w:ascii="Arial" w:cs="Arial" w:eastAsia="Arial" w:hAnsi="Arial"/>
                <w:sz w:val="14"/>
                <w:szCs w:val="14"/>
                <w:b w:val="1"/>
                <w:bCs w:val="1"/>
                <w:color w:val="auto"/>
                <w:w w:val="94"/>
              </w:rPr>
              <w:t>(In thousands of U.S. dollars)</w:t>
            </w:r>
          </w:p>
        </w:tc>
        <w:tc>
          <w:tcPr>
            <w:tcW w:w="100" w:type="dxa"/>
            <w:vAlign w:val="bottom"/>
          </w:tcPr>
          <w:p>
            <w:pPr>
              <w:spacing w:after="0"/>
              <w:rPr>
                <w:sz w:val="12"/>
                <w:szCs w:val="12"/>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Net sales – Foundry Services Group</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72,674</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254,732</w:t>
            </w: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(6,277)</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(25,887)</w:t>
            </w:r>
          </w:p>
        </w:tc>
      </w:tr>
      <w:tr>
        <w:trPr>
          <w:trHeight w:val="223"/>
        </w:trPr>
        <w:tc>
          <w:tcPr>
            <w:tcW w:w="53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66,397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228,845</w:t>
            </w:r>
          </w:p>
        </w:tc>
        <w:tc>
          <w:tcPr>
            <w:tcW w:w="100" w:type="dxa"/>
            <w:vAlign w:val="bottom"/>
          </w:tcPr>
          <w:p>
            <w:pPr>
              <w:spacing w:after="0"/>
              <w:rPr>
                <w:sz w:val="19"/>
                <w:szCs w:val="19"/>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Cost of sales – Foundry Services Group</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52,420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182,872</w:t>
            </w: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transitional Fab 3 foundry services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(6,277)</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(25,887)</w:t>
            </w:r>
          </w:p>
        </w:tc>
      </w:tr>
      <w:tr>
        <w:trPr>
          <w:trHeight w:val="230"/>
        </w:trPr>
        <w:tc>
          <w:tcPr>
            <w:tcW w:w="538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7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46,143</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156,985</w:t>
            </w:r>
          </w:p>
        </w:tc>
        <w:tc>
          <w:tcPr>
            <w:tcW w:w="100" w:type="dxa"/>
            <w:vAlign w:val="bottom"/>
          </w:tcPr>
          <w:p>
            <w:pPr>
              <w:spacing w:after="0"/>
              <w:rPr>
                <w:sz w:val="20"/>
                <w:szCs w:val="20"/>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20,254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71,860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4,068</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14,704</w:t>
            </w: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5,166</w:t>
            </w:r>
          </w:p>
        </w:tc>
        <w:tc>
          <w:tcPr>
            <w:tcW w:w="26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19,484</w:t>
            </w: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charges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7,870</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10,574</w:t>
            </w:r>
          </w:p>
        </w:tc>
      </w:tr>
      <w:tr>
        <w:trPr>
          <w:trHeight w:val="230"/>
        </w:trPr>
        <w:tc>
          <w:tcPr>
            <w:tcW w:w="53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7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17,104</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44,762</w:t>
            </w:r>
          </w:p>
        </w:tc>
        <w:tc>
          <w:tcPr>
            <w:tcW w:w="100" w:type="dxa"/>
            <w:vAlign w:val="bottom"/>
          </w:tcPr>
          <w:p>
            <w:pPr>
              <w:spacing w:after="0"/>
              <w:rPr>
                <w:sz w:val="20"/>
                <w:szCs w:val="20"/>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from discontinued operations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3,150</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27,098</w:t>
            </w: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Foreign currency gain (loss), net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(797)</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1,277</w:t>
            </w: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Others, net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Income from discontinued operations before income tax expense</w:t>
            </w: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28,441</w:t>
            </w:r>
          </w:p>
        </w:tc>
        <w:tc>
          <w:tcPr>
            <w:tcW w:w="100" w:type="dxa"/>
            <w:vAlign w:val="bottom"/>
          </w:tcPr>
          <w:p>
            <w:pPr>
              <w:spacing w:after="0"/>
              <w:rPr>
                <w:sz w:val="19"/>
                <w:szCs w:val="19"/>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14,173</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15,517</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Gain on sale of discontinued operations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287,117</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287,117</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(10,814)</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(10,814)</w:t>
            </w: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264,501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289,227</w:t>
            </w:r>
          </w:p>
        </w:tc>
        <w:tc>
          <w:tcPr>
            <w:tcW w:w="10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For the three and nine months ended September 30, 2020, the Company recorded $7,870 thousand and $10,574 thousand, respectively, in professional fees incurred in connection with the sale of the Foundry Services Group business and Fab 4, and recorded such costs as restructuring and other charges in the above.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supplemental cash flows information related to discontinued operations:</w:t>
      </w:r>
    </w:p>
    <w:p>
      <w:pPr>
        <w:spacing w:after="0" w:line="257"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r>
      <w:tr>
        <w:trPr>
          <w:trHeight w:val="119"/>
        </w:trPr>
        <w:tc>
          <w:tcPr>
            <w:tcW w:w="33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jc w:val="center"/>
              <w:ind w:right="118"/>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33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r>
      <w:tr>
        <w:trPr>
          <w:trHeight w:val="142"/>
        </w:trPr>
        <w:tc>
          <w:tcPr>
            <w:tcW w:w="3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(In thousands of U.S. dollars)</w:t>
            </w:r>
          </w:p>
        </w:tc>
        <w:tc>
          <w:tcPr>
            <w:tcW w:w="100" w:type="dxa"/>
            <w:vAlign w:val="bottom"/>
          </w:tcPr>
          <w:p>
            <w:pPr>
              <w:spacing w:after="0"/>
              <w:rPr>
                <w:sz w:val="12"/>
                <w:szCs w:val="12"/>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Significant non-cash operating activities:</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4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5,365</w:t>
            </w:r>
          </w:p>
        </w:tc>
      </w:tr>
      <w:tr>
        <w:trPr>
          <w:trHeight w:val="216"/>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8,209</w:t>
            </w: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30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4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(5,838)</w:t>
            </w:r>
          </w:p>
        </w:tc>
      </w:tr>
      <w:tr>
        <w:trPr>
          <w:trHeight w:val="350"/>
        </w:trPr>
        <w:tc>
          <w:tcPr>
            <w:tcW w:w="3300" w:type="dxa"/>
            <w:vAlign w:val="bottom"/>
          </w:tcPr>
          <w:p>
            <w:pPr>
              <w:spacing w:after="0"/>
              <w:rPr>
                <w:sz w:val="24"/>
                <w:szCs w:val="24"/>
                <w:color w:val="auto"/>
              </w:rPr>
            </w:pPr>
          </w:p>
        </w:tc>
        <w:tc>
          <w:tcPr>
            <w:tcW w:w="2260" w:type="dxa"/>
            <w:vAlign w:val="bottom"/>
          </w:tcPr>
          <w:p>
            <w:pPr>
              <w:jc w:val="right"/>
              <w:ind w:right="163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86"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Inventories as of September 30, 2021 and December 31, 2020 consist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9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29,895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30,968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7,801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Materials in-transit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1,021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 inventory reserve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(5,736)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(5,901)</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Inventories, net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38,773</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39,039</w:t>
            </w:r>
          </w:p>
        </w:tc>
        <w:tc>
          <w:tcPr>
            <w:tcW w:w="10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Changes in inventory reserve for the three and nine months ended September 30, 2021 and 2020 are as follows (in thousands):</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Nine Months</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8"/>
              </w:rPr>
              <w:t>Ended</w:t>
            </w:r>
          </w:p>
        </w:tc>
        <w:tc>
          <w:tcPr>
            <w:tcW w:w="160" w:type="dxa"/>
            <w:vAlign w:val="bottom"/>
          </w:tcPr>
          <w:p>
            <w:pPr>
              <w:spacing w:after="0"/>
              <w:rPr>
                <w:sz w:val="14"/>
                <w:szCs w:val="14"/>
                <w:color w:val="auto"/>
              </w:rPr>
            </w:pPr>
          </w:p>
        </w:tc>
        <w:tc>
          <w:tcPr>
            <w:tcW w:w="13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080" w:type="dxa"/>
            <w:vAlign w:val="bottom"/>
            <w:tcBorders>
              <w:top w:val="single" w:sz="8" w:color="auto"/>
              <w:bottom w:val="single" w:sz="8" w:color="auto"/>
            </w:tcBorders>
            <w:gridSpan w:val="4"/>
          </w:tcPr>
          <w:p>
            <w:pPr>
              <w:jc w:val="right"/>
              <w:ind w:right="432"/>
              <w:spacing w:after="0" w:line="142" w:lineRule="exact"/>
              <w:rPr>
                <w:sz w:val="20"/>
                <w:szCs w:val="20"/>
                <w:color w:val="auto"/>
              </w:rPr>
            </w:pPr>
            <w:r>
              <w:rPr>
                <w:rFonts w:ascii="Arial" w:cs="Arial" w:eastAsia="Arial" w:hAnsi="Arial"/>
                <w:sz w:val="14"/>
                <w:szCs w:val="14"/>
                <w:b w:val="1"/>
                <w:bCs w:val="1"/>
                <w:color w:val="auto"/>
              </w:rPr>
              <w:t>September 30, 2021</w:t>
            </w:r>
          </w:p>
        </w:tc>
        <w:tc>
          <w:tcPr>
            <w:tcW w:w="5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100" w:type="dxa"/>
            <w:vAlign w:val="bottom"/>
            <w:tcBorders>
              <w:top w:val="single" w:sz="8" w:color="auto"/>
              <w:bottom w:val="single" w:sz="8" w:color="auto"/>
            </w:tcBorders>
            <w:gridSpan w:val="4"/>
          </w:tcPr>
          <w:p>
            <w:pPr>
              <w:jc w:val="right"/>
              <w:ind w:right="432"/>
              <w:spacing w:after="0" w:line="142" w:lineRule="exact"/>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(8,101)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(5,901)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(5,307)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Change in reserve</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 reserve charged to costs of sales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(5,592)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(3,472)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Sale of previously reserved inventory</w:t>
            </w:r>
          </w:p>
        </w:tc>
        <w:tc>
          <w:tcPr>
            <w:tcW w:w="1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2,099</w:t>
            </w:r>
          </w:p>
        </w:tc>
        <w:tc>
          <w:tcPr>
            <w:tcW w:w="16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4,076</w:t>
            </w:r>
          </w:p>
        </w:tc>
        <w:tc>
          <w:tcPr>
            <w:tcW w:w="16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1,578</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1,857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(1,516)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(1,894)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Write off</w:t>
            </w:r>
          </w:p>
        </w:tc>
        <w:tc>
          <w:tcPr>
            <w:tcW w:w="1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1,110</w:t>
            </w:r>
          </w:p>
        </w:tc>
        <w:tc>
          <w:tcPr>
            <w:tcW w:w="16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835</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571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Reclassified to assets held for sale</w:t>
            </w:r>
          </w:p>
        </w:tc>
        <w:tc>
          <w:tcPr>
            <w:tcW w:w="1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work-in-process and raw materials. Write off of this reserve is recognized only when the related inventory has been disposed or scrapped.</w:t>
      </w:r>
    </w:p>
    <w:p>
      <w:pPr>
        <w:spacing w:after="0" w:line="11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20"/>
          </w:cols>
          <w:pgMar w:left="320" w:top="486" w:right="8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Property, Plant and Equipment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plant and equipment as of September 30, 2021 and December 31, 2020 are comprised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22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related structures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24,159</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24,882</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102,280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106,244</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Finance lease right-of-use assets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Others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29,591</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31,208</w:t>
            </w:r>
          </w:p>
        </w:tc>
      </w:tr>
      <w:tr>
        <w:trPr>
          <w:trHeight w:val="27"/>
        </w:trPr>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156,346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162,678</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(92,363)</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(90,370)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13,905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15,167</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25,464</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8,908</w:t>
            </w:r>
          </w:p>
        </w:tc>
      </w:tr>
      <w:tr>
        <w:trPr>
          <w:trHeight w:val="27"/>
        </w:trPr>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96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103,352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96,383</w:t>
            </w:r>
          </w:p>
        </w:tc>
      </w:tr>
      <w:tr>
        <w:trPr>
          <w:trHeight w:val="20"/>
        </w:trPr>
        <w:tc>
          <w:tcPr>
            <w:tcW w:w="4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Aggregate depreciation expenses totaled $10,018 thousand and $7,473 thousand for the nine months ended September 30, 2021 and 2020,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Intangible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Intangible assets as of September 30, 2021 and December 31, 2020 are comprised of the following (in thousands):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4"/>
                <w:szCs w:val="14"/>
                <w:b w:val="1"/>
                <w:bCs w:val="1"/>
                <w:color w:val="auto"/>
              </w:rPr>
              <w:t>September 30, 2021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6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1600" w:type="dxa"/>
            <w:vAlign w:val="bottom"/>
            <w:gridSpan w:val="4"/>
          </w:tcPr>
          <w:p>
            <w:pPr>
              <w:ind w:left="420"/>
              <w:spacing w:after="0" w:line="119" w:lineRule="exact"/>
              <w:rPr>
                <w:sz w:val="20"/>
                <w:szCs w:val="20"/>
                <w:color w:val="auto"/>
              </w:rPr>
            </w:pPr>
            <w:r>
              <w:rPr>
                <w:rFonts w:ascii="Arial" w:cs="Arial" w:eastAsia="Arial" w:hAnsi="Arial"/>
                <w:sz w:val="13"/>
                <w:szCs w:val="13"/>
                <w:b w:val="1"/>
                <w:bCs w:val="1"/>
                <w:color w:val="auto"/>
              </w:rPr>
              <w:t>Accumulated</w:t>
            </w: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amount</w:t>
            </w: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9,176</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(6,771</w:t>
            </w:r>
          </w:p>
        </w:tc>
        <w:tc>
          <w:tcPr>
            <w:tcW w:w="360" w:type="dxa"/>
            <w:vAlign w:val="bottom"/>
            <w:tcBorders>
              <w:top w:val="single" w:sz="8" w:color="CCEEFF"/>
            </w:tcBorders>
            <w:shd w:val="clear" w:color="auto" w:fill="CCEEFF"/>
          </w:tcPr>
          <w:p>
            <w:pPr>
              <w:jc w:val="right"/>
              <w:ind w:right="281"/>
              <w:spacing w:after="0"/>
              <w:rPr>
                <w:sz w:val="20"/>
                <w:szCs w:val="20"/>
                <w:color w:val="auto"/>
              </w:rPr>
            </w:pPr>
            <w:r>
              <w:rPr>
                <w:rFonts w:ascii="Arial" w:cs="Arial" w:eastAsia="Arial" w:hAnsi="Arial"/>
                <w:sz w:val="8"/>
                <w:szCs w:val="8"/>
                <w:color w:val="auto"/>
                <w:w w:val="73"/>
              </w:rPr>
              <w:t>)</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2,405</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9,176</w:t>
            </w: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(6,771</w:t>
            </w:r>
          </w:p>
        </w:tc>
        <w:tc>
          <w:tcPr>
            <w:tcW w:w="360" w:type="dxa"/>
            <w:vAlign w:val="bottom"/>
          </w:tcPr>
          <w:p>
            <w:pPr>
              <w:jc w:val="right"/>
              <w:ind w:right="281"/>
              <w:spacing w:after="0"/>
              <w:rPr>
                <w:sz w:val="20"/>
                <w:szCs w:val="20"/>
                <w:color w:val="auto"/>
              </w:rPr>
            </w:pPr>
            <w:r>
              <w:rPr>
                <w:rFonts w:ascii="Arial" w:cs="Arial" w:eastAsia="Arial" w:hAnsi="Arial"/>
                <w:sz w:val="8"/>
                <w:szCs w:val="8"/>
                <w:color w:val="auto"/>
                <w:w w:val="73"/>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2,405</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6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14"/>
                <w:szCs w:val="14"/>
                <w:b w:val="1"/>
                <w:bCs w:val="1"/>
                <w:color w:val="auto"/>
              </w:rPr>
              <w:t>December 31, 2020</w:t>
            </w: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6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1600" w:type="dxa"/>
            <w:vAlign w:val="bottom"/>
            <w:gridSpan w:val="4"/>
          </w:tcPr>
          <w:p>
            <w:pPr>
              <w:ind w:left="420"/>
              <w:spacing w:after="0" w:line="119" w:lineRule="exact"/>
              <w:rPr>
                <w:sz w:val="20"/>
                <w:szCs w:val="20"/>
                <w:color w:val="auto"/>
              </w:rPr>
            </w:pPr>
            <w:r>
              <w:rPr>
                <w:rFonts w:ascii="Arial" w:cs="Arial" w:eastAsia="Arial" w:hAnsi="Arial"/>
                <w:sz w:val="13"/>
                <w:szCs w:val="13"/>
                <w:b w:val="1"/>
                <w:bCs w:val="1"/>
                <w:color w:val="auto"/>
              </w:rPr>
              <w:t>Accumulated</w:t>
            </w: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amount</w:t>
            </w: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9,486</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(6,759</w:t>
            </w:r>
          </w:p>
        </w:tc>
        <w:tc>
          <w:tcPr>
            <w:tcW w:w="360" w:type="dxa"/>
            <w:vAlign w:val="bottom"/>
            <w:tcBorders>
              <w:top w:val="single" w:sz="8" w:color="CCEEFF"/>
            </w:tcBorders>
            <w:shd w:val="clear" w:color="auto" w:fill="CCEEFF"/>
          </w:tcPr>
          <w:p>
            <w:pPr>
              <w:jc w:val="right"/>
              <w:ind w:right="281"/>
              <w:spacing w:after="0"/>
              <w:rPr>
                <w:sz w:val="20"/>
                <w:szCs w:val="20"/>
                <w:color w:val="auto"/>
              </w:rPr>
            </w:pPr>
            <w:r>
              <w:rPr>
                <w:rFonts w:ascii="Arial" w:cs="Arial" w:eastAsia="Arial" w:hAnsi="Arial"/>
                <w:sz w:val="8"/>
                <w:szCs w:val="8"/>
                <w:color w:val="auto"/>
                <w:w w:val="73"/>
              </w:rPr>
              <w:t>)</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2,727</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9,486</w:t>
            </w: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(6,759</w:t>
            </w:r>
          </w:p>
        </w:tc>
        <w:tc>
          <w:tcPr>
            <w:tcW w:w="360" w:type="dxa"/>
            <w:vAlign w:val="bottom"/>
          </w:tcPr>
          <w:p>
            <w:pPr>
              <w:jc w:val="right"/>
              <w:ind w:right="281"/>
              <w:spacing w:after="0"/>
              <w:rPr>
                <w:sz w:val="20"/>
                <w:szCs w:val="20"/>
                <w:color w:val="auto"/>
              </w:rPr>
            </w:pPr>
            <w:r>
              <w:rPr>
                <w:rFonts w:ascii="Arial" w:cs="Arial" w:eastAsia="Arial" w:hAnsi="Arial"/>
                <w:sz w:val="8"/>
                <w:szCs w:val="8"/>
                <w:color w:val="auto"/>
                <w:w w:val="73"/>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2,727</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Aggregate amortization expenses for intangible assets totaled $558 thousand and $495 thousand for the nine months ended September 30, 2021 and 2020, respectively.</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320" w:top="486" w:right="6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has operating and finance leases for buildings and other assets such as vehicles and office equipment. The Company’s leases have remaining lease terms ranging from 1 year to 4 years.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tables below present financial information related to the Company’s leases.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Supplemental balance sheets information related to leases as of September 30, 2021 and December 31, 2020 are as follows (in thousands):</w:t>
      </w:r>
    </w:p>
    <w:p>
      <w:pPr>
        <w:spacing w:after="0" w:line="25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Leases</w:t>
            </w:r>
          </w:p>
        </w:tc>
        <w:tc>
          <w:tcPr>
            <w:tcW w:w="330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Classification</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9"/>
              </w:rPr>
              <w:t>September 30,</w:t>
            </w:r>
          </w:p>
        </w:tc>
        <w:tc>
          <w:tcPr>
            <w:tcW w:w="1420" w:type="dxa"/>
            <w:vAlign w:val="bottom"/>
            <w:gridSpan w:val="4"/>
          </w:tcPr>
          <w:p>
            <w:pPr>
              <w:ind w:left="5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4"/>
        </w:trPr>
        <w:tc>
          <w:tcPr>
            <w:tcW w:w="3660" w:type="dxa"/>
            <w:vAlign w:val="bottom"/>
            <w:gridSpan w:val="2"/>
            <w:vMerge w:val="continue"/>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12"/>
              <w:spacing w:after="0" w:line="125"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2"/>
              <w:spacing w:after="0" w:line="12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360"/>
              <w:spacing w:after="0"/>
              <w:rPr>
                <w:sz w:val="20"/>
                <w:szCs w:val="20"/>
                <w:color w:val="auto"/>
              </w:rPr>
            </w:pPr>
            <w:r>
              <w:rPr>
                <w:rFonts w:ascii="Arial" w:cs="Arial" w:eastAsia="Arial" w:hAnsi="Arial"/>
                <w:sz w:val="18"/>
                <w:szCs w:val="18"/>
                <w:color w:val="auto"/>
              </w:rPr>
              <w:t>Operating lease</w:t>
            </w:r>
          </w:p>
        </w:tc>
        <w:tc>
          <w:tcPr>
            <w:tcW w:w="33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Operating lease right-of-use assets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3,727</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 lease</w:t>
            </w:r>
          </w:p>
        </w:tc>
        <w:tc>
          <w:tcPr>
            <w:tcW w:w="3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Property, plant and equipment, net</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5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Total lease assets</w:t>
            </w:r>
          </w:p>
        </w:tc>
        <w:tc>
          <w:tcPr>
            <w:tcW w:w="2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w:t>
            </w:r>
          </w:p>
        </w:tc>
        <w:tc>
          <w:tcPr>
            <w:tcW w:w="3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Operating lease liabilities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360"/>
              <w:spacing w:after="0"/>
              <w:rPr>
                <w:sz w:val="20"/>
                <w:szCs w:val="20"/>
                <w:color w:val="auto"/>
              </w:rPr>
            </w:pPr>
            <w:r>
              <w:rPr>
                <w:rFonts w:ascii="Arial" w:cs="Arial" w:eastAsia="Arial" w:hAnsi="Arial"/>
                <w:sz w:val="18"/>
                <w:szCs w:val="18"/>
                <w:color w:val="auto"/>
              </w:rPr>
              <w:t>Finance</w:t>
            </w:r>
          </w:p>
        </w:tc>
        <w:tc>
          <w:tcPr>
            <w:tcW w:w="3300" w:type="dxa"/>
            <w:vAlign w:val="bottom"/>
            <w:gridSpan w:val="2"/>
          </w:tcPr>
          <w:p>
            <w:pPr>
              <w:jc w:val="right"/>
              <w:ind w:right="54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w:t>
            </w:r>
          </w:p>
        </w:tc>
        <w:tc>
          <w:tcPr>
            <w:tcW w:w="2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360"/>
              <w:spacing w:after="0"/>
              <w:rPr>
                <w:sz w:val="20"/>
                <w:szCs w:val="20"/>
                <w:color w:val="auto"/>
              </w:rPr>
            </w:pPr>
            <w:r>
              <w:rPr>
                <w:rFonts w:ascii="Arial" w:cs="Arial" w:eastAsia="Arial" w:hAnsi="Arial"/>
                <w:sz w:val="18"/>
                <w:szCs w:val="18"/>
                <w:color w:val="auto"/>
              </w:rPr>
              <w:t>Operating</w:t>
            </w:r>
          </w:p>
        </w:tc>
        <w:tc>
          <w:tcPr>
            <w:tcW w:w="330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Non-current operating lease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w:t>
            </w:r>
          </w:p>
        </w:tc>
        <w:tc>
          <w:tcPr>
            <w:tcW w:w="3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Total lease liabilities</w:t>
            </w:r>
          </w:p>
        </w:tc>
        <w:tc>
          <w:tcPr>
            <w:tcW w:w="2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3,884</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weighted average remaining lease term and discount rate:</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7"/>
              </w:rPr>
              <w:t>September 30,</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8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2.7 years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3.0 years</w:t>
            </w: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 years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 years</w:t>
            </w:r>
          </w:p>
        </w:tc>
      </w:tr>
      <w:tr>
        <w:trPr>
          <w:trHeight w:val="216"/>
        </w:trPr>
        <w:tc>
          <w:tcPr>
            <w:tcW w:w="588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w:t>
            </w:r>
          </w:p>
        </w:tc>
      </w:tr>
      <w:tr>
        <w:trPr>
          <w:trHeight w:val="230"/>
        </w:trPr>
        <w:tc>
          <w:tcPr>
            <w:tcW w:w="5880" w:type="dxa"/>
            <w:vAlign w:val="bottom"/>
          </w:tcPr>
          <w:p>
            <w:pPr>
              <w:ind w:left="360"/>
              <w:spacing w:after="0"/>
              <w:rPr>
                <w:sz w:val="20"/>
                <w:szCs w:val="20"/>
                <w:color w:val="auto"/>
              </w:rPr>
            </w:pPr>
            <w:r>
              <w:rPr>
                <w:rFonts w:ascii="Arial" w:cs="Arial" w:eastAsia="Arial" w:hAnsi="Arial"/>
                <w:sz w:val="18"/>
                <w:szCs w:val="18"/>
                <w:color w:val="auto"/>
              </w:rPr>
              <w:t>Finance leases</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7.75%</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7.75%</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lease cost included in the Company’s consolidated statements of operations, are as follows (in thousands):</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4"/>
          </w:tcPr>
          <w:p>
            <w:pPr>
              <w:jc w:val="right"/>
              <w:ind w:right="182"/>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2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20" w:type="dxa"/>
            <w:vAlign w:val="bottom"/>
          </w:tcPr>
          <w:p>
            <w:pPr>
              <w:spacing w:after="0"/>
              <w:rPr>
                <w:sz w:val="10"/>
                <w:szCs w:val="10"/>
                <w:color w:val="auto"/>
              </w:rPr>
            </w:pPr>
          </w:p>
        </w:tc>
        <w:tc>
          <w:tcPr>
            <w:tcW w:w="15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480</w:t>
            </w: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Finance lease cost</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right-of-use assets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Interest on lease liabilities</w:t>
            </w: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gridSpan w:val="2"/>
          </w:tcPr>
          <w:p>
            <w:pPr>
              <w:jc w:val="right"/>
              <w:ind w:right="6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w:t>
            </w: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500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2,159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left="560" w:right="320"/>
        <w:spacing w:after="0" w:line="449" w:lineRule="auto"/>
        <w:rPr>
          <w:sz w:val="20"/>
          <w:szCs w:val="20"/>
          <w:color w:val="auto"/>
        </w:rPr>
      </w:pPr>
      <w:r>
        <w:rPr>
          <w:rFonts w:ascii="Arial" w:cs="Arial" w:eastAsia="Arial" w:hAnsi="Arial"/>
          <w:sz w:val="18"/>
          <w:szCs w:val="18"/>
          <w:color w:val="auto"/>
        </w:rPr>
        <w:t>The above table does not include an immaterial cost of short-term leases for the three and nine months ended September 30, 2021 and 2020. 13</w:t>
      </w:r>
    </w:p>
    <w:p>
      <w:pPr>
        <w:sectPr>
          <w:pgSz w:w="11900" w:h="16838" w:orient="portrait"/>
          <w:cols w:equalWidth="0" w:num="1">
            <w:col w:w="10960"/>
          </w:cols>
          <w:pgMar w:left="320" w:top="486" w:right="6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lease information is as follows (in thousands):</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3"/>
          </w:tcPr>
          <w:p>
            <w:pPr>
              <w:jc w:val="right"/>
              <w:ind w:right="10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60" w:type="dxa"/>
            <w:vAlign w:val="bottom"/>
          </w:tcPr>
          <w:p>
            <w:pPr>
              <w:spacing w:after="0"/>
              <w:rPr>
                <w:sz w:val="10"/>
                <w:szCs w:val="10"/>
                <w:color w:val="auto"/>
              </w:rPr>
            </w:pPr>
          </w:p>
        </w:tc>
        <w:tc>
          <w:tcPr>
            <w:tcW w:w="13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0" w:type="dxa"/>
            <w:vAlign w:val="bottom"/>
          </w:tcPr>
          <w:p>
            <w:pPr>
              <w:spacing w:after="0"/>
              <w:rPr>
                <w:sz w:val="10"/>
                <w:szCs w:val="10"/>
                <w:color w:val="auto"/>
              </w:rPr>
            </w:pPr>
          </w:p>
        </w:tc>
      </w:tr>
      <w:tr>
        <w:trPr>
          <w:trHeight w:val="171"/>
        </w:trPr>
        <w:tc>
          <w:tcPr>
            <w:tcW w:w="46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178"/>
        </w:trPr>
        <w:tc>
          <w:tcPr>
            <w:tcW w:w="468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8"/>
              </w:rPr>
              <w:t>Cash paid for amounts included in the measurement of</w:t>
            </w: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34"/>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lease liabilities</w:t>
            </w: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691</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480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2,098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1,409</w:t>
            </w: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flows from finance leases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w:t>
            </w: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30"/>
        </w:trPr>
        <w:tc>
          <w:tcPr>
            <w:tcW w:w="4680" w:type="dxa"/>
            <w:vAlign w:val="bottom"/>
          </w:tcPr>
          <w:p>
            <w:pPr>
              <w:ind w:left="360"/>
              <w:spacing w:after="0"/>
              <w:rPr>
                <w:sz w:val="20"/>
                <w:szCs w:val="20"/>
                <w:color w:val="auto"/>
              </w:rPr>
            </w:pPr>
            <w:r>
              <w:rPr>
                <w:rFonts w:ascii="Arial" w:cs="Arial" w:eastAsia="Arial" w:hAnsi="Arial"/>
                <w:sz w:val="18"/>
                <w:szCs w:val="18"/>
                <w:color w:val="auto"/>
              </w:rPr>
              <w:t>Financing cash flows from finance leases</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20"/>
                <w:szCs w:val="20"/>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aggregate future lease payments for operating and finance leases as of September 30, 2021 are as follows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Operating</w:t>
            </w:r>
          </w:p>
        </w:tc>
        <w:tc>
          <w:tcPr>
            <w:tcW w:w="2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Finance</w:t>
            </w:r>
          </w:p>
        </w:tc>
      </w:tr>
      <w:tr>
        <w:trPr>
          <w:trHeight w:val="17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4"/>
              </w:rPr>
              <w:t>Leases</w:t>
            </w:r>
          </w:p>
        </w:tc>
        <w:tc>
          <w:tcPr>
            <w:tcW w:w="220" w:type="dxa"/>
            <w:vAlign w:val="bottom"/>
          </w:tcPr>
          <w:p>
            <w:pPr>
              <w:spacing w:after="0"/>
              <w:rPr>
                <w:sz w:val="14"/>
                <w:szCs w:val="14"/>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Leases</w:t>
            </w: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1,518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581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color w:val="auto"/>
              </w:rPr>
              <w:t>Total future lease payments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color w:val="auto"/>
              </w:rPr>
              <w:t>Present value of future payments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Accrued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as of September 30, 2021 and December 31, 2020 are comprised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Payroll, benefits and related taxes, excluding severance benefits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9,095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10,296</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Withholding tax attributable to intercompany interest income</w:t>
            </w:r>
          </w:p>
        </w:tc>
        <w:tc>
          <w:tcPr>
            <w:tcW w:w="2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1,789</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Interest on senior notes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Outside service fees</w:t>
            </w:r>
          </w:p>
        </w:tc>
        <w:tc>
          <w:tcPr>
            <w:tcW w:w="2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1,014</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Others</w:t>
            </w:r>
          </w:p>
        </w:tc>
        <w:tc>
          <w:tcPr>
            <w:tcW w:w="2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520</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13,168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16,241</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100"/>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86" w:right="8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Derivative Financial Instruments</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Company’s Korean subsidiary from time to time has entered into zero cost collar contracts to hedge the risk of changes in the functional-currency-equivalent cash flows attributable to currency rate changes on U.S. dollar denominated revenues.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Details of the zero cost collar contracts as of September 30, 2021 are as follows (in thousands):</w:t>
      </w:r>
    </w:p>
    <w:p>
      <w:pPr>
        <w:spacing w:after="0" w:line="234" w:lineRule="exact"/>
        <w:rPr>
          <w:sz w:val="20"/>
          <w:szCs w:val="20"/>
          <w:color w:val="auto"/>
        </w:rPr>
      </w:pPr>
    </w:p>
    <w:tbl>
      <w:tblPr>
        <w:tblLayout w:type="fixed"/>
        <w:tblInd w:w="1440" w:type="dxa"/>
        <w:tblCellMar>
          <w:top w:w="0" w:type="dxa"/>
          <w:left w:w="0" w:type="dxa"/>
          <w:bottom w:w="0" w:type="dxa"/>
          <w:right w:w="0" w:type="dxa"/>
        </w:tblCellMar>
      </w:tblPr>
      <w:tr>
        <w:trPr>
          <w:trHeight w:val="181"/>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Date of transaction</w:t>
            </w: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Total notional amount</w:t>
            </w:r>
          </w:p>
        </w:tc>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93"/>
              </w:rPr>
              <w:t>Month of settlement</w:t>
            </w:r>
          </w:p>
        </w:tc>
      </w:tr>
      <w:tr>
        <w:trPr>
          <w:trHeight w:val="20"/>
        </w:trPr>
        <w:tc>
          <w:tcPr>
            <w:tcW w:w="118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r>
        <w:trPr>
          <w:trHeight w:val="196"/>
        </w:trPr>
        <w:tc>
          <w:tcPr>
            <w:tcW w:w="3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December 15, 2020</w:t>
            </w:r>
          </w:p>
        </w:tc>
        <w:tc>
          <w:tcPr>
            <w:tcW w:w="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rPr>
              <w:t>15,000</w:t>
            </w:r>
          </w:p>
        </w:tc>
        <w:tc>
          <w:tcPr>
            <w:tcW w:w="28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October 2021 to December 2021</w:t>
            </w: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February 26, 2021</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9,000</w:t>
            </w: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October 2021 to December 2021</w:t>
            </w: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13, 2021</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39,000</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January 2022 to September 2022</w:t>
            </w: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August 13, 2021</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48,000</w:t>
            </w: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January 2022 to December 2022</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Details of the zero cost collar contracts as of December 31, 2020 are as follows (in thousands):</w:t>
      </w:r>
    </w:p>
    <w:p>
      <w:pPr>
        <w:spacing w:after="0" w:line="234" w:lineRule="exact"/>
        <w:rPr>
          <w:sz w:val="20"/>
          <w:szCs w:val="20"/>
          <w:color w:val="auto"/>
        </w:rPr>
      </w:pPr>
    </w:p>
    <w:tbl>
      <w:tblPr>
        <w:tblLayout w:type="fixed"/>
        <w:tblInd w:w="1440" w:type="dxa"/>
        <w:tblCellMar>
          <w:top w:w="0" w:type="dxa"/>
          <w:left w:w="0" w:type="dxa"/>
          <w:bottom w:w="0" w:type="dxa"/>
          <w:right w:w="0" w:type="dxa"/>
        </w:tblCellMar>
      </w:tblPr>
      <w:tr>
        <w:trPr>
          <w:trHeight w:val="181"/>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Date of transaction</w:t>
            </w: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Total notional amount</w:t>
            </w:r>
          </w:p>
        </w:tc>
        <w:tc>
          <w:tcPr>
            <w:tcW w:w="2180" w:type="dxa"/>
            <w:vAlign w:val="bottom"/>
            <w:gridSpan w:val="2"/>
          </w:tcPr>
          <w:p>
            <w:pPr>
              <w:ind w:left="480"/>
              <w:spacing w:after="0"/>
              <w:rPr>
                <w:sz w:val="20"/>
                <w:szCs w:val="20"/>
                <w:color w:val="auto"/>
              </w:rPr>
            </w:pPr>
            <w:r>
              <w:rPr>
                <w:rFonts w:ascii="Arial" w:cs="Arial" w:eastAsia="Arial" w:hAnsi="Arial"/>
                <w:sz w:val="14"/>
                <w:szCs w:val="14"/>
                <w:b w:val="1"/>
                <w:bCs w:val="1"/>
                <w:color w:val="auto"/>
              </w:rPr>
              <w:t>Month of settlement</w:t>
            </w:r>
          </w:p>
        </w:tc>
      </w:tr>
      <w:tr>
        <w:trPr>
          <w:trHeight w:val="20"/>
        </w:trPr>
        <w:tc>
          <w:tcPr>
            <w:tcW w:w="118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4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July 13, 2020</w:t>
            </w:r>
          </w:p>
        </w:tc>
        <w:tc>
          <w:tcPr>
            <w:tcW w:w="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rPr>
              <w:t>30,000</w:t>
            </w:r>
          </w:p>
        </w:tc>
        <w:tc>
          <w:tcPr>
            <w:tcW w:w="21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w w:val="97"/>
              </w:rPr>
              <w:t>January 2021 to June 2021</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December 15, 2020</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30,000</w:t>
            </w:r>
          </w:p>
        </w:tc>
        <w:tc>
          <w:tcPr>
            <w:tcW w:w="21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July 2021 to December 2021</w:t>
            </w: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18, 2020</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18,000</w:t>
            </w:r>
          </w:p>
        </w:tc>
        <w:tc>
          <w:tcPr>
            <w:tcW w:w="2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March 2021 to June 2021</w:t>
            </w:r>
          </w:p>
        </w:tc>
      </w:tr>
    </w:tbl>
    <w:p>
      <w:pPr>
        <w:spacing w:after="0" w:line="202"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zero cost collar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fair values of the Company’s outstanding zero cost collar contracts recorded as assets and liabilities as of September 30, 2021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 are as follows (in thousands):</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w w:val="90"/>
              </w:rPr>
              <w:t>Derivatives designated as hedging instruments:</w:t>
            </w:r>
          </w:p>
        </w:tc>
        <w:tc>
          <w:tcPr>
            <w:tcW w:w="3880" w:type="dxa"/>
            <w:vAlign w:val="bottom"/>
          </w:tcPr>
          <w:p>
            <w:pPr>
              <w:spacing w:after="0"/>
              <w:rPr>
                <w:sz w:val="14"/>
                <w:szCs w:val="14"/>
                <w:color w:val="auto"/>
              </w:rPr>
            </w:pPr>
          </w:p>
        </w:tc>
        <w:tc>
          <w:tcPr>
            <w:tcW w:w="1100" w:type="dxa"/>
            <w:vAlign w:val="bottom"/>
            <w:gridSpan w:val="3"/>
          </w:tcPr>
          <w:p>
            <w:pPr>
              <w:ind w:left="220"/>
              <w:spacing w:after="0"/>
              <w:rPr>
                <w:sz w:val="20"/>
                <w:szCs w:val="20"/>
                <w:color w:val="auto"/>
              </w:rPr>
            </w:pPr>
            <w:r>
              <w:rPr>
                <w:rFonts w:ascii="Arial" w:cs="Arial" w:eastAsia="Arial" w:hAnsi="Arial"/>
                <w:sz w:val="14"/>
                <w:szCs w:val="14"/>
                <w:b w:val="1"/>
                <w:bCs w:val="1"/>
                <w:color w:val="auto"/>
                <w:w w:val="89"/>
              </w:rPr>
              <w:t>September 30,</w:t>
            </w:r>
          </w:p>
        </w:tc>
        <w:tc>
          <w:tcPr>
            <w:tcW w:w="1380" w:type="dxa"/>
            <w:vAlign w:val="bottom"/>
            <w:gridSpan w:val="4"/>
          </w:tcPr>
          <w:p>
            <w:pPr>
              <w:ind w:left="4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9"/>
        </w:trPr>
        <w:tc>
          <w:tcPr>
            <w:tcW w:w="2900" w:type="dxa"/>
            <w:vAlign w:val="bottom"/>
            <w:tcBorders>
              <w:bottom w:val="single" w:sz="8" w:color="auto"/>
            </w:tcBorders>
            <w:vMerge w:val="continue"/>
          </w:tcPr>
          <w:p>
            <w:pPr>
              <w:spacing w:after="0"/>
              <w:rPr>
                <w:sz w:val="12"/>
                <w:szCs w:val="12"/>
                <w:color w:val="auto"/>
              </w:rPr>
            </w:pPr>
          </w:p>
        </w:tc>
        <w:tc>
          <w:tcPr>
            <w:tcW w:w="3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15"/>
              <w:spacing w:after="0" w:line="125" w:lineRule="exact"/>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5"/>
              <w:spacing w:after="0" w:line="12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 Derivatives:</w:t>
            </w:r>
          </w:p>
        </w:tc>
        <w:tc>
          <w:tcPr>
            <w:tcW w:w="3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360"/>
              <w:spacing w:after="0"/>
              <w:rPr>
                <w:sz w:val="20"/>
                <w:szCs w:val="20"/>
                <w:color w:val="auto"/>
              </w:rPr>
            </w:pPr>
            <w:r>
              <w:rPr>
                <w:rFonts w:ascii="Arial" w:cs="Arial" w:eastAsia="Arial" w:hAnsi="Arial"/>
                <w:sz w:val="18"/>
                <w:szCs w:val="18"/>
                <w:color w:val="auto"/>
              </w:rPr>
              <w:t>Zero cost collars</w:t>
            </w:r>
          </w:p>
        </w:tc>
        <w:tc>
          <w:tcPr>
            <w:tcW w:w="3880" w:type="dxa"/>
            <w:vAlign w:val="bottom"/>
          </w:tcPr>
          <w:p>
            <w:pPr>
              <w:jc w:val="right"/>
              <w:ind w:right="130"/>
              <w:spacing w:after="0"/>
              <w:rPr>
                <w:sz w:val="20"/>
                <w:szCs w:val="20"/>
                <w:color w:val="auto"/>
              </w:rPr>
            </w:pPr>
            <w:r>
              <w:rPr>
                <w:rFonts w:ascii="Arial" w:cs="Arial" w:eastAsia="Arial" w:hAnsi="Arial"/>
                <w:sz w:val="18"/>
                <w:szCs w:val="18"/>
                <w:color w:val="auto"/>
              </w:rPr>
              <w:t>Other current assets</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Liability Derivatives:</w:t>
            </w:r>
          </w:p>
        </w:tc>
        <w:tc>
          <w:tcPr>
            <w:tcW w:w="3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360"/>
              <w:spacing w:after="0"/>
              <w:rPr>
                <w:sz w:val="20"/>
                <w:szCs w:val="20"/>
                <w:color w:val="auto"/>
              </w:rPr>
            </w:pPr>
            <w:r>
              <w:rPr>
                <w:rFonts w:ascii="Arial" w:cs="Arial" w:eastAsia="Arial" w:hAnsi="Arial"/>
                <w:sz w:val="18"/>
                <w:szCs w:val="18"/>
                <w:color w:val="auto"/>
              </w:rPr>
              <w:t>Zero cost collars</w:t>
            </w:r>
          </w:p>
        </w:tc>
        <w:tc>
          <w:tcPr>
            <w:tcW w:w="3880" w:type="dxa"/>
            <w:vAlign w:val="bottom"/>
          </w:tcPr>
          <w:p>
            <w:pPr>
              <w:jc w:val="right"/>
              <w:ind w:right="130"/>
              <w:spacing w:after="0"/>
              <w:rPr>
                <w:sz w:val="20"/>
                <w:szCs w:val="20"/>
                <w:color w:val="auto"/>
              </w:rPr>
            </w:pPr>
            <w:r>
              <w:rPr>
                <w:rFonts w:ascii="Arial" w:cs="Arial" w:eastAsia="Arial" w:hAnsi="Arial"/>
                <w:sz w:val="18"/>
                <w:szCs w:val="18"/>
                <w:color w:val="auto"/>
              </w:rPr>
              <w:t>Other current liabilities</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3,196</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Zero cost collars</w:t>
            </w:r>
          </w:p>
        </w:tc>
        <w:tc>
          <w:tcPr>
            <w:tcW w:w="3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Other non-current liabilities</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Offsetting of derivative liabilities as of September 30, 2021 is as follows (in thousands):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0"/>
              </w:rPr>
              <w:t>Gross amounts of</w:t>
            </w:r>
          </w:p>
        </w:tc>
        <w:tc>
          <w:tcPr>
            <w:tcW w:w="13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9"/>
              </w:rPr>
              <w:t>Gross amounts</w:t>
            </w:r>
          </w:p>
        </w:tc>
        <w:tc>
          <w:tcPr>
            <w:tcW w:w="13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Net amounts of</w:t>
            </w:r>
          </w:p>
        </w:tc>
        <w:tc>
          <w:tcPr>
            <w:tcW w:w="180" w:type="dxa"/>
            <w:vAlign w:val="bottom"/>
          </w:tcPr>
          <w:p>
            <w:pPr>
              <w:spacing w:after="0"/>
              <w:rPr>
                <w:sz w:val="14"/>
                <w:szCs w:val="14"/>
                <w:color w:val="auto"/>
              </w:rPr>
            </w:pPr>
          </w:p>
        </w:tc>
        <w:tc>
          <w:tcPr>
            <w:tcW w:w="1860" w:type="dxa"/>
            <w:vAlign w:val="bottom"/>
            <w:gridSpan w:val="3"/>
          </w:tcPr>
          <w:p>
            <w:pPr>
              <w:jc w:val="center"/>
              <w:ind w:right="84"/>
              <w:spacing w:after="0"/>
              <w:rPr>
                <w:sz w:val="20"/>
                <w:szCs w:val="20"/>
                <w:color w:val="auto"/>
              </w:rPr>
            </w:pPr>
            <w:r>
              <w:rPr>
                <w:rFonts w:ascii="Arial" w:cs="Arial" w:eastAsia="Arial" w:hAnsi="Arial"/>
                <w:sz w:val="14"/>
                <w:szCs w:val="14"/>
                <w:b w:val="1"/>
                <w:bCs w:val="1"/>
                <w:color w:val="auto"/>
                <w:w w:val="90"/>
              </w:rPr>
              <w:t>Gross amounts not offset</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liabilities</w:t>
            </w: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ind w:right="84"/>
              <w:spacing w:after="0"/>
              <w:rPr>
                <w:sz w:val="20"/>
                <w:szCs w:val="20"/>
                <w:color w:val="auto"/>
              </w:rPr>
            </w:pPr>
            <w:r>
              <w:rPr>
                <w:rFonts w:ascii="Arial" w:cs="Arial" w:eastAsia="Arial" w:hAnsi="Arial"/>
                <w:sz w:val="14"/>
                <w:szCs w:val="14"/>
                <w:b w:val="1"/>
                <w:bCs w:val="1"/>
                <w:color w:val="auto"/>
                <w:w w:val="88"/>
              </w:rPr>
              <w:t>in the balance sheets</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September 30, 2021</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6"/>
              </w:rPr>
              <w:t>recognized</w:t>
            </w:r>
          </w:p>
        </w:tc>
        <w:tc>
          <w:tcPr>
            <w:tcW w:w="100" w:type="dxa"/>
            <w:vAlign w:val="bottom"/>
          </w:tcPr>
          <w:p>
            <w:pPr>
              <w:spacing w:after="0"/>
              <w:rPr>
                <w:sz w:val="10"/>
                <w:szCs w:val="10"/>
                <w:color w:val="auto"/>
              </w:rPr>
            </w:pPr>
          </w:p>
        </w:tc>
        <w:tc>
          <w:tcPr>
            <w:tcW w:w="120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7"/>
              </w:rPr>
              <w:t>offset in the</w:t>
            </w:r>
          </w:p>
        </w:tc>
        <w:tc>
          <w:tcPr>
            <w:tcW w:w="134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w w:val="97"/>
              </w:rPr>
              <w:t>presented in the</w:t>
            </w:r>
          </w:p>
        </w:tc>
        <w:tc>
          <w:tcPr>
            <w:tcW w:w="1120" w:type="dxa"/>
            <w:vAlign w:val="bottom"/>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rPr>
              <w:t>Financial</w:t>
            </w:r>
          </w:p>
        </w:tc>
        <w:tc>
          <w:tcPr>
            <w:tcW w:w="920" w:type="dxa"/>
            <w:vAlign w:val="bottom"/>
          </w:tcPr>
          <w:p>
            <w:pPr>
              <w:spacing w:after="0" w:line="119" w:lineRule="exact"/>
              <w:rPr>
                <w:sz w:val="20"/>
                <w:szCs w:val="20"/>
                <w:color w:val="auto"/>
              </w:rPr>
            </w:pPr>
            <w:r>
              <w:rPr>
                <w:rFonts w:ascii="Arial" w:cs="Arial" w:eastAsia="Arial" w:hAnsi="Arial"/>
                <w:sz w:val="13"/>
                <w:szCs w:val="13"/>
                <w:b w:val="1"/>
                <w:bCs w:val="1"/>
                <w:color w:val="auto"/>
                <w:w w:val="97"/>
              </w:rPr>
              <w:t>Cash collateral</w:t>
            </w:r>
          </w:p>
        </w:tc>
        <w:tc>
          <w:tcPr>
            <w:tcW w:w="82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44"/>
        </w:trPr>
        <w:tc>
          <w:tcPr>
            <w:tcW w:w="242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500"/>
              <w:spacing w:after="0" w:line="125" w:lineRule="exact"/>
              <w:rPr>
                <w:sz w:val="20"/>
                <w:szCs w:val="20"/>
                <w:color w:val="auto"/>
              </w:rPr>
            </w:pPr>
            <w:r>
              <w:rPr>
                <w:rFonts w:ascii="Arial" w:cs="Arial" w:eastAsia="Arial" w:hAnsi="Arial"/>
                <w:sz w:val="14"/>
                <w:szCs w:val="14"/>
                <w:b w:val="1"/>
                <w:bCs w:val="1"/>
                <w:color w:val="auto"/>
                <w:w w:val="93"/>
              </w:rPr>
              <w:t>liabilities</w:t>
            </w:r>
          </w:p>
        </w:tc>
        <w:tc>
          <w:tcPr>
            <w:tcW w:w="1300" w:type="dxa"/>
            <w:vAlign w:val="bottom"/>
            <w:gridSpan w:val="3"/>
          </w:tcPr>
          <w:p>
            <w:pPr>
              <w:jc w:val="center"/>
              <w:ind w:right="380"/>
              <w:spacing w:after="0" w:line="125" w:lineRule="exact"/>
              <w:rPr>
                <w:sz w:val="20"/>
                <w:szCs w:val="20"/>
                <w:color w:val="auto"/>
              </w:rPr>
            </w:pPr>
            <w:r>
              <w:rPr>
                <w:rFonts w:ascii="Arial" w:cs="Arial" w:eastAsia="Arial" w:hAnsi="Arial"/>
                <w:sz w:val="14"/>
                <w:szCs w:val="14"/>
                <w:b w:val="1"/>
                <w:bCs w:val="1"/>
                <w:color w:val="auto"/>
                <w:w w:val="87"/>
              </w:rPr>
              <w:t>balance sheets</w:t>
            </w:r>
          </w:p>
        </w:tc>
        <w:tc>
          <w:tcPr>
            <w:tcW w:w="1340" w:type="dxa"/>
            <w:vAlign w:val="bottom"/>
            <w:gridSpan w:val="3"/>
          </w:tcPr>
          <w:p>
            <w:pPr>
              <w:jc w:val="center"/>
              <w:ind w:right="360"/>
              <w:spacing w:after="0" w:line="125" w:lineRule="exact"/>
              <w:rPr>
                <w:sz w:val="20"/>
                <w:szCs w:val="20"/>
                <w:color w:val="auto"/>
              </w:rPr>
            </w:pPr>
            <w:r>
              <w:rPr>
                <w:rFonts w:ascii="Arial" w:cs="Arial" w:eastAsia="Arial" w:hAnsi="Arial"/>
                <w:sz w:val="14"/>
                <w:szCs w:val="14"/>
                <w:b w:val="1"/>
                <w:bCs w:val="1"/>
                <w:color w:val="auto"/>
                <w:w w:val="85"/>
              </w:rPr>
              <w:t>balance sheets</w:t>
            </w:r>
          </w:p>
        </w:tc>
        <w:tc>
          <w:tcPr>
            <w:tcW w:w="112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instruments</w:t>
            </w:r>
          </w:p>
        </w:tc>
        <w:tc>
          <w:tcPr>
            <w:tcW w:w="920" w:type="dxa"/>
            <w:vAlign w:val="bottom"/>
          </w:tcPr>
          <w:p>
            <w:pPr>
              <w:ind w:left="220"/>
              <w:spacing w:after="0" w:line="125" w:lineRule="exact"/>
              <w:rPr>
                <w:sz w:val="20"/>
                <w:szCs w:val="20"/>
                <w:color w:val="auto"/>
              </w:rPr>
            </w:pPr>
            <w:r>
              <w:rPr>
                <w:rFonts w:ascii="Arial" w:cs="Arial" w:eastAsia="Arial" w:hAnsi="Arial"/>
                <w:sz w:val="14"/>
                <w:szCs w:val="14"/>
                <w:b w:val="1"/>
                <w:bCs w:val="1"/>
                <w:color w:val="auto"/>
              </w:rPr>
              <w:t>pledged</w:t>
            </w:r>
          </w:p>
        </w:tc>
        <w:tc>
          <w:tcPr>
            <w:tcW w:w="8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40" w:type="dxa"/>
            <w:vAlign w:val="bottom"/>
            <w:tcBorders>
              <w:top w:val="single" w:sz="8" w:color="auto"/>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Liability Derivatives:</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3,453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3,453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90"/>
              <w:spacing w:after="0"/>
              <w:rPr>
                <w:sz w:val="20"/>
                <w:szCs w:val="20"/>
                <w:color w:val="auto"/>
              </w:rPr>
            </w:pPr>
            <w:r>
              <w:rPr>
                <w:rFonts w:ascii="Arial" w:cs="Arial" w:eastAsia="Arial" w:hAnsi="Arial"/>
                <w:sz w:val="18"/>
                <w:szCs w:val="18"/>
                <w:color w:val="auto"/>
                <w:w w:val="91"/>
              </w:rPr>
              <w:t>(2,720)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Offsetting of derivative assets and liabilities as of December 31, 2020 is as follows (in thousands):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Gross amounts of</w:t>
            </w: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Gross amounts</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amounts of</w:t>
            </w:r>
          </w:p>
        </w:tc>
        <w:tc>
          <w:tcPr>
            <w:tcW w:w="180" w:type="dxa"/>
            <w:vAlign w:val="bottom"/>
          </w:tcPr>
          <w:p>
            <w:pPr>
              <w:spacing w:after="0"/>
              <w:rPr>
                <w:sz w:val="14"/>
                <w:szCs w:val="14"/>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Gross amounts not offset</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assets/liabilities</w:t>
            </w: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4"/>
                <w:szCs w:val="14"/>
                <w:b w:val="1"/>
                <w:bCs w:val="1"/>
                <w:color w:val="auto"/>
                <w:w w:val="88"/>
              </w:rPr>
              <w:t>in the balance sheets</w:t>
            </w:r>
          </w:p>
        </w:tc>
        <w:tc>
          <w:tcPr>
            <w:tcW w:w="2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2020</w:t>
            </w: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recognized</w:t>
            </w:r>
          </w:p>
        </w:tc>
        <w:tc>
          <w:tcPr>
            <w:tcW w:w="100" w:type="dxa"/>
            <w:vAlign w:val="bottom"/>
          </w:tcPr>
          <w:p>
            <w:pPr>
              <w:spacing w:after="0"/>
              <w:rPr>
                <w:sz w:val="10"/>
                <w:szCs w:val="10"/>
                <w:color w:val="auto"/>
              </w:rPr>
            </w:pPr>
          </w:p>
        </w:tc>
        <w:tc>
          <w:tcPr>
            <w:tcW w:w="12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offset in the</w:t>
            </w:r>
          </w:p>
        </w:tc>
        <w:tc>
          <w:tcPr>
            <w:tcW w:w="13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presented in the</w:t>
            </w:r>
          </w:p>
        </w:tc>
        <w:tc>
          <w:tcPr>
            <w:tcW w:w="1120" w:type="dxa"/>
            <w:vAlign w:val="bottom"/>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rPr>
              <w:t>Financial</w:t>
            </w:r>
          </w:p>
        </w:tc>
        <w:tc>
          <w:tcPr>
            <w:tcW w:w="9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Cash collateral</w:t>
            </w:r>
          </w:p>
        </w:tc>
        <w:tc>
          <w:tcPr>
            <w:tcW w:w="38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44"/>
        </w:trPr>
        <w:tc>
          <w:tcPr>
            <w:tcW w:w="258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gridSpan w:val="3"/>
          </w:tcPr>
          <w:p>
            <w:pPr>
              <w:jc w:val="right"/>
              <w:ind w:right="460"/>
              <w:spacing w:after="0" w:line="125" w:lineRule="exact"/>
              <w:rPr>
                <w:sz w:val="20"/>
                <w:szCs w:val="20"/>
                <w:color w:val="auto"/>
              </w:rPr>
            </w:pPr>
            <w:r>
              <w:rPr>
                <w:rFonts w:ascii="Arial" w:cs="Arial" w:eastAsia="Arial" w:hAnsi="Arial"/>
                <w:sz w:val="14"/>
                <w:szCs w:val="14"/>
                <w:b w:val="1"/>
                <w:bCs w:val="1"/>
                <w:color w:val="auto"/>
                <w:w w:val="93"/>
              </w:rPr>
              <w:t>assets/liabilities</w:t>
            </w:r>
          </w:p>
        </w:tc>
        <w:tc>
          <w:tcPr>
            <w:tcW w:w="132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balance sheets</w:t>
            </w:r>
          </w:p>
        </w:tc>
        <w:tc>
          <w:tcPr>
            <w:tcW w:w="1380" w:type="dxa"/>
            <w:vAlign w:val="bottom"/>
            <w:gridSpan w:val="3"/>
          </w:tcPr>
          <w:p>
            <w:pPr>
              <w:ind w:left="60"/>
              <w:spacing w:after="0" w:line="125" w:lineRule="exact"/>
              <w:rPr>
                <w:sz w:val="20"/>
                <w:szCs w:val="20"/>
                <w:color w:val="auto"/>
              </w:rPr>
            </w:pPr>
            <w:r>
              <w:rPr>
                <w:rFonts w:ascii="Arial" w:cs="Arial" w:eastAsia="Arial" w:hAnsi="Arial"/>
                <w:sz w:val="14"/>
                <w:szCs w:val="14"/>
                <w:b w:val="1"/>
                <w:bCs w:val="1"/>
                <w:color w:val="auto"/>
              </w:rPr>
              <w:t>balance sheets</w:t>
            </w:r>
          </w:p>
        </w:tc>
        <w:tc>
          <w:tcPr>
            <w:tcW w:w="112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instruments</w:t>
            </w:r>
          </w:p>
        </w:tc>
        <w:tc>
          <w:tcPr>
            <w:tcW w:w="940" w:type="dxa"/>
            <w:vAlign w:val="bottom"/>
            <w:gridSpan w:val="2"/>
          </w:tcPr>
          <w:p>
            <w:pPr>
              <w:ind w:left="240"/>
              <w:spacing w:after="0" w:line="125" w:lineRule="exact"/>
              <w:rPr>
                <w:sz w:val="20"/>
                <w:szCs w:val="20"/>
                <w:color w:val="auto"/>
              </w:rPr>
            </w:pPr>
            <w:r>
              <w:rPr>
                <w:rFonts w:ascii="Arial" w:cs="Arial" w:eastAsia="Arial" w:hAnsi="Arial"/>
                <w:sz w:val="14"/>
                <w:szCs w:val="14"/>
                <w:b w:val="1"/>
                <w:bCs w:val="1"/>
                <w:color w:val="auto"/>
              </w:rPr>
              <w:t>pledged</w:t>
            </w:r>
          </w:p>
        </w:tc>
        <w:tc>
          <w:tcPr>
            <w:tcW w:w="3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auto"/>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 Derivatives:</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11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2,036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Liability Derivatives: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11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350"/>
        </w:trPr>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316"/>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40"/>
        <w:spacing w:after="0" w:line="279" w:lineRule="auto"/>
        <w:rPr>
          <w:sz w:val="20"/>
          <w:szCs w:val="20"/>
          <w:color w:val="auto"/>
        </w:rPr>
      </w:pPr>
      <w:r>
        <w:rPr>
          <w:rFonts w:ascii="Arial" w:cs="Arial" w:eastAsia="Arial" w:hAnsi="Arial"/>
          <w:sz w:val="17"/>
          <w:szCs w:val="17"/>
          <w:color w:val="auto"/>
        </w:rPr>
        <w:t>For derivative instruments that are designated and qualify as cash flow hedges, gains or losses on the derivative aside from components excluded from the assessment of effectiveness are reported as a component of accumulated other comprehensive income (“AOCI”) and reclassified into earnings in the same period or periods during which the hedged transaction affects earnings. Gains and losses on the derivative, representing hedge components excluded from the assessment of effectiveness, are recognized in current earnings.</w:t>
      </w:r>
    </w:p>
    <w:p>
      <w:pPr>
        <w:spacing w:after="0" w:line="17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following table summarizes the impact of derivative instruments on the consolidated statements of operations for the three months ended September 30, 2021 and 2020. Net sales of discontinued operations for the three months ended September 30, 2020 are included in the below table (in thousands):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7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Amount of Gain (Loss)</w:t>
            </w:r>
          </w:p>
        </w:tc>
        <w:tc>
          <w:tcPr>
            <w:tcW w:w="23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3"/>
              </w:rPr>
              <w:t>Location/Amount of Gain (Loss)</w:t>
            </w:r>
          </w:p>
        </w:tc>
        <w:tc>
          <w:tcPr>
            <w:tcW w:w="500" w:type="dxa"/>
            <w:vAlign w:val="bottom"/>
          </w:tcPr>
          <w:p>
            <w:pPr>
              <w:spacing w:after="0"/>
              <w:rPr>
                <w:sz w:val="14"/>
                <w:szCs w:val="14"/>
                <w:color w:val="auto"/>
              </w:rPr>
            </w:pPr>
          </w:p>
        </w:tc>
        <w:tc>
          <w:tcPr>
            <w:tcW w:w="2540" w:type="dxa"/>
            <w:vAlign w:val="bottom"/>
            <w:gridSpan w:val="5"/>
            <w:vMerge w:val="restart"/>
          </w:tcPr>
          <w:p>
            <w:pPr>
              <w:jc w:val="center"/>
              <w:ind w:left="344"/>
              <w:spacing w:after="0"/>
              <w:rPr>
                <w:sz w:val="20"/>
                <w:szCs w:val="20"/>
                <w:color w:val="auto"/>
              </w:rPr>
            </w:pPr>
            <w:r>
              <w:rPr>
                <w:rFonts w:ascii="Arial" w:cs="Arial" w:eastAsia="Arial" w:hAnsi="Arial"/>
                <w:sz w:val="14"/>
                <w:szCs w:val="14"/>
                <w:b w:val="1"/>
                <w:bCs w:val="1"/>
                <w:color w:val="auto"/>
                <w:w w:val="93"/>
              </w:rPr>
              <w:t>Location/Amount of Gain (Loss)</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7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320" w:type="dxa"/>
            <w:vAlign w:val="bottom"/>
            <w:gridSpan w:val="5"/>
            <w:vMerge w:val="continue"/>
          </w:tcPr>
          <w:p>
            <w:pPr>
              <w:spacing w:after="0"/>
              <w:rPr>
                <w:sz w:val="12"/>
                <w:szCs w:val="12"/>
                <w:color w:val="auto"/>
              </w:rPr>
            </w:pPr>
          </w:p>
        </w:tc>
        <w:tc>
          <w:tcPr>
            <w:tcW w:w="500" w:type="dxa"/>
            <w:vAlign w:val="bottom"/>
          </w:tcPr>
          <w:p>
            <w:pPr>
              <w:spacing w:after="0"/>
              <w:rPr>
                <w:sz w:val="12"/>
                <w:szCs w:val="12"/>
                <w:color w:val="auto"/>
              </w:rPr>
            </w:pPr>
          </w:p>
        </w:tc>
        <w:tc>
          <w:tcPr>
            <w:tcW w:w="2540" w:type="dxa"/>
            <w:vAlign w:val="bottom"/>
            <w:gridSpan w:val="5"/>
            <w:vMerge w:val="continue"/>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40" w:type="dxa"/>
            <w:vAlign w:val="bottom"/>
            <w:gridSpan w:val="3"/>
          </w:tcPr>
          <w:p>
            <w:pPr>
              <w:jc w:val="center"/>
              <w:ind w:left="387"/>
              <w:spacing w:after="0" w:line="149" w:lineRule="exact"/>
              <w:rPr>
                <w:sz w:val="20"/>
                <w:szCs w:val="20"/>
                <w:color w:val="auto"/>
              </w:rPr>
            </w:pPr>
            <w:r>
              <w:rPr>
                <w:rFonts w:ascii="Arial" w:cs="Arial" w:eastAsia="Arial" w:hAnsi="Arial"/>
                <w:sz w:val="14"/>
                <w:szCs w:val="14"/>
                <w:b w:val="1"/>
                <w:bCs w:val="1"/>
                <w:color w:val="auto"/>
              </w:rPr>
              <w:t>AOCI on</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gridSpan w:val="4"/>
          </w:tcPr>
          <w:p>
            <w:pPr>
              <w:jc w:val="center"/>
              <w:ind w:left="284"/>
              <w:spacing w:after="0" w:line="149" w:lineRule="exact"/>
              <w:rPr>
                <w:sz w:val="20"/>
                <w:szCs w:val="20"/>
                <w:color w:val="auto"/>
              </w:rPr>
            </w:pPr>
            <w:r>
              <w:rPr>
                <w:rFonts w:ascii="Arial" w:cs="Arial" w:eastAsia="Arial" w:hAnsi="Arial"/>
                <w:sz w:val="14"/>
                <w:szCs w:val="14"/>
                <w:b w:val="1"/>
                <w:bCs w:val="1"/>
                <w:color w:val="auto"/>
                <w:w w:val="95"/>
              </w:rPr>
              <w:t>Reclassified from AOCI</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00" w:type="dxa"/>
            <w:vAlign w:val="bottom"/>
            <w:gridSpan w:val="3"/>
          </w:tcPr>
          <w:p>
            <w:pPr>
              <w:jc w:val="center"/>
              <w:ind w:left="564"/>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ASC</w:t>
            </w:r>
          </w:p>
        </w:tc>
        <w:tc>
          <w:tcPr>
            <w:tcW w:w="17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Derivatives</w:t>
            </w:r>
          </w:p>
        </w:tc>
        <w:tc>
          <w:tcPr>
            <w:tcW w:w="23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Into Statement of Operations</w:t>
            </w:r>
          </w:p>
        </w:tc>
        <w:tc>
          <w:tcPr>
            <w:tcW w:w="500" w:type="dxa"/>
            <w:vAlign w:val="bottom"/>
          </w:tcPr>
          <w:p>
            <w:pPr>
              <w:spacing w:after="0"/>
              <w:rPr>
                <w:sz w:val="14"/>
                <w:szCs w:val="14"/>
                <w:color w:val="auto"/>
              </w:rPr>
            </w:pPr>
          </w:p>
        </w:tc>
        <w:tc>
          <w:tcPr>
            <w:tcW w:w="300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2"/>
              </w:rPr>
              <w:t>Statement of Operations on Derivatives</w:t>
            </w:r>
          </w:p>
        </w:tc>
        <w:tc>
          <w:tcPr>
            <w:tcW w:w="0" w:type="dxa"/>
            <w:vAlign w:val="bottom"/>
          </w:tcPr>
          <w:p>
            <w:pPr>
              <w:spacing w:after="0"/>
              <w:rPr>
                <w:sz w:val="1"/>
                <w:szCs w:val="1"/>
                <w:color w:val="auto"/>
              </w:rPr>
            </w:pPr>
          </w:p>
        </w:tc>
      </w:tr>
      <w:tr>
        <w:trPr>
          <w:trHeight w:val="119"/>
        </w:trPr>
        <w:tc>
          <w:tcPr>
            <w:tcW w:w="3480" w:type="dxa"/>
            <w:vAlign w:val="bottom"/>
            <w:gridSpan w:val="2"/>
            <w:vMerge w:val="continue"/>
          </w:tcPr>
          <w:p>
            <w:pPr>
              <w:spacing w:after="0"/>
              <w:rPr>
                <w:sz w:val="10"/>
                <w:szCs w:val="10"/>
                <w:color w:val="auto"/>
              </w:rPr>
            </w:pPr>
          </w:p>
        </w:tc>
        <w:tc>
          <w:tcPr>
            <w:tcW w:w="150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4"/>
          </w:tcPr>
          <w:p>
            <w:pPr>
              <w:jc w:val="right"/>
              <w:spacing w:after="0" w:line="119" w:lineRule="exact"/>
              <w:rPr>
                <w:sz w:val="20"/>
                <w:szCs w:val="20"/>
                <w:color w:val="auto"/>
              </w:rPr>
            </w:pPr>
            <w:r>
              <w:rPr>
                <w:rFonts w:ascii="Arial" w:cs="Arial" w:eastAsia="Arial" w:hAnsi="Arial"/>
                <w:sz w:val="13"/>
                <w:szCs w:val="13"/>
                <w:b w:val="1"/>
                <w:bCs w:val="1"/>
                <w:color w:val="auto"/>
              </w:rPr>
              <w:t>Three Months Ended</w:t>
            </w:r>
          </w:p>
        </w:tc>
        <w:tc>
          <w:tcPr>
            <w:tcW w:w="500" w:type="dxa"/>
            <w:vAlign w:val="bottom"/>
          </w:tcPr>
          <w:p>
            <w:pPr>
              <w:spacing w:after="0"/>
              <w:rPr>
                <w:sz w:val="10"/>
                <w:szCs w:val="10"/>
                <w:color w:val="auto"/>
              </w:rPr>
            </w:pPr>
          </w:p>
        </w:tc>
        <w:tc>
          <w:tcPr>
            <w:tcW w:w="15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5"/>
          </w:tcPr>
          <w:p>
            <w:pPr>
              <w:jc w:val="center"/>
              <w:spacing w:after="0" w:line="119" w:lineRule="exact"/>
              <w:rPr>
                <w:sz w:val="20"/>
                <w:szCs w:val="20"/>
                <w:color w:val="auto"/>
              </w:rPr>
            </w:pPr>
            <w:r>
              <w:rPr>
                <w:rFonts w:ascii="Arial" w:cs="Arial" w:eastAsia="Arial" w:hAnsi="Arial"/>
                <w:sz w:val="13"/>
                <w:szCs w:val="13"/>
                <w:b w:val="1"/>
                <w:bCs w:val="1"/>
                <w:color w:val="auto"/>
              </w:rPr>
              <w:t>Three Months Ended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815 Cash Flow Hedging</w:t>
            </w:r>
          </w:p>
        </w:tc>
        <w:tc>
          <w:tcPr>
            <w:tcW w:w="17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tcPr>
          <w:p>
            <w:pPr>
              <w:jc w:val="right"/>
              <w:ind w:right="190"/>
              <w:spacing w:after="0" w:line="149" w:lineRule="exact"/>
              <w:rPr>
                <w:sz w:val="20"/>
                <w:szCs w:val="20"/>
                <w:color w:val="auto"/>
              </w:rPr>
            </w:pPr>
            <w:r>
              <w:rPr>
                <w:rFonts w:ascii="Arial" w:cs="Arial" w:eastAsia="Arial" w:hAnsi="Arial"/>
                <w:sz w:val="14"/>
                <w:szCs w:val="14"/>
                <w:b w:val="1"/>
                <w:bCs w:val="1"/>
                <w:color w:val="auto"/>
                <w:w w:val="98"/>
              </w:rPr>
              <w:t>September 30,</w:t>
            </w:r>
          </w:p>
        </w:tc>
        <w:tc>
          <w:tcPr>
            <w:tcW w:w="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2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3"/>
        </w:trPr>
        <w:tc>
          <w:tcPr>
            <w:tcW w:w="3480" w:type="dxa"/>
            <w:vAlign w:val="bottom"/>
            <w:gridSpan w:val="2"/>
            <w:vMerge w:val="restart"/>
          </w:tcPr>
          <w:p>
            <w:pPr>
              <w:spacing w:after="0" w:line="151" w:lineRule="exact"/>
              <w:rPr>
                <w:sz w:val="20"/>
                <w:szCs w:val="20"/>
                <w:color w:val="auto"/>
              </w:rPr>
            </w:pPr>
            <w:r>
              <w:rPr>
                <w:rFonts w:ascii="Arial" w:cs="Arial" w:eastAsia="Arial" w:hAnsi="Arial"/>
                <w:sz w:val="14"/>
                <w:szCs w:val="14"/>
                <w:b w:val="1"/>
                <w:bCs w:val="1"/>
                <w:color w:val="auto"/>
              </w:rPr>
              <w:t>Relationships</w:t>
            </w: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480" w:type="dxa"/>
            <w:vAlign w:val="bottom"/>
            <w:gridSpan w:val="2"/>
            <w:vMerge w:val="continue"/>
          </w:tcPr>
          <w:p>
            <w:pPr>
              <w:spacing w:after="0"/>
              <w:rPr>
                <w:sz w:val="11"/>
                <w:szCs w:val="11"/>
                <w:color w:val="auto"/>
              </w:rPr>
            </w:pPr>
          </w:p>
        </w:tc>
        <w:tc>
          <w:tcPr>
            <w:tcW w:w="680" w:type="dxa"/>
            <w:vAlign w:val="bottom"/>
            <w:tcBorders>
              <w:top w:val="single" w:sz="8" w:color="auto"/>
            </w:tcBorders>
          </w:tcPr>
          <w:p>
            <w:pPr>
              <w:jc w:val="right"/>
              <w:ind w:right="127"/>
              <w:spacing w:after="0" w:line="115"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82"/>
              <w:spacing w:after="0" w:line="115" w:lineRule="exact"/>
              <w:rPr>
                <w:sz w:val="20"/>
                <w:szCs w:val="20"/>
                <w:color w:val="auto"/>
              </w:rPr>
            </w:pPr>
            <w:r>
              <w:rPr>
                <w:rFonts w:ascii="Arial" w:cs="Arial" w:eastAsia="Arial" w:hAnsi="Arial"/>
                <w:sz w:val="13"/>
                <w:szCs w:val="13"/>
                <w:b w:val="1"/>
                <w:bCs w:val="1"/>
                <w:color w:val="auto"/>
                <w:w w:val="96"/>
              </w:rPr>
              <w:t>2020</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3"/>
                <w:szCs w:val="13"/>
                <w:b w:val="1"/>
                <w:bCs w:val="1"/>
                <w:color w:val="auto"/>
              </w:rPr>
              <w:t>2021</w:t>
            </w:r>
          </w:p>
        </w:tc>
        <w:tc>
          <w:tcPr>
            <w:tcW w:w="7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rPr>
              <w:t>2020</w:t>
            </w:r>
          </w:p>
        </w:tc>
        <w:tc>
          <w:tcPr>
            <w:tcW w:w="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580" w:type="dxa"/>
            <w:vAlign w:val="bottom"/>
            <w:tcBorders>
              <w:top w:val="single" w:sz="8" w:color="auto"/>
            </w:tcBorders>
          </w:tcPr>
          <w:p>
            <w:pPr>
              <w:jc w:val="right"/>
              <w:ind w:right="71"/>
              <w:spacing w:after="0" w:line="115" w:lineRule="exact"/>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22"/>
              <w:spacing w:after="0" w:line="115" w:lineRule="exact"/>
              <w:rPr>
                <w:sz w:val="20"/>
                <w:szCs w:val="20"/>
                <w:color w:val="auto"/>
              </w:rPr>
            </w:pPr>
            <w:r>
              <w:rPr>
                <w:rFonts w:ascii="Arial" w:cs="Arial" w:eastAsia="Arial" w:hAnsi="Arial"/>
                <w:sz w:val="13"/>
                <w:szCs w:val="13"/>
                <w:b w:val="1"/>
                <w:bCs w:val="1"/>
                <w:color w:val="auto"/>
                <w:w w:val="96"/>
              </w:rPr>
              <w:t>2020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Zero cost collars</w:t>
            </w:r>
          </w:p>
        </w:tc>
        <w:tc>
          <w:tcPr>
            <w:tcW w:w="8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w w:val="91"/>
              </w:rPr>
              <w:t>$ (3,271)</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w w:val="97"/>
              </w:rPr>
              <w:t>1,390</w:t>
            </w:r>
          </w:p>
        </w:tc>
        <w:tc>
          <w:tcPr>
            <w:tcW w:w="110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Net sales   $</w:t>
            </w:r>
          </w:p>
        </w:tc>
        <w:tc>
          <w:tcPr>
            <w:tcW w:w="86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(653)</w:t>
            </w: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87"/>
              </w:rPr>
              <w:t>(41)</w:t>
            </w:r>
          </w:p>
        </w:tc>
        <w:tc>
          <w:tcPr>
            <w:tcW w:w="2300" w:type="dxa"/>
            <w:vAlign w:val="bottom"/>
            <w:gridSpan w:val="3"/>
            <w:shd w:val="clear" w:color="auto" w:fill="CCEEFF"/>
          </w:tcPr>
          <w:p>
            <w:pPr>
              <w:ind w:left="60"/>
              <w:spacing w:after="0" w:line="196" w:lineRule="exact"/>
              <w:rPr>
                <w:sz w:val="20"/>
                <w:szCs w:val="20"/>
                <w:color w:val="auto"/>
              </w:rPr>
            </w:pPr>
            <w:r>
              <w:rPr>
                <w:rFonts w:ascii="Arial" w:cs="Arial" w:eastAsia="Arial" w:hAnsi="Arial"/>
                <w:sz w:val="18"/>
                <w:szCs w:val="18"/>
                <w:color w:val="auto"/>
              </w:rPr>
              <w:t>Other income, net   $   237</w:t>
            </w:r>
          </w:p>
        </w:tc>
        <w:tc>
          <w:tcPr>
            <w:tcW w:w="2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following table summarizes the impact of derivative instruments on the consolidated statements of operations for the nine months ended September 30, 2021 and 2020. Net sales of discontinued operations for the nine months ended September 30, 2020 are included in the below table (in thousands):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Amount of Gain (Loss)</w:t>
            </w:r>
          </w:p>
        </w:tc>
        <w:tc>
          <w:tcPr>
            <w:tcW w:w="228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3"/>
              </w:rPr>
              <w:t>Location/Amount of Gain (Loss)</w:t>
            </w:r>
          </w:p>
        </w:tc>
        <w:tc>
          <w:tcPr>
            <w:tcW w:w="2820" w:type="dxa"/>
            <w:vAlign w:val="bottom"/>
            <w:gridSpan w:val="6"/>
            <w:vMerge w:val="restart"/>
          </w:tcPr>
          <w:p>
            <w:pPr>
              <w:jc w:val="center"/>
              <w:ind w:right="60"/>
              <w:spacing w:after="0"/>
              <w:rPr>
                <w:sz w:val="20"/>
                <w:szCs w:val="20"/>
                <w:color w:val="auto"/>
              </w:rPr>
            </w:pPr>
            <w:r>
              <w:rPr>
                <w:rFonts w:ascii="Arial" w:cs="Arial" w:eastAsia="Arial" w:hAnsi="Arial"/>
                <w:sz w:val="14"/>
                <w:szCs w:val="14"/>
                <w:b w:val="1"/>
                <w:bCs w:val="1"/>
                <w:color w:val="auto"/>
                <w:w w:val="93"/>
              </w:rPr>
              <w:t>Location/Amount of Gain (Loss)</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0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280" w:type="dxa"/>
            <w:vAlign w:val="bottom"/>
            <w:gridSpan w:val="5"/>
            <w:vMerge w:val="continue"/>
          </w:tcPr>
          <w:p>
            <w:pPr>
              <w:spacing w:after="0"/>
              <w:rPr>
                <w:sz w:val="12"/>
                <w:szCs w:val="12"/>
                <w:color w:val="auto"/>
              </w:rPr>
            </w:pPr>
          </w:p>
        </w:tc>
        <w:tc>
          <w:tcPr>
            <w:tcW w:w="28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0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AOCI on</w:t>
            </w:r>
          </w:p>
        </w:tc>
        <w:tc>
          <w:tcPr>
            <w:tcW w:w="22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Reclassified from AOCI</w:t>
            </w:r>
          </w:p>
        </w:tc>
        <w:tc>
          <w:tcPr>
            <w:tcW w:w="2060" w:type="dxa"/>
            <w:vAlign w:val="bottom"/>
            <w:gridSpan w:val="3"/>
          </w:tcPr>
          <w:p>
            <w:pPr>
              <w:jc w:val="center"/>
              <w:ind w:left="644"/>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ASC</w:t>
            </w: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Derivatives</w:t>
            </w:r>
          </w:p>
        </w:tc>
        <w:tc>
          <w:tcPr>
            <w:tcW w:w="22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Into Statement of Operations</w:t>
            </w:r>
          </w:p>
        </w:tc>
        <w:tc>
          <w:tcPr>
            <w:tcW w:w="282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2"/>
              </w:rPr>
              <w:t>Statement of Operations on Derivatives</w:t>
            </w:r>
          </w:p>
        </w:tc>
        <w:tc>
          <w:tcPr>
            <w:tcW w:w="0" w:type="dxa"/>
            <w:vAlign w:val="bottom"/>
          </w:tcPr>
          <w:p>
            <w:pPr>
              <w:spacing w:after="0"/>
              <w:rPr>
                <w:sz w:val="1"/>
                <w:szCs w:val="1"/>
                <w:color w:val="auto"/>
              </w:rPr>
            </w:pPr>
          </w:p>
        </w:tc>
      </w:tr>
      <w:tr>
        <w:trPr>
          <w:trHeight w:val="119"/>
        </w:trPr>
        <w:tc>
          <w:tcPr>
            <w:tcW w:w="4320" w:type="dxa"/>
            <w:vAlign w:val="bottom"/>
            <w:gridSpan w:val="2"/>
            <w:vMerge w:val="continue"/>
          </w:tcPr>
          <w:p>
            <w:pPr>
              <w:spacing w:after="0"/>
              <w:rPr>
                <w:sz w:val="10"/>
                <w:szCs w:val="10"/>
                <w:color w:val="auto"/>
              </w:rPr>
            </w:pPr>
          </w:p>
        </w:tc>
        <w:tc>
          <w:tcPr>
            <w:tcW w:w="144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3"/>
                <w:szCs w:val="13"/>
                <w:b w:val="1"/>
                <w:bCs w:val="1"/>
                <w:color w:val="auto"/>
              </w:rPr>
              <w:t>Nine Months Ended</w:t>
            </w:r>
          </w:p>
        </w:tc>
        <w:tc>
          <w:tcPr>
            <w:tcW w:w="16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Nine Months Ended</w:t>
            </w:r>
          </w:p>
        </w:tc>
        <w:tc>
          <w:tcPr>
            <w:tcW w:w="160" w:type="dxa"/>
            <w:vAlign w:val="bottom"/>
          </w:tcPr>
          <w:p>
            <w:pPr>
              <w:spacing w:after="0"/>
              <w:rPr>
                <w:sz w:val="10"/>
                <w:szCs w:val="10"/>
                <w:color w:val="auto"/>
              </w:rPr>
            </w:pPr>
          </w:p>
        </w:tc>
        <w:tc>
          <w:tcPr>
            <w:tcW w:w="15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3"/>
                <w:szCs w:val="13"/>
                <w:b w:val="1"/>
                <w:bCs w:val="1"/>
                <w:color w:val="auto"/>
              </w:rPr>
              <w:t>Nine Months Ended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815 Cash Flow Hedging</w:t>
            </w:r>
          </w:p>
        </w:tc>
        <w:tc>
          <w:tcPr>
            <w:tcW w:w="160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2"/>
                <w:szCs w:val="12"/>
                <w:color w:val="auto"/>
              </w:rPr>
            </w:pPr>
          </w:p>
        </w:tc>
        <w:tc>
          <w:tcPr>
            <w:tcW w:w="140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520" w:type="dxa"/>
            <w:vAlign w:val="bottom"/>
          </w:tcPr>
          <w:p>
            <w:pPr>
              <w:spacing w:after="0"/>
              <w:rPr>
                <w:sz w:val="12"/>
                <w:szCs w:val="12"/>
                <w:color w:val="auto"/>
              </w:rPr>
            </w:pPr>
          </w:p>
        </w:tc>
        <w:tc>
          <w:tcPr>
            <w:tcW w:w="130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3"/>
        </w:trPr>
        <w:tc>
          <w:tcPr>
            <w:tcW w:w="4320" w:type="dxa"/>
            <w:vAlign w:val="bottom"/>
            <w:gridSpan w:val="2"/>
            <w:vMerge w:val="restart"/>
          </w:tcPr>
          <w:p>
            <w:pPr>
              <w:spacing w:after="0" w:line="151" w:lineRule="exact"/>
              <w:rPr>
                <w:sz w:val="20"/>
                <w:szCs w:val="20"/>
                <w:color w:val="auto"/>
              </w:rPr>
            </w:pPr>
            <w:r>
              <w:rPr>
                <w:rFonts w:ascii="Arial" w:cs="Arial" w:eastAsia="Arial" w:hAnsi="Arial"/>
                <w:sz w:val="14"/>
                <w:szCs w:val="14"/>
                <w:b w:val="1"/>
                <w:bCs w:val="1"/>
                <w:color w:val="auto"/>
              </w:rPr>
              <w:t>Relationships</w:t>
            </w: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4320" w:type="dxa"/>
            <w:vAlign w:val="bottom"/>
            <w:gridSpan w:val="2"/>
            <w:vMerge w:val="continue"/>
          </w:tcPr>
          <w:p>
            <w:pPr>
              <w:spacing w:after="0"/>
              <w:rPr>
                <w:sz w:val="11"/>
                <w:szCs w:val="11"/>
                <w:color w:val="auto"/>
              </w:rPr>
            </w:pPr>
          </w:p>
        </w:tc>
        <w:tc>
          <w:tcPr>
            <w:tcW w:w="640" w:type="dxa"/>
            <w:vAlign w:val="bottom"/>
            <w:tcBorders>
              <w:top w:val="single" w:sz="8" w:color="auto"/>
            </w:tcBorders>
          </w:tcPr>
          <w:p>
            <w:pPr>
              <w:jc w:val="right"/>
              <w:ind w:right="107"/>
              <w:spacing w:after="0" w:line="115" w:lineRule="exact"/>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right"/>
              <w:ind w:right="180"/>
              <w:spacing w:after="0" w:line="115"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Borders>
              <w:top w:val="single" w:sz="8" w:color="auto"/>
            </w:tcBorders>
          </w:tcPr>
          <w:p>
            <w:pPr>
              <w:jc w:val="right"/>
              <w:ind w:right="11"/>
              <w:spacing w:after="0" w:line="115" w:lineRule="exact"/>
              <w:rPr>
                <w:sz w:val="20"/>
                <w:szCs w:val="20"/>
                <w:color w:val="auto"/>
              </w:rPr>
            </w:pPr>
            <w:r>
              <w:rPr>
                <w:rFonts w:ascii="Arial" w:cs="Arial" w:eastAsia="Arial" w:hAnsi="Arial"/>
                <w:sz w:val="13"/>
                <w:szCs w:val="13"/>
                <w:b w:val="1"/>
                <w:bCs w:val="1"/>
                <w:color w:val="auto"/>
              </w:rPr>
              <w:t>2021</w:t>
            </w: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82"/>
              <w:spacing w:after="0" w:line="115"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40" w:type="dxa"/>
            <w:vAlign w:val="bottom"/>
            <w:tcBorders>
              <w:top w:val="single" w:sz="8" w:color="auto"/>
            </w:tcBorders>
          </w:tcPr>
          <w:p>
            <w:pPr>
              <w:jc w:val="right"/>
              <w:ind w:right="11"/>
              <w:spacing w:after="0" w:line="115" w:lineRule="exact"/>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ind w:right="140"/>
              <w:spacing w:after="0" w:line="115" w:lineRule="exact"/>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Zero cost collars</w:t>
            </w:r>
          </w:p>
        </w:tc>
        <w:tc>
          <w:tcPr>
            <w:tcW w:w="7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w w:val="85"/>
              </w:rPr>
              <w:t>$ (4,964)</w:t>
            </w:r>
          </w:p>
        </w:tc>
        <w:tc>
          <w:tcPr>
            <w:tcW w:w="880" w:type="dxa"/>
            <w:vAlign w:val="bottom"/>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w w:val="97"/>
              </w:rPr>
              <w:t>$ (1,410)</w:t>
            </w:r>
          </w:p>
        </w:tc>
        <w:tc>
          <w:tcPr>
            <w:tcW w:w="1500" w:type="dxa"/>
            <w:vAlign w:val="bottom"/>
            <w:gridSpan w:val="3"/>
            <w:shd w:val="clear" w:color="auto" w:fill="CCEEFF"/>
          </w:tcPr>
          <w:p>
            <w:pPr>
              <w:ind w:left="60"/>
              <w:spacing w:after="0" w:line="196" w:lineRule="exact"/>
              <w:rPr>
                <w:sz w:val="20"/>
                <w:szCs w:val="20"/>
                <w:color w:val="auto"/>
              </w:rPr>
            </w:pPr>
            <w:r>
              <w:rPr>
                <w:rFonts w:ascii="Arial" w:cs="Arial" w:eastAsia="Arial" w:hAnsi="Arial"/>
                <w:sz w:val="18"/>
                <w:szCs w:val="18"/>
                <w:color w:val="auto"/>
              </w:rPr>
              <w:t>Net sales  $ 333</w:t>
            </w:r>
          </w:p>
        </w:tc>
        <w:tc>
          <w:tcPr>
            <w:tcW w:w="7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w w:val="96"/>
              </w:rPr>
              <w:t>$  (292)</w:t>
            </w:r>
          </w:p>
        </w:tc>
        <w:tc>
          <w:tcPr>
            <w:tcW w:w="2060" w:type="dxa"/>
            <w:vAlign w:val="bottom"/>
            <w:gridSpan w:val="3"/>
            <w:shd w:val="clear" w:color="auto" w:fill="CCEEFF"/>
          </w:tcPr>
          <w:p>
            <w:pPr>
              <w:ind w:left="60"/>
              <w:spacing w:after="0" w:line="196" w:lineRule="exact"/>
              <w:rPr>
                <w:sz w:val="20"/>
                <w:szCs w:val="20"/>
                <w:color w:val="auto"/>
              </w:rPr>
            </w:pPr>
            <w:r>
              <w:rPr>
                <w:rFonts w:ascii="Arial" w:cs="Arial" w:eastAsia="Arial" w:hAnsi="Arial"/>
                <w:sz w:val="18"/>
                <w:szCs w:val="18"/>
                <w:color w:val="auto"/>
              </w:rPr>
              <w:t>Other income, net  $  94</w:t>
            </w:r>
          </w:p>
        </w:tc>
        <w:tc>
          <w:tcPr>
            <w:tcW w:w="76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   222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60" w:firstLine="440"/>
        <w:spacing w:after="0" w:line="277" w:lineRule="auto"/>
        <w:rPr>
          <w:sz w:val="20"/>
          <w:szCs w:val="20"/>
          <w:color w:val="auto"/>
        </w:rPr>
      </w:pPr>
      <w:r>
        <w:rPr>
          <w:rFonts w:ascii="Arial" w:cs="Arial" w:eastAsia="Arial" w:hAnsi="Arial"/>
          <w:sz w:val="18"/>
          <w:szCs w:val="18"/>
          <w:color w:val="auto"/>
        </w:rPr>
        <w:t>As of September 30, 2021, the amount expected to be reclassified from accumulated other comprehensive loss into loss within the next 12 months is $3,406 thousand.</w:t>
      </w:r>
    </w:p>
    <w:p>
      <w:pPr>
        <w:spacing w:after="0" w:line="170"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Company set aside cash deposits to the counterparties, Nomura Financial Investment (Korea) Co., Ltd. (“NFIK”), Deutsche Bank AG, Seoul Branch (“DB”) and Standard Chartered Bank Korea Limited (“SC”), as required for the zero cost collar contracts. These cash deposits are recorded as hedge collateral on the consolidated balance sheets. Cash deposits as of September 30, 2021 and December 31, 2020 are as follows (in thousands):</w:t>
      </w:r>
    </w:p>
    <w:p>
      <w:pPr>
        <w:spacing w:after="0" w:line="15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Counterparties</w:t>
            </w:r>
          </w:p>
        </w:tc>
        <w:tc>
          <w:tcPr>
            <w:tcW w:w="20" w:type="dxa"/>
            <w:vAlign w:val="bottom"/>
          </w:tcPr>
          <w:p>
            <w:pPr>
              <w:spacing w:after="0"/>
              <w:rPr>
                <w:sz w:val="14"/>
                <w:szCs w:val="14"/>
                <w:color w:val="auto"/>
              </w:rPr>
            </w:pPr>
          </w:p>
        </w:tc>
        <w:tc>
          <w:tcPr>
            <w:tcW w:w="156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590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NFIK</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ind w:left="214"/>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DB</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SC</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88"/>
              </w:rPr>
              <w:t>1,000</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center"/>
              <w:ind w:left="194"/>
              <w:spacing w:after="0"/>
              <w:rPr>
                <w:sz w:val="20"/>
                <w:szCs w:val="20"/>
                <w:color w:val="auto"/>
              </w:rPr>
            </w:pPr>
            <w:r>
              <w:rPr>
                <w:rFonts w:ascii="Arial" w:cs="Arial" w:eastAsia="Arial" w:hAnsi="Arial"/>
                <w:sz w:val="18"/>
                <w:szCs w:val="18"/>
                <w:color w:val="auto"/>
                <w:w w:val="88"/>
              </w:rPr>
              <w:t>1,000</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is required to deposit additional cash collateral with NFIK, DB and SC for any exposure in excess of $500 thousand,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$2,720 thousand of additional cash collateral was required and recorded as hedge collateral on the consolidated balance sheet as of September 30, 2021.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was no such cash collateral required as of December 31, 2020.</w:t>
      </w:r>
    </w:p>
    <w:p>
      <w:pPr>
        <w:spacing w:after="0" w:line="21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These zero cost collar contracts may be terminated by the counterparties in a number of circumstances, including if the Company’s credit rating falls below B-/B3 or if the Company’s total cash and cash equivalents is less than $30,000 thousand at the end of a fiscal quarter, unless a waiver is obtained.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86"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Fair Value Measurements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As of September 30, 2021, the following table represents the Company’s liabilities measured at fair value on a recurring basis and the basis for that measurement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520" w:type="dxa"/>
            <w:vAlign w:val="bottom"/>
          </w:tcPr>
          <w:p>
            <w:pPr>
              <w:spacing w:after="0"/>
              <w:rPr>
                <w:sz w:val="14"/>
                <w:szCs w:val="14"/>
                <w:color w:val="auto"/>
              </w:rPr>
            </w:pPr>
          </w:p>
        </w:tc>
        <w:tc>
          <w:tcPr>
            <w:tcW w:w="12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Significant</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Fair Value</w:t>
            </w:r>
          </w:p>
        </w:tc>
        <w:tc>
          <w:tcPr>
            <w:tcW w:w="11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 Value</w:t>
            </w:r>
          </w:p>
        </w:tc>
        <w:tc>
          <w:tcPr>
            <w:tcW w:w="1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520" w:type="dxa"/>
            <w:vAlign w:val="bottom"/>
          </w:tcPr>
          <w:p>
            <w:pPr>
              <w:spacing w:after="0"/>
              <w:rPr>
                <w:sz w:val="12"/>
                <w:szCs w:val="12"/>
                <w:color w:val="auto"/>
              </w:rPr>
            </w:pPr>
          </w:p>
        </w:tc>
        <w:tc>
          <w:tcPr>
            <w:tcW w:w="12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5"/>
              </w:rPr>
              <w:t>Measurement</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Inputs</w:t>
            </w: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September 30, 2021</w:t>
            </w: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September 30, 2021</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Liability (Level 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(Level 2)</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tcPr>
          <w:p>
            <w:pPr>
              <w:ind w:left="360"/>
              <w:spacing w:after="0" w:line="201" w:lineRule="exact"/>
              <w:rPr>
                <w:sz w:val="20"/>
                <w:szCs w:val="20"/>
                <w:color w:val="auto"/>
              </w:rPr>
            </w:pPr>
            <w:r>
              <w:rPr>
                <w:rFonts w:ascii="Arial" w:cs="Arial" w:eastAsia="Arial" w:hAnsi="Arial"/>
                <w:sz w:val="18"/>
                <w:szCs w:val="18"/>
                <w:color w:val="auto"/>
              </w:rPr>
              <w:t>Derivative liabilities (other current</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540"/>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3,196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3,196</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3,196</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Derivative liabilities (other non-current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257</w:t>
            </w: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257</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of December 31, 2020, the following table represents the Company’s assets and liabilities measured at fair value on a recurring basis and the basis for that measurement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480" w:type="dxa"/>
            <w:vAlign w:val="bottom"/>
          </w:tcPr>
          <w:p>
            <w:pPr>
              <w:spacing w:after="0"/>
              <w:rPr>
                <w:sz w:val="14"/>
                <w:szCs w:val="14"/>
                <w:color w:val="auto"/>
              </w:rPr>
            </w:pPr>
          </w:p>
        </w:tc>
        <w:tc>
          <w:tcPr>
            <w:tcW w:w="11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Significant</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Fair Value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480" w:type="dxa"/>
            <w:vAlign w:val="bottom"/>
          </w:tcPr>
          <w:p>
            <w:pPr>
              <w:spacing w:after="0"/>
              <w:rPr>
                <w:sz w:val="12"/>
                <w:szCs w:val="12"/>
                <w:color w:val="auto"/>
              </w:rPr>
            </w:pPr>
          </w:p>
        </w:tc>
        <w:tc>
          <w:tcPr>
            <w:tcW w:w="11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3"/>
              </w:rPr>
              <w:t>Measurement</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Asset /</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Liability (Level 1)</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(Level 2)</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Derivative assets (other current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2,036</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2,036</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2,036</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360"/>
              <w:spacing w:after="0"/>
              <w:rPr>
                <w:sz w:val="20"/>
                <w:szCs w:val="20"/>
                <w:color w:val="auto"/>
              </w:rPr>
            </w:pPr>
            <w:r>
              <w:rPr>
                <w:rFonts w:ascii="Arial" w:cs="Arial" w:eastAsia="Arial" w:hAnsi="Arial"/>
                <w:sz w:val="18"/>
                <w:szCs w:val="18"/>
                <w:color w:val="auto"/>
              </w:rPr>
              <w:t>Derivative liabilities (other current liabilities)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195</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195</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195</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Borrowings</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December 31, 2020</w:t>
            </w:r>
          </w:p>
        </w:tc>
      </w:tr>
      <w:tr>
        <w:trPr>
          <w:trHeight w:val="119"/>
        </w:trPr>
        <w:tc>
          <w:tcPr>
            <w:tcW w:w="5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Borders>
              <w:top w:val="single" w:sz="8" w:color="auto"/>
            </w:tcBorders>
          </w:tcPr>
          <w:p>
            <w:pPr>
              <w:jc w:val="center"/>
              <w:ind w:right="109"/>
              <w:spacing w:after="0" w:line="119" w:lineRule="exact"/>
              <w:rPr>
                <w:sz w:val="20"/>
                <w:szCs w:val="20"/>
                <w:color w:val="auto"/>
              </w:rPr>
            </w:pPr>
            <w:r>
              <w:rPr>
                <w:rFonts w:ascii="Arial" w:cs="Arial" w:eastAsia="Arial" w:hAnsi="Arial"/>
                <w:sz w:val="13"/>
                <w:szCs w:val="13"/>
                <w:b w:val="1"/>
                <w:bCs w:val="1"/>
                <w:color w:val="auto"/>
              </w:rPr>
              <w:t>Carrying</w:t>
            </w:r>
          </w:p>
        </w:tc>
        <w:tc>
          <w:tcPr>
            <w:tcW w:w="1080" w:type="dxa"/>
            <w:vAlign w:val="bottom"/>
            <w:tcBorders>
              <w:top w:val="single" w:sz="8" w:color="auto"/>
            </w:tcBorders>
          </w:tcPr>
          <w:p>
            <w:pPr>
              <w:jc w:val="center"/>
              <w:ind w:left="104"/>
              <w:spacing w:after="0" w:line="119" w:lineRule="exact"/>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0"/>
                <w:szCs w:val="10"/>
                <w:color w:val="auto"/>
              </w:rPr>
            </w:pPr>
          </w:p>
        </w:tc>
      </w:tr>
      <w:tr>
        <w:trPr>
          <w:trHeight w:val="171"/>
        </w:trPr>
        <w:tc>
          <w:tcPr>
            <w:tcW w:w="5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jc w:val="center"/>
              <w:ind w:right="129"/>
              <w:spacing w:after="0"/>
              <w:rPr>
                <w:sz w:val="20"/>
                <w:szCs w:val="20"/>
                <w:color w:val="auto"/>
              </w:rPr>
            </w:pPr>
            <w:r>
              <w:rPr>
                <w:rFonts w:ascii="Arial" w:cs="Arial" w:eastAsia="Arial" w:hAnsi="Arial"/>
                <w:sz w:val="14"/>
                <w:szCs w:val="14"/>
                <w:b w:val="1"/>
                <w:bCs w:val="1"/>
                <w:color w:val="auto"/>
                <w:w w:val="90"/>
              </w:rPr>
              <w:t>Value</w:t>
            </w:r>
          </w:p>
        </w:tc>
        <w:tc>
          <w:tcPr>
            <w:tcW w:w="1120" w:type="dxa"/>
            <w:vAlign w:val="bottom"/>
            <w:gridSpan w:val="2"/>
          </w:tcPr>
          <w:p>
            <w:pPr>
              <w:jc w:val="center"/>
              <w:ind w:left="64"/>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5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(In thousands of U.S. dollars)</w:t>
            </w:r>
          </w:p>
        </w:tc>
        <w:tc>
          <w:tcPr>
            <w:tcW w:w="40" w:type="dxa"/>
            <w:vAlign w:val="bottom"/>
          </w:tcPr>
          <w:p>
            <w:pPr>
              <w:spacing w:after="0"/>
              <w:rPr>
                <w:sz w:val="12"/>
                <w:szCs w:val="12"/>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5500" w:type="dxa"/>
            <w:vAlign w:val="bottom"/>
          </w:tcPr>
          <w:p>
            <w:pPr>
              <w:ind w:left="360"/>
              <w:spacing w:after="0"/>
              <w:rPr>
                <w:sz w:val="20"/>
                <w:szCs w:val="20"/>
                <w:color w:val="auto"/>
              </w:rPr>
            </w:pPr>
            <w:r>
              <w:rPr>
                <w:rFonts w:ascii="Arial" w:cs="Arial" w:eastAsia="Arial" w:hAnsi="Arial"/>
                <w:sz w:val="18"/>
                <w:szCs w:val="18"/>
                <w:color w:val="auto"/>
              </w:rPr>
              <w:t>5.0% Exchangeable Senior Notes due March 2021 (Level 2)</w:t>
            </w:r>
          </w:p>
        </w:tc>
        <w:tc>
          <w:tcPr>
            <w:tcW w:w="1740" w:type="dxa"/>
            <w:vAlign w:val="bottom"/>
            <w:gridSpan w:val="2"/>
          </w:tcPr>
          <w:p>
            <w:pPr>
              <w:jc w:val="center"/>
              <w:ind w:left="510"/>
              <w:spacing w:after="0"/>
              <w:rPr>
                <w:sz w:val="20"/>
                <w:szCs w:val="20"/>
                <w:color w:val="auto"/>
              </w:rPr>
            </w:pPr>
            <w:r>
              <w:rPr>
                <w:rFonts w:ascii="Arial" w:cs="Arial" w:eastAsia="Arial" w:hAnsi="Arial"/>
                <w:sz w:val="18"/>
                <w:szCs w:val="18"/>
                <w:color w:val="auto"/>
                <w:w w:val="98"/>
              </w:rPr>
              <w:t>$  83,479</w:t>
            </w:r>
          </w:p>
        </w:tc>
        <w:tc>
          <w:tcPr>
            <w:tcW w:w="1120" w:type="dxa"/>
            <w:vAlign w:val="bottom"/>
            <w:gridSpan w:val="2"/>
          </w:tcPr>
          <w:p>
            <w:pPr>
              <w:jc w:val="center"/>
              <w:ind w:left="64"/>
              <w:spacing w:after="0"/>
              <w:rPr>
                <w:sz w:val="20"/>
                <w:szCs w:val="20"/>
                <w:color w:val="auto"/>
              </w:rPr>
            </w:pPr>
            <w:r>
              <w:rPr>
                <w:rFonts w:ascii="Arial" w:cs="Arial" w:eastAsia="Arial" w:hAnsi="Arial"/>
                <w:sz w:val="18"/>
                <w:szCs w:val="18"/>
                <w:color w:val="auto"/>
                <w:w w:val="99"/>
              </w:rPr>
              <w:t>$   145,466</w:t>
            </w:r>
          </w:p>
        </w:tc>
      </w:tr>
    </w:tbl>
    <w:p>
      <w:pPr>
        <w:spacing w:after="0" w:line="187"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color w:val="auto"/>
        </w:rPr>
        <w:t>On January 17, 2017, the Company’s wholly owned subsidiary, MagnaChip Semiconductor S.A., closed an offering (the “Exchangeable Notes Offering”) of 5.0% Exchangeable Senior Notes due March 1, 2021 (the “Exchangeable Notes”), of $86,250 thousand, which represents the principal amount, excluding $5,902 thousand of debt issuance costs. In December 2018 and February 2019, MagnaChip Semiconductor S.A. repurchased a principal amount equal to $1,590 thousand and $920 thousand, respectively, of the Exchangeable Notes in the open market. The Exchangeable Notes matured on March 1, 2021, unless they were earlier repurchased or converted. The Company estimated the fair value of the Exchangeable Notes using the market approach, which utilizes quoted market prices that fall under Level 2. For further description of the Exchangeable Notes, see Note 11, “Borrowings.”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Fair Values Measured on a Non-recurring Basis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Company’s non-financial assets, such as property, plant and equipment, and intangible assets are recorded at fair value upon acquisition and are remeasured at fair value only if an impairment charge is recognized. As of September 30, 2021 and 2020 the Company did not have any assets or liabilities measured at fair value on a non-recurring basis.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86"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Borrowings</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There were no borrowings outstanding as of September 30, 2021. As of December 31, 2020, the following table represents the Company’s borrowings (in thousands):</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12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5.0% Exchangeable Senior Notes due March 2021</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83,740</w:t>
            </w:r>
          </w:p>
        </w:tc>
        <w:tc>
          <w:tcPr>
            <w:tcW w:w="100" w:type="dxa"/>
            <w:vAlign w:val="bottom"/>
            <w:shd w:val="clear" w:color="auto" w:fill="CCEEFF"/>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Less: unamortized discount and debt issuance costs</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borrowings, net</w:t>
            </w:r>
          </w:p>
        </w:tc>
        <w:tc>
          <w:tcPr>
            <w:tcW w:w="1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83,479</w:t>
            </w:r>
          </w:p>
        </w:tc>
        <w:tc>
          <w:tcPr>
            <w:tcW w:w="100" w:type="dxa"/>
            <w:vAlign w:val="bottom"/>
            <w:shd w:val="clear" w:color="auto" w:fill="CCEEFF"/>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Less: current portion of long-term borrowings, net</w:t>
            </w:r>
          </w:p>
        </w:tc>
        <w:tc>
          <w:tcPr>
            <w:tcW w:w="1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83,479</w:t>
            </w:r>
          </w:p>
        </w:tc>
        <w:tc>
          <w:tcPr>
            <w:tcW w:w="100" w:type="dxa"/>
            <w:vAlign w:val="bottom"/>
          </w:tcPr>
          <w:p>
            <w:pPr>
              <w:spacing w:after="0"/>
              <w:rPr>
                <w:sz w:val="19"/>
                <w:szCs w:val="19"/>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borrowings, net</w:t>
            </w:r>
          </w:p>
        </w:tc>
        <w:tc>
          <w:tcPr>
            <w:tcW w:w="160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5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5.0% Exchangeable Senior Notes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On January 17, 2017, MagnaChip Semiconductor S.A. closed the Exchangeable Notes Offering of $86,250 thousand aggregate principal amount of 5.0% Exchangeable Notes. Interest on the Exchangeable Notes accrued at a rate of 5.0% per annum, payable semi-annually on March 1 and September 1 of each year, beginning on March 1, 2017. The Exchangeable Notes matured on March 1, 2021, unless they were earlier repurchased or converted. Holders had the right to convert their notes at their option at any time prior to the close of business on the business day immediately preceding the stated maturity date.</w:t>
      </w:r>
    </w:p>
    <w:p>
      <w:pPr>
        <w:spacing w:after="0" w:line="18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Company incurred debt issuance costs of $5,902 thousand related to the issuance of the Exchangeable Notes. The debt issuance costs are recorded as a direct deduction from the long-term borrowings in the consolidated balance sheets and amortized to interest expense using the effective interest method over the term of the Exchangeable Notes. Interest expense related to the Exchangeable Notes for the nine months ended September 30, 2021 was $958 thousand. Interest expense related to the Exchangeable Notes for the three and nine months ended September 30, 2020 were $1,429 thousand and $4,720 thousand, respectively.</w:t>
      </w:r>
    </w:p>
    <w:p>
      <w:pPr>
        <w:spacing w:after="0" w:line="18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February 2019, the Company repurchased a principal amount equal to $920 thousand of the Exchangeable Notes in the open market, resulting in a loss of $63 thousand, which was recorded as loss on early extinguishment of borrowings, net in the consolidated statements of operations for the year ended December 31, 2019. In December 2018, the Company repurchased a principal amount equal to $1,590 thousand of the Exchangeable Notes in the open market, resulting in a loss of $234 thousand, which was recorded as loss on early extinguishment of borrowings, net in the consolidated statements of operations for the year ended December 31, 2018.</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Prior to the March 1, 2021 maturity of the Exchangeable Notes, holders elected to exchange all outstanding Exchangeable Notes for an aggregate of 10,144,131 shares of the Company’s common stock in satisfaction in full of the outstanding obligations under the Exchangeable Notes. Upon exchange, the Company delivered for each $1,000 principal amount of exchanged Exchangeable Notes a number of shares equal to the exchange rate of 121.1387 shares of common stock per $1,000 principal amount of Exchangeable Notes, which was equivalent to an exchange price of approximately $8.26 per share of common stock. In connection with the exchanges, the fractional shares were paid in cash. Following March 1, 2021, the Company does not have any Exchangeable Notes outstanding.</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60"/>
          </w:cols>
          <w:pgMar w:left="320" w:top="486"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Accrued Severance Benefits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majority of accrued severance benefits are for employees in the Company’s Korean subsidiary. Pursuant to the Employee Retirement Benefit Security Act of Korea, eligible employees and executive officers with one or more years of service are entitled to severance benefits upon the termination of their employment based on their length of service and rate of pay. As of September 30, 2021, 98% of all employees of the Company were eligible for severance benefits.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accrued severance benefits are as follows (in thousands):</w:t>
      </w:r>
    </w:p>
    <w:p>
      <w:pPr>
        <w:sectPr>
          <w:pgSz w:w="11900" w:h="16838" w:orient="portrait"/>
          <w:cols w:equalWidth="0" w:num="1">
            <w:col w:w="11100"/>
          </w:cols>
          <w:pgMar w:left="320" w:top="486" w:right="479" w:bottom="1440" w:gutter="0" w:footer="0" w:header="0"/>
        </w:sectPr>
      </w:pPr>
    </w:p>
    <w:p>
      <w:pPr>
        <w:spacing w:after="0" w:line="257" w:lineRule="exact"/>
        <w:rPr>
          <w:sz w:val="20"/>
          <w:szCs w:val="20"/>
          <w:color w:val="auto"/>
        </w:rPr>
      </w:pPr>
    </w:p>
    <w:p>
      <w:pPr>
        <w:ind w:left="3500"/>
        <w:spacing w:after="0"/>
        <w:tabs>
          <w:tab w:leader="none" w:pos="544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3"/>
          <w:szCs w:val="13"/>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6350</wp:posOffset>
            </wp:positionV>
            <wp:extent cx="20313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4"/>
          <w:szCs w:val="14"/>
          <w:b w:val="1"/>
          <w:bCs w:val="1"/>
          <w:color w:val="auto"/>
        </w:rPr>
        <w:t>September 30, 2021</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tabs>
          <w:tab w:leader="none" w:pos="196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3"/>
          <w:szCs w:val="13"/>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2040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jc w:val="center"/>
        <w:ind w:right="500"/>
        <w:spacing w:after="0"/>
        <w:rPr>
          <w:sz w:val="20"/>
          <w:szCs w:val="20"/>
          <w:color w:val="auto"/>
        </w:rPr>
      </w:pPr>
      <w:r>
        <w:rPr>
          <w:rFonts w:ascii="Arial" w:cs="Arial" w:eastAsia="Arial" w:hAnsi="Arial"/>
          <w:sz w:val="14"/>
          <w:szCs w:val="14"/>
          <w:b w:val="1"/>
          <w:bCs w:val="1"/>
          <w:color w:val="auto"/>
        </w:rPr>
        <w:t>September 30, 2020</w:t>
      </w:r>
    </w:p>
    <w:p>
      <w:pPr>
        <w:spacing w:after="0" w:line="20" w:lineRule="exact"/>
        <w:rPr>
          <w:sz w:val="20"/>
          <w:szCs w:val="20"/>
          <w:color w:val="auto"/>
        </w:rPr>
      </w:pPr>
    </w:p>
    <w:p>
      <w:pPr>
        <w:sectPr>
          <w:pgSz w:w="11900" w:h="16838" w:orient="portrait"/>
          <w:cols w:equalWidth="0" w:num="2">
            <w:col w:w="6700" w:space="660"/>
            <w:col w:w="3740"/>
          </w:cols>
          <w:pgMar w:left="320" w:top="486" w:right="479" w:bottom="1440" w:gutter="0" w:footer="0" w:header="0"/>
          <w:type w:val="continuous"/>
        </w:sectPr>
      </w:pPr>
    </w:p>
    <w:tbl>
      <w:tblPr>
        <w:tblLayout w:type="fixed"/>
        <w:tblInd w:w="5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40"/>
              <w:spacing w:after="0" w:line="203" w:lineRule="exact"/>
              <w:rPr>
                <w:sz w:val="20"/>
                <w:szCs w:val="20"/>
                <w:color w:val="auto"/>
              </w:rPr>
            </w:pPr>
            <w:r>
              <w:rPr>
                <w:rFonts w:ascii="Arial" w:cs="Arial" w:eastAsia="Arial" w:hAnsi="Arial"/>
                <w:sz w:val="18"/>
                <w:szCs w:val="18"/>
                <w:color w:val="auto"/>
              </w:rPr>
              <w:t>53,105</w:t>
            </w:r>
          </w:p>
        </w:tc>
        <w:tc>
          <w:tcPr>
            <w:tcW w:w="400" w:type="dxa"/>
            <w:vAlign w:val="bottom"/>
            <w:shd w:val="clear" w:color="auto" w:fill="CCEEFF"/>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54,452</w:t>
            </w:r>
          </w:p>
        </w:tc>
        <w:tc>
          <w:tcPr>
            <w:tcW w:w="76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51,785</w:t>
            </w:r>
          </w:p>
        </w:tc>
        <w:tc>
          <w:tcPr>
            <w:tcW w:w="72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53,344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Provisions</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2,007</w:t>
            </w:r>
          </w:p>
        </w:tc>
        <w:tc>
          <w:tcPr>
            <w:tcW w:w="4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5,514</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2,167</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(1,936)</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(4,772)</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(1,295)</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(2,441)</w:t>
            </w:r>
          </w:p>
        </w:tc>
        <w:tc>
          <w:tcPr>
            <w:tcW w:w="4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(4,459)</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1,204</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50,735</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50,735</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53,861</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rPr>
              <w:t>Less: Cumulative contributions</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to severance insurance</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deposit accounts</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(12,739)</w:t>
            </w:r>
          </w:p>
        </w:tc>
        <w:tc>
          <w:tcPr>
            <w:tcW w:w="4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(12,739)</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(1,616)</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 National Pension Fund</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ind w:left="340"/>
              <w:spacing w:after="0" w:line="201" w:lineRule="exact"/>
              <w:rPr>
                <w:sz w:val="20"/>
                <w:szCs w:val="20"/>
                <w:color w:val="auto"/>
              </w:rPr>
            </w:pPr>
            <w:r>
              <w:rPr>
                <w:rFonts w:ascii="Arial" w:cs="Arial" w:eastAsia="Arial" w:hAnsi="Arial"/>
                <w:sz w:val="18"/>
                <w:szCs w:val="18"/>
                <w:color w:val="auto"/>
              </w:rPr>
              <w:t>Group severance insurance</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ind w:left="520"/>
              <w:spacing w:after="0"/>
              <w:rPr>
                <w:sz w:val="20"/>
                <w:szCs w:val="20"/>
                <w:color w:val="auto"/>
              </w:rPr>
            </w:pPr>
            <w:r>
              <w:rPr>
                <w:rFonts w:ascii="Arial" w:cs="Arial" w:eastAsia="Arial" w:hAnsi="Arial"/>
                <w:sz w:val="18"/>
                <w:szCs w:val="18"/>
                <w:color w:val="auto"/>
              </w:rPr>
              <w:t>plan</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(200)</w:t>
            </w:r>
          </w:p>
        </w:tc>
        <w:tc>
          <w:tcPr>
            <w:tcW w:w="4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(219)</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37,741</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37,741</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51,953</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The severance benefits funded through the Company’s National Pension Fund and group severance insurance plan will be used exclusively for payment of severance benefits to eligible employees. These amounts have been deducted from the accrued severance benefit balance.</w:t>
      </w:r>
    </w:p>
    <w:p>
      <w:pPr>
        <w:spacing w:after="0" w:line="124"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Beginning in July 2018, the Company contributes to certain severance insurance deposit accounts a certain percentage of severance benefits that are accrued for eligible employees for their services from January 1, 2018.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Company is liable to pay the following future benefits to its non-executive employees upon their normal retirement age (in thousands):</w:t>
      </w:r>
    </w:p>
    <w:p>
      <w:pPr>
        <w:spacing w:after="0" w:line="26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2"/>
              </w:rPr>
              <w:t>Severance benefits</w:t>
            </w: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631</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903</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1,840</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2026</w:t>
            </w:r>
          </w:p>
        </w:tc>
        <w:tc>
          <w:tcPr>
            <w:tcW w:w="3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2,281</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2027 – 2031</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18,701</w:t>
            </w:r>
          </w:p>
        </w:tc>
      </w:tr>
    </w:tbl>
    <w:p>
      <w:pPr>
        <w:spacing w:after="0" w:line="20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Korea’s mandatory retirement age is 60 under the Employment Promotion for the Aged Act.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86" w:right="47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Foreign Currency Gain (Loss), Net</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Net foreign currency gain or loss includes non-cash translation gain or loss associated with intercompany balances. A substantial portion of the Company’s net foreign currency gain or loss is non-cash translation gain or loss associated with intercompany long-term loans to the Company’s Korean subsidiary. The loans are denominated in U.S. dollars and are affected by changes in the exchange rate between the Korean won and the U.S. dollar. As of September 30, 2021 and December 31, 2020, the outstanding intercompany loan balances including accrued interest between the Korean subsidiary and the Dutch subsidiary were $393,235 thousand and $378,852 thousand, respectively. The Korean won to U.S. dollar exchange rates were 1,184.9:1 and 1,088.0:1 using the first base rate as of September 30, 2021 and December 31, 2020, respectively, as quoted by the KEB Hana Bank.</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Income Taxes</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Company and its subsidiaries file income tax returns in Korea, Japan, Taiwan, the U.S. and in various other jurisdictions. The Company is subject to income or non-income tax examinations by tax authorities of these jurisdictions for all open tax years.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the three and nine months ended September 30, 2021, the Company recorded an income tax expense from continuing operations of</w:t>
      </w:r>
    </w:p>
    <w:p>
      <w:pPr>
        <w:spacing w:after="0" w:line="3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$3,149 thousand and $6,040 thousand, respectively, primarily attributable to the Company’s Korean subsidiary based on its estimated taxable income for the respective period, combined with its ability to utilize net operating loss carryforwards up to 60%, and interest on intercompany loan balances. During the second quarter of 2021, income tax expense of $624 thousand was also recorded for certain income-based tax assessments as a result of a regular tax examination completed for the Company’s Korean subsidiary for multiple tax years.</w:t>
      </w:r>
    </w:p>
    <w:p>
      <w:pPr>
        <w:spacing w:after="0" w:line="176"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For the three months ended September 30, 2020, the Company recorded an income tax benefit from continuing operations of $1,145 thousand, primarily attributable to the foreign translation loss realized by the Company’s Korean subsidiary upon the repayment of a part of its intercompany loan by the Dutch subsidiary to fund the redemption of the 2021 Notes and interest. For the nine months ended September 30, 2020, the Company recorded income tax expense from continuing operations of $836 thousand, primarily attributable to interest on intercompany loan balances. Income tax expense was recorded for the Company’s Korean subsidiary based on the estimated taxable income for the respective period, combined with its ability to utilize net operating loss carryforwards up to 60% in 2020.</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Geographic and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sets forth information relating to the single continuing operating segment (in thousands):</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9"/>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7"/>
          </w:tcPr>
          <w:p>
            <w:pPr>
              <w:ind w:left="34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5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40" w:type="dxa"/>
            <w:vAlign w:val="bottom"/>
          </w:tcPr>
          <w:p>
            <w:pPr>
              <w:spacing w:after="0"/>
              <w:rPr>
                <w:sz w:val="10"/>
                <w:szCs w:val="10"/>
                <w:color w:val="auto"/>
              </w:rPr>
            </w:pPr>
          </w:p>
        </w:tc>
      </w:tr>
      <w:tr>
        <w:trPr>
          <w:trHeight w:val="171"/>
        </w:trPr>
        <w:tc>
          <w:tcPr>
            <w:tcW w:w="51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Standard products business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58,528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69,583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164,024</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216,352</w:t>
            </w:r>
          </w:p>
        </w:tc>
      </w:tr>
      <w:tr>
        <w:trPr>
          <w:trHeight w:val="216"/>
        </w:trPr>
        <w:tc>
          <w:tcPr>
            <w:tcW w:w="512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right"/>
              <w:ind w:right="280"/>
              <w:spacing w:after="0"/>
              <w:rPr>
                <w:sz w:val="20"/>
                <w:szCs w:val="20"/>
                <w:color w:val="auto"/>
              </w:rPr>
            </w:pPr>
            <w:r>
              <w:rPr>
                <w:rFonts w:ascii="Arial" w:cs="Arial" w:eastAsia="Arial" w:hAnsi="Arial"/>
                <w:sz w:val="18"/>
                <w:szCs w:val="18"/>
                <w:color w:val="auto"/>
              </w:rPr>
              <w:t>58,887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46,679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169,565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119,601</w:t>
            </w:r>
          </w:p>
        </w:tc>
      </w:tr>
      <w:tr>
        <w:trPr>
          <w:trHeight w:val="27"/>
        </w:trPr>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standard products business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117,415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116,262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333,589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335,953</w:t>
            </w: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Transitional Fab 3 foundry services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right"/>
              <w:ind w:right="280"/>
              <w:spacing w:after="0"/>
              <w:rPr>
                <w:sz w:val="20"/>
                <w:szCs w:val="20"/>
                <w:color w:val="auto"/>
              </w:rPr>
            </w:pPr>
            <w:r>
              <w:rPr>
                <w:rFonts w:ascii="Arial" w:cs="Arial" w:eastAsia="Arial" w:hAnsi="Arial"/>
                <w:sz w:val="18"/>
                <w:szCs w:val="18"/>
                <w:color w:val="auto"/>
              </w:rPr>
              <w:t>9,585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8,551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30,306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28,161</w:t>
            </w:r>
          </w:p>
        </w:tc>
      </w:tr>
      <w:tr>
        <w:trPr>
          <w:trHeight w:val="27"/>
        </w:trPr>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127,000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124,813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363,895</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364,114</w:t>
            </w:r>
          </w:p>
        </w:tc>
      </w:tr>
      <w:tr>
        <w:trPr>
          <w:trHeight w:val="20"/>
        </w:trPr>
        <w:tc>
          <w:tcPr>
            <w:tcW w:w="5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9"/>
        </w:trPr>
        <w:tc>
          <w:tcPr>
            <w:tcW w:w="5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9"/>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7"/>
          </w:tcPr>
          <w:p>
            <w:pPr>
              <w:ind w:left="24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5120" w:type="dxa"/>
            <w:vAlign w:val="bottom"/>
          </w:tcPr>
          <w:p>
            <w:pPr>
              <w:spacing w:after="0"/>
              <w:rPr>
                <w:sz w:val="10"/>
                <w:szCs w:val="10"/>
                <w:color w:val="auto"/>
              </w:rPr>
            </w:pPr>
          </w:p>
        </w:tc>
        <w:tc>
          <w:tcPr>
            <w:tcW w:w="1340" w:type="dxa"/>
            <w:vAlign w:val="bottom"/>
            <w:tcBorders>
              <w:top w:val="single" w:sz="8" w:color="auto"/>
            </w:tcBorders>
            <w:gridSpan w:val="6"/>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60" w:type="dxa"/>
            <w:vAlign w:val="bottom"/>
            <w:gridSpan w:val="2"/>
          </w:tcPr>
          <w:p>
            <w:pPr>
              <w:spacing w:after="0"/>
              <w:rPr>
                <w:sz w:val="10"/>
                <w:szCs w:val="10"/>
                <w:color w:val="auto"/>
              </w:rPr>
            </w:pPr>
          </w:p>
        </w:tc>
        <w:tc>
          <w:tcPr>
            <w:tcW w:w="134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9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40" w:type="dxa"/>
            <w:vAlign w:val="bottom"/>
          </w:tcPr>
          <w:p>
            <w:pPr>
              <w:spacing w:after="0"/>
              <w:rPr>
                <w:sz w:val="10"/>
                <w:szCs w:val="10"/>
                <w:color w:val="auto"/>
              </w:rPr>
            </w:pPr>
          </w:p>
        </w:tc>
      </w:tr>
      <w:tr>
        <w:trPr>
          <w:trHeight w:val="171"/>
        </w:trPr>
        <w:tc>
          <w:tcPr>
            <w:tcW w:w="5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Standard products business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45,773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28,768</w:t>
            </w:r>
          </w:p>
        </w:tc>
        <w:tc>
          <w:tcPr>
            <w:tcW w:w="3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112,291</w:t>
            </w:r>
          </w:p>
        </w:tc>
        <w:tc>
          <w:tcPr>
            <w:tcW w:w="3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90,036</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Transitional Fab 3 foundry services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2,648</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r>
      <w:tr>
        <w:trPr>
          <w:trHeight w:val="223"/>
        </w:trPr>
        <w:tc>
          <w:tcPr>
            <w:tcW w:w="5120" w:type="dxa"/>
            <w:vAlign w:val="bottom"/>
          </w:tcPr>
          <w:p>
            <w:pPr>
              <w:ind w:left="720"/>
              <w:spacing w:after="0"/>
              <w:rPr>
                <w:sz w:val="20"/>
                <w:szCs w:val="20"/>
                <w:color w:val="auto"/>
              </w:rPr>
            </w:pPr>
            <w:r>
              <w:rPr>
                <w:rFonts w:ascii="Arial" w:cs="Arial" w:eastAsia="Arial" w:hAnsi="Arial"/>
                <w:sz w:val="18"/>
                <w:szCs w:val="18"/>
                <w:color w:val="auto"/>
              </w:rPr>
              <w:t>Total gross profit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46,587</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28,588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2"/>
              </w:rPr>
              <w:t>114,939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89,856</w:t>
            </w:r>
          </w:p>
        </w:tc>
        <w:tc>
          <w:tcPr>
            <w:tcW w:w="4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following is a summary of net sales—standard products business (which does not include the Transitional Fab 3 Foundry Services) by geographic region, based on the location to which the products are billed (in thousands):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02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5300" w:type="dxa"/>
            <w:vAlign w:val="bottom"/>
          </w:tcPr>
          <w:p>
            <w:pPr>
              <w:spacing w:after="0"/>
              <w:rPr>
                <w:sz w:val="10"/>
                <w:szCs w:val="10"/>
                <w:color w:val="auto"/>
              </w:rPr>
            </w:pPr>
          </w:p>
        </w:tc>
        <w:tc>
          <w:tcPr>
            <w:tcW w:w="130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20" w:type="dxa"/>
            <w:vAlign w:val="bottom"/>
          </w:tcPr>
          <w:p>
            <w:pPr>
              <w:spacing w:after="0"/>
              <w:rPr>
                <w:sz w:val="10"/>
                <w:szCs w:val="10"/>
                <w:color w:val="auto"/>
              </w:rPr>
            </w:pPr>
          </w:p>
        </w:tc>
        <w:tc>
          <w:tcPr>
            <w:tcW w:w="13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0" w:type="dxa"/>
            <w:vAlign w:val="bottom"/>
          </w:tcPr>
          <w:p>
            <w:pPr>
              <w:spacing w:after="0"/>
              <w:rPr>
                <w:sz w:val="10"/>
                <w:szCs w:val="10"/>
                <w:color w:val="auto"/>
              </w:rPr>
            </w:pPr>
          </w:p>
        </w:tc>
      </w:tr>
      <w:tr>
        <w:trPr>
          <w:trHeight w:val="171"/>
        </w:trPr>
        <w:tc>
          <w:tcPr>
            <w:tcW w:w="5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86,966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81,144</w:t>
            </w:r>
          </w:p>
        </w:tc>
        <w:tc>
          <w:tcPr>
            <w:tcW w:w="4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84,220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84,188</w:t>
            </w:r>
          </w:p>
        </w:tc>
        <w:tc>
          <w:tcPr>
            <w:tcW w:w="2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237,312</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245,940</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1,789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4,393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3,959</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1,398</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1,451</w:t>
            </w:r>
          </w:p>
        </w:tc>
        <w:tc>
          <w:tcPr>
            <w:tcW w:w="2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3,847</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3,278</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1,071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1,632</w:t>
            </w:r>
          </w:p>
        </w:tc>
      </w:tr>
      <w:tr>
        <w:trPr>
          <w:trHeight w:val="223"/>
        </w:trPr>
        <w:tc>
          <w:tcPr>
            <w:tcW w:w="530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117,415</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116,262</w:t>
            </w: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333,589</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335,953</w:t>
            </w:r>
          </w:p>
        </w:tc>
        <w:tc>
          <w:tcPr>
            <w:tcW w:w="4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For the three months ended September 30, 2021 and 2020, of the Company’s net sales – standard products business in Asia Pacific (other than Korea), net sales – standard products business in China and Hong Kong represented 72.0% and 87.7%, respectively, and net sales—standard products business in Vietnam represented 19.6% and 8.9%, respectively. For the nine months ended September 30, 2021 and 2020, of the Company’s net sales – standard products business in Asia Pacific (other than Korea), net sales – standard products business in China and Hong Kong represented 63.4% and 88.4%, respectively, and net sales—standard products business in Vietnam represented 29.5% and 8.1%, respectively.</w:t>
      </w:r>
    </w:p>
    <w:p>
      <w:pPr>
        <w:spacing w:after="0" w:line="16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Net sales from the Company’s top ten largest customers in the standard products business (which does not include the Transitional Fab 3 Foundry Services) accounted for 81% and 87% for the three months ended September 30, 2021 and 2020, respectively, and 81% and 88% for the nine months ended September 30, 2021 and 2020, respectively.</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For the three months ended September 30, 2021, the Company had two customers that represented 44.7% and 10.1% of its net sales – standard products business. For the nine months ended September 30, 2021, the Company had two customers that represented 44.6% and 10.6% of its net sales – standard products business. For the three months ended September 30, 2020, the Company had one customer that represented 52.9% of its net sales – standard products business, and for the nine months ended September 30, 2020, the Company had one customer that represented 54.0% of its net sales – standard products business.</w:t>
      </w:r>
    </w:p>
    <w:p>
      <w:pPr>
        <w:spacing w:after="0" w:line="188" w:lineRule="exact"/>
        <w:rPr>
          <w:sz w:val="20"/>
          <w:szCs w:val="20"/>
          <w:color w:val="auto"/>
        </w:rPr>
      </w:pPr>
    </w:p>
    <w:p>
      <w:pPr>
        <w:jc w:val="center"/>
        <w:ind w:right="260"/>
        <w:spacing w:after="0" w:line="449" w:lineRule="auto"/>
        <w:rPr>
          <w:sz w:val="20"/>
          <w:szCs w:val="20"/>
          <w:color w:val="auto"/>
        </w:rPr>
      </w:pPr>
      <w:r>
        <w:rPr>
          <w:rFonts w:ascii="Arial" w:cs="Arial" w:eastAsia="Arial" w:hAnsi="Arial"/>
          <w:sz w:val="18"/>
          <w:szCs w:val="18"/>
          <w:color w:val="auto"/>
        </w:rPr>
        <w:t>As of September 30, 2021 and December 31, 2020, one customer accounted for 24.8% and 45.1% of accounts receivable, respectively. 21</w:t>
      </w:r>
    </w:p>
    <w:p>
      <w:pPr>
        <w:sectPr>
          <w:pgSz w:w="11900" w:h="16838" w:orient="portrait"/>
          <w:cols w:equalWidth="0" w:num="1">
            <w:col w:w="11080"/>
          </w:cols>
          <w:pgMar w:left="320" w:top="486"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16. Accumulated Other Comprehensive Income (Loss)</w:t>
      </w:r>
    </w:p>
    <w:p>
      <w:pPr>
        <w:spacing w:after="0" w:line="200" w:lineRule="exact"/>
        <w:rPr>
          <w:sz w:val="20"/>
          <w:szCs w:val="20"/>
          <w:color w:val="auto"/>
        </w:rPr>
      </w:pPr>
    </w:p>
    <w:p>
      <w:pPr>
        <w:spacing w:after="0" w:line="24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Accumulated other comprehensive income (loss) consists of the following as of September 30, 2021 and December 31, 2020, respectively (in thousands):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9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09"/>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4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Derivative adjustments</w:t>
            </w:r>
          </w:p>
        </w:tc>
        <w:tc>
          <w:tcPr>
            <w:tcW w:w="18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(3,663)</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1,634</w:t>
            </w:r>
          </w:p>
        </w:tc>
      </w:tr>
      <w:tr>
        <w:trPr>
          <w:trHeight w:val="27"/>
        </w:trPr>
        <w:tc>
          <w:tcPr>
            <w:tcW w:w="5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(4,403)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3,703</w:t>
            </w:r>
          </w:p>
        </w:tc>
      </w:tr>
      <w:tr>
        <w:trPr>
          <w:trHeight w:val="20"/>
        </w:trPr>
        <w:tc>
          <w:tcPr>
            <w:tcW w:w="5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Changes in accumulated other comprehensive income (loss) for the three months ended September 30, 2021 and 2020 are as follows (in thousands):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currency</w:t>
            </w:r>
          </w:p>
        </w:tc>
        <w:tc>
          <w:tcPr>
            <w:tcW w:w="240" w:type="dxa"/>
            <w:vAlign w:val="bottom"/>
          </w:tcPr>
          <w:p>
            <w:pPr>
              <w:spacing w:after="0"/>
              <w:rPr>
                <w:sz w:val="12"/>
                <w:szCs w:val="12"/>
                <w:color w:val="auto"/>
              </w:rPr>
            </w:pPr>
          </w:p>
        </w:tc>
        <w:tc>
          <w:tcPr>
            <w:tcW w:w="10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September 30, 2021</w:t>
            </w:r>
          </w:p>
        </w:tc>
        <w:tc>
          <w:tcPr>
            <w:tcW w:w="42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5540" w:type="dxa"/>
            <w:vAlign w:val="bottom"/>
            <w:gridSpan w:val="3"/>
            <w:vMerge w:val="continue"/>
          </w:tcPr>
          <w:p>
            <w:pPr>
              <w:spacing w:after="0"/>
              <w:rPr>
                <w:sz w:val="12"/>
                <w:szCs w:val="12"/>
                <w:color w:val="auto"/>
              </w:rPr>
            </w:pPr>
          </w:p>
        </w:tc>
        <w:tc>
          <w:tcPr>
            <w:tcW w:w="1440" w:type="dxa"/>
            <w:vAlign w:val="bottom"/>
            <w:gridSpan w:val="4"/>
          </w:tcPr>
          <w:p>
            <w:pPr>
              <w:jc w:val="center"/>
              <w:ind w:left="59"/>
              <w:spacing w:after="0" w:line="125" w:lineRule="exact"/>
              <w:rPr>
                <w:sz w:val="20"/>
                <w:szCs w:val="20"/>
                <w:color w:val="auto"/>
              </w:rPr>
            </w:pPr>
            <w:r>
              <w:rPr>
                <w:rFonts w:ascii="Arial" w:cs="Arial" w:eastAsia="Arial" w:hAnsi="Arial"/>
                <w:sz w:val="14"/>
                <w:szCs w:val="14"/>
                <w:b w:val="1"/>
                <w:bCs w:val="1"/>
                <w:color w:val="auto"/>
                <w:w w:val="89"/>
              </w:rPr>
              <w:t>adjustments</w:t>
            </w:r>
          </w:p>
        </w:tc>
        <w:tc>
          <w:tcPr>
            <w:tcW w:w="1260" w:type="dxa"/>
            <w:vAlign w:val="bottom"/>
            <w:gridSpan w:val="4"/>
          </w:tcPr>
          <w:p>
            <w:pPr>
              <w:jc w:val="center"/>
              <w:ind w:right="40"/>
              <w:spacing w:after="0" w:line="125" w:lineRule="exact"/>
              <w:rPr>
                <w:sz w:val="20"/>
                <w:szCs w:val="20"/>
                <w:color w:val="auto"/>
              </w:rPr>
            </w:pPr>
            <w:r>
              <w:rPr>
                <w:rFonts w:ascii="Arial" w:cs="Arial" w:eastAsia="Arial" w:hAnsi="Arial"/>
                <w:sz w:val="14"/>
                <w:szCs w:val="14"/>
                <w:b w:val="1"/>
                <w:bCs w:val="1"/>
                <w:color w:val="auto"/>
                <w:w w:val="89"/>
              </w:rPr>
              <w:t>adjustments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4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(1,045)</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gridSpan w:val="2"/>
          </w:tcPr>
          <w:p>
            <w:pPr>
              <w:ind w:left="340"/>
              <w:spacing w:after="0"/>
              <w:rPr>
                <w:sz w:val="20"/>
                <w:szCs w:val="20"/>
                <w:color w:val="auto"/>
              </w:rPr>
            </w:pPr>
            <w:r>
              <w:rPr>
                <w:rFonts w:ascii="Arial" w:cs="Arial" w:eastAsia="Arial" w:hAnsi="Arial"/>
                <w:sz w:val="18"/>
                <w:szCs w:val="18"/>
                <w:color w:val="auto"/>
              </w:rPr>
              <w:t>Other comprehensive loss before reclassifications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(3,271)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(4,131)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8"/>
              </w:rPr>
              <w:t>Amounts reclassified from accumulated other comprehensive loss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loss</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40"/>
          </w:cols>
          <w:pgMar w:left="320" w:top="486" w:right="8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1000"/>
        <w:spacing w:after="0"/>
        <w:rPr>
          <w:sz w:val="20"/>
          <w:szCs w:val="20"/>
          <w:color w:val="auto"/>
        </w:rPr>
      </w:pPr>
      <w:r>
        <w:rPr>
          <w:rFonts w:ascii="Arial" w:cs="Arial" w:eastAsia="Arial" w:hAnsi="Arial"/>
          <w:sz w:val="14"/>
          <w:szCs w:val="14"/>
          <w:b w:val="1"/>
          <w:bCs w:val="1"/>
          <w:u w:val="single" w:color="auto"/>
          <w:color w:val="auto"/>
        </w:rPr>
        <w:t>Three Months Ended September 30, 2020</w:t>
      </w:r>
    </w:p>
    <w:p>
      <w:pPr>
        <w:spacing w:after="0" w:line="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-123190</wp:posOffset>
            </wp:positionV>
            <wp:extent cx="587184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71845" cy="146050"/>
                    </a:xfrm>
                    <a:prstGeom prst="rect">
                      <a:avLst/>
                    </a:prstGeom>
                    <a:noFill/>
                  </pic:spPr>
                </pic:pic>
              </a:graphicData>
            </a:graphic>
          </wp:anchor>
        </w:drawing>
      </w:r>
    </w:p>
    <w:p>
      <w:pPr>
        <w:spacing w:after="0" w:line="27" w:lineRule="exact"/>
        <w:rPr>
          <w:sz w:val="20"/>
          <w:szCs w:val="20"/>
          <w:color w:val="auto"/>
        </w:rPr>
      </w:pPr>
    </w:p>
    <w:p>
      <w:pPr>
        <w:ind w:left="1360" w:right="340"/>
        <w:spacing w:after="0" w:line="304" w:lineRule="auto"/>
        <w:rPr>
          <w:sz w:val="20"/>
          <w:szCs w:val="20"/>
          <w:color w:val="auto"/>
        </w:rPr>
      </w:pPr>
      <w:r>
        <w:rPr>
          <w:rFonts w:ascii="Arial" w:cs="Arial" w:eastAsia="Arial" w:hAnsi="Arial"/>
          <w:sz w:val="16"/>
          <w:szCs w:val="16"/>
          <w:color w:val="auto"/>
        </w:rPr>
        <w:t>Other comprehensive income (loss) before reclassifications Amounts reclassified from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-149225</wp:posOffset>
            </wp:positionV>
            <wp:extent cx="587184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Derivative</w:t>
            </w: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adjustments</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adjustments</w:t>
            </w:r>
          </w:p>
        </w:tc>
        <w:tc>
          <w:tcPr>
            <w:tcW w:w="3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11,503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(1,004)</w:t>
            </w:r>
          </w:p>
        </w:tc>
        <w:tc>
          <w:tcPr>
            <w:tcW w:w="3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$ 10,499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1,390</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440" w:space="720"/>
            <w:col w:w="3580"/>
          </w:cols>
          <w:pgMar w:left="320" w:top="486" w:right="839" w:bottom="1440" w:gutter="0" w:footer="0" w:header="0"/>
          <w:type w:val="continuous"/>
        </w:sectPr>
      </w:pPr>
    </w:p>
    <w:tbl>
      <w:tblPr>
        <w:tblLayout w:type="fixed"/>
        <w:tblInd w:w="10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gridSpan w:val="2"/>
          </w:tcPr>
          <w:p>
            <w:pPr>
              <w:spacing w:after="0" w:line="203" w:lineRule="exact"/>
              <w:rPr>
                <w:sz w:val="20"/>
                <w:szCs w:val="20"/>
                <w:color w:val="auto"/>
              </w:rPr>
            </w:pPr>
            <w:r>
              <w:rPr>
                <w:rFonts w:ascii="Arial" w:cs="Arial" w:eastAsia="Arial" w:hAnsi="Arial"/>
                <w:sz w:val="18"/>
                <w:szCs w:val="18"/>
                <w:color w:val="auto"/>
              </w:rPr>
              <w:t>Net current-period other comprehensive income (loss)</w:t>
            </w:r>
          </w:p>
        </w:tc>
        <w:tc>
          <w:tcPr>
            <w:tcW w:w="1140" w:type="dxa"/>
            <w:vAlign w:val="bottom"/>
          </w:tcPr>
          <w:p>
            <w:pPr>
              <w:spacing w:after="0"/>
              <w:rPr>
                <w:sz w:val="17"/>
                <w:szCs w:val="17"/>
                <w:color w:val="auto"/>
              </w:rPr>
            </w:pPr>
          </w:p>
        </w:tc>
        <w:tc>
          <w:tcPr>
            <w:tcW w:w="10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(6,517)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1,431</w:t>
            </w:r>
          </w:p>
        </w:tc>
        <w:tc>
          <w:tcPr>
            <w:tcW w:w="1140" w:type="dxa"/>
            <w:vAlign w:val="bottom"/>
            <w:gridSpan w:val="3"/>
          </w:tcPr>
          <w:p>
            <w:pPr>
              <w:jc w:val="right"/>
              <w:ind w:right="60"/>
              <w:spacing w:after="0" w:line="203" w:lineRule="exact"/>
              <w:rPr>
                <w:sz w:val="20"/>
                <w:szCs w:val="20"/>
                <w:color w:val="auto"/>
              </w:rPr>
            </w:pPr>
            <w:r>
              <w:rPr>
                <w:rFonts w:ascii="Arial" w:cs="Arial" w:eastAsia="Arial" w:hAnsi="Arial"/>
                <w:sz w:val="18"/>
                <w:szCs w:val="18"/>
                <w:color w:val="auto"/>
              </w:rPr>
              <w:t>(5,086)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4,986</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5,413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Changes in accumulated other comprehensive income (loss) for the nine months ended September 30, 2021 and 2020 are as follows (in thousands):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2"/>
                <w:szCs w:val="12"/>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Nine Months Ended September 30, 2021</w:t>
            </w:r>
          </w:p>
        </w:tc>
        <w:tc>
          <w:tcPr>
            <w:tcW w:w="380" w:type="dxa"/>
            <w:vAlign w:val="bottom"/>
          </w:tcPr>
          <w:p>
            <w:pPr>
              <w:spacing w:after="0"/>
              <w:rPr>
                <w:sz w:val="12"/>
                <w:szCs w:val="12"/>
                <w:color w:val="auto"/>
              </w:rPr>
            </w:pPr>
          </w:p>
        </w:tc>
        <w:tc>
          <w:tcPr>
            <w:tcW w:w="10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5720" w:type="dxa"/>
            <w:vAlign w:val="bottom"/>
            <w:gridSpan w:val="3"/>
            <w:vMerge w:val="continue"/>
          </w:tcPr>
          <w:p>
            <w:pPr>
              <w:spacing w:after="0"/>
              <w:rPr>
                <w:sz w:val="12"/>
                <w:szCs w:val="12"/>
                <w:color w:val="auto"/>
              </w:rPr>
            </w:pPr>
          </w:p>
        </w:tc>
        <w:tc>
          <w:tcPr>
            <w:tcW w:w="1380" w:type="dxa"/>
            <w:vAlign w:val="bottom"/>
            <w:gridSpan w:val="4"/>
          </w:tcPr>
          <w:p>
            <w:pPr>
              <w:jc w:val="center"/>
              <w:ind w:left="39"/>
              <w:spacing w:after="0" w:line="125" w:lineRule="exact"/>
              <w:rPr>
                <w:sz w:val="20"/>
                <w:szCs w:val="20"/>
                <w:color w:val="auto"/>
              </w:rPr>
            </w:pPr>
            <w:r>
              <w:rPr>
                <w:rFonts w:ascii="Arial" w:cs="Arial" w:eastAsia="Arial" w:hAnsi="Arial"/>
                <w:sz w:val="14"/>
                <w:szCs w:val="14"/>
                <w:b w:val="1"/>
                <w:bCs w:val="1"/>
                <w:color w:val="auto"/>
                <w:w w:val="89"/>
              </w:rPr>
              <w:t>adjustments</w:t>
            </w:r>
          </w:p>
        </w:tc>
        <w:tc>
          <w:tcPr>
            <w:tcW w:w="1180" w:type="dxa"/>
            <w:vAlign w:val="bottom"/>
            <w:gridSpan w:val="4"/>
          </w:tcPr>
          <w:p>
            <w:pPr>
              <w:ind w:left="180"/>
              <w:spacing w:after="0" w:line="125" w:lineRule="exact"/>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3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3,703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gridSpan w:val="2"/>
          </w:tcPr>
          <w:p>
            <w:pPr>
              <w:ind w:left="340"/>
              <w:spacing w:after="0"/>
              <w:rPr>
                <w:sz w:val="20"/>
                <w:szCs w:val="20"/>
                <w:color w:val="auto"/>
              </w:rPr>
            </w:pPr>
            <w:r>
              <w:rPr>
                <w:rFonts w:ascii="Arial" w:cs="Arial" w:eastAsia="Arial" w:hAnsi="Arial"/>
                <w:sz w:val="18"/>
                <w:szCs w:val="18"/>
                <w:color w:val="auto"/>
              </w:rPr>
              <w:t>Other comprehensive loss before reclassifications</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(2,809)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(4,964)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(7,773)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Amounts reclassified from accumulated other comprehensive income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572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loss</w:t>
            </w: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(8,106)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40"/>
          </w:cols>
          <w:pgMar w:left="320" w:top="486" w:right="83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ind w:left="1000"/>
        <w:spacing w:after="0"/>
        <w:rPr>
          <w:sz w:val="20"/>
          <w:szCs w:val="20"/>
          <w:color w:val="auto"/>
        </w:rPr>
      </w:pPr>
      <w:r>
        <w:rPr>
          <w:rFonts w:ascii="Arial" w:cs="Arial" w:eastAsia="Arial" w:hAnsi="Arial"/>
          <w:sz w:val="14"/>
          <w:szCs w:val="14"/>
          <w:b w:val="1"/>
          <w:bCs w:val="1"/>
          <w:u w:val="single" w:color="auto"/>
          <w:color w:val="auto"/>
        </w:rPr>
        <w:t>Nine Months Ended September 30, 2020</w:t>
      </w:r>
    </w:p>
    <w:p>
      <w:pPr>
        <w:spacing w:after="0" w:line="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-123190</wp:posOffset>
            </wp:positionV>
            <wp:extent cx="587184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71845" cy="146050"/>
                    </a:xfrm>
                    <a:prstGeom prst="rect">
                      <a:avLst/>
                    </a:prstGeom>
                    <a:noFill/>
                  </pic:spPr>
                </pic:pic>
              </a:graphicData>
            </a:graphic>
          </wp:anchor>
        </w:drawing>
      </w:r>
    </w:p>
    <w:p>
      <w:pPr>
        <w:spacing w:after="0" w:line="27" w:lineRule="exact"/>
        <w:rPr>
          <w:sz w:val="20"/>
          <w:szCs w:val="20"/>
          <w:color w:val="auto"/>
        </w:rPr>
      </w:pPr>
    </w:p>
    <w:p>
      <w:pPr>
        <w:ind w:left="1360" w:right="380"/>
        <w:spacing w:after="0" w:line="304" w:lineRule="auto"/>
        <w:rPr>
          <w:sz w:val="20"/>
          <w:szCs w:val="20"/>
          <w:color w:val="auto"/>
        </w:rPr>
      </w:pPr>
      <w:r>
        <w:rPr>
          <w:rFonts w:ascii="Arial" w:cs="Arial" w:eastAsia="Arial" w:hAnsi="Arial"/>
          <w:sz w:val="16"/>
          <w:szCs w:val="16"/>
          <w:color w:val="auto"/>
        </w:rPr>
        <w:t>Other comprehensive income (loss) before reclassifications Amounts reclassified from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-149225</wp:posOffset>
            </wp:positionV>
            <wp:extent cx="587184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Foreign</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currency</w:t>
            </w:r>
          </w:p>
        </w:tc>
        <w:tc>
          <w:tcPr>
            <w:tcW w:w="380" w:type="dxa"/>
            <w:vAlign w:val="bottom"/>
          </w:tcPr>
          <w:p>
            <w:pPr>
              <w:spacing w:after="0"/>
              <w:rPr>
                <w:sz w:val="12"/>
                <w:szCs w:val="12"/>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Derivative</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translation</w:t>
            </w:r>
          </w:p>
        </w:tc>
        <w:tc>
          <w:tcPr>
            <w:tcW w:w="3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adjustments</w:t>
            </w:r>
          </w:p>
        </w:tc>
        <w:tc>
          <w:tcPr>
            <w:tcW w:w="1380" w:type="dxa"/>
            <w:vAlign w:val="bottom"/>
            <w:gridSpan w:val="4"/>
          </w:tcPr>
          <w:p>
            <w:pPr>
              <w:ind w:left="38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(4,205)</w:t>
            </w:r>
          </w:p>
        </w:tc>
        <w:tc>
          <w:tcPr>
            <w:tcW w:w="3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(2,660)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9,191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480" w:space="720"/>
            <w:col w:w="3540"/>
          </w:cols>
          <w:pgMar w:left="320" w:top="486" w:right="839" w:bottom="1440" w:gutter="0" w:footer="0" w:header="0"/>
          <w:type w:val="continuous"/>
        </w:sectPr>
      </w:pPr>
    </w:p>
    <w:tbl>
      <w:tblPr>
        <w:tblLayout w:type="fixed"/>
        <w:tblInd w:w="10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20" w:type="dxa"/>
            <w:vAlign w:val="bottom"/>
            <w:gridSpan w:val="2"/>
          </w:tcPr>
          <w:p>
            <w:pPr>
              <w:spacing w:after="0" w:line="203" w:lineRule="exact"/>
              <w:rPr>
                <w:sz w:val="20"/>
                <w:szCs w:val="20"/>
                <w:color w:val="auto"/>
              </w:rPr>
            </w:pPr>
            <w:r>
              <w:rPr>
                <w:rFonts w:ascii="Arial" w:cs="Arial" w:eastAsia="Arial" w:hAnsi="Arial"/>
                <w:sz w:val="18"/>
                <w:szCs w:val="18"/>
                <w:color w:val="auto"/>
                <w:w w:val="97"/>
              </w:rPr>
              <w:t>Net current-period other comprehensive income (loss)</w:t>
            </w:r>
          </w:p>
        </w:tc>
        <w:tc>
          <w:tcPr>
            <w:tcW w:w="198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9,191</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(1,118)</w:t>
            </w:r>
          </w:p>
        </w:tc>
        <w:tc>
          <w:tcPr>
            <w:tcW w:w="8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8,073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4,986</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5,413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980" w:type="dxa"/>
            <w:vAlign w:val="bottom"/>
            <w:vMerge w:val="restart"/>
          </w:tcPr>
          <w:p>
            <w:pPr>
              <w:jc w:val="right"/>
              <w:ind w:right="1390"/>
              <w:spacing w:after="0"/>
              <w:rPr>
                <w:sz w:val="20"/>
                <w:szCs w:val="20"/>
                <w:color w:val="auto"/>
              </w:rPr>
            </w:pPr>
            <w:r>
              <w:rPr>
                <w:rFonts w:ascii="Arial" w:cs="Arial" w:eastAsia="Arial" w:hAnsi="Arial"/>
                <w:sz w:val="18"/>
                <w:szCs w:val="18"/>
                <w:color w:val="auto"/>
              </w:rPr>
              <w:t>22</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320" w:top="486" w:right="8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Earnings (Loss)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illustrates the computation of basic and diluted earnings (loss) per common share for the three and nine months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2021 and 2020:</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300" w:type="dxa"/>
            <w:vAlign w:val="bottom"/>
            <w:gridSpan w:val="5"/>
          </w:tcPr>
          <w:p>
            <w:pPr>
              <w:ind w:lef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100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3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80" w:type="dxa"/>
            <w:vAlign w:val="bottom"/>
          </w:tcPr>
          <w:p>
            <w:pPr>
              <w:spacing w:after="0"/>
              <w:rPr>
                <w:sz w:val="10"/>
                <w:szCs w:val="10"/>
                <w:color w:val="auto"/>
              </w:rPr>
            </w:pPr>
          </w:p>
        </w:tc>
        <w:tc>
          <w:tcPr>
            <w:tcW w:w="13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9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September 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(In</w:t>
            </w:r>
          </w:p>
        </w:tc>
        <w:tc>
          <w:tcPr>
            <w:tcW w:w="13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78"/>
              </w:rPr>
              <w:t>thousands of U.S. dollars,</w:t>
            </w:r>
          </w:p>
        </w:tc>
        <w:tc>
          <w:tcPr>
            <w:tcW w:w="9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w w:val="86"/>
              </w:rPr>
              <w:t>except share</w:t>
            </w:r>
          </w:p>
        </w:tc>
        <w:tc>
          <w:tcPr>
            <w:tcW w:w="480" w:type="dxa"/>
            <w:vAlign w:val="bottom"/>
          </w:tcPr>
          <w:p>
            <w:pPr>
              <w:jc w:val="right"/>
              <w:ind w:right="48"/>
              <w:spacing w:after="0" w:line="155" w:lineRule="exact"/>
              <w:rPr>
                <w:sz w:val="20"/>
                <w:szCs w:val="20"/>
                <w:color w:val="auto"/>
              </w:rPr>
            </w:pPr>
            <w:r>
              <w:rPr>
                <w:rFonts w:ascii="Arial" w:cs="Arial" w:eastAsia="Arial" w:hAnsi="Arial"/>
                <w:sz w:val="14"/>
                <w:szCs w:val="14"/>
                <w:b w:val="1"/>
                <w:bCs w:val="1"/>
                <w:color w:val="auto"/>
              </w:rPr>
              <w:t>data)</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(loss)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10,768</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8,461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08"/>
              <w:spacing w:after="0"/>
              <w:rPr>
                <w:sz w:val="20"/>
                <w:szCs w:val="20"/>
                <w:color w:val="auto"/>
              </w:rPr>
            </w:pPr>
            <w:r>
              <w:rPr>
                <w:rFonts w:ascii="Arial" w:cs="Arial" w:eastAsia="Arial" w:hAnsi="Arial"/>
                <w:sz w:val="18"/>
                <w:szCs w:val="18"/>
                <w:color w:val="auto"/>
              </w:rPr>
              <w:t>3,097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264,501</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289,227</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272,962</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3,097</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278,384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stock outstanding</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46,449,234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35,280,864</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88"/>
              </w:rPr>
              <w:t>44,377,250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35,089,479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8"/>
                <w:szCs w:val="18"/>
                <w:color w:val="auto"/>
              </w:rPr>
            </w:pPr>
          </w:p>
        </w:tc>
        <w:tc>
          <w:tcPr>
            <w:tcW w:w="130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10,768</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8,461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3,097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Add back: Interest expense on Exchangeable Notes</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1,429</w:t>
            </w:r>
          </w:p>
        </w:tc>
        <w:tc>
          <w:tcPr>
            <w:tcW w:w="80" w:type="dxa"/>
            <w:vAlign w:val="bottom"/>
          </w:tcPr>
          <w:p>
            <w:pPr>
              <w:spacing w:after="0"/>
              <w:rPr>
                <w:sz w:val="19"/>
                <w:szCs w:val="19"/>
                <w:color w:val="auto"/>
              </w:rPr>
            </w:pPr>
          </w:p>
        </w:tc>
        <w:tc>
          <w:tcPr>
            <w:tcW w:w="130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Income (loss) from continuing operations allocated to common</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10,768</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9,890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3,097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264,501</w:t>
            </w:r>
          </w:p>
        </w:tc>
        <w:tc>
          <w:tcPr>
            <w:tcW w:w="80" w:type="dxa"/>
            <w:vAlign w:val="bottom"/>
          </w:tcPr>
          <w:p>
            <w:pPr>
              <w:spacing w:after="0"/>
              <w:rPr>
                <w:sz w:val="18"/>
                <w:szCs w:val="18"/>
                <w:color w:val="auto"/>
              </w:rPr>
            </w:pPr>
          </w:p>
        </w:tc>
        <w:tc>
          <w:tcPr>
            <w:tcW w:w="130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289,227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allocated to common stockholders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10,768</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274,391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3,097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278,384</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Basic weighted average common stock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46,449,234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35,280,864</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44,377,250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35,089,479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effect of dilutive equity awards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1,359,223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1,156,769</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99"/>
              </w:rPr>
              <w:t>1,434,542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tcPr>
          <w:p>
            <w:pPr>
              <w:spacing w:after="0" w:line="201" w:lineRule="exact"/>
              <w:rPr>
                <w:sz w:val="20"/>
                <w:szCs w:val="20"/>
                <w:color w:val="auto"/>
              </w:rPr>
            </w:pPr>
            <w:r>
              <w:rPr>
                <w:rFonts w:ascii="Arial" w:cs="Arial" w:eastAsia="Arial" w:hAnsi="Arial"/>
                <w:sz w:val="18"/>
                <w:szCs w:val="18"/>
                <w:color w:val="auto"/>
                <w:w w:val="97"/>
              </w:rPr>
              <w:t>Net effect of assumed conversion of 5.0% Exchangeable Notes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to common stock</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10,144,155</w:t>
            </w:r>
          </w:p>
        </w:tc>
        <w:tc>
          <w:tcPr>
            <w:tcW w:w="80" w:type="dxa"/>
            <w:vAlign w:val="bottom"/>
          </w:tcPr>
          <w:p>
            <w:pPr>
              <w:spacing w:after="0"/>
              <w:rPr>
                <w:sz w:val="20"/>
                <w:szCs w:val="20"/>
                <w:color w:val="auto"/>
              </w:rPr>
            </w:pPr>
          </w:p>
        </w:tc>
        <w:tc>
          <w:tcPr>
            <w:tcW w:w="130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stock outstanding</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47,808,457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46,581,788</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88"/>
              </w:rPr>
              <w:t>45,811,792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35,089,479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18"/>
                <w:szCs w:val="18"/>
                <w:color w:val="auto"/>
              </w:rPr>
            </w:pPr>
          </w:p>
        </w:tc>
        <w:tc>
          <w:tcPr>
            <w:tcW w:w="130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80" w:firstLine="440"/>
        <w:spacing w:after="0" w:line="277" w:lineRule="auto"/>
        <w:rPr>
          <w:sz w:val="20"/>
          <w:szCs w:val="20"/>
          <w:color w:val="auto"/>
        </w:rPr>
      </w:pPr>
      <w:r>
        <w:rPr>
          <w:rFonts w:ascii="Arial" w:cs="Arial" w:eastAsia="Arial" w:hAnsi="Arial"/>
          <w:sz w:val="18"/>
          <w:szCs w:val="18"/>
          <w:color w:val="auto"/>
        </w:rPr>
        <w:t>The following outstanding instruments were excluded from the computation of diluted earnings (loss) per share, as they have an anti-dilutive effect on the calculation:</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700" w:type="dxa"/>
            <w:vAlign w:val="bottom"/>
            <w:gridSpan w:val="4"/>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280" w:type="dxa"/>
            <w:vAlign w:val="bottom"/>
            <w:gridSpan w:val="4"/>
          </w:tcPr>
          <w:p>
            <w:pPr>
              <w:ind w:left="5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5140" w:type="dxa"/>
            <w:vAlign w:val="bottom"/>
          </w:tcPr>
          <w:p>
            <w:pPr>
              <w:spacing w:after="0"/>
              <w:rPr>
                <w:sz w:val="10"/>
                <w:szCs w:val="10"/>
                <w:color w:val="auto"/>
              </w:rPr>
            </w:pPr>
          </w:p>
        </w:tc>
        <w:tc>
          <w:tcPr>
            <w:tcW w:w="13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88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80" w:type="dxa"/>
            <w:vAlign w:val="bottom"/>
          </w:tcPr>
          <w:p>
            <w:pPr>
              <w:spacing w:after="0"/>
              <w:rPr>
                <w:sz w:val="10"/>
                <w:szCs w:val="10"/>
                <w:color w:val="auto"/>
              </w:rPr>
            </w:pPr>
          </w:p>
        </w:tc>
        <w:tc>
          <w:tcPr>
            <w:tcW w:w="136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8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0" w:type="dxa"/>
            <w:vAlign w:val="bottom"/>
          </w:tcPr>
          <w:p>
            <w:pPr>
              <w:spacing w:after="0"/>
              <w:rPr>
                <w:sz w:val="10"/>
                <w:szCs w:val="10"/>
                <w:color w:val="auto"/>
              </w:rPr>
            </w:pPr>
          </w:p>
        </w:tc>
      </w:tr>
      <w:tr>
        <w:trPr>
          <w:trHeight w:val="171"/>
        </w:trPr>
        <w:tc>
          <w:tcPr>
            <w:tcW w:w="51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697,667</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1,788,202</w:t>
            </w:r>
          </w:p>
        </w:tc>
        <w:tc>
          <w:tcPr>
            <w:tcW w:w="40" w:type="dxa"/>
            <w:vAlign w:val="bottom"/>
            <w:shd w:val="clear" w:color="auto" w:fill="CCEEFF"/>
          </w:tcPr>
          <w:p>
            <w:pPr>
              <w:spacing w:after="0"/>
              <w:rPr>
                <w:sz w:val="18"/>
                <w:szCs w:val="18"/>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1,248,113</w:t>
            </w:r>
          </w:p>
        </w:tc>
      </w:tr>
    </w:tbl>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For the nine months ended September 30, 2021 and 2020, 1,906,786 shares and 10,144,155 shares, respectively, of potential common stock from the assumed conversion of Exchangeable Notes were also excluded from the computation of diluted earnings (loss) per share as the effect were anti-dilutive for the period.</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320" w:top="486" w:right="5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Other Charges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For the three months ended September 30, 2021, other charges totaled $1,766 thousand, of which $1,552 thousand related to professional fees and certain transaction related expenses incurred in connection with the Merger and $214 thousand related to certain non-recurring professional fees and expenses in connection with regulatory requests.</w:t>
      </w:r>
    </w:p>
    <w:p>
      <w:pPr>
        <w:spacing w:after="0" w:line="184"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For the nine months ended September 30, 2021, other charges totaled $17,202 thousand, of which $13,842 thousand related to professional fees and certain transaction related expenses incurred in connection with the Merger and $3,360 thousand related to certain non-recurring professional fees and expenses in connection with regulatory requests. For the nine months ended September 30, 2020, other charges were $554 thousand, which pertained to non-recurring professional service fees and expenses incurred in connection with certain treasury and finance initiatives.</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320" w:top="486"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December 2019, a strain of coronavirus causing a disease known as COVID-19 surfaced in Wuhan, China, resulting in significant disruptions among Chinese manufacturing and other facilities and travel throughout China. In March 2020, the World Health Organization declared the COVID-19 outbreak a pandemic. Governmental authorities throughout the world have implemented numerous containment measures, including travel bans and restrictions, quarantines, shelter-in-place orders, and business restrictions and shutdowns, resulting in rapidly changing market and economic conditions. Although some of these restrictions and other containment measures have since been lifted or scaled back, ongoing surges of COVID-19 have in some cases resulted in the re-imposition of certain restrictions and containment measures, and may continue to lead to other restrictions being re-implemented in the foreseeable future in response to efforts to reduce the rapid spread of COVID-19.</w:t>
      </w:r>
    </w:p>
    <w:p>
      <w:pPr>
        <w:spacing w:after="0" w:line="166"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Company experienced some minor disruption in its Power Solutions business from assembly and test subcontractors located in China in the first quarter of 2020 as a result of the COVID-19 pandemic. To date, its external Display Solutions business contractors and sub-contractors have not been materially impacted by the COVID-19 pandemic. The Company is, however, unable to accurately predict the full impact that the COVID-19 pandemic will have on its future results of operations due to numerous uncertainties, including the severity and duration of the outbreak, the efficacy of ongoing global vaccination efforts, potential future recurrences of the outbreak, the spread of disease variants that may be resistant to the existing vaccines, further containment actions that may be taken by governmental authorities, the impact to the businesses of its customers and suppliers, and other factors.</w:t>
      </w:r>
    </w:p>
    <w:p>
      <w:pPr>
        <w:spacing w:after="0" w:line="195" w:lineRule="exact"/>
        <w:rPr>
          <w:sz w:val="20"/>
          <w:szCs w:val="20"/>
          <w:color w:val="auto"/>
        </w:rPr>
      </w:pPr>
    </w:p>
    <w:p>
      <w:pPr>
        <w:ind w:left="120" w:right="400" w:firstLine="440"/>
        <w:spacing w:after="0" w:line="259" w:lineRule="auto"/>
        <w:rPr>
          <w:sz w:val="20"/>
          <w:szCs w:val="20"/>
          <w:color w:val="auto"/>
        </w:rPr>
      </w:pPr>
      <w:r>
        <w:rPr>
          <w:rFonts w:ascii="Arial" w:cs="Arial" w:eastAsia="Arial" w:hAnsi="Arial"/>
          <w:sz w:val="18"/>
          <w:szCs w:val="18"/>
          <w:color w:val="auto"/>
        </w:rPr>
        <w:t>The Company continues to closely monitor and evaluate the nature and scope of the impact of the COVID-19 pandemic to its business, consolidated results of operations, and financial condition, and may take further actions altering its business operations and managing its costs and liquidity that the Company deems necessary or appropriate to respond to this fast moving and uncertain global health crisis and the resulting global economic consequences.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Merger-related Complaints</w:t>
      </w:r>
    </w:p>
    <w:p>
      <w:pPr>
        <w:spacing w:after="0" w:line="11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Since April 22, 2021, eleven complaints (each, a “Shareholder Complaint,” and together, the “Shareholder Complaints”) have been filed seeking to enjoin the Merger, or, if the Merger is consummated, rescind the Merger or recover damages, as well as an award of each plaintiff’s fees and litigation expenses. The Shareholder Complaints, each filed as an individual action by a purported stockholder of the Company, are captioned as </w:t>
      </w:r>
      <w:r>
        <w:rPr>
          <w:rFonts w:ascii="Arial" w:cs="Arial" w:eastAsia="Arial" w:hAnsi="Arial"/>
          <w:sz w:val="16"/>
          <w:szCs w:val="16"/>
          <w:i w:val="1"/>
          <w:iCs w:val="1"/>
          <w:color w:val="auto"/>
        </w:rPr>
        <w:t>Schulthess v.</w:t>
      </w:r>
      <w:r>
        <w:rPr>
          <w:rFonts w:ascii="Arial" w:cs="Arial" w:eastAsia="Arial" w:hAnsi="Arial"/>
          <w:sz w:val="16"/>
          <w:szCs w:val="16"/>
          <w:color w:val="auto"/>
        </w:rPr>
        <w:t xml:space="preserve"> </w:t>
      </w:r>
      <w:r>
        <w:rPr>
          <w:rFonts w:ascii="Arial" w:cs="Arial" w:eastAsia="Arial" w:hAnsi="Arial"/>
          <w:sz w:val="16"/>
          <w:szCs w:val="16"/>
          <w:i w:val="1"/>
          <w:iCs w:val="1"/>
          <w:color w:val="auto"/>
        </w:rPr>
        <w:t>Magnachip Semiconductor Corporation, et al.</w:t>
      </w:r>
      <w:r>
        <w:rPr>
          <w:rFonts w:ascii="Arial" w:cs="Arial" w:eastAsia="Arial" w:hAnsi="Arial"/>
          <w:sz w:val="16"/>
          <w:szCs w:val="16"/>
          <w:color w:val="auto"/>
        </w:rPr>
        <w:t>, Case No. 1:21-cv-03587 (S.D.N.Y.) (the “Schulthess Complaint”),</w:t>
      </w:r>
      <w:r>
        <w:rPr>
          <w:rFonts w:ascii="Arial" w:cs="Arial" w:eastAsia="Arial" w:hAnsi="Arial"/>
          <w:sz w:val="16"/>
          <w:szCs w:val="16"/>
          <w:i w:val="1"/>
          <w:iCs w:val="1"/>
          <w:color w:val="auto"/>
        </w:rPr>
        <w:t xml:space="preserve"> Pittman v. Magnachip Semiconductor Corporation, et al.</w:t>
      </w:r>
      <w:r>
        <w:rPr>
          <w:rFonts w:ascii="Arial" w:cs="Arial" w:eastAsia="Arial" w:hAnsi="Arial"/>
          <w:sz w:val="16"/>
          <w:szCs w:val="16"/>
          <w:color w:val="auto"/>
        </w:rPr>
        <w:t>, Case No. 1:21-cv-02306 (E.D.N.Y.) (the “Pittman Complaint”),</w:t>
      </w:r>
      <w:r>
        <w:rPr>
          <w:rFonts w:ascii="Arial" w:cs="Arial" w:eastAsia="Arial" w:hAnsi="Arial"/>
          <w:sz w:val="16"/>
          <w:szCs w:val="16"/>
          <w:i w:val="1"/>
          <w:iCs w:val="1"/>
          <w:color w:val="auto"/>
        </w:rPr>
        <w:t xml:space="preserve"> Flanagan v. Magnachip Semiconductor Corporation, et al.</w:t>
      </w:r>
      <w:r>
        <w:rPr>
          <w:rFonts w:ascii="Arial" w:cs="Arial" w:eastAsia="Arial" w:hAnsi="Arial"/>
          <w:sz w:val="16"/>
          <w:szCs w:val="16"/>
          <w:color w:val="auto"/>
        </w:rPr>
        <w:t>, Case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 1:21-cv-03743 (S.D.N.Y.) (the “Flanagan Complaint”), </w:t>
      </w:r>
      <w:r>
        <w:rPr>
          <w:rFonts w:ascii="Arial" w:cs="Arial" w:eastAsia="Arial" w:hAnsi="Arial"/>
          <w:sz w:val="16"/>
          <w:szCs w:val="16"/>
          <w:i w:val="1"/>
          <w:iCs w:val="1"/>
          <w:color w:val="auto"/>
        </w:rPr>
        <w:t>Castelli v. Magnachip Semiconductor Corporation, et al.</w:t>
      </w:r>
      <w:r>
        <w:rPr>
          <w:rFonts w:ascii="Arial" w:cs="Arial" w:eastAsia="Arial" w:hAnsi="Arial"/>
          <w:sz w:val="16"/>
          <w:szCs w:val="16"/>
          <w:color w:val="auto"/>
        </w:rPr>
        <w:t xml:space="preserve">, Case No. 1:21-cv-03769 (S.D.N.Y.) (the “Castelli Complaint”), </w:t>
      </w:r>
      <w:r>
        <w:rPr>
          <w:rFonts w:ascii="Arial" w:cs="Arial" w:eastAsia="Arial" w:hAnsi="Arial"/>
          <w:sz w:val="16"/>
          <w:szCs w:val="16"/>
          <w:i w:val="1"/>
          <w:iCs w:val="1"/>
          <w:color w:val="auto"/>
        </w:rPr>
        <w:t>Doolittle v. Magnachip Semiconductor Corporation, et al.</w:t>
      </w:r>
      <w:r>
        <w:rPr>
          <w:rFonts w:ascii="Arial" w:cs="Arial" w:eastAsia="Arial" w:hAnsi="Arial"/>
          <w:sz w:val="16"/>
          <w:szCs w:val="16"/>
          <w:color w:val="auto"/>
        </w:rPr>
        <w:t xml:space="preserve">, Case No. 1:21-cv-03801 (S.D.N.Y.) (the “Doolittle Complaint”), </w:t>
      </w:r>
      <w:r>
        <w:rPr>
          <w:rFonts w:ascii="Arial" w:cs="Arial" w:eastAsia="Arial" w:hAnsi="Arial"/>
          <w:sz w:val="16"/>
          <w:szCs w:val="16"/>
          <w:i w:val="1"/>
          <w:iCs w:val="1"/>
          <w:color w:val="auto"/>
        </w:rPr>
        <w:t>Thomas v. Magnachip Semiconductor Corporation, et al.</w:t>
      </w:r>
      <w:r>
        <w:rPr>
          <w:rFonts w:ascii="Arial" w:cs="Arial" w:eastAsia="Arial" w:hAnsi="Arial"/>
          <w:sz w:val="16"/>
          <w:szCs w:val="16"/>
          <w:color w:val="auto"/>
        </w:rPr>
        <w:t xml:space="preserve">, Case No. 1:21-cv-03860 (S.D.N.Y.) (the “Thomas Complaint”), </w:t>
      </w:r>
      <w:r>
        <w:rPr>
          <w:rFonts w:ascii="Arial" w:cs="Arial" w:eastAsia="Arial" w:hAnsi="Arial"/>
          <w:sz w:val="16"/>
          <w:szCs w:val="16"/>
          <w:i w:val="1"/>
          <w:iCs w:val="1"/>
          <w:color w:val="auto"/>
        </w:rPr>
        <w:t>Finger v.</w:t>
      </w:r>
      <w:r>
        <w:rPr>
          <w:rFonts w:ascii="Arial" w:cs="Arial" w:eastAsia="Arial" w:hAnsi="Arial"/>
          <w:sz w:val="16"/>
          <w:szCs w:val="16"/>
          <w:color w:val="auto"/>
        </w:rPr>
        <w:t xml:space="preserve"> </w:t>
      </w:r>
      <w:r>
        <w:rPr>
          <w:rFonts w:ascii="Arial" w:cs="Arial" w:eastAsia="Arial" w:hAnsi="Arial"/>
          <w:sz w:val="16"/>
          <w:szCs w:val="16"/>
          <w:i w:val="1"/>
          <w:iCs w:val="1"/>
          <w:color w:val="auto"/>
        </w:rPr>
        <w:t>Magnachip Semiconductor Corporation, et al.</w:t>
      </w:r>
      <w:r>
        <w:rPr>
          <w:rFonts w:ascii="Arial" w:cs="Arial" w:eastAsia="Arial" w:hAnsi="Arial"/>
          <w:sz w:val="16"/>
          <w:szCs w:val="16"/>
          <w:color w:val="auto"/>
        </w:rPr>
        <w:t>, Case No. 1:21-cv-03927 (S.D.N.Y.),</w:t>
      </w:r>
      <w:r>
        <w:rPr>
          <w:rFonts w:ascii="Arial" w:cs="Arial" w:eastAsia="Arial" w:hAnsi="Arial"/>
          <w:sz w:val="16"/>
          <w:szCs w:val="16"/>
          <w:i w:val="1"/>
          <w:iCs w:val="1"/>
          <w:color w:val="auto"/>
        </w:rPr>
        <w:t xml:space="preserve"> Kent v. Magnachip Semiconductor Corporation, et al.</w:t>
      </w:r>
      <w:r>
        <w:rPr>
          <w:rFonts w:ascii="Arial" w:cs="Arial" w:eastAsia="Arial" w:hAnsi="Arial"/>
          <w:sz w:val="16"/>
          <w:szCs w:val="16"/>
          <w:color w:val="auto"/>
        </w:rPr>
        <w:t>, Case No.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1:21-cv-00657 (D. Del.) (the “Kent Complaint”), </w:t>
      </w:r>
      <w:r>
        <w:rPr>
          <w:rFonts w:ascii="Arial" w:cs="Arial" w:eastAsia="Arial" w:hAnsi="Arial"/>
          <w:sz w:val="16"/>
          <w:szCs w:val="16"/>
          <w:i w:val="1"/>
          <w:iCs w:val="1"/>
          <w:color w:val="auto"/>
        </w:rPr>
        <w:t>Kennedy v. Magnachip Semiconductor Corporation, et al.</w:t>
      </w:r>
      <w:r>
        <w:rPr>
          <w:rFonts w:ascii="Arial" w:cs="Arial" w:eastAsia="Arial" w:hAnsi="Arial"/>
          <w:sz w:val="16"/>
          <w:szCs w:val="16"/>
          <w:color w:val="auto"/>
        </w:rPr>
        <w:t xml:space="preserve">, Case No. 2:21-cv-02110 (E.D. Pa.) (the “Kennedy Complaint”), </w:t>
      </w:r>
      <w:r>
        <w:rPr>
          <w:rFonts w:ascii="Arial" w:cs="Arial" w:eastAsia="Arial" w:hAnsi="Arial"/>
          <w:sz w:val="16"/>
          <w:szCs w:val="16"/>
          <w:i w:val="1"/>
          <w:iCs w:val="1"/>
          <w:color w:val="auto"/>
        </w:rPr>
        <w:t>Monroy v. Magnachip Semiconductor Corporation, et al.</w:t>
      </w:r>
      <w:r>
        <w:rPr>
          <w:rFonts w:ascii="Arial" w:cs="Arial" w:eastAsia="Arial" w:hAnsi="Arial"/>
          <w:sz w:val="16"/>
          <w:szCs w:val="16"/>
          <w:color w:val="auto"/>
        </w:rPr>
        <w:t xml:space="preserve">, Case No. 1:21-cv-04921 (S.D.N.Y.) (the “Monroy Complaint”), and </w:t>
      </w:r>
      <w:r>
        <w:rPr>
          <w:rFonts w:ascii="Arial" w:cs="Arial" w:eastAsia="Arial" w:hAnsi="Arial"/>
          <w:sz w:val="16"/>
          <w:szCs w:val="16"/>
          <w:i w:val="1"/>
          <w:iCs w:val="1"/>
          <w:color w:val="auto"/>
        </w:rPr>
        <w:t>Jones v. Magnachip Semiconductor Corporation, et al.</w:t>
      </w:r>
      <w:r>
        <w:rPr>
          <w:rFonts w:ascii="Arial" w:cs="Arial" w:eastAsia="Arial" w:hAnsi="Arial"/>
          <w:sz w:val="16"/>
          <w:szCs w:val="16"/>
          <w:color w:val="auto"/>
        </w:rPr>
        <w:t>, Case No. 1:21-cv-04966 (S.D.N.Y.). Each Shareholder Complaint alleges either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preliminary proxy statement filed by the Company with the Securities and Exchange Commission (“SEC”) on April 19, 2021 or the definitive proxy statement filed by the Company with the SEC on May 7, 2021, is false and/or misleading and asserts claims for violations of Section 14(a) and 20(a) of the Securities Exchange Act of 1934, as amended (the “Exchange Act”), and SEC Rule 14a-9 against the Company and certain current or former members of the Company’s board of directors (the “Board”). The Schulthess Complaint, Castelli Complaint and Monroy Complaint also allege breaches of fiduciary duties by certain current or former members of the Board. The Schulthess Complaint further alleges that the Company aided and abetted purported breaches of fiduciary duties by certain current or former members of the Board.</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June 8, 2021, the Company voluntarily made supplemental disclosures related to the Merger on Form 8-K in response to certain allegations raised in the Shareholder Complaints described above in order to avoid the risk that the Shareholder Complaints may delay or otherwise adversely affect the consummation of the Merger and to minimize the expense of defending such actions. Since June 8, 2021, the plaintiffs who filed the Pittman Complaint, the Doolittle Complaint, the Flanagan Complaint, the Kennedy Complaint, the Kent Complaint, and the Thomas Complaint voluntarily dismissed their respective complaints.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August 11, 2021, certain of the complaints filed in the U.S. District Court for the Southern District of New York were consolidated and interim co-lead plaintiffs’ counsel were appointed. On August 26, 2021, the court entered the parties’ stipulated proposed scheduling order. Among other things, the order provides that the plaintiffs will file a consolidated amended complaint after the consummation of the Merger, followed by deadlines for the Company to respond to any such complaint.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86"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Merger-related Events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CFIUS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On May 26, 2021, outside legal counsel of each of the Company and Parent received an e-mail from the U.S. Department of Treasury on behalf of the Staff Chairperson of the CFIUS. In the e-mail, the CFIUS Staff Chairperson, acting on the recommendation of CFIUS, requested that the parties file a notice concerning the Merger and thereby undergo formal CFIUS review of the Merger. Under the terms of the Merger Agreement, the parties’ receipt of the request from CFIUS to file a notice concerning the Merger results in the closing of the Merger now being conditioned on the receipt of CFIUS approval without the imposition of a “Burdensome Condition” (as defined in the Merger Agreement), other than a Burdensome Condition to which Parent had previously agreed. The Company and Parent filed such notice with CFIUS on June 11, 2021.</w:t>
      </w:r>
    </w:p>
    <w:p>
      <w:pPr>
        <w:spacing w:after="0" w:line="178"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On June 15, 2021, outside legal counsel of each of the Company and Parent received a letter attaching an “Order Establishing Interim Mitigation Measures” (the “Interim Order”) from the U.S. Department of Treasury on behalf of CFIUS. The Interim Order imposes the following interim measures, effective as of June 15, 2021, on the Company and Parent: (i) neither of the Company or Parent shall take any action, directly or indirectly, to close, consummate, complete, or effectuate the purpose of the Merger, including: (a) the transfer, lease, license, or sale of any asset or subsidiary of the Company to Parent or any affiliate thereof, (b) the merger of Parent or any affiliate thereof with or into the Company or any affiliate thereof, or (c) the acquisition of any equity or other ownership interest in the Company or any affiliate thereof by Parent or any subsidiary thereof; (ii) Parent shall not take, and shall ensure that none of its subsidiaries take, any security interest in the Company or any affiliate thereof; and (iii) the Company shall not take any action to: (a) change its state of incorporation from Delaware to any other jurisdiction or (b) delist from, or modify the existing listing of the Company on, the New York Stock Exchange. The Interim Order is to remain in effect until (1) CFIUS concludes action under Section 721 of the Defense Production Act of 1950, as amended (the “DPA”) with respect to the Merger, (2) the President takes action or declines to take action under Section 721 of the DPA with respect to the Merger or (3) CFIUS or the President revokes or terminates the Interim Order.</w:t>
      </w:r>
    </w:p>
    <w:p>
      <w:pPr>
        <w:spacing w:after="0" w:line="172"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On June 17, 2021, in light of the Interim Order, the Company announced the postponement of its special meeting of stockholders, which was scheduled to be held at 8:00 p.m. Eastern time on June 17, 2021, pending further developments with respect to the Interim Order.</w:t>
      </w:r>
    </w:p>
    <w:p>
      <w:pPr>
        <w:spacing w:after="0" w:line="146"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On July 26, 2021, outside legal counsel of each of the Company and Parent received a letter from the Acting CFIUS Staff Chairperson notifying the parties that CFIUS will undertake an investigation of the Merger pursuant to Section 721(b)(2) of the DPA, which will be completed no later than September 13, 2021.</w:t>
      </w:r>
    </w:p>
    <w:p>
      <w:pPr>
        <w:spacing w:after="0" w:line="184" w:lineRule="exact"/>
        <w:rPr>
          <w:sz w:val="20"/>
          <w:szCs w:val="20"/>
          <w:color w:val="auto"/>
        </w:rPr>
      </w:pPr>
    </w:p>
    <w:p>
      <w:pPr>
        <w:ind w:left="120" w:right="220" w:firstLine="440"/>
        <w:spacing w:after="0" w:line="254" w:lineRule="auto"/>
        <w:rPr>
          <w:sz w:val="20"/>
          <w:szCs w:val="20"/>
          <w:color w:val="auto"/>
        </w:rPr>
      </w:pPr>
      <w:r>
        <w:rPr>
          <w:rFonts w:ascii="Arial" w:cs="Arial" w:eastAsia="Arial" w:hAnsi="Arial"/>
          <w:sz w:val="18"/>
          <w:szCs w:val="18"/>
          <w:color w:val="auto"/>
        </w:rPr>
        <w:t>On August 27, 2021, outside legal counsel for each of the Company and Parent received a letter from the Department of Treasury on behalf of CFIUS indicating that (i) CFIUS has identified risks to the national security of the United States arising as a result of the Merger, (ii) CFIUS has not identified any mitigation measures, including those proposed jointly by the Company and Parent, that CFIUS believes would adequately mitigate the identified risks, (iii) absent new information arising during the investigation period that alters CFIUS’s assessment of the national security risks or the feasibility of mitigation measures to resolve those risks, CFIUS anticipates that it will refer the matter to the President for decision, and (iv) the Company and Parent could provide additional information to CFIUS for consideration, including proposals to permanently mitigate the identified national security risks.</w:t>
      </w:r>
    </w:p>
    <w:p>
      <w:pPr>
        <w:spacing w:after="0" w:line="195"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By letter dated September 10, 2021, the Company and Parent, through outside legal counsel, asked CFIUS to permit them to withdraw and re-file their June 11, 2021 notice concerning the Merger, in order to permit further discussion with CFIUS concerning potential options for permanently mitigating risks to the national security that have been identified by CFIUS. By letter dated September 13, 2021, the Acting CFIUS Staff Chairperson notified the parties that CFIUS had granted this request and that a new CFIUS review period for the Merger would commence on September 14, 2021 and conclude no later than October 28, 2021. By letter dated October 28, 2021, the Acting CFIUS Staff Chairperson notified the parties that CFIUS is undertaking an investigation of the Merger pursuant to Section 721(b)(2) of the DPA, which will be completed no later than December 13, 2021.</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MOTIE</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June 16, 2021, the Company’s Korean subsidiary received a letter from the MOTIE requesting it to either apply for an approval or file a report, as may be applicable, under Article 11-2 of the Act on Prevention of Divulgence and Protection of Industrial Technology (the “ITA”) concerning the Merger.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86"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Under the terms of the Merger Agreement, the Company’s Korean subsidiary’s receipt of the request from MOTIE to apply for approval or file a report pursuant to the ITA concerning the Merger may be deemed to have resulted in the closing of the Merger now being conditioned on the receipt of MOTIE’s authorization without the imposition of a “Burdensome Condition” (as defined in the Merger Agreement), other than a Burdensome Condition to which Parent had previously agreed. The Company’s Korean subsidiary filed such report with MOTIE on July 20, 2021.</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SAMR</w:t>
      </w:r>
    </w:p>
    <w:p>
      <w:pPr>
        <w:spacing w:after="0" w:line="117" w:lineRule="exact"/>
        <w:rPr>
          <w:sz w:val="20"/>
          <w:szCs w:val="20"/>
          <w:color w:val="auto"/>
        </w:rPr>
      </w:pPr>
    </w:p>
    <w:p>
      <w:pPr>
        <w:ind w:left="120" w:right="380" w:firstLine="440"/>
        <w:spacing w:after="0" w:line="286" w:lineRule="auto"/>
        <w:rPr>
          <w:sz w:val="20"/>
          <w:szCs w:val="20"/>
          <w:color w:val="auto"/>
        </w:rPr>
      </w:pPr>
      <w:r>
        <w:rPr>
          <w:rFonts w:ascii="Arial" w:cs="Arial" w:eastAsia="Arial" w:hAnsi="Arial"/>
          <w:sz w:val="17"/>
          <w:szCs w:val="17"/>
          <w:color w:val="auto"/>
        </w:rPr>
        <w:t>On June 30, 2021, based on an application filed by the Company and Parent on May 7, 2021, the State Administration for Market Regulation (“SAMR”) announced that the Merger was cleared pursuant to the Anti-monopoly Law (China) on June 21, 2021. Under the terms of the Merger Agreement, the parties’ receipt of the clearance from SAMR satisfies one of the conditions to the closing of the Merger.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Advances to Suppliers</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Company, from time to time, may make advances in form of prepayments or deposits to suppliers to procure materials to meet its planned production. The Company recorded advances of $1,150 thousand and $5,500 thousand as other current assets as of September 30, 2021 and December 31, 2020, respectively.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86"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FORWARD LOOKING STATEMENTS</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7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in “Part II: Item 1A. Risk Factors” herein and in “Part I: Item 1A. Risk Factors” in our Annual Report on Form 10-K filed on March 9, 2021 (“2020 Form 10-K”) (including that the impact of the COVID-19 pandemic may also exacerbate the risks discussed therein).</w:t>
      </w:r>
    </w:p>
    <w:p>
      <w:pPr>
        <w:spacing w:after="0" w:line="185"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184"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Statements made in this Quarterly Report on Form 10-Q (this “Report”), unless the context otherwise requires, that include the use of the terms “we,” “us,” “our” and “Magnachip” refer to Magnachip Semiconductor Corporation and its consolidated subsidiaries. The term “Korea” refers to the Republic of Korea or South Korea.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86"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The following discussion and analysis should be read in conjunction with the interim unaudited consolidated financial statements and the related notes included elsewhere in this Report.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60" w:firstLine="440"/>
        <w:spacing w:after="0" w:line="311" w:lineRule="auto"/>
        <w:rPr>
          <w:sz w:val="20"/>
          <w:szCs w:val="20"/>
          <w:color w:val="auto"/>
        </w:rPr>
      </w:pPr>
      <w:r>
        <w:rPr>
          <w:rFonts w:ascii="Arial" w:cs="Arial" w:eastAsia="Arial" w:hAnsi="Arial"/>
          <w:sz w:val="16"/>
          <w:szCs w:val="16"/>
          <w:color w:val="auto"/>
        </w:rPr>
        <w:t>We are a designer and manufacturer of analog and mixed-signal semiconductor platform solutions for communications, IoT applications, consumer, computing, industrial and automotive applications. We have a proven record with more than 40 years of operating history, a portfolio of approximately 1,200 registered patents and pending applications and extensive engineering and manufacturing process expertise.</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standard products business includes our Display Solutions and Power Solutions business lines.</w:t>
      </w:r>
    </w:p>
    <w:p>
      <w:pPr>
        <w:spacing w:after="0" w:line="225"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Our Display Solutions products provides flat panel display solutions to major suppliers of large and small flat panel displays. These products include source and gate drivers and timing controllers that cover a wide range of flat panel displays used in mobile communications, automobiles, entertainment devices, notebook PCs, monitors and liquid crystal display (LCD) and organic light emitting diodes (OLED). Our Display Solutions products support some of the industry’s most advanced display technologies, such as OLEDs, low temperature polysilicons thin film transistors (LTPS TFTs) and amorphous silicon thin film transistors (a-Si TFTs). Since 2007, we have designed and manufactured OLED display driver integrated circuit (IC) products. Our current portfolio of OLED solutions address a wide range of resolutions ranging from HD to Wide Quad High Definition (WQHD) for applications including smartphones, TVs, and other mobile devices.</w:t>
      </w:r>
    </w:p>
    <w:p>
      <w:pPr>
        <w:spacing w:after="0" w:line="17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Power Solutions business line produces power management semiconductor products including discrete and integrated circuit solutions for power management in consumer, communications, computing and industrial applications. These products include metal oxide semiconductor field effect transistors (MOSFETs), insulated-gate bipolar transistors (IGBTs), AC-DC converters, DC-DC converters, LED drivers, switching regulators, linear regulators, interface ICs and power management ICs (PMICs) for a range of devices, including televisions, smartphones, desktop PCs, notebooks, tablets, servers, telecommunication power, home appliances, industrial applications such as uninterruptible power supplies (UPSs), LED lighting, personal mobility, motor drives and battery management systems (BMS).</w:t>
      </w:r>
    </w:p>
    <w:p>
      <w:pPr>
        <w:spacing w:after="0" w:line="192"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Our wide variety of analog and mixed-signal semiconductor products combined with our mature technology platform allow us to address multiple high-growth end markets and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w:t>
      </w:r>
    </w:p>
    <w:p>
      <w:pPr>
        <w:spacing w:after="0" w:line="15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also invest in relevant research and development activities and purchase necessary materials on a timely basis to meet our customers’ demand while maintaining our target margins and cash flow.</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8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Demand for our products and services is driven by overall demand for communications, IoT, consumer and industrial products and can be adversely affected by periods of weak consumer and enterprise spending or by market share losses by our customers. In order to mitigate the impact of market volatility on our business, we continually strive to diversify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86"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Net sales for our standard products business are driven by design wins in which we are selected by an electronics original equipment manufacturer (OEM) or other potential customer to supply its demand for a particular product. A customer will often have more than one supplier designed into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64"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In contrast to completely fabless semiconductor companies, our internal manufacturing capacity provides us with greater control over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products. However, having internal manufacturing capacity exposes us to the risk of under-utilization of manufacturing capacity that results in lower gross profit margins, particularly during downturns in the semiconductor industry.</w:t>
      </w:r>
    </w:p>
    <w:p>
      <w:pPr>
        <w:spacing w:after="0" w:line="19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standard products business requires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technology and 12-inch wafer capacity, such as organic light emitting diodes (OLED). We believe this balanced capital investment strategy enables us to optimize our capital investments and facilitates more diversified product and service offerings.</w:t>
      </w:r>
    </w:p>
    <w:p>
      <w:pPr>
        <w:spacing w:after="0" w:line="16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Since 2007, we had designed and manufactured OLED display driver ICs in our internal manufacturing facilities. As we expanded our design capabilities to products that require lower geometries unavailable at our existing manufacturing facilities, we began outsourcing manufacturing of certain OLED display driver ICs to an external 12-inch foundry starting in the second half of 2015. This additional source of manufacturing is an increasingly important part of our supply chain management. By outsourcing manufacturing of OLED products to external 12-inch foundries, we are able to adapt dynamically to changing customer requirements and address growing markets without substantial capital investments by us. However, relying on external foundries exposes us to the risk of being unable to secure manufacturing capacity, particularly under the current global shortage of foundry services. Although we are working strategically with external foundries to secure long-term wafer capacity, if we are unsuccessful, our ability to deliver products to our customers may be negatively impacted, which would adversely affect our relationship with customers and opportunities to secure new design-wins.</w:t>
      </w:r>
    </w:p>
    <w:p>
      <w:pPr>
        <w:spacing w:after="0" w:line="196"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86"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Merger</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March 25, 2021, we entered into the Merger Agreement with Parent and Merger Sub, pursuant to which, among other things, and subject to the terms and conditions thereof, Merger Sub will be merged with and into the Company, with the Company continuing its corporate existence as the surviving corporation in the Merger and becoming a wholly owned subsidiary of Parent.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the terms of the Merger Agreement, each share of our common stock issued and outstanding immediately before the Effective Time (other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than Excluded Shares and Dissenting Shares) will be cancelled and will cease to exist and will be automatically converted into the right to receive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$29.00 in cash, without interest, and subject to applicable withholding taxes. The all-cash transaction has an equity value of approximately $1.4 billion.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Merger is fully backed by equity commitments and not contingent on any financing conditions.</w:t>
      </w:r>
    </w:p>
    <w:p>
      <w:pPr>
        <w:spacing w:after="0" w:line="211"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We have incurred, and will continue to incur, significant costs, expenses and fees for professional services and other transaction costs in connection with the Merger.</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For more information on the Merger Agreement and the Merger, see “Item 1. Interim Consolidated Financial Statements—Notes to Consolidated Financial Statements—Note 2. Merger Agreement” in this Report.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 of 5.0% Exchangeable Senior Notes due 2021 (the “Exchangeable Notes”)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Prior to the March 1, 2021 maturity of our Exchangeable Notes, holders thereof elected to exchange the Exchangeable Notes for an aggregate of 10,144,131 shares of our common stock in satisfaction in full of the outstanding obligations under the Exchangeable Notes. On March 1, 2021, we paid the final interest payment on the Exchangeable Notes of $2.1 million and no longer have any Exchangeable Notes obligations outstanding as of such date.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December 2019, a strain of coronavirus causing a disease known as COVID-19 surfaced in Wuhan, China, resulting in significant disruptions among Chinese manufacturing and other facilities and travel throughout China. In March 2020, the World Health Organization declared the COVID-19 outbreak a pandemic. Governmental authorities throughout the world have implemented numerous containment measures, including travel bans and restrictions, quarantines, shelter-in-place orders, and business restrictions and shutdowns, resulting in rapidly changing market and economic conditions. Although some of these restrictions and other containment measures have since been lifted or scaled back, ongoing surges of COVID-19 have, in some cases, resulted in the re-imposition of certain restrictions and containment measures, and may continue to lead to other restrictions being re-implemented in the foreseeable future in response to efforts to reduce the rapid spread of COVID-19.</w:t>
      </w:r>
    </w:p>
    <w:p>
      <w:pPr>
        <w:spacing w:after="0" w:line="17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experienced some minor disruption in our Power Solutions business from assembly and test subcontractors located in China in the first quarter of 2020 as a result of the COVID-19 pandemic. To date, our external Display Solutions business contractors and sub-contractors have not been materially impacted by the COVID-19 pandemic. We are, however, unable to accurately predict the full impact that the COVID-19 pandemic will have on future results of operations due to numerous uncertainties, including the severity and the duration of the outbreak, the efficacy of ongoing global vaccination efforts, potential future recurrences of the outbreak, the spread of disease variants that may be resistant to the existing vaccines, further containment actions that may be taken by governmental authorities, the impact to the businesses of our customers and suppliers, and other factors.</w:t>
      </w:r>
    </w:p>
    <w:p>
      <w:pPr>
        <w:spacing w:after="0" w:line="164"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We continue to closely monitor and evaluate the nature and scope of the impact of the COVID-19 pandemic to our business, consolidated results of operations, and financial condition, and may take further actions altering our business operations and managing our costs and liquidity that we deem necessary or appropriate to respond to this fast moving and uncertain global health crisis and the resulting global economic consequences.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Semiconductor Chip Shortage</w:t>
      </w:r>
    </w:p>
    <w:p>
      <w:pPr>
        <w:spacing w:after="0" w:line="11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Recent sharp increases in demand for semiconductor products have resulted in a global shortage of manufacturing capacity. As a result, we may experience increased costs to manufacture our products and may not be able to manufacture and deliver all of the orders placed by our customers. Specifically, if we are unable to secure manufacturing capacity from the external foundries we rely on, our ability to deliver products to our customers may be negatively impacted. Also, this shortage of manufacturing capacity may lead to an increase in our manufacturing costs which we may not be fully able to pass on to our customers.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86"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In an effort to minimize the potential adverse impact of the supply shortage, we are working strategically with external foundries to secure long-term wafer capacity. If we are unsuccessful, however, such shortage could limit our ability to meet demand for our products in the future, which would adversely affect our reputation and competitive position, resulting in a negative impact on results of operations.</w:t>
      </w:r>
    </w:p>
    <w:p>
      <w:pPr>
        <w:spacing w:after="0" w:line="165"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We are not able to foresee when the current shortage of manufacturing capacity will subside. A prolonged global supply shortage could negatively impact our financial condition, potentially resulting in a need for additional capital to fund strategic initiatives or operating activities.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86"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Explanation and Reconciliation of Non-U.S. GAAP Measures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EBITDA, Adjusted Operating Income and Adjusted Net Income</w:t>
      </w:r>
    </w:p>
    <w:p>
      <w:pPr>
        <w:spacing w:after="0" w:line="117" w:lineRule="exact"/>
        <w:rPr>
          <w:sz w:val="20"/>
          <w:szCs w:val="20"/>
          <w:color w:val="auto"/>
        </w:rPr>
      </w:pPr>
    </w:p>
    <w:p>
      <w:pPr>
        <w:jc w:val="both"/>
        <w:ind w:left="120" w:right="560" w:firstLine="440"/>
        <w:spacing w:after="0" w:line="287" w:lineRule="auto"/>
        <w:rPr>
          <w:sz w:val="20"/>
          <w:szCs w:val="20"/>
          <w:color w:val="auto"/>
        </w:rPr>
      </w:pPr>
      <w:r>
        <w:rPr>
          <w:rFonts w:ascii="Arial" w:cs="Arial" w:eastAsia="Arial" w:hAnsi="Arial"/>
          <w:sz w:val="16"/>
          <w:szCs w:val="16"/>
          <w:color w:val="auto"/>
        </w:rPr>
        <w:t>We use the terms Adjusted EBITDA, Adjusted Operating Income and Adjusted Net Income (including on a per share basis) in this Report. Adjusted EBITDA, as we define it, is a non-U.S. GAAP measure. We define Adjusted EBITDA for the periods indicated as EBITDA (as defined below), adjusted to exclude (i) equity-based compensation expense, (ii) foreign currency loss (gain), net, (iii) derivative valuation gain, net,</w:t>
      </w:r>
    </w:p>
    <w:p>
      <w:pPr>
        <w:spacing w:after="0" w:line="2" w:lineRule="exact"/>
        <w:rPr>
          <w:sz w:val="20"/>
          <w:szCs w:val="20"/>
          <w:color w:val="auto"/>
        </w:rPr>
      </w:pPr>
    </w:p>
    <w:p>
      <w:pPr>
        <w:ind w:left="120" w:right="60" w:hanging="4"/>
        <w:spacing w:after="0" w:line="255" w:lineRule="auto"/>
        <w:tabs>
          <w:tab w:leader="none" w:pos="42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inventory reserve related to Huawei impact of downstream trade restrictions, (v) expenses related to Fab 3 power outage and (vi) other charges, net. EBITDA for the periods indicated is defined as income (loss) from continuing operations before interest expense (income), net, income tax expense (benefit), and depreciation and amortization.</w:t>
      </w:r>
    </w:p>
    <w:p>
      <w:pPr>
        <w:spacing w:after="0" w:line="19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See the footnotes to the table below for further information regarding these items. We present Adjusted EBITDA as a supplemental measure of our performance because:</w:t>
      </w:r>
    </w:p>
    <w:p>
      <w:pPr>
        <w:spacing w:after="0" w:line="76" w:lineRule="exact"/>
        <w:rPr>
          <w:sz w:val="20"/>
          <w:szCs w:val="20"/>
          <w:color w:val="auto"/>
        </w:rPr>
      </w:pPr>
    </w:p>
    <w:p>
      <w:pPr>
        <w:ind w:left="540" w:right="60" w:hanging="316"/>
        <w:spacing w:after="0" w:line="263"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p>
      <w:pPr>
        <w:spacing w:after="0" w:line="89" w:lineRule="exact"/>
        <w:rPr>
          <w:rFonts w:ascii="Arial" w:cs="Arial" w:eastAsia="Arial" w:hAnsi="Arial"/>
          <w:sz w:val="18"/>
          <w:szCs w:val="18"/>
          <w:color w:val="auto"/>
        </w:rPr>
      </w:pPr>
    </w:p>
    <w:p>
      <w:pPr>
        <w:ind w:left="540" w:right="140" w:hanging="316"/>
        <w:spacing w:after="0" w:line="263"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believe that Adjusted EBITDA is commonly requested and used by securities analysts, investors and other interested parties in the evaluation of the Company as an enterprise level performance measure that eliminates the effects of financing, income taxes and the accounting effects of capital spending, as well as other one time or recurring items described above; and</w:t>
      </w:r>
    </w:p>
    <w:p>
      <w:pPr>
        <w:spacing w:after="0" w:line="89" w:lineRule="exact"/>
        <w:rPr>
          <w:rFonts w:ascii="Arial" w:cs="Arial" w:eastAsia="Arial" w:hAnsi="Arial"/>
          <w:sz w:val="18"/>
          <w:szCs w:val="18"/>
          <w:color w:val="auto"/>
        </w:rPr>
      </w:pPr>
    </w:p>
    <w:p>
      <w:pPr>
        <w:ind w:left="540" w:right="760" w:hanging="316"/>
        <w:spacing w:after="0" w:line="308"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believe that Adjusted EBITDA is useful for investors, among other reasons, to assess the Company’s period-to-period core operating performance and to understand and assess the manner in which management analyzes operating performance.</w:t>
      </w:r>
    </w:p>
    <w:p>
      <w:pPr>
        <w:spacing w:after="0" w:line="38"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color w:val="auto"/>
        </w:rPr>
        <w:t>We use Adjusted EBITDA in a number of ways, including:</w:t>
      </w:r>
    </w:p>
    <w:p>
      <w:pPr>
        <w:spacing w:after="0" w:line="130" w:lineRule="exact"/>
        <w:rPr>
          <w:rFonts w:ascii="Arial" w:cs="Arial" w:eastAsia="Arial" w:hAnsi="Arial"/>
          <w:sz w:val="17"/>
          <w:szCs w:val="17"/>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annual operating budget;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evaluate the effectiveness of our enterprise level business strategies;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consolidated financial performance;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certain of our compensation plans as a performance measure for determining incentive compensation payments.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income from continuing operations, cash flows from operating activities or net income, as determined in accordance with U.S. GAAP. A reconciliation of loss from continuing operations to Adjusted EBITDA from continuing operations is as follows:</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4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2"/>
              </w:rPr>
              <w:t>Nine Months</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13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3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2021</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gridSpan w:val="5"/>
          </w:tcPr>
          <w:p>
            <w:pPr>
              <w:jc w:val="right"/>
              <w:ind w:right="1180"/>
              <w:spacing w:after="0" w:line="142" w:lineRule="exact"/>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Interest expense (income), net</w:t>
            </w:r>
          </w:p>
        </w:tc>
        <w:tc>
          <w:tcPr>
            <w:tcW w:w="18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 (benefit)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expense(a)</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Foreign currency loss (gain), net(b)</w:t>
            </w:r>
          </w:p>
        </w:tc>
        <w:tc>
          <w:tcPr>
            <w:tcW w:w="18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valuation gain, net(c)</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Inventory reserve related to Huawei impact of</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520"/>
              <w:spacing w:after="0"/>
              <w:rPr>
                <w:sz w:val="20"/>
                <w:szCs w:val="20"/>
                <w:color w:val="auto"/>
              </w:rPr>
            </w:pPr>
            <w:r>
              <w:rPr>
                <w:rFonts w:ascii="Arial" w:cs="Arial" w:eastAsia="Arial" w:hAnsi="Arial"/>
                <w:sz w:val="18"/>
                <w:szCs w:val="18"/>
                <w:color w:val="auto"/>
              </w:rPr>
              <w:t>downstream trade restrictions(d)</w:t>
            </w:r>
          </w:p>
        </w:tc>
        <w:tc>
          <w:tcPr>
            <w:tcW w:w="180" w:type="dxa"/>
            <w:vAlign w:val="bottom"/>
          </w:tcPr>
          <w:p>
            <w:pPr>
              <w:spacing w:after="0"/>
              <w:rPr>
                <w:sz w:val="20"/>
                <w:szCs w:val="20"/>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Expenses related to Fab 3 power outage(e)</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Other charges, net(f)</w:t>
            </w:r>
          </w:p>
        </w:tc>
        <w:tc>
          <w:tcPr>
            <w:tcW w:w="18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hanging="424"/>
        <w:spacing w:after="0" w:line="254"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540" w:right="120" w:hanging="424"/>
        <w:spacing w:after="0" w:line="265"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ind w:left="540" w:right="60" w:hanging="424"/>
        <w:spacing w:after="0" w:line="265"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ind w:left="540" w:hanging="424"/>
        <w:spacing w:after="0" w:line="281"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three and nine months ended September 30, 2020, this adjustment eliminates the impact of excess and obsolete inventory charge that we recorded in relation to the U.S. Government’s export restrictions on Huawei, which is a downstream customer of some of our direct customers. For the three and nine months ended September 31, 2021, this adjustment eliminates a partial reversal of such inventory charge as a portion of such reserved inventory was subsequently sold to certain other customers. As this charge and the timing of its partial reversal meaningfully impacted our operational results and are not expected to represent an ongoing operating expense subject to our ability to foresee and control, we believe our operating performance results are more meaningfully compared if this charge and related reversal are excluded.</w:t>
      </w:r>
    </w:p>
    <w:p>
      <w:pPr>
        <w:spacing w:after="0" w:line="3" w:lineRule="exact"/>
        <w:rPr>
          <w:rFonts w:ascii="Arial" w:cs="Arial" w:eastAsia="Arial" w:hAnsi="Arial"/>
          <w:sz w:val="16"/>
          <w:szCs w:val="16"/>
          <w:color w:val="auto"/>
        </w:rPr>
      </w:pPr>
    </w:p>
    <w:p>
      <w:pPr>
        <w:ind w:left="540" w:right="300" w:hanging="424"/>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adjustment eliminates $1.2 million in expenses related to the write-off of the damaged work in process wafers and charges for facility recovery. These charges are inconsistent in amount and frequency, and we do not believe that these charges are indicative of our core operation performance and have been excluded for comparative purposes.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three and nine months ended September 30, 2021, this adjustment eliminates non-recurring professional service fees and expenses of</w:t>
      </w:r>
    </w:p>
    <w:p>
      <w:pPr>
        <w:spacing w:after="0" w:line="32" w:lineRule="exact"/>
        <w:rPr>
          <w:rFonts w:ascii="Arial" w:cs="Arial" w:eastAsia="Arial" w:hAnsi="Arial"/>
          <w:sz w:val="16"/>
          <w:szCs w:val="16"/>
          <w:color w:val="auto"/>
        </w:rPr>
      </w:pPr>
    </w:p>
    <w:p>
      <w:pPr>
        <w:ind w:left="540" w:right="20"/>
        <w:spacing w:after="0" w:line="270" w:lineRule="auto"/>
        <w:rPr>
          <w:rFonts w:ascii="Arial" w:cs="Arial" w:eastAsia="Arial" w:hAnsi="Arial"/>
          <w:sz w:val="16"/>
          <w:szCs w:val="16"/>
          <w:color w:val="auto"/>
        </w:rPr>
      </w:pPr>
      <w:r>
        <w:rPr>
          <w:rFonts w:ascii="Arial" w:cs="Arial" w:eastAsia="Arial" w:hAnsi="Arial"/>
          <w:sz w:val="17"/>
          <w:szCs w:val="17"/>
          <w:color w:val="auto"/>
        </w:rPr>
        <w:t>$1.8 million and $17.2 million, respectively, incurred in connection with the Merger and regulatory requests, both of which were offset in part by a $0.7 million legal settlement gain related to certain expenses incurred in prior periods in connection with our legacy Fab 4 (which was sold during the year ended December 31, 2020) and awarded in the current quarter. For the nine months ended September 30, 2020, this adjustment eliminates non-recurring professional service fees and expenses incurred in connection with certain treasury and finance initiatives. As these expenses meaningfully impacted our operating results and are not expected to represent an ongoing operating expense to us, we believe our operating performance results are more usefully compared if these expenses are excluded.</w:t>
      </w:r>
    </w:p>
    <w:p>
      <w:pPr>
        <w:spacing w:after="0" w:line="70" w:lineRule="exact"/>
        <w:rPr>
          <w:rFonts w:ascii="Arial" w:cs="Arial" w:eastAsia="Arial" w:hAnsi="Arial"/>
          <w:sz w:val="16"/>
          <w:szCs w:val="16"/>
          <w:color w:val="auto"/>
        </w:rPr>
      </w:pPr>
    </w:p>
    <w:p>
      <w:pPr>
        <w:ind w:left="560" w:right="180"/>
        <w:spacing w:after="0" w:line="277" w:lineRule="auto"/>
        <w:rPr>
          <w:rFonts w:ascii="Arial" w:cs="Arial" w:eastAsia="Arial" w:hAnsi="Arial"/>
          <w:sz w:val="16"/>
          <w:szCs w:val="16"/>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6"/>
          <w:szCs w:val="16"/>
          <w:color w:val="auto"/>
        </w:rPr>
      </w:pPr>
    </w:p>
    <w:p>
      <w:pPr>
        <w:ind w:left="1080" w:hanging="424"/>
        <w:spacing w:after="0"/>
        <w:tabs>
          <w:tab w:leader="none" w:pos="1080" w:val="left"/>
        </w:tabs>
        <w:numPr>
          <w:ilvl w:val="1"/>
          <w:numId w:val="6"/>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service interest or principal payments, on our debt;</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need to be replaced in the future, and Adjusted EBITDA does not reflect any cash requirements for such replacements;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Adjusted EBITDA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6"/>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than we do, limiting its usefulness as a comparative measure.</w:t>
      </w:r>
    </w:p>
    <w:p>
      <w:pPr>
        <w:spacing w:after="0" w:line="140"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86"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present Adjusted Operating Income as supplemental measures of our performance. We prepare Adjusted Operating Income by adjusting operating income to eliminate the impact of equity-based compensation expenses and other items that may be either one time or recurring that we do not consider to be indicative of our core ongoing operating performance. We believe that Adjusted Operating Income is useful to investors to provide a supplemental way to understand our underlying operating performance and allows investors to monitor and understand changes in our ability to generate income from ongoing business operations.</w:t>
      </w:r>
    </w:p>
    <w:p>
      <w:pPr>
        <w:spacing w:after="0" w:line="188"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Adjusted Operating Income is not a measure defined in accordance with U.S. GAAP and should not be construed as an alternative to operating income, income from continuing operations, cash flows from operating activities or net income, as determined in accordance with U.S. GAAP. We encourage you to evaluate each adjustment and the reasons we consider them appropriate. Other companies in our industry may calculate Adjusted Operating Income differently than we do, limiting its usefulness as a comparative measure. In addition, in evaluating Adjusted Operating Income, you should be aware that in the future we may incur expenses similar to the adjustments in this presentation. We define Adjusted Operating Income for the periods indicated as operating income adjusted to exclude (i) equity-based compensation expense, (ii) inventory reserve related to Huawei impact of downstream trade restrictions, (iii) expenses related to Fab 3 power outage and (iv) other charges.</w:t>
      </w:r>
    </w:p>
    <w:p>
      <w:pPr>
        <w:spacing w:after="0" w:line="166"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following table summarizes the adjustments to operating income that we make in order to calculate Adjusted Operating Income from continuing operations for the periods indicated:</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280" w:type="dxa"/>
            <w:vAlign w:val="bottom"/>
          </w:tcPr>
          <w:p>
            <w:pPr>
              <w:spacing w:after="0"/>
              <w:rPr>
                <w:sz w:val="14"/>
                <w:szCs w:val="14"/>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Nine Months</w:t>
            </w:r>
          </w:p>
        </w:tc>
        <w:tc>
          <w:tcPr>
            <w:tcW w:w="280" w:type="dxa"/>
            <w:vAlign w:val="bottom"/>
          </w:tcPr>
          <w:p>
            <w:pPr>
              <w:spacing w:after="0"/>
              <w:rPr>
                <w:sz w:val="14"/>
                <w:szCs w:val="14"/>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3"/>
              </w:rPr>
              <w:t>Three Months</w:t>
            </w:r>
          </w:p>
        </w:tc>
        <w:tc>
          <w:tcPr>
            <w:tcW w:w="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2"/>
                <w:szCs w:val="12"/>
                <w:color w:val="auto"/>
              </w:rPr>
            </w:pP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280" w:type="dxa"/>
            <w:vAlign w:val="bottom"/>
          </w:tcPr>
          <w:p>
            <w:pPr>
              <w:spacing w:after="0"/>
              <w:rPr>
                <w:sz w:val="12"/>
                <w:szCs w:val="12"/>
                <w:color w:val="auto"/>
              </w:rPr>
            </w:pPr>
          </w:p>
        </w:tc>
        <w:tc>
          <w:tcPr>
            <w:tcW w:w="150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9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2021</w:t>
            </w: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4"/>
          </w:tcPr>
          <w:p>
            <w:pPr>
              <w:jc w:val="right"/>
              <w:ind w:right="8"/>
              <w:spacing w:after="0" w:line="142" w:lineRule="exact"/>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w:t>
            </w: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19.5</w:t>
            </w: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Adjustments: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expense(a)</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ind w:left="340"/>
              <w:spacing w:after="0" w:line="201" w:lineRule="exact"/>
              <w:rPr>
                <w:sz w:val="20"/>
                <w:szCs w:val="20"/>
                <w:color w:val="auto"/>
              </w:rPr>
            </w:pPr>
            <w:r>
              <w:rPr>
                <w:rFonts w:ascii="Arial" w:cs="Arial" w:eastAsia="Arial" w:hAnsi="Arial"/>
                <w:sz w:val="18"/>
                <w:szCs w:val="18"/>
                <w:color w:val="auto"/>
              </w:rPr>
              <w:t>Inventory reserve related to Huawei impact of</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downstream trade restrictions(b)</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Expenses related to Fab 3 power outage(c)</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Other charges(d)</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22.7</w:t>
            </w: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41.7</w:t>
            </w: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25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three and nine months ended September 30, 2020, this adjustment eliminates the impact of excess and obsolete inventory charge that we recorded in relation to the U.S. Government’s export restrictions on Huawei, which is a downstream customer of some of our direct customers. For the three and nine months ended September 31, 2021, this adjustment eliminates a partial reversal of such inventory charge as a portion of such reserved inventory was subsequently sold to certain other customers. As this charge and the timing of its partial reversal meaningfully impacted our operational results and are not expected to represent an ongoing operating expense subject to our ability to foresee and control, we believe our operating performance results are more meaningfully compared if this charge and related reversal are excluded.</w:t>
      </w:r>
    </w:p>
    <w:p>
      <w:pPr>
        <w:spacing w:after="0" w:line="3" w:lineRule="exact"/>
        <w:rPr>
          <w:rFonts w:ascii="Arial" w:cs="Arial" w:eastAsia="Arial" w:hAnsi="Arial"/>
          <w:sz w:val="16"/>
          <w:szCs w:val="16"/>
          <w:color w:val="auto"/>
        </w:rPr>
      </w:pPr>
    </w:p>
    <w:p>
      <w:pPr>
        <w:ind w:left="540" w:right="300" w:hanging="424"/>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adjustment eliminates $1.2 million in expenses related to the write-off of the damaged work in process wafers and charges for facility recovery. These charges are inconsistent in amount and frequency, and we do not believe that these charges are indicative of our core operation performance and have been excluded for comparative purposes.</w:t>
      </w:r>
    </w:p>
    <w:p>
      <w:pPr>
        <w:spacing w:after="0" w:line="1" w:lineRule="exact"/>
        <w:rPr>
          <w:rFonts w:ascii="Arial" w:cs="Arial" w:eastAsia="Arial" w:hAnsi="Arial"/>
          <w:sz w:val="18"/>
          <w:szCs w:val="18"/>
          <w:color w:val="auto"/>
        </w:rPr>
      </w:pPr>
    </w:p>
    <w:p>
      <w:pPr>
        <w:ind w:left="540" w:right="20" w:hanging="424"/>
        <w:spacing w:after="0" w:line="253"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three and nine months ended September 30, 2021, this adjustment eliminates non-recurring professional service fees and expenses incurred in connection with the Merger and regulatory requests. For the nine months ended September 30, 2020, this adjustment eliminates non-recurring professional service fees and expenses incurred in connection with certain treasury and finance initiatives. As these expenses meaningfully impacted our operating results and are not expected to represent an ongoing operating expense to us, we believe our operating performance results are more usefully compared if these expenses are excluded.</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86"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present Adjusted Net Income (including on a per share basis) as a further supplemental measure of our performance. We prepare Adjusted Net Income (including on a per share basis) by adjusting income (loss) from continuing operations to eliminate the impact of a number of non-cash expenses and other items that may be either one time or recurring that we do not consider to be indicative of our core ongoing operating performance. We believe that Adjusted Net Income (including on a per share basis) is particularly useful because it reflects the impact of our asset base and capital structure on our operating performance. We present Adjusted Net Income (including on a per share basis) for a number of reasons, including:</w:t>
      </w:r>
    </w:p>
    <w:p>
      <w:pPr>
        <w:spacing w:after="0" w:line="67" w:lineRule="exact"/>
        <w:rPr>
          <w:sz w:val="20"/>
          <w:szCs w:val="20"/>
          <w:color w:val="auto"/>
        </w:rPr>
      </w:pPr>
    </w:p>
    <w:p>
      <w:pPr>
        <w:ind w:left="1540" w:right="340" w:hanging="331"/>
        <w:spacing w:after="0" w:line="286" w:lineRule="auto"/>
        <w:tabs>
          <w:tab w:leader="none" w:pos="1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use Adjusted Net Income (including on a per share basis)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p>
      <w:pPr>
        <w:spacing w:after="0" w:line="70" w:lineRule="exact"/>
        <w:rPr>
          <w:rFonts w:ascii="Arial" w:cs="Arial" w:eastAsia="Arial" w:hAnsi="Arial"/>
          <w:sz w:val="17"/>
          <w:szCs w:val="17"/>
          <w:color w:val="auto"/>
        </w:rPr>
      </w:pPr>
    </w:p>
    <w:p>
      <w:pPr>
        <w:jc w:val="both"/>
        <w:ind w:left="1540" w:right="180" w:hanging="331"/>
        <w:spacing w:after="0" w:line="286" w:lineRule="auto"/>
        <w:tabs>
          <w:tab w:leader="none" w:pos="1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believe that reporting Adjusted Net Income (including on a per share basis)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p>
      <w:pPr>
        <w:spacing w:after="0" w:line="165" w:lineRule="exact"/>
        <w:rPr>
          <w:sz w:val="20"/>
          <w:szCs w:val="20"/>
          <w:color w:val="auto"/>
        </w:rPr>
      </w:pPr>
    </w:p>
    <w:p>
      <w:pPr>
        <w:jc w:val="both"/>
        <w:ind w:left="120" w:right="20" w:firstLine="440"/>
        <w:spacing w:after="0" w:line="284" w:lineRule="auto"/>
        <w:rPr>
          <w:sz w:val="20"/>
          <w:szCs w:val="20"/>
          <w:color w:val="auto"/>
        </w:rPr>
      </w:pPr>
      <w:r>
        <w:rPr>
          <w:rFonts w:ascii="Arial" w:cs="Arial" w:eastAsia="Arial" w:hAnsi="Arial"/>
          <w:sz w:val="16"/>
          <w:szCs w:val="16"/>
          <w:color w:val="auto"/>
        </w:rPr>
        <w:t>Adjusted Net Income (including on a per share basis) is not a measure defined in accordance with U.S. GAAP and should not be construed as an alternative to income from continuing operations, cash flows from operating activities or net income, as determined in accordance with U.S. GAAP. We encourage you to evaluate each adjustment and the reasons we consider them appropriate. Other companies in our industry may calculate Adjusted Net Income (including on a per share basis) differently than we do, limiting its usefulness as a comparative measure. In addition, in evaluating Adjusted Net Income (including on a per share basis), you should be aware that in the future we may incur expenses similar to the adjustments in this presentation. We define Adjusted Net Income (including on a per share basis); for the periods indicated as income (loss) from continuing operations, adjusted to exclude</w:t>
      </w:r>
    </w:p>
    <w:p>
      <w:pPr>
        <w:spacing w:after="0" w:line="4" w:lineRule="exact"/>
        <w:rPr>
          <w:sz w:val="20"/>
          <w:szCs w:val="20"/>
          <w:color w:val="auto"/>
        </w:rPr>
      </w:pPr>
    </w:p>
    <w:p>
      <w:pPr>
        <w:ind w:left="120" w:right="80" w:hanging="4"/>
        <w:spacing w:after="0" w:line="255"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equity-based compensation expense, (ii) foreign currency loss (gain), net, (iii) derivative valuation gain, net, (iv) inventory reserve related to Huawei impact of downstream trade restrictions, (v) expenses related to Fab 3 power outage, (vi) other charges, net and (vii) income tax effect on non-GAAP adjustments.</w:t>
      </w:r>
    </w:p>
    <w:p>
      <w:pPr>
        <w:spacing w:after="0" w:line="190"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following table summarizes the adjustments to income (loss) from continuing operations that we make in order to calculate Adjusted Net Income (including on a per share basis) from continuing operations for the periods indicated: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c>
          <w:tcPr>
            <w:tcW w:w="260" w:type="dxa"/>
            <w:vAlign w:val="bottom"/>
          </w:tcPr>
          <w:p>
            <w:pPr>
              <w:spacing w:after="0"/>
              <w:rPr>
                <w:sz w:val="14"/>
                <w:szCs w:val="1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Nine Months</w:t>
            </w:r>
          </w:p>
        </w:tc>
        <w:tc>
          <w:tcPr>
            <w:tcW w:w="26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c>
          <w:tcPr>
            <w:tcW w:w="26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Nine Months</w:t>
            </w:r>
          </w:p>
        </w:tc>
      </w:tr>
      <w:tr>
        <w:trPr>
          <w:trHeight w:val="149"/>
        </w:trPr>
        <w:tc>
          <w:tcPr>
            <w:tcW w:w="5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8"/>
        </w:trPr>
        <w:tc>
          <w:tcPr>
            <w:tcW w:w="5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5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2021</w:t>
            </w: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4"/>
                <w:szCs w:val="14"/>
                <w:color w:val="auto"/>
              </w:rPr>
            </w:pPr>
          </w:p>
        </w:tc>
      </w:tr>
      <w:tr>
        <w:trPr>
          <w:trHeight w:val="142"/>
        </w:trPr>
        <w:tc>
          <w:tcPr>
            <w:tcW w:w="5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6"/>
          </w:tcPr>
          <w:p>
            <w:pPr>
              <w:jc w:val="right"/>
              <w:ind w:right="440"/>
              <w:spacing w:after="0" w:line="142" w:lineRule="exact"/>
              <w:rPr>
                <w:sz w:val="20"/>
                <w:szCs w:val="20"/>
                <w:color w:val="auto"/>
              </w:rPr>
            </w:pPr>
            <w:r>
              <w:rPr>
                <w:rFonts w:ascii="Arial" w:cs="Arial" w:eastAsia="Arial" w:hAnsi="Arial"/>
                <w:sz w:val="14"/>
                <w:szCs w:val="14"/>
                <w:b w:val="1"/>
                <w:bCs w:val="1"/>
                <w:color w:val="auto"/>
                <w:w w:val="93"/>
              </w:rPr>
              <w:t>(In millions, except per share data)</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Adjustments: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Foreign currency loss (gain), net(b)</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gain, net(c)</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r>
        <w:trPr>
          <w:trHeight w:val="202"/>
        </w:trPr>
        <w:tc>
          <w:tcPr>
            <w:tcW w:w="5280" w:type="dxa"/>
            <w:vAlign w:val="bottom"/>
          </w:tcPr>
          <w:p>
            <w:pPr>
              <w:ind w:left="360"/>
              <w:spacing w:after="0" w:line="201" w:lineRule="exact"/>
              <w:rPr>
                <w:sz w:val="20"/>
                <w:szCs w:val="20"/>
                <w:color w:val="auto"/>
              </w:rPr>
            </w:pPr>
            <w:r>
              <w:rPr>
                <w:rFonts w:ascii="Arial" w:cs="Arial" w:eastAsia="Arial" w:hAnsi="Arial"/>
                <w:sz w:val="18"/>
                <w:szCs w:val="18"/>
                <w:color w:val="auto"/>
                <w:w w:val="95"/>
              </w:rPr>
              <w:t>Inventory reserve related to Huawei impact of downstream trade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280" w:type="dxa"/>
            <w:vAlign w:val="bottom"/>
          </w:tcPr>
          <w:p>
            <w:pPr>
              <w:ind w:left="540"/>
              <w:spacing w:after="0"/>
              <w:rPr>
                <w:sz w:val="20"/>
                <w:szCs w:val="20"/>
                <w:color w:val="auto"/>
              </w:rPr>
            </w:pPr>
            <w:r>
              <w:rPr>
                <w:rFonts w:ascii="Arial" w:cs="Arial" w:eastAsia="Arial" w:hAnsi="Arial"/>
                <w:sz w:val="18"/>
                <w:szCs w:val="18"/>
                <w:color w:val="auto"/>
              </w:rPr>
              <w:t>restrictions(d)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Expenses related to Fab 3 power outage(e)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Other charges, net(f)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effect on non-GAAP adjustments(g)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Adjusted Net Income</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center"/>
              <w:ind w:left="412"/>
              <w:spacing w:after="0"/>
              <w:rPr>
                <w:sz w:val="20"/>
                <w:szCs w:val="20"/>
                <w:color w:val="auto"/>
              </w:rPr>
            </w:pPr>
            <w:r>
              <w:rPr>
                <w:rFonts w:ascii="Arial" w:cs="Arial" w:eastAsia="Arial" w:hAnsi="Arial"/>
                <w:sz w:val="18"/>
                <w:szCs w:val="18"/>
                <w:color w:val="auto"/>
                <w:w w:val="85"/>
              </w:rPr>
              <w:t>20.1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Reported earnings (loss) per share – basic</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0.23</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0.07</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0.24</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(0.31)</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Reported earnings (loss) per share – diluted</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0.23</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0.07</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0.21</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(0.31)</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basic</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46,449,234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44,377,250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35,280,864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35,089,479</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Weighted average number of shares – diluted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47,808,457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45,811,792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46,581,788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35,089,479</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 per share – basic</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0.43</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0.82</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0.31</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Adjusted earnings per share – diluted</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0.42</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0.78</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0.14</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0.30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basic</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46,449,234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44,377,250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35,280,864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35,089,479</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Weighted average number of shares – diluted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47,808,457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47,718,578</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46,581,788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36,151,622</w:t>
            </w:r>
          </w:p>
        </w:tc>
      </w:tr>
    </w:tbl>
    <w:p>
      <w:pPr>
        <w:spacing w:after="0" w:line="214" w:lineRule="exact"/>
        <w:rPr>
          <w:sz w:val="20"/>
          <w:szCs w:val="20"/>
          <w:color w:val="auto"/>
        </w:rPr>
      </w:pPr>
    </w:p>
    <w:p>
      <w:pPr>
        <w:ind w:left="540" w:right="20" w:hanging="424"/>
        <w:spacing w:after="0" w:line="254"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540" w:right="120" w:hanging="424"/>
        <w:spacing w:after="0" w:line="255"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w:t>
      </w:r>
    </w:p>
    <w:p>
      <w:pPr>
        <w:sectPr>
          <w:pgSz w:w="11900" w:h="16838" w:orient="portrait"/>
          <w:cols w:equalWidth="0" w:num="1">
            <w:col w:w="11140"/>
          </w:cols>
          <w:pgMar w:left="320" w:top="486" w:right="439" w:bottom="1440" w:gutter="0" w:footer="0" w:header="0"/>
        </w:sectPr>
      </w:pP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140"/>
          </w:cols>
          <w:pgMar w:left="320" w:top="486" w:right="4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60"/>
        <w:spacing w:after="0" w:line="271" w:lineRule="auto"/>
        <w:rPr>
          <w:sz w:val="20"/>
          <w:szCs w:val="20"/>
          <w:color w:val="auto"/>
        </w:rPr>
      </w:pPr>
      <w:r>
        <w:rPr>
          <w:rFonts w:ascii="Arial" w:cs="Arial" w:eastAsia="Arial" w:hAnsi="Arial"/>
          <w:sz w:val="17"/>
          <w:szCs w:val="17"/>
          <w:color w:val="auto"/>
        </w:rPr>
        <w:t>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ind w:left="540" w:right="60" w:hanging="424"/>
        <w:spacing w:after="0" w:line="265"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ind w:left="540" w:hanging="424"/>
        <w:spacing w:after="0" w:line="281"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 the three and nine months ended September 30, 2020, this adjustment eliminates the impact of excess and obsolete inventory charge that we recorded in relation to the U.S. Government’s export restrictions on Huawei, which is a downstream customer of some of our direct customers. For the three and nine months ended September 31, 2021, this adjustment eliminates a partial reversal of such inventory charge as a portion of such reserved inventory was subsequently sold to certain other customers. As this charge and the timing of its partial reversal meaningfully impacted our operational results and are not expected to represent an ongoing operating expense subject to our ability to foresee and control, we believe our operating performance results are more meaningfully compared if this charge and related reversal are excluded.</w:t>
      </w:r>
    </w:p>
    <w:p>
      <w:pPr>
        <w:spacing w:after="0" w:line="3" w:lineRule="exact"/>
        <w:rPr>
          <w:rFonts w:ascii="Arial" w:cs="Arial" w:eastAsia="Arial" w:hAnsi="Arial"/>
          <w:sz w:val="16"/>
          <w:szCs w:val="16"/>
          <w:color w:val="auto"/>
        </w:rPr>
      </w:pPr>
    </w:p>
    <w:p>
      <w:pPr>
        <w:ind w:left="540" w:right="300" w:hanging="424"/>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adjustment eliminates $1.2 million in expenses related to the write-off of the damaged work in process wafers and charges for facility recovery. These charges are inconsistent in amount and frequency, and we do not believe that these charges are indicative of our core operation performance and have been excluded for comparative purposes.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 the three and nine months ended September 30, 2021, this adjustment eliminates non-recurring professional service fees and expenses of</w:t>
      </w:r>
    </w:p>
    <w:p>
      <w:pPr>
        <w:spacing w:after="0" w:line="32" w:lineRule="exact"/>
        <w:rPr>
          <w:rFonts w:ascii="Arial" w:cs="Arial" w:eastAsia="Arial" w:hAnsi="Arial"/>
          <w:sz w:val="16"/>
          <w:szCs w:val="16"/>
          <w:color w:val="auto"/>
        </w:rPr>
      </w:pPr>
    </w:p>
    <w:p>
      <w:pPr>
        <w:ind w:left="540" w:right="20"/>
        <w:spacing w:after="0" w:line="265" w:lineRule="auto"/>
        <w:rPr>
          <w:rFonts w:ascii="Arial" w:cs="Arial" w:eastAsia="Arial" w:hAnsi="Arial"/>
          <w:sz w:val="16"/>
          <w:szCs w:val="16"/>
          <w:color w:val="auto"/>
        </w:rPr>
      </w:pPr>
      <w:r>
        <w:rPr>
          <w:rFonts w:ascii="Arial" w:cs="Arial" w:eastAsia="Arial" w:hAnsi="Arial"/>
          <w:sz w:val="17"/>
          <w:szCs w:val="17"/>
          <w:color w:val="auto"/>
        </w:rPr>
        <w:t>$1.8 million and $17.2 million, respectively, incurred in connection with the Merger and regulatory requests, both of which were offset in part by a $0.7 million legal settlement gain related to certain expenses incurred in prior periods in connection with our legacy Fab 4 (which was sold during the year ended December 31, 2020) and awarded in the current quarter. For the nine months ended September 30, 2020, this adjustment eliminates non-recurring professional service fees and expenses incurred in connection with certain treasury and finance initiatives. As these expenses meaningfully impacted our operating results and are not expected to represent an ongoing operating expense to us, we believe our operating performance results are more usefully compared if these expenses are excluded.</w:t>
      </w:r>
    </w:p>
    <w:p>
      <w:pPr>
        <w:ind w:left="540" w:right="140" w:hanging="424"/>
        <w:spacing w:after="0" w:line="255"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three and nine months ended September 30, 2021 and 2020, there was no tax impact from the adjustments to net income to calculate our Adjusted Net Income due to net operating loss carry-forwards available at our parent entity in the U.S., based on the nature and origination of the adjustments, to offset related taxable income.</w:t>
      </w:r>
    </w:p>
    <w:p>
      <w:pPr>
        <w:spacing w:after="0" w:line="81" w:lineRule="exact"/>
        <w:rPr>
          <w:rFonts w:ascii="Arial" w:cs="Arial" w:eastAsia="Arial" w:hAnsi="Arial"/>
          <w:sz w:val="18"/>
          <w:szCs w:val="18"/>
          <w:color w:val="auto"/>
        </w:rPr>
      </w:pPr>
    </w:p>
    <w:p>
      <w:pPr>
        <w:ind w:left="560" w:right="40"/>
        <w:spacing w:after="0" w:line="277" w:lineRule="auto"/>
        <w:rPr>
          <w:rFonts w:ascii="Arial" w:cs="Arial" w:eastAsia="Arial" w:hAnsi="Arial"/>
          <w:sz w:val="18"/>
          <w:szCs w:val="18"/>
          <w:color w:val="auto"/>
        </w:rPr>
      </w:pPr>
      <w:r>
        <w:rPr>
          <w:rFonts w:ascii="Arial" w:cs="Arial" w:eastAsia="Arial" w:hAnsi="Arial"/>
          <w:sz w:val="18"/>
          <w:szCs w:val="18"/>
          <w:color w:val="auto"/>
        </w:rPr>
        <w:t>We believe that all adjustments to income (loss) from continuing operations used to calculate Adjusted Net Income was applied consistently to the periods presented.</w:t>
      </w:r>
    </w:p>
    <w:p>
      <w:pPr>
        <w:spacing w:after="0" w:line="62" w:lineRule="exact"/>
        <w:rPr>
          <w:rFonts w:ascii="Arial" w:cs="Arial" w:eastAsia="Arial" w:hAnsi="Arial"/>
          <w:sz w:val="18"/>
          <w:szCs w:val="18"/>
          <w:color w:val="auto"/>
        </w:rPr>
      </w:pPr>
    </w:p>
    <w:p>
      <w:pPr>
        <w:ind w:left="560" w:right="180"/>
        <w:spacing w:after="0" w:line="277" w:lineRule="auto"/>
        <w:rPr>
          <w:rFonts w:ascii="Arial" w:cs="Arial" w:eastAsia="Arial" w:hAnsi="Arial"/>
          <w:sz w:val="18"/>
          <w:szCs w:val="18"/>
          <w:color w:val="auto"/>
        </w:rPr>
      </w:pPr>
      <w:r>
        <w:rPr>
          <w:rFonts w:ascii="Arial" w:cs="Arial" w:eastAsia="Arial" w:hAnsi="Arial"/>
          <w:sz w:val="18"/>
          <w:szCs w:val="18"/>
          <w:color w:val="auto"/>
        </w:rPr>
        <w:t>Adjusted Net Income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Adjusted Net Income does not reflect changes in, or cash requirements for, our working capital needs;</w:t>
      </w:r>
    </w:p>
    <w:p>
      <w:pPr>
        <w:spacing w:after="0" w:line="130" w:lineRule="exact"/>
        <w:rPr>
          <w:rFonts w:ascii="Arial" w:cs="Arial" w:eastAsia="Arial" w:hAnsi="Arial"/>
          <w:sz w:val="18"/>
          <w:szCs w:val="18"/>
          <w:color w:val="auto"/>
        </w:rPr>
      </w:pPr>
    </w:p>
    <w:p>
      <w:pPr>
        <w:ind w:left="1540" w:right="360" w:hanging="331"/>
        <w:spacing w:after="0" w:line="277" w:lineRule="auto"/>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Adjusted Net Income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540" w:right="140" w:hanging="331"/>
        <w:spacing w:after="0" w:line="277" w:lineRule="auto"/>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Net Income differently than we do, limiting its usefulness as a comparative measure.</w:t>
      </w:r>
    </w:p>
    <w:p>
      <w:pPr>
        <w:spacing w:after="0" w:line="62" w:lineRule="exact"/>
        <w:rPr>
          <w:sz w:val="20"/>
          <w:szCs w:val="20"/>
          <w:color w:val="auto"/>
        </w:rPr>
      </w:pPr>
    </w:p>
    <w:p>
      <w:pPr>
        <w:ind w:left="560" w:right="420"/>
        <w:spacing w:after="0" w:line="308" w:lineRule="auto"/>
        <w:rPr>
          <w:sz w:val="20"/>
          <w:szCs w:val="20"/>
          <w:color w:val="auto"/>
        </w:rPr>
      </w:pPr>
      <w:r>
        <w:rPr>
          <w:rFonts w:ascii="Arial" w:cs="Arial" w:eastAsia="Arial" w:hAnsi="Arial"/>
          <w:sz w:val="17"/>
          <w:szCs w:val="17"/>
          <w:color w:val="auto"/>
        </w:rPr>
        <w:t>Because of these limitations, Adjusted Net Income should not be considered as a measure of profitability of our business. We compensate for these limitations by relying primarily on our U.S. GAAP results and using Adjusted Net Income only as a supplement.</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86"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21"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We derive substantially all of our sales (net of sales returns and allowances) from our standard products business. We outsource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manufacturing of OLED products to external 12-inch foundries.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offices near concentrations of major customers. Our sales offices are located in Korea, Japan and Greater China. Our network of authorized agents and distributors is in the United States, Europe and the Asia Pacific region.</w:t>
      </w:r>
    </w:p>
    <w:p>
      <w:pPr>
        <w:spacing w:after="0" w:line="16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We recognize revenue when a customer obtains control of the product, which is generally upon product shipment, delivery at the customer’s location or upon customer acceptance, depending on the terms of the arrangement. For the nine months ended September 30, 2021 and 2020, we sold products to 175 and 170 customers, respectively, and our net sales to our ten largest customers represented 81% and 88% of our net sales—standard products business, respectively.</w:t>
      </w:r>
    </w:p>
    <w:p>
      <w:pPr>
        <w:spacing w:after="0" w:line="18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will provide the Transitional Fab 3 Foundry Services up to September 1, 2023 at an agreed upon cost plus a mark-up. For the periods prior to the closing of the sale of the Foundry Services Group business and Fab 4 as of September 1, 2020 (which are accounted for as discontinued operations beginning in the first quarter of 2020), revenue derived from the Transitional Fab 3 Foundry Services is recorded at cost in both our continuing and discontinued operations.</w:t>
      </w:r>
    </w:p>
    <w:p>
      <w:pPr>
        <w:spacing w:after="0" w:line="18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Our overall gross profit generally fluctuates as a result of changes in overall sales volumes and in the average selling prices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w:t>
      </w:r>
    </w:p>
    <w:p>
      <w:pPr>
        <w:spacing w:after="0" w:line="18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Average Selling Prices. </w:t>
      </w:r>
      <w:r>
        <w:rPr>
          <w:rFonts w:ascii="Arial" w:cs="Arial" w:eastAsia="Arial" w:hAnsi="Arial"/>
          <w:sz w:val="17"/>
          <w:szCs w:val="17"/>
          <w:color w:val="auto"/>
        </w:rPr>
        <w:t>Average selling prices for our products tend to be highest at the time of introduction of new products which utilize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1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Material Costs. </w:t>
      </w:r>
      <w:r>
        <w:rPr>
          <w:rFonts w:ascii="Arial" w:cs="Arial" w:eastAsia="Arial" w:hAnsi="Arial"/>
          <w:sz w:val="18"/>
          <w:szCs w:val="18"/>
          <w:color w:val="auto"/>
        </w:rPr>
        <w:t>Our material costs consist of costs of raw materials, such as silicon wafers, chemicals, gases and tape and packaging supplies.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processes that require specialized raw materials, such as silicon wafers, that are generally available from a limited number of suppliers. If demand increases or supplies decrease, the costs of our raw materials could increase significantly.</w:t>
      </w:r>
    </w:p>
    <w:p>
      <w:pPr>
        <w:spacing w:after="0" w:line="184"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b w:val="1"/>
          <w:bCs w:val="1"/>
          <w:i w:val="1"/>
          <w:iCs w:val="1"/>
          <w:color w:val="auto"/>
        </w:rPr>
        <w:t xml:space="preserve">Labor Costs. </w:t>
      </w:r>
      <w:r>
        <w:rPr>
          <w:rFonts w:ascii="Arial" w:cs="Arial" w:eastAsia="Arial" w:hAnsi="Arial"/>
          <w:sz w:val="17"/>
          <w:szCs w:val="17"/>
          <w:color w:val="auto"/>
        </w:rPr>
        <w:t>A significant portion of our employees are located in Korea. Under Korean labor laws, most employees and certain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with one or more years of service are entitled to severance benefits upon the termination of their employment based on their length of service and rate of pay. As of September 30, 2021, approximately 98% of our employees were eligible for severance benefits.</w:t>
      </w:r>
    </w:p>
    <w:p>
      <w:pPr>
        <w:spacing w:after="0" w:line="165"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b w:val="1"/>
          <w:bCs w:val="1"/>
          <w:i w:val="1"/>
          <w:iCs w:val="1"/>
          <w:color w:val="auto"/>
        </w:rPr>
        <w:t xml:space="preserve">Depreciation Expense. </w:t>
      </w:r>
      <w:r>
        <w:rPr>
          <w:rFonts w:ascii="Arial" w:cs="Arial" w:eastAsia="Arial" w:hAnsi="Arial"/>
          <w:sz w:val="17"/>
          <w:szCs w:val="17"/>
          <w:color w:val="auto"/>
        </w:rPr>
        <w:t>We periodically evaluate the carrying values of long-lived assets, including property, plant and equipment and intangible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as well as the related depreciation periods. We depreciated our property, plant and equipment using the straight-line method over the estimated useful lives of our assets. Depreciation rates vary from 30-40 years on buildings to 5 to 12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17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b w:val="1"/>
          <w:bCs w:val="1"/>
          <w:i w:val="1"/>
          <w:iCs w:val="1"/>
          <w:color w:val="auto"/>
        </w:rPr>
        <w:t xml:space="preserve">Selling Expenses. </w:t>
      </w:r>
      <w:r>
        <w:rPr>
          <w:rFonts w:ascii="Arial" w:cs="Arial" w:eastAsia="Arial" w:hAnsi="Arial"/>
          <w:sz w:val="18"/>
          <w:szCs w:val="18"/>
          <w:color w:val="auto"/>
        </w:rPr>
        <w:t>We sell our products worldwide through a direct sales force as well as a network of sales agents and representatives to OEMs,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w:t>
      </w:r>
    </w:p>
    <w:p>
      <w:pPr>
        <w:spacing w:after="0" w:line="18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consist of the costs of various corporate operations,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legal, human resources and other administrative functions. These expenses primarily consist of payroll-related expenses, consulting and other professional fees and office facility-related expenses.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60"/>
          </w:cols>
          <w:pgMar w:left="320" w:top="486" w:right="5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The rapid technological change and product obsolescence that characterize our industry require us to make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display business are material and design-related costs for OLED display driver IC product development involving 28-nanometer or finer processes. The majority of research and development expenses of our power business are certain equipment, material and design-related costs for power discrete products and material and design-related costs for power IC products. Power IC uses standard BCD process technologies which can be sourced from multiple foundries, including Fab 4.</w:t>
      </w:r>
    </w:p>
    <w:p>
      <w:pPr>
        <w:spacing w:after="0" w:line="16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Our interest expense was incurred primarily under our 6.625% Senior Notes due July 15, 2021 (the “2021 Notes”)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Exchangeable Notes. We redeemed all outstanding 2021 Notes on October 2, 2020. Our Exchangeable Notes were exchanged for common stock prior to their maturity date of March 1, 2021. From and after October 2, 2020 and March 1, 2021, we have not incurred interest expense associated with the 2021 Notes and Exchangeable Notes, respectively.</w:t>
      </w:r>
    </w:p>
    <w:p>
      <w:pPr>
        <w:spacing w:after="0" w:line="18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b w:val="1"/>
          <w:bCs w:val="1"/>
          <w:i w:val="1"/>
          <w:iCs w:val="1"/>
          <w:color w:val="auto"/>
        </w:rPr>
        <w:t xml:space="preserve">Impact of Foreign Currency Exchange Rates on Reported Results of Operations. </w:t>
      </w:r>
      <w:r>
        <w:rPr>
          <w:rFonts w:ascii="Arial" w:cs="Arial" w:eastAsia="Arial" w:hAnsi="Arial"/>
          <w:sz w:val="17"/>
          <w:szCs w:val="17"/>
          <w:color w:val="auto"/>
        </w:rPr>
        <w:t>Historically, a portion of our revenues and greater than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majority of our operating expenses and costs of sales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September 30, 2021, the outstanding intercompany loan balance including accrued interest between our Korean subsidiary and our Dutch subsidiary was $393.2 million.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From time to time, we may engage in exchange rate hedging activities in an effort to mitigate the impact of exchange rate fluctuations. Our Korean subsidiary enters into foreign currency zero cost collar contracts in order to mitigate a portion of the impact of U.S. dollar-Korean won exchange rate fluctuations on our operating results. Obligations under these foreign currency zero cost collar contracts must be cash collateralized if our exposure exceeds certain specified thresholds. These zero cost collar contracts may be terminated by a counterparty in a number of circumstances, including if our credit rating falls below B-/B3 or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w:t>
      </w:r>
    </w:p>
    <w:p>
      <w:pPr>
        <w:spacing w:after="0" w:line="17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Foreign Currency Gain or Loss. </w:t>
      </w:r>
      <w:r>
        <w:rPr>
          <w:rFonts w:ascii="Arial" w:cs="Arial" w:eastAsia="Arial" w:hAnsi="Arial"/>
          <w:sz w:val="16"/>
          <w:szCs w:val="16"/>
          <w:color w:val="auto"/>
        </w:rPr>
        <w:t>Foreign currency translation gains or losses on transactions by us or our subsidiaries in a currency other than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our subsidiaries’ functional currency are included in foreign currency gain (loss), net in our statements of operations. A substantial portion of this net foreign currency gain or loss relates to non-cash translation gain or loss related to the principal balance of intercompany balances at our Korean subsidiary that are denominated in U.S. dollars. This gain or loss results from fluctuations in the exchange rate between the Korean won and U.S. dollar.</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86"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 our income taxes in each of the tax jurisdictions in which we operate. This process involves using an asset and liability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approach whereby deferred tax assets and liabilities are recorded for differences in the financial reporting bases and tax basis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66"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are subject to income- or non-income-based tax examinations by tax authorities of the U.S., Korea and multiple other foreign jurisdictions for all open tax years. Significant estimates and judgments are required in determining our worldwide provision for income- or non-income based taxes. Some of these estimates are based on interpretations of existing tax laws or regulations. The ultimate amount of tax liability may be uncertain as a result.</w:t>
      </w:r>
    </w:p>
    <w:p>
      <w:pPr>
        <w:spacing w:after="0" w:line="149" w:lineRule="exact"/>
        <w:rPr>
          <w:sz w:val="20"/>
          <w:szCs w:val="20"/>
          <w:color w:val="auto"/>
        </w:rPr>
      </w:pPr>
    </w:p>
    <w:p>
      <w:pPr>
        <w:ind w:left="120" w:right="400" w:firstLine="440"/>
        <w:spacing w:after="0" w:line="279" w:lineRule="auto"/>
        <w:rPr>
          <w:sz w:val="20"/>
          <w:szCs w:val="20"/>
          <w:color w:val="auto"/>
        </w:rPr>
      </w:pPr>
      <w:r>
        <w:rPr>
          <w:rFonts w:ascii="Arial" w:cs="Arial" w:eastAsia="Arial" w:hAnsi="Arial"/>
          <w:sz w:val="17"/>
          <w:szCs w:val="17"/>
          <w:b w:val="1"/>
          <w:bCs w:val="1"/>
          <w:i w:val="1"/>
          <w:iCs w:val="1"/>
          <w:color w:val="auto"/>
        </w:rPr>
        <w:t xml:space="preserve">Discontinued Operations. </w:t>
      </w:r>
      <w:r>
        <w:rPr>
          <w:rFonts w:ascii="Arial" w:cs="Arial" w:eastAsia="Arial" w:hAnsi="Arial"/>
          <w:sz w:val="17"/>
          <w:szCs w:val="17"/>
          <w:color w:val="auto"/>
        </w:rPr>
        <w:t>On March 30, 2020, we entered into the Business Transfer Agreement for the sale of our Foundry Services Group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and Fab 4 to the Buyer. As a result, the results of the Foundry Services Group business were classified as discontinued operations in our consolidated statements of operations and excluded from both continuing operations and segment results for all periods presented. On September 1, 2020, we completed the sale for a purchase price of approximately $350.6 million in cash.</w:t>
      </w:r>
    </w:p>
    <w:p>
      <w:pPr>
        <w:spacing w:after="0" w:line="171" w:lineRule="exact"/>
        <w:rPr>
          <w:sz w:val="20"/>
          <w:szCs w:val="20"/>
          <w:color w:val="auto"/>
        </w:rPr>
      </w:pPr>
    </w:p>
    <w:p>
      <w:pPr>
        <w:ind w:left="120" w:right="360" w:firstLine="440"/>
        <w:spacing w:after="0" w:line="279" w:lineRule="auto"/>
        <w:rPr>
          <w:sz w:val="20"/>
          <w:szCs w:val="20"/>
          <w:color w:val="auto"/>
        </w:rPr>
      </w:pPr>
      <w:r>
        <w:rPr>
          <w:rFonts w:ascii="Arial" w:cs="Arial" w:eastAsia="Arial" w:hAnsi="Arial"/>
          <w:sz w:val="17"/>
          <w:szCs w:val="17"/>
          <w:b w:val="1"/>
          <w:bCs w:val="1"/>
          <w:i w:val="1"/>
          <w:iCs w:val="1"/>
          <w:color w:val="auto"/>
        </w:rPr>
        <w:t xml:space="preserve">Capital Expenditures. </w:t>
      </w:r>
      <w:r>
        <w:rPr>
          <w:rFonts w:ascii="Arial" w:cs="Arial" w:eastAsia="Arial" w:hAnsi="Arial"/>
          <w:sz w:val="17"/>
          <w:szCs w:val="17"/>
          <w:color w:val="auto"/>
        </w:rPr>
        <w:t>We primarily invest in manufacturing equipment, software design tools and other tangible assets mainly for fabrication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We monitor our inventory levels in light of product development changes and market expectations. We may be required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86"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 Comparison of Three Months Ended September 30, 2021 and 2020</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consolidated results of operations for the three months ended September 30, 2021 and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228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September 30, 2021</w:t>
            </w:r>
          </w:p>
        </w:tc>
        <w:tc>
          <w:tcPr>
            <w:tcW w:w="22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September 30, 2020</w:t>
            </w:r>
          </w:p>
        </w:tc>
        <w:tc>
          <w:tcPr>
            <w:tcW w:w="680" w:type="dxa"/>
            <w:vAlign w:val="bottom"/>
            <w:gridSpan w:val="3"/>
            <w:vMerge w:val="restart"/>
          </w:tcPr>
          <w:p>
            <w:pPr>
              <w:jc w:val="right"/>
              <w:ind w:right="81"/>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top w:val="single" w:sz="8" w:color="auto"/>
            </w:tcBorders>
          </w:tcPr>
          <w:p>
            <w:pPr>
              <w:jc w:val="right"/>
              <w:ind w:right="212"/>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tcPr>
          <w:p>
            <w:pPr>
              <w:spacing w:after="0"/>
              <w:rPr>
                <w:sz w:val="10"/>
                <w:szCs w:val="10"/>
                <w:color w:val="auto"/>
              </w:rPr>
            </w:pPr>
          </w:p>
        </w:tc>
        <w:tc>
          <w:tcPr>
            <w:tcW w:w="900" w:type="dxa"/>
            <w:vAlign w:val="bottom"/>
            <w:tcBorders>
              <w:top w:val="single" w:sz="8" w:color="auto"/>
            </w:tcBorders>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tcBorders>
              <w:top w:val="single" w:sz="8" w:color="auto"/>
            </w:tcBorders>
          </w:tcPr>
          <w:p>
            <w:pPr>
              <w:jc w:val="right"/>
              <w:ind w:right="212"/>
              <w:spacing w:after="0" w:line="119" w:lineRule="exact"/>
              <w:rPr>
                <w:sz w:val="20"/>
                <w:szCs w:val="20"/>
                <w:color w:val="auto"/>
              </w:rPr>
            </w:pPr>
            <w:r>
              <w:rPr>
                <w:rFonts w:ascii="Arial" w:cs="Arial" w:eastAsia="Arial" w:hAnsi="Arial"/>
                <w:sz w:val="13"/>
                <w:szCs w:val="13"/>
                <w:b w:val="1"/>
                <w:bCs w:val="1"/>
                <w:color w:val="auto"/>
              </w:rPr>
              <w:t>% of</w:t>
            </w:r>
          </w:p>
        </w:tc>
        <w:tc>
          <w:tcPr>
            <w:tcW w:w="48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52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Total revenues</w:t>
            </w:r>
          </w:p>
        </w:tc>
        <w:tc>
          <w:tcPr>
            <w:tcW w:w="900" w:type="dxa"/>
            <w:vAlign w:val="bottom"/>
            <w:gridSpan w:val="2"/>
            <w:vMerge w:val="continue"/>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Total revenues</w:t>
            </w:r>
          </w:p>
        </w:tc>
        <w:tc>
          <w:tcPr>
            <w:tcW w:w="680" w:type="dxa"/>
            <w:vAlign w:val="bottom"/>
            <w:gridSpan w:val="3"/>
          </w:tcPr>
          <w:p>
            <w:pPr>
              <w:jc w:val="right"/>
              <w:ind w:right="61"/>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millions)</w:t>
            </w:r>
          </w:p>
        </w:tc>
        <w:tc>
          <w:tcPr>
            <w:tcW w:w="9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940" w:type="dxa"/>
            <w:vAlign w:val="bottom"/>
            <w:gridSpan w:val="2"/>
          </w:tcPr>
          <w:p>
            <w:pPr>
              <w:ind w:left="84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117.4</w:t>
            </w:r>
          </w:p>
        </w:tc>
        <w:tc>
          <w:tcPr>
            <w:tcW w:w="1520" w:type="dxa"/>
            <w:vAlign w:val="bottom"/>
            <w:gridSpan w:val="2"/>
          </w:tcPr>
          <w:p>
            <w:pPr>
              <w:jc w:val="right"/>
              <w:ind w:right="248"/>
              <w:spacing w:after="0"/>
              <w:rPr>
                <w:sz w:val="20"/>
                <w:szCs w:val="20"/>
                <w:color w:val="auto"/>
              </w:rPr>
            </w:pPr>
            <w:r>
              <w:rPr>
                <w:rFonts w:ascii="Arial" w:cs="Arial" w:eastAsia="Arial" w:hAnsi="Arial"/>
                <w:sz w:val="18"/>
                <w:szCs w:val="18"/>
                <w:color w:val="auto"/>
              </w:rPr>
              <w:t>92.5%</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$ 116.3</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93.1%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4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15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7.5</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96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127.0</w:t>
            </w:r>
          </w:p>
        </w:tc>
        <w:tc>
          <w:tcPr>
            <w:tcW w:w="220" w:type="dxa"/>
            <w:vAlign w:val="bottom"/>
          </w:tcPr>
          <w:p>
            <w:pPr>
              <w:spacing w:after="0"/>
              <w:rPr>
                <w:sz w:val="19"/>
                <w:szCs w:val="19"/>
                <w:color w:val="auto"/>
              </w:rPr>
            </w:pPr>
          </w:p>
        </w:tc>
        <w:tc>
          <w:tcPr>
            <w:tcW w:w="1520" w:type="dxa"/>
            <w:vAlign w:val="bottom"/>
            <w:gridSpan w:val="2"/>
          </w:tcPr>
          <w:p>
            <w:pPr>
              <w:jc w:val="right"/>
              <w:ind w:right="388"/>
              <w:spacing w:after="0"/>
              <w:rPr>
                <w:sz w:val="20"/>
                <w:szCs w:val="20"/>
                <w:color w:val="auto"/>
              </w:rPr>
            </w:pPr>
            <w:r>
              <w:rPr>
                <w:rFonts w:ascii="Arial" w:cs="Arial" w:eastAsia="Arial" w:hAnsi="Arial"/>
                <w:sz w:val="18"/>
                <w:szCs w:val="18"/>
                <w:color w:val="auto"/>
              </w:rPr>
              <w:t>100.0</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380" w:type="dxa"/>
            <w:vAlign w:val="bottom"/>
          </w:tcPr>
          <w:p>
            <w:pPr>
              <w:spacing w:after="0"/>
              <w:rPr>
                <w:sz w:val="19"/>
                <w:szCs w:val="19"/>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71.6</w:t>
            </w:r>
          </w:p>
        </w:tc>
        <w:tc>
          <w:tcPr>
            <w:tcW w:w="1520" w:type="dxa"/>
            <w:vAlign w:val="bottom"/>
            <w:gridSpan w:val="2"/>
          </w:tcPr>
          <w:p>
            <w:pPr>
              <w:jc w:val="right"/>
              <w:ind w:right="388"/>
              <w:spacing w:after="0"/>
              <w:rPr>
                <w:sz w:val="20"/>
                <w:szCs w:val="20"/>
                <w:color w:val="auto"/>
              </w:rPr>
            </w:pPr>
            <w:r>
              <w:rPr>
                <w:rFonts w:ascii="Arial" w:cs="Arial" w:eastAsia="Arial" w:hAnsi="Arial"/>
                <w:sz w:val="18"/>
                <w:szCs w:val="18"/>
                <w:color w:val="auto"/>
              </w:rPr>
              <w:t>56.4</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87.5</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transitional Fab 3 foundry services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15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6.9</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496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220" w:type="dxa"/>
            <w:vAlign w:val="bottom"/>
          </w:tcPr>
          <w:p>
            <w:pPr>
              <w:spacing w:after="0"/>
              <w:rPr>
                <w:sz w:val="20"/>
                <w:szCs w:val="20"/>
                <w:color w:val="auto"/>
              </w:rPr>
            </w:pPr>
          </w:p>
        </w:tc>
        <w:tc>
          <w:tcPr>
            <w:tcW w:w="1520" w:type="dxa"/>
            <w:vAlign w:val="bottom"/>
            <w:gridSpan w:val="2"/>
          </w:tcPr>
          <w:p>
            <w:pPr>
              <w:jc w:val="right"/>
              <w:ind w:right="388"/>
              <w:spacing w:after="0"/>
              <w:rPr>
                <w:sz w:val="20"/>
                <w:szCs w:val="20"/>
                <w:color w:val="auto"/>
              </w:rPr>
            </w:pPr>
            <w:r>
              <w:rPr>
                <w:rFonts w:ascii="Arial" w:cs="Arial" w:eastAsia="Arial" w:hAnsi="Arial"/>
                <w:sz w:val="18"/>
                <w:szCs w:val="18"/>
                <w:color w:val="auto"/>
              </w:rPr>
              <w:t>63.3</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38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77.1</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w:t>
            </w:r>
          </w:p>
        </w:tc>
        <w:tc>
          <w:tcPr>
            <w:tcW w:w="15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36.7</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28.6</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1520" w:type="dxa"/>
            <w:vAlign w:val="bottom"/>
            <w:gridSpan w:val="2"/>
          </w:tcPr>
          <w:p>
            <w:pPr>
              <w:jc w:val="right"/>
              <w:ind w:right="388"/>
              <w:spacing w:after="0"/>
              <w:rPr>
                <w:sz w:val="20"/>
                <w:szCs w:val="20"/>
                <w:color w:val="auto"/>
              </w:rPr>
            </w:pPr>
            <w:r>
              <w:rPr>
                <w:rFonts w:ascii="Arial" w:cs="Arial" w:eastAsia="Arial" w:hAnsi="Arial"/>
                <w:sz w:val="18"/>
                <w:szCs w:val="18"/>
                <w:color w:val="auto"/>
              </w:rPr>
              <w:t>9.9</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12.9</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5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9.7</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charges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520" w:type="dxa"/>
            <w:vAlign w:val="bottom"/>
            <w:gridSpan w:val="2"/>
          </w:tcPr>
          <w:p>
            <w:pPr>
              <w:jc w:val="right"/>
              <w:ind w:right="388"/>
              <w:spacing w:after="0"/>
              <w:rPr>
                <w:sz w:val="20"/>
                <w:szCs w:val="20"/>
                <w:color w:val="auto"/>
              </w:rPr>
            </w:pPr>
            <w:r>
              <w:rPr>
                <w:rFonts w:ascii="Arial" w:cs="Arial" w:eastAsia="Arial" w:hAnsi="Arial"/>
                <w:sz w:val="18"/>
                <w:szCs w:val="18"/>
                <w:color w:val="auto"/>
              </w:rPr>
              <w:t>1.4</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15.7</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Interest expense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520" w:type="dxa"/>
            <w:vAlign w:val="bottom"/>
            <w:gridSpan w:val="2"/>
          </w:tcPr>
          <w:p>
            <w:pPr>
              <w:jc w:val="right"/>
              <w:ind w:right="328"/>
              <w:spacing w:after="0"/>
              <w:rPr>
                <w:sz w:val="20"/>
                <w:szCs w:val="20"/>
                <w:color w:val="auto"/>
              </w:rPr>
            </w:pPr>
            <w:r>
              <w:rPr>
                <w:rFonts w:ascii="Arial" w:cs="Arial" w:eastAsia="Arial" w:hAnsi="Arial"/>
                <w:sz w:val="18"/>
                <w:szCs w:val="18"/>
                <w:color w:val="auto"/>
              </w:rPr>
              <w:t>(0.1)</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(5.5)</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(loss), net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15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(6.0)</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Others, net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520" w:type="dxa"/>
            <w:vAlign w:val="bottom"/>
            <w:gridSpan w:val="2"/>
          </w:tcPr>
          <w:p>
            <w:pPr>
              <w:jc w:val="right"/>
              <w:ind w:right="388"/>
              <w:spacing w:after="0"/>
              <w:rPr>
                <w:sz w:val="20"/>
                <w:szCs w:val="20"/>
                <w:color w:val="auto"/>
              </w:rPr>
            </w:pPr>
            <w:r>
              <w:rPr>
                <w:rFonts w:ascii="Arial" w:cs="Arial" w:eastAsia="Arial" w:hAnsi="Arial"/>
                <w:sz w:val="18"/>
                <w:szCs w:val="18"/>
                <w:color w:val="auto"/>
              </w:rPr>
              <w:t>1.3</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0.7</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5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(4.8)</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w w:val="99"/>
              </w:rPr>
              <w:t>Income from continuing operations before income tax expense</w:t>
            </w: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9"/>
                <w:szCs w:val="19"/>
                <w:color w:val="auto"/>
              </w:rPr>
            </w:pPr>
          </w:p>
        </w:tc>
        <w:tc>
          <w:tcPr>
            <w:tcW w:w="1520" w:type="dxa"/>
            <w:vAlign w:val="bottom"/>
            <w:gridSpan w:val="2"/>
          </w:tcPr>
          <w:p>
            <w:pPr>
              <w:jc w:val="right"/>
              <w:ind w:right="388"/>
              <w:spacing w:after="0"/>
              <w:rPr>
                <w:sz w:val="20"/>
                <w:szCs w:val="20"/>
                <w:color w:val="auto"/>
              </w:rPr>
            </w:pPr>
            <w:r>
              <w:rPr>
                <w:rFonts w:ascii="Arial" w:cs="Arial" w:eastAsia="Arial" w:hAnsi="Arial"/>
                <w:sz w:val="18"/>
                <w:szCs w:val="18"/>
                <w:color w:val="auto"/>
              </w:rPr>
              <w:t>11.0</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380" w:type="dxa"/>
            <w:vAlign w:val="bottom"/>
          </w:tcPr>
          <w:p>
            <w:pPr>
              <w:spacing w:after="0"/>
              <w:rPr>
                <w:sz w:val="19"/>
                <w:szCs w:val="19"/>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5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2.5</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9"/>
                <w:szCs w:val="19"/>
                <w:color w:val="auto"/>
              </w:rPr>
            </w:pPr>
          </w:p>
        </w:tc>
        <w:tc>
          <w:tcPr>
            <w:tcW w:w="1520" w:type="dxa"/>
            <w:vAlign w:val="bottom"/>
            <w:gridSpan w:val="2"/>
          </w:tcPr>
          <w:p>
            <w:pPr>
              <w:jc w:val="right"/>
              <w:ind w:right="388"/>
              <w:spacing w:after="0"/>
              <w:rPr>
                <w:sz w:val="20"/>
                <w:szCs w:val="20"/>
                <w:color w:val="auto"/>
              </w:rPr>
            </w:pPr>
            <w:r>
              <w:rPr>
                <w:rFonts w:ascii="Arial" w:cs="Arial" w:eastAsia="Arial" w:hAnsi="Arial"/>
                <w:sz w:val="18"/>
                <w:szCs w:val="18"/>
                <w:color w:val="auto"/>
              </w:rPr>
              <w:t>8.5</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19"/>
                <w:szCs w:val="19"/>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264.5</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211.9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(264.5)</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Net income</w:t>
            </w:r>
          </w:p>
        </w:tc>
        <w:tc>
          <w:tcPr>
            <w:tcW w:w="8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9"/>
                <w:szCs w:val="19"/>
                <w:color w:val="auto"/>
              </w:rPr>
            </w:pPr>
          </w:p>
        </w:tc>
        <w:tc>
          <w:tcPr>
            <w:tcW w:w="1520" w:type="dxa"/>
            <w:vAlign w:val="bottom"/>
            <w:gridSpan w:val="2"/>
          </w:tcPr>
          <w:p>
            <w:pPr>
              <w:jc w:val="right"/>
              <w:ind w:right="388"/>
              <w:spacing w:after="0"/>
              <w:rPr>
                <w:sz w:val="20"/>
                <w:szCs w:val="20"/>
                <w:color w:val="auto"/>
              </w:rPr>
            </w:pPr>
            <w:r>
              <w:rPr>
                <w:rFonts w:ascii="Arial" w:cs="Arial" w:eastAsia="Arial" w:hAnsi="Arial"/>
                <w:sz w:val="18"/>
                <w:szCs w:val="18"/>
                <w:color w:val="auto"/>
              </w:rPr>
              <w:t>8.5</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273.0</w:t>
            </w:r>
          </w:p>
        </w:tc>
        <w:tc>
          <w:tcPr>
            <w:tcW w:w="380" w:type="dxa"/>
            <w:vAlign w:val="bottom"/>
          </w:tcPr>
          <w:p>
            <w:pPr>
              <w:spacing w:after="0"/>
              <w:rPr>
                <w:sz w:val="19"/>
                <w:szCs w:val="19"/>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218.7</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(262.2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840" w:type="dxa"/>
            <w:vAlign w:val="bottom"/>
            <w:vMerge w:val="restart"/>
          </w:tcPr>
          <w:p>
            <w:pPr>
              <w:jc w:val="right"/>
              <w:ind w:right="1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sets forth information relating to our continuing operations: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180" w:type="dxa"/>
            <w:vAlign w:val="bottom"/>
            <w:gridSpan w:val="9"/>
          </w:tcPr>
          <w:p>
            <w:pPr>
              <w:jc w:val="right"/>
              <w:ind w:right="568"/>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2240" w:type="dxa"/>
            <w:vAlign w:val="bottom"/>
            <w:gridSpan w:val="10"/>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2180" w:type="dxa"/>
            <w:vAlign w:val="bottom"/>
            <w:gridSpan w:val="9"/>
          </w:tcPr>
          <w:p>
            <w:pPr>
              <w:jc w:val="right"/>
              <w:ind w:right="628"/>
              <w:spacing w:after="0"/>
              <w:rPr>
                <w:sz w:val="20"/>
                <w:szCs w:val="20"/>
                <w:color w:val="auto"/>
              </w:rPr>
            </w:pPr>
            <w:r>
              <w:rPr>
                <w:rFonts w:ascii="Arial" w:cs="Arial" w:eastAsia="Arial" w:hAnsi="Arial"/>
                <w:sz w:val="14"/>
                <w:szCs w:val="14"/>
                <w:b w:val="1"/>
                <w:bCs w:val="1"/>
                <w:color w:val="auto"/>
              </w:rPr>
              <w:t>September 30, 2021</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9"/>
          </w:tcPr>
          <w:p>
            <w:pPr>
              <w:ind w:left="20"/>
              <w:spacing w:after="0"/>
              <w:rPr>
                <w:sz w:val="20"/>
                <w:szCs w:val="20"/>
                <w:color w:val="auto"/>
              </w:rPr>
            </w:pPr>
            <w:r>
              <w:rPr>
                <w:rFonts w:ascii="Arial" w:cs="Arial" w:eastAsia="Arial" w:hAnsi="Arial"/>
                <w:sz w:val="14"/>
                <w:szCs w:val="14"/>
                <w:b w:val="1"/>
                <w:bCs w:val="1"/>
                <w:color w:val="auto"/>
              </w:rPr>
              <w:t>September 30, 2020</w:t>
            </w:r>
          </w:p>
        </w:tc>
        <w:tc>
          <w:tcPr>
            <w:tcW w:w="5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5980" w:type="dxa"/>
            <w:vAlign w:val="bottom"/>
          </w:tcPr>
          <w:p>
            <w:pPr>
              <w:spacing w:after="0"/>
              <w:rPr>
                <w:sz w:val="10"/>
                <w:szCs w:val="10"/>
                <w:color w:val="auto"/>
              </w:rPr>
            </w:pPr>
          </w:p>
        </w:tc>
        <w:tc>
          <w:tcPr>
            <w:tcW w:w="5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Borders>
              <w:top w:val="single" w:sz="8" w:color="auto"/>
            </w:tcBorders>
            <w:gridSpan w:val="5"/>
            <w:vMerge w:val="restart"/>
          </w:tcPr>
          <w:p>
            <w:pPr>
              <w:jc w:val="right"/>
              <w:ind w:right="320"/>
              <w:spacing w:after="0"/>
              <w:rPr>
                <w:sz w:val="20"/>
                <w:szCs w:val="20"/>
                <w:color w:val="auto"/>
              </w:rPr>
            </w:pPr>
            <w:r>
              <w:rPr>
                <w:rFonts w:ascii="Arial" w:cs="Arial" w:eastAsia="Arial" w:hAnsi="Arial"/>
                <w:sz w:val="14"/>
                <w:szCs w:val="14"/>
                <w:b w:val="1"/>
                <w:bCs w:val="1"/>
                <w:color w:val="auto"/>
                <w:w w:val="90"/>
              </w:rPr>
              <w:t>Amount</w:t>
            </w:r>
          </w:p>
        </w:tc>
        <w:tc>
          <w:tcPr>
            <w:tcW w:w="3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ind w:right="244"/>
              <w:spacing w:after="0" w:line="119" w:lineRule="exact"/>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6"/>
          </w:tcPr>
          <w:p>
            <w:pPr>
              <w:jc w:val="right"/>
              <w:ind w:right="368"/>
              <w:spacing w:after="0"/>
              <w:rPr>
                <w:sz w:val="20"/>
                <w:szCs w:val="20"/>
                <w:color w:val="auto"/>
              </w:rPr>
            </w:pPr>
            <w:r>
              <w:rPr>
                <w:rFonts w:ascii="Arial" w:cs="Arial" w:eastAsia="Arial" w:hAnsi="Arial"/>
                <w:sz w:val="14"/>
                <w:szCs w:val="14"/>
                <w:b w:val="1"/>
                <w:bCs w:val="1"/>
                <w:color w:val="auto"/>
                <w:w w:val="89"/>
              </w:rPr>
              <w:t>Total revenues</w:t>
            </w:r>
          </w:p>
        </w:tc>
        <w:tc>
          <w:tcPr>
            <w:tcW w:w="40" w:type="dxa"/>
            <w:vAlign w:val="bottom"/>
          </w:tcPr>
          <w:p>
            <w:pPr>
              <w:spacing w:after="0"/>
              <w:rPr>
                <w:sz w:val="14"/>
                <w:szCs w:val="14"/>
                <w:color w:val="auto"/>
              </w:rPr>
            </w:pPr>
          </w:p>
        </w:tc>
        <w:tc>
          <w:tcPr>
            <w:tcW w:w="820" w:type="dxa"/>
            <w:vAlign w:val="bottom"/>
            <w:gridSpan w:val="5"/>
            <w:vMerge w:val="continue"/>
          </w:tcPr>
          <w:p>
            <w:pPr>
              <w:spacing w:after="0"/>
              <w:rPr>
                <w:sz w:val="14"/>
                <w:szCs w:val="14"/>
                <w:color w:val="auto"/>
              </w:rPr>
            </w:pPr>
          </w:p>
        </w:tc>
        <w:tc>
          <w:tcPr>
            <w:tcW w:w="14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89"/>
              </w:rPr>
              <w:t>Total revenues</w:t>
            </w:r>
          </w:p>
        </w:tc>
        <w:tc>
          <w:tcPr>
            <w:tcW w:w="58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9"/>
          </w:tcPr>
          <w:p>
            <w:pPr>
              <w:jc w:val="right"/>
              <w:ind w:right="188"/>
              <w:spacing w:after="0" w:line="142" w:lineRule="exact"/>
              <w:rPr>
                <w:sz w:val="20"/>
                <w:szCs w:val="20"/>
                <w:color w:val="auto"/>
              </w:rPr>
            </w:pPr>
            <w:r>
              <w:rPr>
                <w:rFonts w:ascii="Arial" w:cs="Arial" w:eastAsia="Arial" w:hAnsi="Arial"/>
                <w:sz w:val="14"/>
                <w:szCs w:val="14"/>
                <w:b w:val="1"/>
                <w:bCs w:val="1"/>
                <w:color w:val="auto"/>
              </w:rPr>
              <w:t>(Dollars in millions)</w:t>
            </w: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$ 58.5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46.1%</w:t>
            </w:r>
          </w:p>
        </w:tc>
        <w:tc>
          <w:tcPr>
            <w:tcW w:w="18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$ 69.6</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55.7%</w:t>
            </w: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0"/>
              </w:rPr>
              <w:t>$ (11.1)</w:t>
            </w:r>
          </w:p>
        </w:tc>
        <w:tc>
          <w:tcPr>
            <w:tcW w:w="0" w:type="dxa"/>
            <w:vAlign w:val="bottom"/>
          </w:tcPr>
          <w:p>
            <w:pPr>
              <w:spacing w:after="0"/>
              <w:rPr>
                <w:sz w:val="1"/>
                <w:szCs w:val="1"/>
                <w:color w:val="auto"/>
              </w:rPr>
            </w:pPr>
          </w:p>
        </w:tc>
      </w:tr>
      <w:tr>
        <w:trPr>
          <w:trHeight w:val="216"/>
        </w:trPr>
        <w:tc>
          <w:tcPr>
            <w:tcW w:w="598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58.9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168"/>
              <w:spacing w:after="0"/>
              <w:rPr>
                <w:sz w:val="20"/>
                <w:szCs w:val="20"/>
                <w:color w:val="auto"/>
              </w:rPr>
            </w:pPr>
            <w:r>
              <w:rPr>
                <w:rFonts w:ascii="Arial" w:cs="Arial" w:eastAsia="Arial" w:hAnsi="Arial"/>
                <w:sz w:val="18"/>
                <w:szCs w:val="18"/>
                <w:color w:val="auto"/>
              </w:rPr>
              <w:t>46.4</w:t>
            </w:r>
          </w:p>
        </w:tc>
        <w:tc>
          <w:tcPr>
            <w:tcW w:w="180" w:type="dxa"/>
            <w:vAlign w:val="bottom"/>
          </w:tcPr>
          <w:p>
            <w:pPr>
              <w:spacing w:after="0"/>
              <w:rPr>
                <w:sz w:val="18"/>
                <w:szCs w:val="18"/>
                <w:color w:val="auto"/>
              </w:rPr>
            </w:pPr>
          </w:p>
        </w:tc>
        <w:tc>
          <w:tcPr>
            <w:tcW w:w="820" w:type="dxa"/>
            <w:vAlign w:val="bottom"/>
            <w:gridSpan w:val="5"/>
          </w:tcPr>
          <w:p>
            <w:pPr>
              <w:jc w:val="right"/>
              <w:ind w:right="280"/>
              <w:spacing w:after="0"/>
              <w:rPr>
                <w:sz w:val="20"/>
                <w:szCs w:val="20"/>
                <w:color w:val="auto"/>
              </w:rPr>
            </w:pPr>
            <w:r>
              <w:rPr>
                <w:rFonts w:ascii="Arial" w:cs="Arial" w:eastAsia="Arial" w:hAnsi="Arial"/>
                <w:sz w:val="18"/>
                <w:szCs w:val="18"/>
                <w:color w:val="auto"/>
              </w:rPr>
              <w:t>46.7</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37.4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standard products business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92.5</w:t>
            </w:r>
          </w:p>
        </w:tc>
        <w:tc>
          <w:tcPr>
            <w:tcW w:w="18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116.3</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93.1</w:t>
            </w: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168"/>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820" w:type="dxa"/>
            <w:vAlign w:val="bottom"/>
            <w:gridSpan w:val="5"/>
          </w:tcPr>
          <w:p>
            <w:pPr>
              <w:jc w:val="right"/>
              <w:ind w:right="280"/>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revenues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127.0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124.8</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7"/>
          </w:tcPr>
          <w:p>
            <w:pPr>
              <w:jc w:val="right"/>
              <w:ind w:right="208"/>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7"/>
          </w:tcPr>
          <w:p>
            <w:pPr>
              <w:jc w:val="right"/>
              <w:ind w:right="268"/>
              <w:spacing w:after="0"/>
              <w:rPr>
                <w:sz w:val="20"/>
                <w:szCs w:val="20"/>
                <w:color w:val="auto"/>
              </w:rPr>
            </w:pPr>
            <w:r>
              <w:rPr>
                <w:rFonts w:ascii="Arial" w:cs="Arial" w:eastAsia="Arial" w:hAnsi="Arial"/>
                <w:sz w:val="14"/>
                <w:szCs w:val="14"/>
                <w:b w:val="1"/>
                <w:bCs w:val="1"/>
                <w:color w:val="auto"/>
                <w:w w:val="94"/>
              </w:rPr>
              <w:t>September 30, 2021</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w w:val="94"/>
              </w:rPr>
              <w:t>September 30, 2020</w:t>
            </w:r>
          </w:p>
        </w:tc>
        <w:tc>
          <w:tcPr>
            <w:tcW w:w="5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5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14"/>
                <w:szCs w:val="14"/>
                <w:b w:val="1"/>
                <w:bCs w:val="1"/>
                <w:color w:val="auto"/>
                <w:w w:val="98"/>
              </w:rPr>
              <w:t>Amount</w:t>
            </w:r>
          </w:p>
        </w:tc>
        <w:tc>
          <w:tcPr>
            <w:tcW w:w="3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ind w:right="88"/>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tcPr>
          <w:p>
            <w:pPr>
              <w:spacing w:after="0"/>
              <w:rPr>
                <w:sz w:val="10"/>
                <w:szCs w:val="10"/>
                <w:color w:val="auto"/>
              </w:rPr>
            </w:pPr>
          </w:p>
        </w:tc>
        <w:tc>
          <w:tcPr>
            <w:tcW w:w="5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w w:val="91"/>
              </w:rPr>
              <w:t>Net sales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1"/>
              </w:rPr>
              <w:t>Net sales</w:t>
            </w:r>
          </w:p>
        </w:tc>
        <w:tc>
          <w:tcPr>
            <w:tcW w:w="58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8"/>
          </w:tcPr>
          <w:p>
            <w:pPr>
              <w:jc w:val="right"/>
              <w:spacing w:after="0" w:line="142" w:lineRule="exact"/>
              <w:rPr>
                <w:sz w:val="20"/>
                <w:szCs w:val="20"/>
                <w:color w:val="auto"/>
              </w:rPr>
            </w:pPr>
            <w:r>
              <w:rPr>
                <w:rFonts w:ascii="Arial" w:cs="Arial" w:eastAsia="Arial" w:hAnsi="Arial"/>
                <w:sz w:val="14"/>
                <w:szCs w:val="14"/>
                <w:b w:val="1"/>
                <w:bCs w:val="1"/>
                <w:color w:val="auto"/>
              </w:rPr>
              <w:t>(Dollars in millions)</w:t>
            </w: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5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Gross profit – standard products business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45.8</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39.0%</w:t>
            </w:r>
          </w:p>
        </w:tc>
        <w:tc>
          <w:tcPr>
            <w:tcW w:w="380" w:type="dxa"/>
            <w:vAlign w:val="bottom"/>
            <w:gridSpan w:val="3"/>
          </w:tcPr>
          <w:p>
            <w:pPr>
              <w:ind w:left="280"/>
              <w:spacing w:after="0"/>
              <w:rPr>
                <w:sz w:val="20"/>
                <w:szCs w:val="20"/>
                <w:color w:val="auto"/>
              </w:rPr>
            </w:pPr>
            <w:r>
              <w:rPr>
                <w:rFonts w:ascii="Arial" w:cs="Arial" w:eastAsia="Arial" w:hAnsi="Arial"/>
                <w:sz w:val="18"/>
                <w:szCs w:val="18"/>
                <w:color w:val="auto"/>
                <w:w w:val="79"/>
              </w:rPr>
              <w:t>$</w:t>
            </w: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28.8</w:t>
            </w:r>
          </w:p>
        </w:tc>
        <w:tc>
          <w:tcPr>
            <w:tcW w:w="300" w:type="dxa"/>
            <w:vAlign w:val="bottom"/>
          </w:tcPr>
          <w:p>
            <w:pPr>
              <w:spacing w:after="0"/>
              <w:rPr>
                <w:sz w:val="18"/>
                <w:szCs w:val="18"/>
                <w:color w:val="auto"/>
              </w:rPr>
            </w:pPr>
          </w:p>
        </w:tc>
        <w:tc>
          <w:tcPr>
            <w:tcW w:w="1120" w:type="dxa"/>
            <w:vAlign w:val="bottom"/>
            <w:gridSpan w:val="4"/>
          </w:tcPr>
          <w:p>
            <w:pPr>
              <w:jc w:val="right"/>
              <w:ind w:right="32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 – transitional Fab 3 foundry services</w:t>
            </w:r>
          </w:p>
        </w:tc>
        <w:tc>
          <w:tcPr>
            <w:tcW w:w="5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8"/>
              <w:spacing w:after="0"/>
              <w:rPr>
                <w:sz w:val="20"/>
                <w:szCs w:val="20"/>
                <w:color w:val="auto"/>
              </w:rPr>
            </w:pPr>
            <w:r>
              <w:rPr>
                <w:rFonts w:ascii="Arial" w:cs="Arial" w:eastAsia="Arial" w:hAnsi="Arial"/>
                <w:sz w:val="18"/>
                <w:szCs w:val="18"/>
                <w:color w:val="auto"/>
              </w:rPr>
              <w:t>(0.2)</w:t>
            </w:r>
          </w:p>
        </w:tc>
        <w:tc>
          <w:tcPr>
            <w:tcW w:w="1120" w:type="dxa"/>
            <w:vAlign w:val="bottom"/>
            <w:tcBorders>
              <w:right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720"/>
              <w:spacing w:after="0"/>
              <w:rPr>
                <w:sz w:val="20"/>
                <w:szCs w:val="20"/>
                <w:color w:val="auto"/>
              </w:rPr>
            </w:pPr>
            <w:r>
              <w:rPr>
                <w:rFonts w:ascii="Arial" w:cs="Arial" w:eastAsia="Arial" w:hAnsi="Arial"/>
                <w:sz w:val="18"/>
                <w:szCs w:val="18"/>
                <w:color w:val="auto"/>
              </w:rPr>
              <w:t>Total gross profit</w:t>
            </w:r>
          </w:p>
        </w:tc>
        <w:tc>
          <w:tcPr>
            <w:tcW w:w="500" w:type="dxa"/>
            <w:vAlign w:val="bottom"/>
            <w:vMerge w:val="restart"/>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46.6</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36.7%</w:t>
            </w:r>
          </w:p>
        </w:tc>
        <w:tc>
          <w:tcPr>
            <w:tcW w:w="28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vMerge w:val="continue"/>
          </w:tcPr>
          <w:p>
            <w:pPr>
              <w:spacing w:after="0"/>
              <w:rPr>
                <w:sz w:val="19"/>
                <w:szCs w:val="19"/>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Total revenues were $127.0 million for the three months ended September 30, 2021, a $2.2 million, or 1.8%, increase compared to $124.8 million for the three months ended September 30, 2020.</w:t>
      </w:r>
    </w:p>
    <w:p>
      <w:pPr>
        <w:spacing w:after="0" w:line="170"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b w:val="1"/>
          <w:bCs w:val="1"/>
          <w:i w:val="1"/>
          <w:iCs w:val="1"/>
          <w:color w:val="auto"/>
        </w:rPr>
        <w:t xml:space="preserve">The standard products business. </w:t>
      </w:r>
      <w:r>
        <w:rPr>
          <w:rFonts w:ascii="Arial" w:cs="Arial" w:eastAsia="Arial" w:hAnsi="Arial"/>
          <w:sz w:val="17"/>
          <w:szCs w:val="17"/>
          <w:color w:val="auto"/>
        </w:rPr>
        <w:t>Net sales from our standard products business were $117.4 million for the three months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a $1.2 million, or 1.0%, increase compared to $116.3 million for the three months ended September 30, 2020. This increase was primarily attributable to a higher demand for power products such as MOSFETs, including high-end MOSFETs, primarily for TVs and e-bikes, whereas the revenue for power products in 2020 was impacted by COVID-19-related supply chain issues and market softness in China. This increase was offset in part by a decrease in revenue from our mobile OLED display driver ICs stemming from a continuing global shortage in manufacturing capacity, as we outsource manufacturing of these products to external 12-inch foundries.</w:t>
      </w:r>
    </w:p>
    <w:p>
      <w:pPr>
        <w:spacing w:after="0" w:line="17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The transitional Fab 3 foundry services. </w:t>
      </w:r>
      <w:r>
        <w:rPr>
          <w:rFonts w:ascii="Arial" w:cs="Arial" w:eastAsia="Arial" w:hAnsi="Arial"/>
          <w:sz w:val="18"/>
          <w:szCs w:val="18"/>
          <w:color w:val="auto"/>
        </w:rPr>
        <w:t>Net sales from the transitional Fab 3 foundry services were $9.6 million and $8.6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2021 and 2020,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Total gross profit was $46.6 million for the three months ended September 30, 2021 compared to $28.6 million for the three months ended September 30, 2020, an $18.0 million, or 63.0%, increase. Gross profit as a percentage of net sales for the three months ended September 30, 2021 increased to 36.7% compared to 22.9% for the three months ended September 30, 2020.</w:t>
      </w:r>
    </w:p>
    <w:p>
      <w:pPr>
        <w:spacing w:after="0" w:line="184"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The standard products business. </w:t>
      </w:r>
      <w:r>
        <w:rPr>
          <w:rFonts w:ascii="Arial" w:cs="Arial" w:eastAsia="Arial" w:hAnsi="Arial"/>
          <w:sz w:val="17"/>
          <w:szCs w:val="17"/>
          <w:color w:val="auto"/>
        </w:rPr>
        <w:t>Gross profit from our standard products business was $45.8 million for the three months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which represented a $17.0 million, or 59.1%, increase from gross profit of $28.8 million for the three months ended September 30, 2020. Gross profit as a percentage of net sales for the three months ended September 30, 2021 increased to 39.0% compared to 24.7% for the three months ended September 30, 2020. The increase in both gross profit and gross profit margin was primarily attributable to an improved product mix, an increase in average selling price and a higher utilization rate of our internal fabrication facility in Gumi, whereas unexpected excess and obsolete inventory charge of $2.3 million in relation to the U.S. Government’s export restrictions on Huawei, which is a downstream customer of some of our direct customers, negatively affected both gross profit and gross profit as a percentage of net sales in the third quarter of 2020. This excess and obsolete inventory charge was reversed by $1.1 million during the three months ended September 30, 2021 as a portion of such reserved inventory was subsequently sold to certain other customers, which also positively affected both gross profit and gross profit as a percentage of net sales for the three months ended September 30, 2021.</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86"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Sales – Standard Products Business by Geographic Region</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report net sales – 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three months ended September 30, 2021 and 2020:</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368"/>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428"/>
              <w:spacing w:after="0"/>
              <w:rPr>
                <w:sz w:val="20"/>
                <w:szCs w:val="20"/>
                <w:color w:val="auto"/>
              </w:rPr>
            </w:pPr>
            <w:r>
              <w:rPr>
                <w:rFonts w:ascii="Arial" w:cs="Arial" w:eastAsia="Arial" w:hAnsi="Arial"/>
                <w:sz w:val="14"/>
                <w:szCs w:val="14"/>
                <w:b w:val="1"/>
                <w:bCs w:val="1"/>
                <w:color w:val="auto"/>
                <w:w w:val="94"/>
              </w:rPr>
              <w:t>September 30, 2021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4"/>
              </w:rPr>
              <w:t>September 30, 2020</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center"/>
              <w:ind w:right="268"/>
              <w:spacing w:after="0" w:line="149" w:lineRule="exact"/>
              <w:rPr>
                <w:sz w:val="20"/>
                <w:szCs w:val="20"/>
                <w:color w:val="auto"/>
              </w:rPr>
            </w:pPr>
            <w:r>
              <w:rPr>
                <w:rFonts w:ascii="Arial" w:cs="Arial" w:eastAsia="Arial" w:hAnsi="Arial"/>
                <w:sz w:val="14"/>
                <w:szCs w:val="14"/>
                <w:b w:val="1"/>
                <w:bCs w:val="1"/>
                <w:color w:val="auto"/>
                <w:w w:val="87"/>
              </w:rPr>
              <w:t>Net sales –</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Net sales –</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center"/>
              <w:ind w:right="268"/>
              <w:spacing w:after="0" w:line="149" w:lineRule="exact"/>
              <w:rPr>
                <w:sz w:val="20"/>
                <w:szCs w:val="20"/>
                <w:color w:val="auto"/>
              </w:rPr>
            </w:pPr>
            <w:r>
              <w:rPr>
                <w:rFonts w:ascii="Arial" w:cs="Arial" w:eastAsia="Arial" w:hAnsi="Arial"/>
                <w:sz w:val="14"/>
                <w:szCs w:val="14"/>
                <w:b w:val="1"/>
                <w:bCs w:val="1"/>
                <w:color w:val="auto"/>
                <w:w w:val="94"/>
              </w:rPr>
              <w:t>standard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standard</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jc w:val="center"/>
              <w:ind w:right="288"/>
              <w:spacing w:after="0" w:line="149" w:lineRule="exact"/>
              <w:rPr>
                <w:sz w:val="20"/>
                <w:szCs w:val="20"/>
                <w:color w:val="auto"/>
              </w:rPr>
            </w:pPr>
            <w:r>
              <w:rPr>
                <w:rFonts w:ascii="Arial" w:cs="Arial" w:eastAsia="Arial" w:hAnsi="Arial"/>
                <w:sz w:val="14"/>
                <w:szCs w:val="14"/>
                <w:b w:val="1"/>
                <w:bCs w:val="1"/>
                <w:color w:val="auto"/>
                <w:w w:val="90"/>
              </w:rPr>
              <w:t>products</w:t>
            </w:r>
          </w:p>
        </w:tc>
        <w:tc>
          <w:tcPr>
            <w:tcW w:w="180" w:type="dxa"/>
            <w:vAlign w:val="bottom"/>
          </w:tcPr>
          <w:p>
            <w:pPr>
              <w:spacing w:after="0"/>
              <w:rPr>
                <w:sz w:val="12"/>
                <w:szCs w:val="12"/>
                <w:color w:val="auto"/>
              </w:rPr>
            </w:pPr>
          </w:p>
        </w:tc>
        <w:tc>
          <w:tcPr>
            <w:tcW w:w="86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products</w:t>
            </w:r>
          </w:p>
        </w:tc>
        <w:tc>
          <w:tcPr>
            <w:tcW w:w="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98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85"/>
              </w:rPr>
              <w:t>business</w:t>
            </w:r>
          </w:p>
        </w:tc>
        <w:tc>
          <w:tcPr>
            <w:tcW w:w="1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business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5"/>
          </w:tcPr>
          <w:p>
            <w:pPr>
              <w:jc w:val="center"/>
              <w:ind w:left="88"/>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6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28.4</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84.2</w:t>
            </w:r>
          </w:p>
        </w:tc>
        <w:tc>
          <w:tcPr>
            <w:tcW w:w="320" w:type="dxa"/>
            <w:vAlign w:val="bottom"/>
          </w:tcPr>
          <w:p>
            <w:pPr>
              <w:spacing w:after="0"/>
              <w:rPr>
                <w:sz w:val="18"/>
                <w:szCs w:val="18"/>
                <w:color w:val="auto"/>
              </w:rPr>
            </w:pPr>
          </w:p>
        </w:tc>
        <w:tc>
          <w:tcPr>
            <w:tcW w:w="980" w:type="dxa"/>
            <w:vAlign w:val="bottom"/>
            <w:gridSpan w:val="2"/>
          </w:tcPr>
          <w:p>
            <w:pPr>
              <w:jc w:val="right"/>
              <w:ind w:right="268"/>
              <w:spacing w:after="0"/>
              <w:rPr>
                <w:sz w:val="20"/>
                <w:szCs w:val="20"/>
                <w:color w:val="auto"/>
              </w:rPr>
            </w:pPr>
            <w:r>
              <w:rPr>
                <w:rFonts w:ascii="Arial" w:cs="Arial" w:eastAsia="Arial" w:hAnsi="Arial"/>
                <w:sz w:val="18"/>
                <w:szCs w:val="18"/>
                <w:color w:val="auto"/>
              </w:rPr>
              <w:t>71.7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84.2</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72.4</w:t>
            </w:r>
          </w:p>
        </w:tc>
        <w:tc>
          <w:tcPr>
            <w:tcW w:w="1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980" w:type="dxa"/>
            <w:vAlign w:val="bottom"/>
            <w:gridSpan w:val="2"/>
          </w:tcPr>
          <w:p>
            <w:pPr>
              <w:jc w:val="right"/>
              <w:ind w:right="268"/>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117.4</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98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100.0%</w:t>
            </w:r>
          </w:p>
        </w:tc>
        <w:tc>
          <w:tcPr>
            <w:tcW w:w="1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116.3</w:t>
            </w:r>
          </w:p>
        </w:tc>
        <w:tc>
          <w:tcPr>
            <w:tcW w:w="320" w:type="dxa"/>
            <w:vAlign w:val="bottom"/>
            <w:vMerge w:val="continue"/>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Net sales – standard products business in Korea for the three months ended September 30, 2021 increased from $28.4 million to $29.7 million compared to the three months ended September 30, 2020, or by $1.3 million, or 4.6%, primarily due to a higher demand for power products such as MOSFETs, including high-end MOSFETs, primarily for TV and smartphone applications. This increase was offset in part by a decrease in revenue related to our mobile OLED display driver ICs stemming from a continuing global shortage in manufacturing capacity, as we outsource manufacturing of these products to external 12-inch foundries.</w:t>
      </w:r>
    </w:p>
    <w:p>
      <w:pPr>
        <w:spacing w:after="0" w:line="18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Net sales – standard products business in Asia Pacific (other than Korea) for the three months ended September 30, 2021 was $84.2 million, which remained flat, compared to $84.2 million in the three months ended September 30, 2020. The increase in revenue was primarily attributable to a higher demand for power products such as MOSFETs, including high-end MOSFETs, primarily for TVs and e-bikes, and a higher demand for auto-LCD DDIC business, which was entirely offset by a decrease in revenue from our mobile OLED display driver ICs stemming from a continuing global shortage in manufacturing capacity, as we outsource manufacturing of these products to external 12-inch foundries.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left="120" w:right="260" w:firstLine="440"/>
        <w:spacing w:after="0" w:line="311"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were $12.6 million, or 9.9% of total revenues,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September 30, 2021, compared to $12.9 million, or 10.3% of total revenues, for the three months ended September 30, 2020. The decrease of $0.3 million, or 2.6%, was primarily attributable to a decrease in professional fess mainly comprised of legal and consulting fees.</w:t>
      </w:r>
    </w:p>
    <w:p>
      <w:pPr>
        <w:spacing w:after="0" w:line="149"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were $12.3 million, or 9.7% of total revenues,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2021, which remained almost flat, compared to $12.5 million, or 10.0% of total revenues, for the three months ended September 30, 2020.</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Other Charges. </w:t>
      </w:r>
      <w:r>
        <w:rPr>
          <w:rFonts w:ascii="Arial" w:cs="Arial" w:eastAsia="Arial" w:hAnsi="Arial"/>
          <w:sz w:val="18"/>
          <w:szCs w:val="18"/>
          <w:color w:val="auto"/>
        </w:rPr>
        <w:t>Other charges were $1.8 million for the three months ended September 30, 2021, which consisted of non-recurring professional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fees and expenses incurred in connection with the Merger and regulatory requests.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As a result of the foregoing, operating income was $20.0 million for the three months ended September 30, 2021 compared to operating income of $3.2 million the three months ended September 30, 2020. As discussed above, the increase in operating income of $16.8 million resulted primarily from an $18.0 million increase in gross profit, a $0.3 million decrease in selling, general and administrative expenses, and a $0.2 million increase in research and development expenses. This increase was offset in part by a $1.8 million increase in other charges.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86"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was $0.1 million and $5.5 million for the three months ended September 30, 2021 and September 30,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respectively. Interest expense was incurred primarily under our 2021 Notes and Exchangeable Notes. We redeemed all outstanding 2021 Notes on October 2, 2020. Our Exchangeable Notes were exchanged for common stock prior to their maturity date of March 1, 2021. From and after October 2, 2020 and March 1, 2021, we have not incurred interest expense associated with the 2021 Notes and Exchangeable Notes, respectively.</w:t>
      </w:r>
    </w:p>
    <w:p>
      <w:pPr>
        <w:spacing w:after="0" w:line="15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Foreign Currency Loss (Gain), Net. </w:t>
      </w:r>
      <w:r>
        <w:rPr>
          <w:rFonts w:ascii="Arial" w:cs="Arial" w:eastAsia="Arial" w:hAnsi="Arial"/>
          <w:sz w:val="16"/>
          <w:szCs w:val="16"/>
          <w:color w:val="auto"/>
        </w:rPr>
        <w:t>Net foreign currency loss for the three months ended September 30, 2021 was $7.6 million compared to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foreign currency gain of $8.9 million for the three months ended September 30, 2020. The net foreign currency loss for the three months ended September 30, 2021 was due to the depreciation in value of the Korean won relative to the U.S. dollar during the period. The net foreign currency gain for the three months ended September 30, 2020 was due to the appreciation in value of the Korean won relative to the U.S. dollar during the period.</w:t>
      </w:r>
    </w:p>
    <w:p>
      <w:pPr>
        <w:spacing w:after="0" w:line="15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intercompany long-term loans to our Korean subsidiary, which are denominated in U.S. dollars, and are affected by changes in the exchange rate between the Korean won and the U.S. dollar. As of September 30, 2021 and September 30, 2020, the outstanding intercompany loan balances, including accrued interest between our Korean subsidiary and our Dutch subsidiary, were $393 million and $446 million, respectively. Foreign currency translation gain or loss from intercompany balances were included in determining our consolidated net income since the intercompany balances were not considered long-term investments in nature because management intended to settle these intercompany balances at their respective maturity dates.</w:t>
      </w:r>
    </w:p>
    <w:p>
      <w:pPr>
        <w:spacing w:after="0" w:line="164"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Others, Net. </w:t>
      </w:r>
      <w:r>
        <w:rPr>
          <w:rFonts w:ascii="Arial" w:cs="Arial" w:eastAsia="Arial" w:hAnsi="Arial"/>
          <w:sz w:val="18"/>
          <w:szCs w:val="18"/>
          <w:color w:val="auto"/>
        </w:rPr>
        <w:t>Others were comprised of interest income, rental income, and gains and losses from valuation of derivatives which were designated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hedging instruments. Others, net for the three months ended September 30, 2021 and September 30, 2020 was $1.6 million and $0.7 million, respectively. During the three months ended September 30, 2021, others, net included a $0.7 million legal settlement gain related to certain expenses incurred in prior periods in connection with our legacy Fab 4 (which was sold during the year ended December 31, 2020) and awarded in the current quarter.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Income tax expense was $3.1 million for the three months ended September 30, 2021, which was primarily attributable to interest on intercompany loan balances and the estimated taxable income for the respective period in our Korean subsidiary, combined with its ability to utilize net operating loss carryforwards up to 60%. Income tax benefit was $1.1 million for the three months ended September 30, 2020, which was primarily attributable to the foreign translation loss realized by our Korean subsidiary upon the repayment of a part of its intercompany loans by the Dutch subsidiary to fund the redemption of the 2021 Notes.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As a result of the foregoing, income from continuing operations increased by $2.3 million for the three months ended September 30, 2021 compared to the three months ended September 30, 2020. As discussed above, the increase in income from continuing operations primarily resulted from a $16.8 million increase in operating income and a $5.4 million decrease in interest expense, which were offset in part by a $16.4 million increase in net foreign currency loss and a $4.3 million increase in income tax expense.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from Discontinued Operations, Net of Tax</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On March 30, 2020, we entered into the Business Transfer Agreement for the sale of our Foundry Services Group business and Fab 4. As a result, the results of the Foundry Services Group business were classified as discontinued operations in our consolidated statements of operations and excluded from our continuing operations for all periods presented. Income from discontinued operations, net of tax was $264.5 million for the three months ended September 30, 2020. On September 1, 2020, we completed the sale of our Foundry Services Group business and Fab 4 for a purchase price equal to approximately $350.6 million in cash. We have not incurred a gain or loss from discontinued operations in 2021 as the sale of the Foundry Service Group business and Fab 4 was completed in 2020.</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a result of the foregoing, a net income of $10.8 million was recorded for the three months ended September 30, 2021 compared to a net income of $273.0 million for the three months ended September 30, 2020. As discussed above, the decrease in net income of $262.2 million primarily resulted from a $264.5 million decrease in income from discontinued operations, net of tax, which was offset by a $2.3 million increase in income from continuing operations.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86"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 Comparison of Nine Months Ended September 30, 2021 and 2020</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consolidated results of operations for the nine months ended September 30, 2021 and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Nine Months Ended</w:t>
            </w:r>
          </w:p>
        </w:tc>
        <w:tc>
          <w:tcPr>
            <w:tcW w:w="22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September 30, 2021</w:t>
            </w:r>
          </w:p>
        </w:tc>
        <w:tc>
          <w:tcPr>
            <w:tcW w:w="22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September 30, 2020</w:t>
            </w:r>
          </w:p>
        </w:tc>
        <w:tc>
          <w:tcPr>
            <w:tcW w:w="680" w:type="dxa"/>
            <w:vAlign w:val="bottom"/>
            <w:gridSpan w:val="3"/>
            <w:vMerge w:val="restart"/>
          </w:tcPr>
          <w:p>
            <w:pPr>
              <w:jc w:val="right"/>
              <w:ind w:right="81"/>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19"/>
        </w:trPr>
        <w:tc>
          <w:tcPr>
            <w:tcW w:w="5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top w:val="single" w:sz="8" w:color="auto"/>
            </w:tcBorders>
          </w:tcPr>
          <w:p>
            <w:pPr>
              <w:jc w:val="right"/>
              <w:ind w:right="212"/>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tcPr>
          <w:p>
            <w:pPr>
              <w:spacing w:after="0"/>
              <w:rPr>
                <w:sz w:val="10"/>
                <w:szCs w:val="10"/>
                <w:color w:val="auto"/>
              </w:rPr>
            </w:pPr>
          </w:p>
        </w:tc>
        <w:tc>
          <w:tcPr>
            <w:tcW w:w="900" w:type="dxa"/>
            <w:vAlign w:val="bottom"/>
            <w:tcBorders>
              <w:top w:val="single" w:sz="8" w:color="auto"/>
            </w:tcBorders>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tcBorders>
              <w:top w:val="single" w:sz="8" w:color="auto"/>
            </w:tcBorders>
          </w:tcPr>
          <w:p>
            <w:pPr>
              <w:jc w:val="right"/>
              <w:ind w:right="212"/>
              <w:spacing w:after="0" w:line="119" w:lineRule="exact"/>
              <w:rPr>
                <w:sz w:val="20"/>
                <w:szCs w:val="20"/>
                <w:color w:val="auto"/>
              </w:rPr>
            </w:pPr>
            <w:r>
              <w:rPr>
                <w:rFonts w:ascii="Arial" w:cs="Arial" w:eastAsia="Arial" w:hAnsi="Arial"/>
                <w:sz w:val="13"/>
                <w:szCs w:val="13"/>
                <w:b w:val="1"/>
                <w:bCs w:val="1"/>
                <w:color w:val="auto"/>
              </w:rPr>
              <w:t>% of</w:t>
            </w:r>
          </w:p>
        </w:tc>
        <w:tc>
          <w:tcPr>
            <w:tcW w:w="48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52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Total revenues</w:t>
            </w:r>
          </w:p>
        </w:tc>
        <w:tc>
          <w:tcPr>
            <w:tcW w:w="900" w:type="dxa"/>
            <w:vAlign w:val="bottom"/>
            <w:gridSpan w:val="2"/>
            <w:vMerge w:val="continue"/>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Total revenues</w:t>
            </w:r>
          </w:p>
        </w:tc>
        <w:tc>
          <w:tcPr>
            <w:tcW w:w="680" w:type="dxa"/>
            <w:vAlign w:val="bottom"/>
            <w:gridSpan w:val="3"/>
          </w:tcPr>
          <w:p>
            <w:pPr>
              <w:jc w:val="right"/>
              <w:ind w:right="61"/>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millions)</w:t>
            </w:r>
          </w:p>
        </w:tc>
        <w:tc>
          <w:tcPr>
            <w:tcW w:w="9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333.6</w:t>
            </w:r>
          </w:p>
        </w:tc>
        <w:tc>
          <w:tcPr>
            <w:tcW w:w="1520" w:type="dxa"/>
            <w:vAlign w:val="bottom"/>
            <w:gridSpan w:val="2"/>
          </w:tcPr>
          <w:p>
            <w:pPr>
              <w:jc w:val="right"/>
              <w:ind w:right="248"/>
              <w:spacing w:after="0"/>
              <w:rPr>
                <w:sz w:val="20"/>
                <w:szCs w:val="20"/>
                <w:color w:val="auto"/>
              </w:rPr>
            </w:pPr>
            <w:r>
              <w:rPr>
                <w:rFonts w:ascii="Arial" w:cs="Arial" w:eastAsia="Arial" w:hAnsi="Arial"/>
                <w:sz w:val="18"/>
                <w:szCs w:val="18"/>
                <w:color w:val="auto"/>
              </w:rPr>
              <w:t>91.7%</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$ 336.0</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92.3%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8.3</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28.2</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720"/>
              <w:spacing w:after="0"/>
              <w:rPr>
                <w:sz w:val="20"/>
                <w:szCs w:val="20"/>
                <w:color w:val="auto"/>
              </w:rPr>
            </w:pPr>
            <w:r>
              <w:rPr>
                <w:rFonts w:ascii="Arial" w:cs="Arial" w:eastAsia="Arial" w:hAnsi="Arial"/>
                <w:sz w:val="18"/>
                <w:szCs w:val="18"/>
                <w:color w:val="auto"/>
              </w:rPr>
              <w:t>Total revenues</w:t>
            </w: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520" w:type="dxa"/>
            <w:vAlign w:val="bottom"/>
            <w:gridSpan w:val="2"/>
            <w:vMerge w:val="restart"/>
          </w:tcPr>
          <w:p>
            <w:pPr>
              <w:jc w:val="right"/>
              <w:ind w:right="388"/>
              <w:spacing w:after="0"/>
              <w:rPr>
                <w:sz w:val="20"/>
                <w:szCs w:val="20"/>
                <w:color w:val="auto"/>
              </w:rPr>
            </w:pPr>
            <w:r>
              <w:rPr>
                <w:rFonts w:ascii="Arial" w:cs="Arial" w:eastAsia="Arial" w:hAnsi="Arial"/>
                <w:sz w:val="18"/>
                <w:szCs w:val="18"/>
                <w:color w:val="auto"/>
              </w:rPr>
              <w:t>100.0</w:t>
            </w:r>
          </w:p>
        </w:tc>
        <w:tc>
          <w:tcPr>
            <w:tcW w:w="5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38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363.9</w:t>
            </w:r>
          </w:p>
        </w:tc>
        <w:tc>
          <w:tcPr>
            <w:tcW w:w="220" w:type="dxa"/>
            <w:vAlign w:val="bottom"/>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364.1</w:t>
            </w:r>
          </w:p>
        </w:tc>
        <w:tc>
          <w:tcPr>
            <w:tcW w:w="380" w:type="dxa"/>
            <w:vAlign w:val="bottom"/>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221.3</w:t>
            </w:r>
          </w:p>
        </w:tc>
        <w:tc>
          <w:tcPr>
            <w:tcW w:w="1520" w:type="dxa"/>
            <w:vAlign w:val="bottom"/>
            <w:gridSpan w:val="2"/>
          </w:tcPr>
          <w:p>
            <w:pPr>
              <w:jc w:val="right"/>
              <w:ind w:right="388"/>
              <w:spacing w:after="0"/>
              <w:rPr>
                <w:sz w:val="20"/>
                <w:szCs w:val="20"/>
                <w:color w:val="auto"/>
              </w:rPr>
            </w:pPr>
            <w:r>
              <w:rPr>
                <w:rFonts w:ascii="Arial" w:cs="Arial" w:eastAsia="Arial" w:hAnsi="Arial"/>
                <w:sz w:val="18"/>
                <w:szCs w:val="18"/>
                <w:color w:val="auto"/>
              </w:rPr>
              <w:t>60.8</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245.9</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transitional Fab 3 foundry services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w:t>
            </w:r>
          </w:p>
        </w:tc>
        <w:tc>
          <w:tcPr>
            <w:tcW w:w="15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7.6</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28.3</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518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249.0</w:t>
            </w:r>
          </w:p>
        </w:tc>
        <w:tc>
          <w:tcPr>
            <w:tcW w:w="220" w:type="dxa"/>
            <w:vAlign w:val="bottom"/>
          </w:tcPr>
          <w:p>
            <w:pPr>
              <w:spacing w:after="0"/>
              <w:rPr>
                <w:sz w:val="20"/>
                <w:szCs w:val="20"/>
                <w:color w:val="auto"/>
              </w:rPr>
            </w:pPr>
          </w:p>
        </w:tc>
        <w:tc>
          <w:tcPr>
            <w:tcW w:w="1520" w:type="dxa"/>
            <w:vAlign w:val="bottom"/>
            <w:gridSpan w:val="2"/>
          </w:tcPr>
          <w:p>
            <w:pPr>
              <w:jc w:val="right"/>
              <w:ind w:right="388"/>
              <w:spacing w:after="0"/>
              <w:rPr>
                <w:sz w:val="20"/>
                <w:szCs w:val="20"/>
                <w:color w:val="auto"/>
              </w:rPr>
            </w:pPr>
            <w:r>
              <w:rPr>
                <w:rFonts w:ascii="Arial" w:cs="Arial" w:eastAsia="Arial" w:hAnsi="Arial"/>
                <w:sz w:val="18"/>
                <w:szCs w:val="18"/>
                <w:color w:val="auto"/>
              </w:rPr>
              <w:t>68.4</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274.3</w:t>
            </w:r>
          </w:p>
        </w:tc>
        <w:tc>
          <w:tcPr>
            <w:tcW w:w="38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114.9</w:t>
            </w:r>
          </w:p>
        </w:tc>
        <w:tc>
          <w:tcPr>
            <w:tcW w:w="15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31.6</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89.9</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39.2</w:t>
            </w:r>
          </w:p>
        </w:tc>
        <w:tc>
          <w:tcPr>
            <w:tcW w:w="1520" w:type="dxa"/>
            <w:vAlign w:val="bottom"/>
            <w:gridSpan w:val="2"/>
          </w:tcPr>
          <w:p>
            <w:pPr>
              <w:jc w:val="right"/>
              <w:ind w:right="388"/>
              <w:spacing w:after="0"/>
              <w:rPr>
                <w:sz w:val="20"/>
                <w:szCs w:val="20"/>
                <w:color w:val="auto"/>
              </w:rPr>
            </w:pPr>
            <w:r>
              <w:rPr>
                <w:rFonts w:ascii="Arial" w:cs="Arial" w:eastAsia="Arial" w:hAnsi="Arial"/>
                <w:sz w:val="18"/>
                <w:szCs w:val="18"/>
                <w:color w:val="auto"/>
              </w:rPr>
              <w:t>10.8</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37.4</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w:t>
            </w:r>
          </w:p>
        </w:tc>
        <w:tc>
          <w:tcPr>
            <w:tcW w:w="15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10.7</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34.1</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charges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8"/>
                <w:szCs w:val="18"/>
                <w:color w:val="auto"/>
              </w:rPr>
            </w:pPr>
          </w:p>
        </w:tc>
        <w:tc>
          <w:tcPr>
            <w:tcW w:w="1520" w:type="dxa"/>
            <w:vAlign w:val="bottom"/>
            <w:gridSpan w:val="2"/>
          </w:tcPr>
          <w:p>
            <w:pPr>
              <w:jc w:val="right"/>
              <w:ind w:right="388"/>
              <w:spacing w:after="0"/>
              <w:rPr>
                <w:sz w:val="20"/>
                <w:szCs w:val="20"/>
                <w:color w:val="auto"/>
              </w:rPr>
            </w:pPr>
            <w:r>
              <w:rPr>
                <w:rFonts w:ascii="Arial" w:cs="Arial" w:eastAsia="Arial" w:hAnsi="Arial"/>
                <w:sz w:val="18"/>
                <w:szCs w:val="18"/>
                <w:color w:val="auto"/>
              </w:rPr>
              <w:t>4.7</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0.6</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5.4</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17.8</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520" w:type="dxa"/>
            <w:vAlign w:val="bottom"/>
            <w:gridSpan w:val="2"/>
          </w:tcPr>
          <w:p>
            <w:pPr>
              <w:jc w:val="right"/>
              <w:ind w:right="328"/>
              <w:spacing w:after="0"/>
              <w:rPr>
                <w:sz w:val="20"/>
                <w:szCs w:val="20"/>
                <w:color w:val="auto"/>
              </w:rPr>
            </w:pPr>
            <w:r>
              <w:rPr>
                <w:rFonts w:ascii="Arial" w:cs="Arial" w:eastAsia="Arial" w:hAnsi="Arial"/>
                <w:sz w:val="18"/>
                <w:szCs w:val="18"/>
                <w:color w:val="auto"/>
              </w:rPr>
              <w:t>(0.3)</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(16.5)</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 net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(12.0)</w:t>
            </w:r>
          </w:p>
        </w:tc>
        <w:tc>
          <w:tcPr>
            <w:tcW w:w="15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(3.3)</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Others, net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520" w:type="dxa"/>
            <w:vAlign w:val="bottom"/>
            <w:gridSpan w:val="2"/>
          </w:tcPr>
          <w:p>
            <w:pPr>
              <w:jc w:val="right"/>
              <w:ind w:right="388"/>
              <w:spacing w:after="0"/>
              <w:rPr>
                <w:sz w:val="20"/>
                <w:szCs w:val="20"/>
                <w:color w:val="auto"/>
              </w:rPr>
            </w:pPr>
            <w:r>
              <w:rPr>
                <w:rFonts w:ascii="Arial" w:cs="Arial" w:eastAsia="Arial" w:hAnsi="Arial"/>
                <w:sz w:val="18"/>
                <w:szCs w:val="18"/>
                <w:color w:val="auto"/>
              </w:rPr>
              <w:t>0.8</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2.3</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(10.4)</w:t>
            </w:r>
          </w:p>
        </w:tc>
        <w:tc>
          <w:tcPr>
            <w:tcW w:w="15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(2.9)</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(27.8)</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w w:val="94"/>
              </w:rPr>
              <w:t>Income (loss) from continuing operations before income tax expense</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9"/>
                <w:szCs w:val="19"/>
                <w:color w:val="auto"/>
              </w:rPr>
            </w:pPr>
          </w:p>
        </w:tc>
        <w:tc>
          <w:tcPr>
            <w:tcW w:w="1520" w:type="dxa"/>
            <w:vAlign w:val="bottom"/>
            <w:gridSpan w:val="2"/>
          </w:tcPr>
          <w:p>
            <w:pPr>
              <w:jc w:val="right"/>
              <w:ind w:right="388"/>
              <w:spacing w:after="0"/>
              <w:rPr>
                <w:sz w:val="20"/>
                <w:szCs w:val="20"/>
                <w:color w:val="auto"/>
              </w:rPr>
            </w:pPr>
            <w:r>
              <w:rPr>
                <w:rFonts w:ascii="Arial" w:cs="Arial" w:eastAsia="Arial" w:hAnsi="Arial"/>
                <w:sz w:val="18"/>
                <w:szCs w:val="18"/>
                <w:color w:val="auto"/>
              </w:rPr>
              <w:t>2.5</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9"/>
                <w:szCs w:val="19"/>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1.7</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520" w:type="dxa"/>
            <w:vAlign w:val="bottom"/>
            <w:gridSpan w:val="2"/>
            <w:vMerge w:val="restart"/>
          </w:tcPr>
          <w:p>
            <w:pPr>
              <w:jc w:val="right"/>
              <w:ind w:right="388"/>
              <w:spacing w:after="0"/>
              <w:rPr>
                <w:sz w:val="20"/>
                <w:szCs w:val="20"/>
                <w:color w:val="auto"/>
              </w:rPr>
            </w:pPr>
            <w:r>
              <w:rPr>
                <w:rFonts w:ascii="Arial" w:cs="Arial" w:eastAsia="Arial" w:hAnsi="Arial"/>
                <w:sz w:val="18"/>
                <w:szCs w:val="18"/>
                <w:color w:val="auto"/>
              </w:rPr>
              <w:t>0.9</w:t>
            </w: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(10.8)</w:t>
            </w:r>
          </w:p>
        </w:tc>
        <w:tc>
          <w:tcPr>
            <w:tcW w:w="13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289.2</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(289.2)</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1520" w:type="dxa"/>
            <w:vAlign w:val="bottom"/>
            <w:gridSpan w:val="2"/>
          </w:tcPr>
          <w:p>
            <w:pPr>
              <w:jc w:val="right"/>
              <w:ind w:right="388"/>
              <w:spacing w:after="0"/>
              <w:rPr>
                <w:sz w:val="20"/>
                <w:szCs w:val="20"/>
                <w:color w:val="auto"/>
              </w:rPr>
            </w:pPr>
            <w:r>
              <w:rPr>
                <w:rFonts w:ascii="Arial" w:cs="Arial" w:eastAsia="Arial" w:hAnsi="Arial"/>
                <w:sz w:val="18"/>
                <w:szCs w:val="18"/>
                <w:color w:val="auto"/>
              </w:rPr>
              <w:t>0.9</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278.4</w:t>
            </w:r>
          </w:p>
        </w:tc>
        <w:tc>
          <w:tcPr>
            <w:tcW w:w="380" w:type="dxa"/>
            <w:vAlign w:val="bottom"/>
          </w:tcPr>
          <w:p>
            <w:pPr>
              <w:spacing w:after="0"/>
              <w:rPr>
                <w:sz w:val="19"/>
                <w:szCs w:val="19"/>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76.5</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(275.3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620" w:type="dxa"/>
            <w:vAlign w:val="bottom"/>
            <w:vMerge w:val="restart"/>
          </w:tcPr>
          <w:p>
            <w:pPr>
              <w:jc w:val="right"/>
              <w:ind w:right="1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8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sets forth information relating to our continuing operations: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74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9"/>
          </w:tcPr>
          <w:p>
            <w:pPr>
              <w:jc w:val="right"/>
              <w:ind w:right="760"/>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1740" w:type="dxa"/>
            <w:vAlign w:val="bottom"/>
            <w:gridSpan w:val="6"/>
          </w:tcPr>
          <w:p>
            <w:pPr>
              <w:ind w:left="28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9"/>
          </w:tcPr>
          <w:p>
            <w:pPr>
              <w:jc w:val="right"/>
              <w:ind w:right="780"/>
              <w:spacing w:after="0"/>
              <w:rPr>
                <w:sz w:val="20"/>
                <w:szCs w:val="20"/>
                <w:color w:val="auto"/>
              </w:rPr>
            </w:pPr>
            <w:r>
              <w:rPr>
                <w:rFonts w:ascii="Arial" w:cs="Arial" w:eastAsia="Arial" w:hAnsi="Arial"/>
                <w:sz w:val="14"/>
                <w:szCs w:val="14"/>
                <w:b w:val="1"/>
                <w:bCs w:val="1"/>
                <w:color w:val="auto"/>
                <w:w w:val="91"/>
              </w:rPr>
              <w:t>September 30, 2020</w:t>
            </w:r>
          </w:p>
        </w:tc>
        <w:tc>
          <w:tcPr>
            <w:tcW w:w="5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5980" w:type="dxa"/>
            <w:vAlign w:val="bottom"/>
          </w:tcPr>
          <w:p>
            <w:pPr>
              <w:spacing w:after="0"/>
              <w:rPr>
                <w:sz w:val="10"/>
                <w:szCs w:val="10"/>
                <w:color w:val="auto"/>
              </w:rPr>
            </w:pPr>
          </w:p>
        </w:tc>
        <w:tc>
          <w:tcPr>
            <w:tcW w:w="840" w:type="dxa"/>
            <w:vAlign w:val="bottom"/>
            <w:tcBorders>
              <w:top w:val="single" w:sz="8" w:color="auto"/>
            </w:tcBorders>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Borders>
              <w:top w:val="single" w:sz="8" w:color="auto"/>
            </w:tcBorders>
            <w:gridSpan w:val="4"/>
            <w:vMerge w:val="restart"/>
          </w:tcPr>
          <w:p>
            <w:pPr>
              <w:jc w:val="right"/>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ind w:right="244"/>
              <w:spacing w:after="0" w:line="119" w:lineRule="exact"/>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Total revenues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89"/>
              </w:rPr>
              <w:t>Total revenues</w:t>
            </w:r>
          </w:p>
        </w:tc>
        <w:tc>
          <w:tcPr>
            <w:tcW w:w="58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9"/>
          </w:tcPr>
          <w:p>
            <w:pPr>
              <w:jc w:val="right"/>
              <w:ind w:right="220"/>
              <w:spacing w:after="0" w:line="142" w:lineRule="exact"/>
              <w:rPr>
                <w:sz w:val="20"/>
                <w:szCs w:val="20"/>
                <w:color w:val="auto"/>
              </w:rPr>
            </w:pPr>
            <w:r>
              <w:rPr>
                <w:rFonts w:ascii="Arial" w:cs="Arial" w:eastAsia="Arial" w:hAnsi="Arial"/>
                <w:sz w:val="14"/>
                <w:szCs w:val="14"/>
                <w:b w:val="1"/>
                <w:bCs w:val="1"/>
                <w:color w:val="auto"/>
              </w:rPr>
              <w:t>(Dollars in millions)</w:t>
            </w: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$ 164.0</w:t>
            </w: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$ 216.4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59.4%</w:t>
            </w: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0"/>
              </w:rPr>
              <w:t>$ (52.3)</w:t>
            </w:r>
          </w:p>
        </w:tc>
        <w:tc>
          <w:tcPr>
            <w:tcW w:w="0" w:type="dxa"/>
            <w:vAlign w:val="bottom"/>
          </w:tcPr>
          <w:p>
            <w:pPr>
              <w:spacing w:after="0"/>
              <w:rPr>
                <w:sz w:val="1"/>
                <w:szCs w:val="1"/>
                <w:color w:val="auto"/>
              </w:rPr>
            </w:pPr>
          </w:p>
        </w:tc>
      </w:tr>
      <w:tr>
        <w:trPr>
          <w:trHeight w:val="216"/>
        </w:trPr>
        <w:tc>
          <w:tcPr>
            <w:tcW w:w="598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169.6</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46.6</w:t>
            </w:r>
          </w:p>
        </w:tc>
        <w:tc>
          <w:tcPr>
            <w:tcW w:w="200" w:type="dxa"/>
            <w:vAlign w:val="bottom"/>
          </w:tcPr>
          <w:p>
            <w:pPr>
              <w:spacing w:after="0"/>
              <w:rPr>
                <w:sz w:val="18"/>
                <w:szCs w:val="18"/>
                <w:color w:val="auto"/>
              </w:rPr>
            </w:pP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119.6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32.8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standard products business</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333.6</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20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92.3</w:t>
            </w:r>
          </w:p>
        </w:tc>
        <w:tc>
          <w:tcPr>
            <w:tcW w:w="3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30.3</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7.7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revenues</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363.9</w:t>
            </w: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364.1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7"/>
          </w:tcPr>
          <w:p>
            <w:pPr>
              <w:jc w:val="right"/>
              <w:ind w:right="148"/>
              <w:spacing w:after="0"/>
              <w:rPr>
                <w:sz w:val="20"/>
                <w:szCs w:val="20"/>
                <w:color w:val="auto"/>
              </w:rPr>
            </w:pPr>
            <w:r>
              <w:rPr>
                <w:rFonts w:ascii="Arial" w:cs="Arial" w:eastAsia="Arial" w:hAnsi="Arial"/>
                <w:sz w:val="14"/>
                <w:szCs w:val="14"/>
                <w:b w:val="1"/>
                <w:bCs w:val="1"/>
                <w:color w:val="auto"/>
                <w:w w:val="96"/>
              </w:rPr>
              <w:t>Nine Months Ended</w:t>
            </w:r>
          </w:p>
        </w:tc>
        <w:tc>
          <w:tcPr>
            <w:tcW w:w="240" w:type="dxa"/>
            <w:vAlign w:val="bottom"/>
          </w:tcPr>
          <w:p>
            <w:pPr>
              <w:spacing w:after="0"/>
              <w:rPr>
                <w:sz w:val="24"/>
                <w:szCs w:val="24"/>
                <w:color w:val="auto"/>
              </w:rPr>
            </w:pPr>
          </w:p>
        </w:tc>
        <w:tc>
          <w:tcPr>
            <w:tcW w:w="176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w w:val="97"/>
              </w:rPr>
              <w:t>Nine Months Ended</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7"/>
          </w:tcPr>
          <w:p>
            <w:pPr>
              <w:jc w:val="right"/>
              <w:ind w:right="148"/>
              <w:spacing w:after="0"/>
              <w:rPr>
                <w:sz w:val="20"/>
                <w:szCs w:val="20"/>
                <w:color w:val="auto"/>
              </w:rPr>
            </w:pPr>
            <w:r>
              <w:rPr>
                <w:rFonts w:ascii="Arial" w:cs="Arial" w:eastAsia="Arial" w:hAnsi="Arial"/>
                <w:sz w:val="14"/>
                <w:szCs w:val="14"/>
                <w:b w:val="1"/>
                <w:bCs w:val="1"/>
                <w:color w:val="auto"/>
                <w:w w:val="96"/>
              </w:rPr>
              <w:t>September 30, 2021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w w:val="90"/>
              </w:rPr>
              <w:t>September 30, 2020</w:t>
            </w:r>
          </w:p>
        </w:tc>
        <w:tc>
          <w:tcPr>
            <w:tcW w:w="5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5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gridSpan w:val="3"/>
          </w:tcPr>
          <w:p>
            <w:pPr>
              <w:jc w:val="right"/>
              <w:ind w:right="48"/>
              <w:spacing w:after="0" w:line="119"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top w:val="single" w:sz="8" w:color="auto"/>
            </w:tcBorders>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 of</w:t>
            </w:r>
          </w:p>
        </w:tc>
        <w:tc>
          <w:tcPr>
            <w:tcW w:w="380" w:type="dxa"/>
            <w:vAlign w:val="bottom"/>
          </w:tcPr>
          <w:p>
            <w:pPr>
              <w:spacing w:after="0"/>
              <w:rPr>
                <w:sz w:val="10"/>
                <w:szCs w:val="10"/>
                <w:color w:val="auto"/>
              </w:rPr>
            </w:pPr>
          </w:p>
        </w:tc>
        <w:tc>
          <w:tcPr>
            <w:tcW w:w="5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72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w w:val="87"/>
              </w:rPr>
              <w:t>Net sales</w:t>
            </w:r>
          </w:p>
        </w:tc>
        <w:tc>
          <w:tcPr>
            <w:tcW w:w="240" w:type="dxa"/>
            <w:vAlign w:val="bottom"/>
          </w:tcPr>
          <w:p>
            <w:pPr>
              <w:spacing w:after="0"/>
              <w:rPr>
                <w:sz w:val="14"/>
                <w:szCs w:val="14"/>
                <w:color w:val="auto"/>
              </w:rPr>
            </w:pPr>
          </w:p>
        </w:tc>
        <w:tc>
          <w:tcPr>
            <w:tcW w:w="6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7"/>
              </w:rPr>
              <w:t>Net sales</w:t>
            </w:r>
          </w:p>
        </w:tc>
        <w:tc>
          <w:tcPr>
            <w:tcW w:w="58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10"/>
          </w:tcPr>
          <w:p>
            <w:pPr>
              <w:jc w:val="right"/>
              <w:ind w:right="880"/>
              <w:spacing w:after="0" w:line="142" w:lineRule="exact"/>
              <w:rPr>
                <w:sz w:val="20"/>
                <w:szCs w:val="20"/>
                <w:color w:val="auto"/>
              </w:rPr>
            </w:pPr>
            <w:r>
              <w:rPr>
                <w:rFonts w:ascii="Arial" w:cs="Arial" w:eastAsia="Arial" w:hAnsi="Arial"/>
                <w:sz w:val="14"/>
                <w:szCs w:val="14"/>
                <w:b w:val="1"/>
                <w:bCs w:val="1"/>
                <w:color w:val="auto"/>
                <w:w w:val="96"/>
              </w:rPr>
              <w:t>(Dollars in millions)</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Gross profit – standard products business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$ 112.3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7"/>
              </w:rPr>
              <w:t>33.7%</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90.0</w:t>
            </w:r>
          </w:p>
        </w:tc>
        <w:tc>
          <w:tcPr>
            <w:tcW w:w="1160" w:type="dxa"/>
            <w:vAlign w:val="bottom"/>
            <w:gridSpan w:val="4"/>
          </w:tcPr>
          <w:p>
            <w:pPr>
              <w:jc w:val="right"/>
              <w:ind w:right="24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 – transitional Fab 3 foundry services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1160" w:type="dxa"/>
            <w:vAlign w:val="bottom"/>
            <w:tcBorders>
              <w:right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720"/>
              <w:spacing w:after="0"/>
              <w:rPr>
                <w:sz w:val="20"/>
                <w:szCs w:val="20"/>
                <w:color w:val="auto"/>
              </w:rPr>
            </w:pPr>
            <w:r>
              <w:rPr>
                <w:rFonts w:ascii="Arial" w:cs="Arial" w:eastAsia="Arial" w:hAnsi="Arial"/>
                <w:sz w:val="18"/>
                <w:szCs w:val="18"/>
                <w:color w:val="auto"/>
              </w:rPr>
              <w:t>Total gross profit</w:t>
            </w: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$ 114.9</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7"/>
              </w:rPr>
              <w:t>31.6%</w:t>
            </w:r>
          </w:p>
        </w:tc>
        <w:tc>
          <w:tcPr>
            <w:tcW w:w="24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89.9</w:t>
            </w:r>
          </w:p>
        </w:tc>
        <w:tc>
          <w:tcPr>
            <w:tcW w:w="10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Total revenues were $363.9 million for the nine months ended September 30, 2021, a $0.2 million, or 0.1%, decrease compared to $364.1 million for the nine months ended September 30, 2020.</w:t>
      </w:r>
    </w:p>
    <w:p>
      <w:pPr>
        <w:spacing w:after="0" w:line="170"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b w:val="1"/>
          <w:bCs w:val="1"/>
          <w:i w:val="1"/>
          <w:iCs w:val="1"/>
          <w:color w:val="auto"/>
        </w:rPr>
        <w:t xml:space="preserve">The standard products business. </w:t>
      </w:r>
      <w:r>
        <w:rPr>
          <w:rFonts w:ascii="Arial" w:cs="Arial" w:eastAsia="Arial" w:hAnsi="Arial"/>
          <w:sz w:val="16"/>
          <w:szCs w:val="16"/>
          <w:color w:val="auto"/>
        </w:rPr>
        <w:t>Net sales from our standard products business were $333.6 million for the nine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a $2.4 million, or 0.7%, decrease compared to $336.0 million for the nine months ended September 30, 2020. This decrease was primarily attributable to a decrease in revenue from our mobile OLED display driver ICs stemming from a continuing global shortage in manufacturing capacity, as we outsource manufacturing of these products to external 12-inch foundries, and a strategic reduction of our lower margin non-auto LCD business. This decrease was offset in part by a higher demand for power products such as MOSFETs, including high-end MOSFETs, primarily for TVs and e-bikes, whereas the revenue for power products in 2020 was impacted by COVID-19-related supply chain issues and market softness in China.</w:t>
      </w:r>
    </w:p>
    <w:p>
      <w:pPr>
        <w:spacing w:after="0" w:line="16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The transitional Fab 3 foundry services. </w:t>
      </w:r>
      <w:r>
        <w:rPr>
          <w:rFonts w:ascii="Arial" w:cs="Arial" w:eastAsia="Arial" w:hAnsi="Arial"/>
          <w:sz w:val="18"/>
          <w:szCs w:val="18"/>
          <w:color w:val="auto"/>
        </w:rPr>
        <w:t>Net sales from the transitional Fab 3 foundry services were $30.3 million and $28.2 million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2021 and 2020,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Total gross profit was $114.9 million for the nine months ended September 30, 2021 compared to $89.9 million for the nine months ended September 30, 2020, a $25.1 million, or 27.9%, increase. Gross profit as a percentage of net sales for the nine months ended September 30, 2021 increased to 31.6% compared to 24.7% for the nine months ended September 30, 2020. The increase in gross profit and gross profit as a percentage of net sales was primarily due to our standard products business as further described below.</w:t>
      </w:r>
    </w:p>
    <w:p>
      <w:pPr>
        <w:spacing w:after="0" w:line="17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b w:val="1"/>
          <w:bCs w:val="1"/>
          <w:i w:val="1"/>
          <w:iCs w:val="1"/>
          <w:color w:val="auto"/>
        </w:rPr>
        <w:t xml:space="preserve">The standard products business. </w:t>
      </w:r>
      <w:r>
        <w:rPr>
          <w:rFonts w:ascii="Arial" w:cs="Arial" w:eastAsia="Arial" w:hAnsi="Arial"/>
          <w:sz w:val="16"/>
          <w:szCs w:val="16"/>
          <w:color w:val="auto"/>
        </w:rPr>
        <w:t>Gross profit from our standard products business was $112.3 million for the nine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which represented a $22.3 million, or 24.7%, increase from gross profit of $90.0 million for the nine months ended September 30, 2020. Gross profit as a percentage of net sales for the nine months ended September 30, 2021 increased to 33.7% compared to 26.8% for the nine months ended September 30, 2020. The increase in both gross profit and gross profit margin was primarily attributable to an improved product mix, an increase in average selling price and a higher utilization rate of our internal fabrication facility in Gumi, whereas unexpected excess and obsolete inventory charge of $2.3 million in relation to the U.S. Government’s export restrictions on Huawei, which is a downstream customer of some of our direct customers, negatively affected both gross profit and gross profit as a percentage of net sales in the third quarter of 2020. This excess and obsolete inventory charge was reversed by $1.1 million in the third quarter of 2021 as a portion of such reserved inventory was subsequently sold to certain other customers, which also positively affected both gross profit and gross profit as a percentage of net sales for the nine months ended September 30, 2021.</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86"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Sales – Standard Products Business by Geographic Region</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report net sales – 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nine months ended September 30, 2021 and 2020:</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408"/>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4"/>
                <w:szCs w:val="14"/>
                <w:color w:val="auto"/>
              </w:rPr>
            </w:pPr>
          </w:p>
        </w:tc>
        <w:tc>
          <w:tcPr>
            <w:tcW w:w="17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1"/>
              </w:rPr>
              <w:t>Nine Months Ended</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428"/>
              <w:spacing w:after="0"/>
              <w:rPr>
                <w:sz w:val="20"/>
                <w:szCs w:val="20"/>
                <w:color w:val="auto"/>
              </w:rPr>
            </w:pPr>
            <w:r>
              <w:rPr>
                <w:rFonts w:ascii="Arial" w:cs="Arial" w:eastAsia="Arial" w:hAnsi="Arial"/>
                <w:sz w:val="14"/>
                <w:szCs w:val="14"/>
                <w:b w:val="1"/>
                <w:bCs w:val="1"/>
                <w:color w:val="auto"/>
                <w:w w:val="91"/>
              </w:rPr>
              <w:t>September 30, 2021</w:t>
            </w:r>
          </w:p>
        </w:tc>
        <w:tc>
          <w:tcPr>
            <w:tcW w:w="100" w:type="dxa"/>
            <w:vAlign w:val="bottom"/>
          </w:tcPr>
          <w:p>
            <w:pPr>
              <w:spacing w:after="0"/>
              <w:rPr>
                <w:sz w:val="14"/>
                <w:szCs w:val="14"/>
                <w:color w:val="auto"/>
              </w:rPr>
            </w:pPr>
          </w:p>
        </w:tc>
        <w:tc>
          <w:tcPr>
            <w:tcW w:w="17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1"/>
              </w:rPr>
              <w:t>September 30, 2020</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308"/>
              <w:spacing w:after="0" w:line="149" w:lineRule="exact"/>
              <w:rPr>
                <w:sz w:val="20"/>
                <w:szCs w:val="20"/>
                <w:color w:val="auto"/>
              </w:rPr>
            </w:pPr>
            <w:r>
              <w:rPr>
                <w:rFonts w:ascii="Arial" w:cs="Arial" w:eastAsia="Arial" w:hAnsi="Arial"/>
                <w:sz w:val="14"/>
                <w:szCs w:val="14"/>
                <w:b w:val="1"/>
                <w:bCs w:val="1"/>
                <w:color w:val="auto"/>
                <w:w w:val="90"/>
              </w:rPr>
              <w:t>Net sales –</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Net sales –</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308"/>
              <w:spacing w:after="0" w:line="149" w:lineRule="exact"/>
              <w:rPr>
                <w:sz w:val="20"/>
                <w:szCs w:val="20"/>
                <w:color w:val="auto"/>
              </w:rPr>
            </w:pPr>
            <w:r>
              <w:rPr>
                <w:rFonts w:ascii="Arial" w:cs="Arial" w:eastAsia="Arial" w:hAnsi="Arial"/>
                <w:sz w:val="14"/>
                <w:szCs w:val="14"/>
                <w:b w:val="1"/>
                <w:bCs w:val="1"/>
                <w:color w:val="auto"/>
                <w:w w:val="91"/>
              </w:rPr>
              <w:t>standard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standard</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7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jc w:val="center"/>
              <w:ind w:right="308"/>
              <w:spacing w:after="0" w:line="149" w:lineRule="exact"/>
              <w:rPr>
                <w:sz w:val="20"/>
                <w:szCs w:val="20"/>
                <w:color w:val="auto"/>
              </w:rPr>
            </w:pPr>
            <w:r>
              <w:rPr>
                <w:rFonts w:ascii="Arial" w:cs="Arial" w:eastAsia="Arial" w:hAnsi="Arial"/>
                <w:sz w:val="14"/>
                <w:szCs w:val="14"/>
                <w:b w:val="1"/>
                <w:bCs w:val="1"/>
                <w:color w:val="auto"/>
                <w:w w:val="90"/>
              </w:rPr>
              <w:t>products</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products</w:t>
            </w:r>
          </w:p>
        </w:tc>
        <w:tc>
          <w:tcPr>
            <w:tcW w:w="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104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w w:val="82"/>
              </w:rPr>
              <w:t>business</w:t>
            </w:r>
          </w:p>
        </w:tc>
        <w:tc>
          <w:tcPr>
            <w:tcW w:w="780" w:type="dxa"/>
            <w:vAlign w:val="bottom"/>
            <w:gridSpan w:val="3"/>
            <w:vMerge w:val="continue"/>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business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6"/>
          </w:tcPr>
          <w:p>
            <w:pPr>
              <w:jc w:val="right"/>
              <w:ind w:right="960"/>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87.0</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237.3</w:t>
            </w:r>
          </w:p>
        </w:tc>
        <w:tc>
          <w:tcPr>
            <w:tcW w:w="240" w:type="dxa"/>
            <w:vAlign w:val="bottom"/>
          </w:tcPr>
          <w:p>
            <w:pPr>
              <w:spacing w:after="0"/>
              <w:rPr>
                <w:sz w:val="18"/>
                <w:szCs w:val="18"/>
                <w:color w:val="auto"/>
              </w:rPr>
            </w:pPr>
          </w:p>
        </w:tc>
        <w:tc>
          <w:tcPr>
            <w:tcW w:w="1040" w:type="dxa"/>
            <w:vAlign w:val="bottom"/>
            <w:gridSpan w:val="2"/>
          </w:tcPr>
          <w:p>
            <w:pPr>
              <w:jc w:val="right"/>
              <w:ind w:right="308"/>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245.9</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73.2</w:t>
            </w:r>
          </w:p>
        </w:tc>
        <w:tc>
          <w:tcPr>
            <w:tcW w:w="1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Europe</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040" w:type="dxa"/>
            <w:vAlign w:val="bottom"/>
            <w:gridSpan w:val="2"/>
          </w:tcPr>
          <w:p>
            <w:pPr>
              <w:jc w:val="right"/>
              <w:ind w:right="308"/>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460" w:type="dxa"/>
            <w:vAlign w:val="bottom"/>
            <w:gridSpan w:val="2"/>
          </w:tcPr>
          <w:p>
            <w:pPr>
              <w:jc w:val="right"/>
              <w:ind w:right="4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678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333.6</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40" w:type="dxa"/>
            <w:vAlign w:val="bottom"/>
            <w:gridSpan w:val="2"/>
          </w:tcPr>
          <w:p>
            <w:pPr>
              <w:jc w:val="right"/>
              <w:ind w:right="168"/>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336.0</w:t>
            </w:r>
          </w:p>
        </w:tc>
        <w:tc>
          <w:tcPr>
            <w:tcW w:w="260" w:type="dxa"/>
            <w:vAlign w:val="bottom"/>
            <w:vMerge w:val="continue"/>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Net sales – standard products business in Korea for the nine months ended September 30, 2021 increased from $81.1 million to $87.0 million compared to the nine months ended September 30, 2020, or by $5.8 million, or 7.2%, primarily due to a higher demand for power products such as MOSFETs, including high-end MOSFETs, primarily for TV and smartphone applications. This increase was offset in part by a decrease in revenue related to our mobile OLED display driver ICs stemming from a continuing global shortage in manufacturing capacity, as we outsource manufacturing of these products to external 12-inch foundries, and a strategic reduction of our lower margin non-auto LCD business.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sales – standard products business in Asia Pacific (other than Korea) for the nine months ended September 30, 2021 decreased to</w:t>
      </w:r>
    </w:p>
    <w:p>
      <w:pPr>
        <w:spacing w:after="0" w:line="35"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color w:val="auto"/>
        </w:rPr>
        <w:t>$237.3 million from $245.9 million in the nine months ended September 30, 2020, or by $8.6 million, or 3.5%, primarily due to a decrease in revenue from our mobile OLED display driver ICs stemming from a continuing global shortage in manufacturing capacity, as we outsource manufacturing of these products to external 12-inch foundries, which was offset in part by a higher demand for power products such as MOSFETs, including high-end MOSFETs, primarily for TVs and e-bikes.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expenses were $39.2 million, or 10.8% of total revenues,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nine months ended September 30, 2021, compared to $37.4 million, or 10.3% of total revenues, for the nine months ended September 30, 2020. The increase of $1.8 million, or 4.8%, was primarily attributable to certain non-income-based tax assessments of $0.6 million as a result of a regular tax examination completed for our primary operating entity in Korea for multiple tax years, and the grant timing of equity-based compensation. This increase was offset in part by a decrease in professional fees mainly comprised of legal and consulting fees.</w:t>
      </w:r>
    </w:p>
    <w:p>
      <w:pPr>
        <w:spacing w:after="0" w:line="176" w:lineRule="exact"/>
        <w:rPr>
          <w:sz w:val="20"/>
          <w:szCs w:val="20"/>
          <w:color w:val="auto"/>
        </w:rPr>
      </w:pPr>
    </w:p>
    <w:p>
      <w:pPr>
        <w:ind w:left="120" w:right="200" w:firstLine="440"/>
        <w:spacing w:after="0" w:line="310" w:lineRule="auto"/>
        <w:rPr>
          <w:sz w:val="20"/>
          <w:szCs w:val="20"/>
          <w:color w:val="auto"/>
        </w:rPr>
      </w:pPr>
      <w:r>
        <w:rPr>
          <w:rFonts w:ascii="Arial" w:cs="Arial" w:eastAsia="Arial" w:hAnsi="Arial"/>
          <w:sz w:val="15"/>
          <w:szCs w:val="15"/>
          <w:b w:val="1"/>
          <w:bCs w:val="1"/>
          <w:i w:val="1"/>
          <w:iCs w:val="1"/>
          <w:color w:val="auto"/>
        </w:rPr>
        <w:t xml:space="preserve">Research and Development Expenses. </w:t>
      </w:r>
      <w:r>
        <w:rPr>
          <w:rFonts w:ascii="Arial" w:cs="Arial" w:eastAsia="Arial" w:hAnsi="Arial"/>
          <w:sz w:val="15"/>
          <w:szCs w:val="15"/>
          <w:color w:val="auto"/>
        </w:rPr>
        <w:t>Research and development expenses were $39.0 million, or 10.7% of total revenues, for the nine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September 30, 2021, compared to $34.1 million, or 9.4% of total revenues, for the nine months ended September 30, 2020. The increase of</w:t>
      </w:r>
    </w:p>
    <w:p>
      <w:pPr>
        <w:spacing w:after="0" w:line="1"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$4.9 million, or 14.4%, was primarily attributable to an increase in outside service fees and variable overhead expenses, and an increase in material costs for new product development.</w:t>
      </w:r>
    </w:p>
    <w:p>
      <w:pPr>
        <w:spacing w:after="0" w:line="18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b w:val="1"/>
          <w:bCs w:val="1"/>
          <w:i w:val="1"/>
          <w:iCs w:val="1"/>
          <w:color w:val="auto"/>
        </w:rPr>
        <w:t xml:space="preserve">Other Charges. </w:t>
      </w:r>
      <w:r>
        <w:rPr>
          <w:rFonts w:ascii="Arial" w:cs="Arial" w:eastAsia="Arial" w:hAnsi="Arial"/>
          <w:sz w:val="18"/>
          <w:szCs w:val="18"/>
          <w:color w:val="auto"/>
        </w:rPr>
        <w:t>Other charges were $17.2 million for the nine months ended September 30, 2021, which were consisted of non-recurring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service fees and expenses incurred in connection with the Merger and regulatory requests. Other charges were $0.6 million for the nine months ended September 30, 2020, which pertained to non-recurring professional service fees and expenses incurred in connection with certain treasury and finance initiatives.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As a result of the foregoing, operating income was $19.5 million for the nine months ended September 30, 2021 compared to operating income of $17.8 million the nine months ended September 30, 2020. As discussed above, the increase in operating income of $1.7 million resulted primarily from a $25.1 million increase in gross profit, which was offset in part by a $16.6 million increase in other charges, a $4.9 million increase in research and development expenses, and a $1.8 million increase in selling, general and administrative expenses.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86"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expenses was $1.2 million and $16.5 million for the nine months ended September 30, 2021 and September 30,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respectively. Interest expenses was incurred primarily under our 2021 Notes and Exchangeable Notes. We redeemed all outstanding 2021 Notes on October 2, 2020. Our Exchangeable Notes were exchanged for common stock prior to their maturity date of March 1, 2021. From and after October 2, 2020 and March 1, 2021, we have not incurred interest expense associated with the 2021 Notes and Exchangeable Notes, respectively.</w:t>
      </w:r>
    </w:p>
    <w:p>
      <w:pPr>
        <w:spacing w:after="0" w:line="15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b w:val="1"/>
          <w:bCs w:val="1"/>
          <w:i w:val="1"/>
          <w:iCs w:val="1"/>
          <w:color w:val="auto"/>
        </w:rPr>
        <w:t xml:space="preserve">Foreign Currency Loss, Net. </w:t>
      </w:r>
      <w:r>
        <w:rPr>
          <w:rFonts w:ascii="Arial" w:cs="Arial" w:eastAsia="Arial" w:hAnsi="Arial"/>
          <w:sz w:val="17"/>
          <w:szCs w:val="17"/>
          <w:color w:val="auto"/>
        </w:rPr>
        <w:t>Net foreign currency loss for the nine months ended September 30, 2021 was $12.0 million compared to net foreign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currency loss of $13.6 million for the nine months ended September 30, 2020. The net foreign currency loss for the nine months ended September 30, 2021 and September 30, 2020 was due to the depreciation in value of the Korean won relative to the U.S. dollar during the period.</w:t>
      </w:r>
    </w:p>
    <w:p>
      <w:pPr>
        <w:spacing w:after="0" w:line="165"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intercompany long-term loans to our Korean subsidiary, which are denominated in U.S. dollars, and are affected by changes in the exchange rate between the Korean won and the U.S. dollar. As of September 30, 2021 and September 30, 2020, the outstanding intercompany loan balances, including accrued interest between our Korean subsidiary and our Dutch subsidiary, were $393 million and $446 million, respectively. Foreign currency translation gain or loss from intercompany balances were included in determining our consolidated net income since the intercompany balances were not considered long-term investments in nature because management intended to settle these intercompany balances at their respective maturity dates.</w:t>
      </w:r>
    </w:p>
    <w:p>
      <w:pPr>
        <w:spacing w:after="0" w:line="16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b w:val="1"/>
          <w:bCs w:val="1"/>
          <w:i w:val="1"/>
          <w:iCs w:val="1"/>
          <w:color w:val="auto"/>
        </w:rPr>
        <w:t xml:space="preserve">Others, Net. </w:t>
      </w:r>
      <w:r>
        <w:rPr>
          <w:rFonts w:ascii="Arial" w:cs="Arial" w:eastAsia="Arial" w:hAnsi="Arial"/>
          <w:sz w:val="16"/>
          <w:szCs w:val="16"/>
          <w:color w:val="auto"/>
        </w:rPr>
        <w:t>Others were comprised of interest income, rental income, and gains and losses from valuation of derivatives which were designated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hedging instruments. Others, net for the nine months ended September 30, 2021 and September 30, 2020 was $2.8 million and $2.3 million, respectively. In the third quarter of 2021, others, net included a $0.7 million legal settlement gain related to certain expenses incurred in prior periods in connection with our legacy Fab 4 (which was sold during the year ended December 31, 2020) and awarded in the current quarter.</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Income tax expense was $6.0 million for the nine months ended September 30, 2021, which was primarily attributable to interest on intercompany loan balances and the estimated taxable income for the respective period in our Korean subsidiary, combined with its ability to utilize net operating loss carryforwards up to 60%. Income tax expense was $0.8 million for the nine months ended September 30, 2020, which was primarily attributable to interest on intercompany loan balances, which was offset in part by the income tax benefit due mainly to the foreign translation loss realized by our Korean subsidiary upon the repayment of a part of its intercompany loans by the Dutch subsidiary to fund the redemption of the 2021 Notes.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(Loss) from Continuing Operations</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Income from continuing operations for the nine months ended September 30, 2021 was $3.1 million compared to loss from continuing operations of $10.8 million for the nine months ended September 30, 2020. The $14.0 million improvement in results from continuing operations was primarily attributable to a $15.3 million decrease in interest expense, a $1.7 million increase in operating income and a $1.6 million improvement in net foreign currency loss, which were offset in part by a $5.2 million increase in income tax expense.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from Discontinued Operations, Net of Tax</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On March 30, 2020, we entered into the Business Transfer Agreement for the sale of our Foundry Services Group business and Fab 4. As a result, the results of the Foundry Services Group business were classified as discontinued operations in our consolidated statements of operations and excluded from our continuing operations for all periods presented. Income from discontinued operations, net of tax was $289.2 million for the nine months ended September 30, 2020. On September 1, 2020, we completed the sale of our Foundry Services Group business and Fab 4 for a purchase price equal to approximately $350.6 million in cash. We have not incurred a gain or loss from discontinued operations in 2021 as the sale of the Foundry Service Group business and Fab 4 was completed in 2020.</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As a result of the foregoing, a net income of $3.1 million was recorded for the nine months ended September 30, 2021 compared to a net income of $278.4 million for the nine months ended September 30, 2020. As discussed above, the decrease in net income of $275.2 million primarily resulted from a $289.2 million decrease in income from discontinued operations, net of tax, which was offset by a $14.0 million improvement in loss from continuing operations.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86"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principal capital requirements are to fund sales and marketing, invest in research and development and capital equipment and to fund working capital needs. We calculate working capital as current assets less current liabilities.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principal sources of liquidity are our cash, cash equivalents, cash flows from operations and financing activities. Our ability to manage cash and cash equivalents may be limited, as our primary cash flows are dictated from time to time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In addition, from time to time, we may make payments to our vendors on extended terms with their consent. As of September 30, 2021, we do not have any accounts payable on extended terms or payment deferment with our vendors.</w:t>
      </w:r>
    </w:p>
    <w:p>
      <w:pPr>
        <w:spacing w:after="0" w:line="192"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On September 1, 2020, we completed the sale of our Foundry Services Group business and Fab 4 to Key Foundry Co., Ltd. in exchange for a purchase price equal to approximately $350.6 million in cash. The purchase price was paid in a combination of U.S. Dollars in the amount of $46.5 million and Korean Won in the amount of approximately KRW 360.6 billion.</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On October 2, 2020, we redeemed of all of our outstanding 2021 Notes. We paid approximately $227.4 million to fully redeem all of the outstanding $224.25 million aggregate principal amount of the 2021 Notes at a redemption price equal to the sum of 100% of the principal amount plus accrued and unpaid interest thereon.</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January 17, 2017, we issued an aggregate of $86.3 million in principal amount of our Exchangeable Notes. Prior to the March 1, 2021 maturity of our Exchangeable Notes, holders elected to exchange for an aggregate of 10,144,131 shares of our common stock in satisfaction in full of the remaining outstanding obligations under the Exchangeable Notes.</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currently believe that we will have sufficient cash reserves from cash on hand and expected cash from operations to fund our operations as well as capital expenditures for the next 12 months and the foreseeable future.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working capital balance as of September 30, 2021 was $315.1 million compared to $236.0 million as of December 31, 2020. The</w:t>
      </w:r>
    </w:p>
    <w:p>
      <w:pPr>
        <w:spacing w:after="0" w:line="35"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$79.1 million increase was primarily attributable to the exchange of our Exchangeable Notes for common stock prior to their maturity date of March 1, 2021.</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consolidated statements of cash flows have not been adjusted to separately disclose cash flows related to discontinued operations for the nine months ended September 30, 2020, but the material items in the operating and investing activities of cash flows relating to discontinued operations in the referred period are disclosed in “Item 1. Financial Statements and Supplementary Data – Notes to Consolidated Financial Statements – Note 3 – Discontinued Operations” included elsewhere in this Report.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Cash inflow provided by operating activities totaled $30.0 million for the nine months ended September 30, 2021, compared to $51.5 million of cash inflow provided by operating activities for the nine months ended September 30, 2020. The net operating cash inflow for the nine months ended September 30, 2021 reflects our net income of $3.1 million, as adjusted favorably by $57.7 million, which mainly consisted of depreciation and amortization, provision for severance benefits, stock-based compensation and net foreign currency loss, and net unfavorable impact of $30.8 million from changes of operating assets and liabilities.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Cash outflow used in investing activities totaled $14.4 million for the nine months ended September 30, 2021, compared to $334.0 million of cash inflow provided by investing activities for the nine months ended September 30, 2020. The $348.5 million decrease in cash inflow was primarily attributable to $350.6 million of proceeds received from the sale of the Foundry Services Group business and Fab 4 in the third quarter of 2020, and a $2.0 million net increase in guarantee deposits, which were offset in part by a $3.0 million decrease in purchase of property, plant and equipment and a $1.1 million net decrease in hedge collateral.</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86"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Cash inflow provided by financing activities totaled $1.8 million for the nine months ended September 30, 2021, compared to $1.1 million of cash inflow provided by financing activities for the nine months ended September 30, 2020. The financing cash inflow for the nine months ended September 30, 2021 was primarily attributable to $3.9 million of proceeds received from the issuance of common stock in connection with the exercise of stock options, which was offset in part by a payment of $1.7 million for the repurchase of our common stock to satisfy tax withholding obligations in connection with the vesting of restricted stock units. The financing cash inflow for the nine months ended September 30, 2020 was primarily attributable to $2.7 million of proceeds received from the issuance of common stock in connection with the exercise of stock options, which was offset in part by a payment of $1.0 million for the repurchase of our common stock to satisfy tax withholding obligations in connection with the vesting of restricted stock units.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routinely make capital expenditures for fabrication facility maintenance, enhancement of our existing facilities and reinforcement of our global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research and development capability. For the nine months ended September 30, 2021, capital expenditures for property, plant and equipment were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$13.4 million, a $3.0 million, or 18.3%, decrease from $16.4 million, including $5.8 million capital expenditures for discontinued operations, for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nine months ended September 30, 2020. The capital expenditures for the nine months ended September 30, 2021 and 2020 were related to meeting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customer demand and supporting technology and facility improvement at our fabrication facilities.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86"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summarizes our contractual obligations as of September 30, 2021:</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8"/>
          </w:tcPr>
          <w:p>
            <w:pPr>
              <w:jc w:val="center"/>
              <w:ind w:right="40"/>
              <w:spacing w:after="0"/>
              <w:rPr>
                <w:sz w:val="20"/>
                <w:szCs w:val="20"/>
                <w:color w:val="auto"/>
              </w:rPr>
            </w:pPr>
            <w:r>
              <w:rPr>
                <w:rFonts w:ascii="Arial" w:cs="Arial" w:eastAsia="Arial" w:hAnsi="Arial"/>
                <w:sz w:val="14"/>
                <w:szCs w:val="14"/>
                <w:b w:val="1"/>
                <w:bCs w:val="1"/>
                <w:color w:val="auto"/>
                <w:w w:val="92"/>
              </w:rPr>
              <w:t>Payments Due by Period</w:t>
            </w: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right"/>
              <w:ind w:right="100"/>
              <w:spacing w:after="0" w:line="119" w:lineRule="exact"/>
              <w:rPr>
                <w:sz w:val="20"/>
                <w:szCs w:val="20"/>
                <w:color w:val="auto"/>
              </w:rPr>
            </w:pPr>
            <w:r>
              <w:rPr>
                <w:rFonts w:ascii="Arial" w:cs="Arial" w:eastAsia="Arial" w:hAnsi="Arial"/>
                <w:sz w:val="13"/>
                <w:szCs w:val="13"/>
                <w:b w:val="1"/>
                <w:bCs w:val="1"/>
                <w:color w:val="auto"/>
              </w:rPr>
              <w:t>Remainder</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of</w:t>
            </w:r>
          </w:p>
        </w:tc>
        <w:tc>
          <w:tcPr>
            <w:tcW w:w="160" w:type="dxa"/>
            <w:vAlign w:val="bottom"/>
            <w:vMerge w:val="restart"/>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2022</w:t>
            </w:r>
          </w:p>
        </w:tc>
        <w:tc>
          <w:tcPr>
            <w:tcW w:w="260" w:type="dxa"/>
            <w:vAlign w:val="bottom"/>
          </w:tcPr>
          <w:p>
            <w:pPr>
              <w:spacing w:after="0"/>
              <w:rPr>
                <w:sz w:val="12"/>
                <w:szCs w:val="12"/>
                <w:color w:val="auto"/>
              </w:rPr>
            </w:pPr>
          </w:p>
        </w:tc>
        <w:tc>
          <w:tcPr>
            <w:tcW w:w="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2"/>
                <w:szCs w:val="12"/>
                <w:color w:val="auto"/>
              </w:rPr>
            </w:pPr>
          </w:p>
        </w:tc>
        <w:tc>
          <w:tcPr>
            <w:tcW w:w="140" w:type="dxa"/>
            <w:vAlign w:val="bottom"/>
            <w:vMerge w:val="restart"/>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2024</w:t>
            </w:r>
          </w:p>
        </w:tc>
        <w:tc>
          <w:tcPr>
            <w:tcW w:w="120" w:type="dxa"/>
            <w:vAlign w:val="bottom"/>
          </w:tcPr>
          <w:p>
            <w:pPr>
              <w:spacing w:after="0"/>
              <w:rPr>
                <w:sz w:val="12"/>
                <w:szCs w:val="12"/>
                <w:color w:val="auto"/>
              </w:rPr>
            </w:pPr>
          </w:p>
        </w:tc>
        <w:tc>
          <w:tcPr>
            <w:tcW w:w="140" w:type="dxa"/>
            <w:vAlign w:val="bottom"/>
            <w:vMerge w:val="restart"/>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Thereafter</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6"/>
          </w:tcPr>
          <w:p>
            <w:pPr>
              <w:jc w:val="center"/>
              <w:ind w:right="19"/>
              <w:spacing w:after="0" w:line="155" w:lineRule="exact"/>
              <w:rPr>
                <w:sz w:val="20"/>
                <w:szCs w:val="20"/>
                <w:color w:val="auto"/>
              </w:rPr>
            </w:pPr>
            <w:r>
              <w:rPr>
                <w:rFonts w:ascii="Arial" w:cs="Arial" w:eastAsia="Arial" w:hAnsi="Arial"/>
                <w:sz w:val="14"/>
                <w:szCs w:val="14"/>
                <w:b w:val="1"/>
                <w:bCs w:val="1"/>
                <w:color w:val="auto"/>
                <w:w w:val="93"/>
              </w:rPr>
              <w:t>(Dollars in millions)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leases(1)</w:t>
            </w:r>
          </w:p>
        </w:tc>
        <w:tc>
          <w:tcPr>
            <w:tcW w:w="2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$0.8</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$ 0.6</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$ 0.4</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Finance leases(1)</w:t>
            </w:r>
          </w:p>
        </w:tc>
        <w:tc>
          <w:tcPr>
            <w:tcW w:w="2540" w:type="dxa"/>
            <w:vAlign w:val="bottom"/>
            <w:gridSpan w:val="3"/>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0.1</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4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Water Treatment Services(1)(2)</w:t>
            </w:r>
          </w:p>
        </w:tc>
        <w:tc>
          <w:tcPr>
            <w:tcW w:w="2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Others(3)</w:t>
            </w:r>
          </w:p>
        </w:tc>
        <w:tc>
          <w:tcPr>
            <w:tcW w:w="2540" w:type="dxa"/>
            <w:vAlign w:val="bottom"/>
            <w:gridSpan w:val="3"/>
          </w:tcPr>
          <w:p>
            <w:pPr>
              <w:jc w:val="right"/>
              <w:ind w:right="12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7.0</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0.1</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Assumes constant currency exchange rate for Korean won to U.S. dollars of 1,184.9:1, the exchange rate as of September 30, 2021.</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future payments for water treatment services for our fabrication facility in Gumi, Korea based on the contractual terms.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license agreements and other contractual obligations.</w:t>
      </w:r>
    </w:p>
    <w:p>
      <w:pPr>
        <w:spacing w:after="0" w:line="21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We lease land, office space and equipment under various operating lease agreements that expire through 2025.</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a party to an arrangement for the water treatment facility in Gumi, Korea, which includes a 10-year service agreement beginning July 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2018.</w:t>
      </w:r>
    </w:p>
    <w:p>
      <w:pPr>
        <w:spacing w:after="0" w:line="21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Beginning in July 2018, we have contributed a certain percentage of severance benefits, accrued for eligible employees for their services beginning January 1, 2018, to certain severance insurance deposit accounts. These accounts consist of time deposits and other guaranteed principal and interest, and are maintained at insurance companies, banks or security companies for the benefit of employees. We deduct the contributions made to these severance insurance deposit accounts from our accrued severance benefits. As of September 30, 2021, our accrued severance benefits, net, totaled $37.7 million and cumulative contributions to these severance insurance deposit accounts amounted to $12.7 million.</w:t>
      </w:r>
    </w:p>
    <w:p>
      <w:pPr>
        <w:spacing w:after="0" w:line="16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follow U.S. GAAP guidance on uncertain tax positions. Our unrecognized tax benefits totaled $0.4 million as of September 30, 2021. These unrecognized tax benefits have been excluded from the above table because we cannot estimate the period of cash settlement with the respective taxing authorities.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September 30, 2021, we did not have any off-balance sheet arrangements, as defined in Item 303(a)(4)(ii) of Regulation S-K.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86"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believe that our significant accounting policies, which are described further in Note 1 to our consolidated financial statements in our Annual Report on Form 10-K for our fiscal year ended December 31, 2020, or our 2020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description of our critical accounting policies that involve significant management judgement appears in our 2020 Form 10-K, under “Management’s Discussion and Analysis of Financial Conditions and Reports of Operations—Critical Accounting Policies and Estimates.” There have been no other material changes to our critical accounting policies and estimates as compared to our critical accounting policies and estimates included in our 2020 Form 10-K.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Recent </w:t>
      </w:r>
      <w:r>
        <w:rPr>
          <w:rFonts w:ascii="Arial" w:cs="Arial" w:eastAsia="Arial" w:hAnsi="Arial"/>
          <w:sz w:val="18"/>
          <w:szCs w:val="18"/>
          <w:b w:val="1"/>
          <w:bCs w:val="1"/>
          <w:color w:val="auto"/>
        </w:rPr>
        <w:t>Accounting</w:t>
      </w:r>
      <w:r>
        <w:rPr>
          <w:rFonts w:ascii="Arial" w:cs="Arial" w:eastAsia="Arial" w:hAnsi="Arial"/>
          <w:sz w:val="18"/>
          <w:szCs w:val="18"/>
          <w:b w:val="1"/>
          <w:bCs w:val="1"/>
          <w:i w:val="1"/>
          <w:iCs w:val="1"/>
          <w:color w:val="auto"/>
        </w:rPr>
        <w:t xml:space="preserve"> Pronouncements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For a full description of new accounting pronouncements and recently adopted accounting pronouncements, please see “Item 1. Interim Consolidated Financial Statements—Notes to Consolidated Financial Statements—Note 1. Business, Basis of Presentation and Significant Accounting Policies” in this Report.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86"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are exposed to the market risk that the value of a financial instrument will fluctuate due to changes in market conditions, primarily from changes in foreign currency exchange rates. In the normal course of our business, we are subject to market risks associated with currency movements on our assets and liabilities.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Exposures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exposure to foreign currency exchange rate fluctuations on net income from our subsidiaries denominated in currencies 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September 30, 2021 for our Korean subsidiary, a 10% devaluation of the Korean won against the U.S. dollar would have resulted in a decrease of $2.2 million in our U.S. dollar financial instruments and cash balances.</w:t>
      </w:r>
    </w:p>
    <w:p>
      <w:pPr>
        <w:spacing w:after="0" w:line="192"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See “Note 9. Derivative Financial Instruments” to our consolidated financial statements under “Item 1. Interim Consolidated Financial Statements” and “Item 2.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86"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connection with the preparation of this Report, we carried out an evaluation under the supervision of and with the participation of our management, including our Chief Executive Officer and Chief Financial Officer, as of September 30, 2021,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effective as of September 30, 2021.</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2021 that have materially affected, or are reasonably likely to materially affect, our internal control over financial reporting.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0"/>
          </w:cols>
          <w:pgMar w:left="320" w:top="486" w:right="5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For a discussion of legal proceedings, see “Item 1. Interim Consolidated Financial Statements—Notes to Consolidated Financial Statements— Note 19. Commitments and Contingencies” in this Report and “Part I: Item 3. Legal Proceedings” of our 2020 Form 10-K.</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also “Item 1A. Risk Factors” in this Report and “Part I: Item 1A. Risk Factors” of our 2020 Form 10-K for additional information.</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120" w:right="300" w:firstLine="440"/>
        <w:spacing w:after="0" w:line="291" w:lineRule="auto"/>
        <w:rPr>
          <w:sz w:val="20"/>
          <w:szCs w:val="20"/>
          <w:color w:val="auto"/>
        </w:rPr>
      </w:pPr>
      <w:r>
        <w:rPr>
          <w:rFonts w:ascii="Arial" w:cs="Arial" w:eastAsia="Arial" w:hAnsi="Arial"/>
          <w:sz w:val="16"/>
          <w:szCs w:val="16"/>
          <w:color w:val="auto"/>
        </w:rPr>
        <w:t>The Company is subject to risks and uncertainties, any of which could have a significant or material adverse effect on our business, financial condition, liquidity or consolidated financial statements. You should carefully consider the risk factors disclosed in Part I, Item 1A of our 2020 Form</w:t>
      </w:r>
    </w:p>
    <w:p>
      <w:pPr>
        <w:ind w:left="120"/>
        <w:spacing w:after="0" w:line="255" w:lineRule="auto"/>
        <w:rPr>
          <w:sz w:val="20"/>
          <w:szCs w:val="20"/>
          <w:color w:val="auto"/>
        </w:rPr>
      </w:pPr>
      <w:r>
        <w:rPr>
          <w:rFonts w:ascii="Arial" w:cs="Arial" w:eastAsia="Arial" w:hAnsi="Arial"/>
          <w:sz w:val="18"/>
          <w:szCs w:val="18"/>
          <w:color w:val="auto"/>
        </w:rPr>
        <w:t>10-K (including that the impact of the COVID-19 pandemic may also exacerbate the risks discussed therein), herein and other reports we have filed with the SEC. The risks described herein and therein are not the only ones we face. This information should be considered carefully together with the other information contained in this Report and the other reports and materials the Company files with the SEC.</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Merger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are risks and uncertainties associated with the Merger.</w:t>
      </w:r>
    </w:p>
    <w:p>
      <w:pPr>
        <w:spacing w:after="0" w:line="117"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On March 25, 2021, we entered into the Merger Agreement with Parent and Merger Sub, pursuant to which, among other things, and subject to the terms and conditions thereof, Merger Sub will be merged with and into the Company, with the Company continuing its corporate existence as the surviving corporation in the Merger and becoming a wholly owned subsidiary of Parent. The consummation of the Merger is conditioned on the receipt of the approval of our stockholders, as well as the satisfaction of other customary closing conditions, including (i) the receipt of certain required or requested governmental approvals or authorizations (including from CFIUS and MOTIE), (ii) the absence of any order or law issued, enacted or deemed applicable by certain governmental authorities specified in the Merger Agreement that makes consummation of the Merger illegal and that remains in effect, (iii) the absence of a Company Material Adverse Effect (as defined in the Merger Agreement) and (iv) other customary closing conditions, including the accuracy of each party’s representations and warranties, and each party’s compliance with its obligations under the Merger Agreement (subject in the case of this clause (iv) to certain materiality qualifiers). There is no assurance that the conditions to the Merger will be satisfied in a timely manner or at all. Additionally, if the Merger is not completed, we may suffer a number of consequences that could adversely affect our business, results of operations, and stock price. There are numerous other risks related to the Merger as well, including the following:</w:t>
      </w:r>
    </w:p>
    <w:p>
      <w:pPr>
        <w:spacing w:after="0" w:line="77" w:lineRule="exact"/>
        <w:rPr>
          <w:sz w:val="20"/>
          <w:szCs w:val="20"/>
          <w:color w:val="auto"/>
        </w:rPr>
      </w:pPr>
    </w:p>
    <w:p>
      <w:pPr>
        <w:ind w:left="1540" w:right="480" w:hanging="331"/>
        <w:spacing w:after="0" w:line="277"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possibility that any or all of the conditions precedent to the consummation of the proposed Merger, including the receipt of stockholder and regulatory approvals or authorizations, may not be satisfied or waived;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difficulties or expenditures relating to the proposed Merger;</w:t>
      </w:r>
    </w:p>
    <w:p>
      <w:pPr>
        <w:spacing w:after="0" w:line="130" w:lineRule="exact"/>
        <w:rPr>
          <w:rFonts w:ascii="Arial" w:cs="Arial" w:eastAsia="Arial" w:hAnsi="Arial"/>
          <w:sz w:val="18"/>
          <w:szCs w:val="18"/>
          <w:color w:val="auto"/>
        </w:rPr>
      </w:pPr>
    </w:p>
    <w:p>
      <w:pPr>
        <w:ind w:left="1540" w:right="240" w:hanging="331"/>
        <w:spacing w:after="0" w:line="277"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failure to consummate the proposed Merger may result in negative publicity and a negative impression of us in the investment community;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86"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40" w:hanging="331"/>
        <w:spacing w:after="0" w:line="277" w:lineRule="auto"/>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required or requested regulatory approvals or authorizations from governmental entities may delay the proposed Merger or result in the imposition of conditions that could cause Parent to abandon the Merger;</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occurrence of any event, change or circumstance that could give rise to the termination of the Merger Agreement;</w:t>
      </w:r>
    </w:p>
    <w:p>
      <w:pPr>
        <w:spacing w:after="0" w:line="130" w:lineRule="exact"/>
        <w:rPr>
          <w:rFonts w:ascii="Arial" w:cs="Arial" w:eastAsia="Arial" w:hAnsi="Arial"/>
          <w:sz w:val="18"/>
          <w:szCs w:val="18"/>
          <w:color w:val="auto"/>
        </w:rPr>
      </w:pPr>
    </w:p>
    <w:p>
      <w:pPr>
        <w:ind w:left="1540" w:right="20" w:hanging="331"/>
        <w:spacing w:after="0" w:line="257" w:lineRule="auto"/>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that any termination of the Merger Agreement may have on the Company or our business, including the risks that (a) the price of our common stock may decline significantly if the Merger is not completed, (b) the Merger Agreement may be terminated in circumstances requiring the Company to pay Parent a termination fee, or (c) the circumstances of the termination, including the possible imposition of a 12-month tail period during which the termination fee could be payable upon certain subsequent transactions, may have a chilling effect on alternatives to the Merger;</w:t>
      </w:r>
    </w:p>
    <w:p>
      <w:pPr>
        <w:spacing w:after="0" w:line="93" w:lineRule="exact"/>
        <w:rPr>
          <w:rFonts w:ascii="Arial" w:cs="Arial" w:eastAsia="Arial" w:hAnsi="Arial"/>
          <w:sz w:val="18"/>
          <w:szCs w:val="18"/>
          <w:color w:val="auto"/>
        </w:rPr>
      </w:pPr>
    </w:p>
    <w:p>
      <w:pPr>
        <w:ind w:left="1540" w:hanging="331"/>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diversion of and attention of management of Magnachip on transaction-related issues;</w:t>
      </w:r>
    </w:p>
    <w:p>
      <w:pPr>
        <w:spacing w:after="0" w:line="130" w:lineRule="exact"/>
        <w:rPr>
          <w:rFonts w:ascii="Arial" w:cs="Arial" w:eastAsia="Arial" w:hAnsi="Arial"/>
          <w:sz w:val="18"/>
          <w:szCs w:val="18"/>
          <w:color w:val="auto"/>
        </w:rPr>
      </w:pPr>
    </w:p>
    <w:p>
      <w:pPr>
        <w:ind w:left="1540" w:right="200" w:hanging="331"/>
        <w:spacing w:after="0" w:line="308" w:lineRule="auto"/>
        <w:tabs>
          <w:tab w:leader="none" w:pos="1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legal proceedings, judgments or settlements, including those that have been and may in the future be instituted against Magnachip, our Board of Directors and executive officers and others following the announcement of the proposed Merger;</w:t>
      </w:r>
    </w:p>
    <w:p>
      <w:pPr>
        <w:spacing w:after="0" w:line="51" w:lineRule="exact"/>
        <w:rPr>
          <w:rFonts w:ascii="Arial" w:cs="Arial" w:eastAsia="Arial" w:hAnsi="Arial"/>
          <w:sz w:val="17"/>
          <w:szCs w:val="17"/>
          <w:color w:val="auto"/>
        </w:rPr>
      </w:pPr>
    </w:p>
    <w:p>
      <w:pPr>
        <w:ind w:left="1540" w:hanging="331"/>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disruptions of current plans and operations caused by the announcement and pendency of the proposed Merger;</w:t>
      </w:r>
    </w:p>
    <w:p>
      <w:pPr>
        <w:spacing w:after="0" w:line="130" w:lineRule="exact"/>
        <w:rPr>
          <w:rFonts w:ascii="Arial" w:cs="Arial" w:eastAsia="Arial" w:hAnsi="Arial"/>
          <w:sz w:val="18"/>
          <w:szCs w:val="18"/>
          <w:color w:val="auto"/>
        </w:rPr>
      </w:pPr>
    </w:p>
    <w:p>
      <w:pPr>
        <w:ind w:left="1540" w:right="260" w:hanging="331"/>
        <w:spacing w:after="0" w:line="277" w:lineRule="auto"/>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difficulties in employee retention (including executive and other key officers) due to the announcement and pendency of the proposed Merger;</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response of customers, suppliers, business partners and regulators to the announcement of the proposed Merger;</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effect of limitations that the Merger Agreement places on our ability to operate our business or engage in alternative transactions;</w:t>
      </w:r>
    </w:p>
    <w:p>
      <w:pPr>
        <w:spacing w:after="0" w:line="153" w:lineRule="exact"/>
        <w:rPr>
          <w:rFonts w:ascii="Arial" w:cs="Arial" w:eastAsia="Arial" w:hAnsi="Arial"/>
          <w:sz w:val="16"/>
          <w:szCs w:val="16"/>
          <w:color w:val="auto"/>
        </w:rPr>
      </w:pPr>
    </w:p>
    <w:p>
      <w:pPr>
        <w:ind w:left="1540" w:right="200" w:hanging="331"/>
        <w:spacing w:after="0" w:line="277" w:lineRule="auto"/>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Merger may be completed even though certain events occur prior to consummation of the Merger that materially and adversely affect us; and</w:t>
      </w:r>
    </w:p>
    <w:p>
      <w:pPr>
        <w:spacing w:after="0" w:line="75" w:lineRule="exact"/>
        <w:rPr>
          <w:rFonts w:ascii="Arial" w:cs="Arial" w:eastAsia="Arial" w:hAnsi="Arial"/>
          <w:sz w:val="18"/>
          <w:szCs w:val="18"/>
          <w:color w:val="auto"/>
        </w:rPr>
      </w:pPr>
    </w:p>
    <w:p>
      <w:pPr>
        <w:ind w:left="1540" w:right="260" w:hanging="331"/>
        <w:spacing w:after="0" w:line="286" w:lineRule="auto"/>
        <w:tabs>
          <w:tab w:leader="none" w:pos="1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other risks and uncertainties and the factors identified under “Forward-Looking Information” in our Proxy Statement on Schedule 14A filed on May 7, 2021 and under “Risk Factors” in Part I, Item 1A of Magnachip’s Annual Report on Form 10-K for the year ended December 31, 2020, and updated in subsequent reports filed by Magnachip with the SEC.</w:t>
      </w:r>
    </w:p>
    <w:p>
      <w:pPr>
        <w:spacing w:after="0" w:line="165" w:lineRule="exact"/>
        <w:rPr>
          <w:sz w:val="20"/>
          <w:szCs w:val="20"/>
          <w:color w:val="auto"/>
        </w:rPr>
      </w:pPr>
    </w:p>
    <w:p>
      <w:pPr>
        <w:ind w:left="120" w:right="400"/>
        <w:spacing w:after="0" w:line="308" w:lineRule="auto"/>
        <w:rPr>
          <w:sz w:val="20"/>
          <w:szCs w:val="20"/>
          <w:color w:val="auto"/>
        </w:rPr>
      </w:pPr>
      <w:r>
        <w:rPr>
          <w:rFonts w:ascii="Arial" w:cs="Arial" w:eastAsia="Arial" w:hAnsi="Arial"/>
          <w:sz w:val="17"/>
          <w:szCs w:val="17"/>
          <w:color w:val="auto"/>
        </w:rPr>
        <w:t>In addition, we have incurred, and will continue to incur, significant costs, expenses and fees for professional services and other transaction costs in connection with the Merger, and these fees and costs are payable by us regardless of whether the Merger is consummated.</w:t>
      </w:r>
    </w:p>
    <w:p>
      <w:pPr>
        <w:spacing w:after="0" w:line="25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Lawsuits have been filed, and other lawsuits may be filed, against the Company and current or former members of our Board of Directors in connection with the Merger, and an adverse ruling in any such lawsuit may delay or prevent the completion of the Merger or result in an award of damages against the Company.</w:t>
      </w:r>
    </w:p>
    <w:p>
      <w:pPr>
        <w:spacing w:after="0" w:line="7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See “Item 1. Interim Consolidated Financial Statements—Notes to Consolidated Financial Statements—19. Commitments and Contingencies” in this Report for a description of the Merger-related lawsuits.</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Additional lawsuits arising out of or relating to the Merger Agreement or the Merger may be filed in the future. The results of complex legal proceedings are difficult to predict and could delay or prevent the completion of the Merger. The existence of litigation relating to the Merger could impact the likelihood of obtaining stockholder approval of the Merger. Moreover, the pending litigation is, and any future additional litigation could be, time consuming and expensive and could divert management’s attention away from its regular business.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86"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920" w:type="dxa"/>
            <w:vAlign w:val="bottom"/>
            <w:gridSpan w:val="10"/>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20" w:type="dxa"/>
            <w:vAlign w:val="bottom"/>
          </w:tcPr>
          <w:p>
            <w:pPr>
              <w:spacing w:after="0"/>
              <w:rPr>
                <w:sz w:val="24"/>
                <w:szCs w:val="2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300" w:type="dxa"/>
            <w:vAlign w:val="bottom"/>
            <w:gridSpan w:val="7"/>
          </w:tcPr>
          <w:p>
            <w:pPr>
              <w:ind w:left="3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20" w:type="dxa"/>
            <w:vAlign w:val="bottom"/>
            <w:gridSpan w:val="2"/>
          </w:tcPr>
          <w:p>
            <w:pPr>
              <w:ind w:left="18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20" w:type="dxa"/>
            <w:vAlign w:val="bottom"/>
            <w:gridSpan w:val="9"/>
          </w:tcPr>
          <w:p>
            <w:pP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Letter Agreement, dated as of August 23, 2021, by and among Magnachip Semiconductor Corporation, South Dearborn Limited and</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83">
              <w:r>
                <w:rPr>
                  <w:rFonts w:ascii="Arial" w:cs="Arial" w:eastAsia="Arial" w:hAnsi="Arial"/>
                  <w:sz w:val="18"/>
                  <w:szCs w:val="18"/>
                  <w:color w:val="0000EE"/>
                  <w:w w:val="92"/>
                </w:rPr>
                <w:t>Michigan Merger Sub, Inc. (incorporated by reference to Exhibit 2.1 to our Current Report on Form 8-K filed on August 23, 2021).</w:t>
              </w:r>
            </w:hyperlink>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20" w:type="dxa"/>
            <w:vAlign w:val="bottom"/>
            <w:gridSpan w:val="2"/>
          </w:tcPr>
          <w:p>
            <w:pPr>
              <w:ind w:left="80"/>
              <w:spacing w:after="0"/>
              <w:rPr>
                <w:sz w:val="20"/>
                <w:szCs w:val="20"/>
                <w:color w:val="auto"/>
              </w:rPr>
            </w:pPr>
            <w:r>
              <w:rPr>
                <w:rFonts w:ascii="Arial" w:cs="Arial" w:eastAsia="Arial" w:hAnsi="Arial"/>
                <w:sz w:val="18"/>
                <w:szCs w:val="18"/>
                <w:color w:val="auto"/>
              </w:rPr>
              <w:t>31.1</w:t>
            </w:r>
            <w:r>
              <w:rPr>
                <w:rFonts w:ascii="Arial" w:cs="Arial" w:eastAsia="Arial" w:hAnsi="Arial"/>
                <w:sz w:val="25"/>
                <w:szCs w:val="25"/>
                <w:color w:val="auto"/>
                <w:vertAlign w:val="superscript"/>
              </w:rPr>
              <w:t>#</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Certification pursuant to Rule 13a-14(a) or Rule 15d-14(a) of the Securities Exchange Act of 1934 of the Chief Executive Officer.</w:t>
              </w:r>
            </w:hyperlink>
          </w:p>
        </w:tc>
        <w:tc>
          <w:tcPr>
            <w:tcW w:w="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20" w:type="dxa"/>
            <w:vAlign w:val="bottom"/>
            <w:gridSpan w:val="2"/>
          </w:tcPr>
          <w:p>
            <w:pPr>
              <w:ind w:left="80"/>
              <w:spacing w:after="0"/>
              <w:rPr>
                <w:sz w:val="20"/>
                <w:szCs w:val="20"/>
                <w:color w:val="auto"/>
              </w:rPr>
            </w:pPr>
            <w:r>
              <w:rPr>
                <w:rFonts w:ascii="Arial" w:cs="Arial" w:eastAsia="Arial" w:hAnsi="Arial"/>
                <w:sz w:val="18"/>
                <w:szCs w:val="18"/>
                <w:color w:val="auto"/>
              </w:rPr>
              <w:t>31.2</w:t>
            </w:r>
            <w:r>
              <w:rPr>
                <w:rFonts w:ascii="Arial" w:cs="Arial" w:eastAsia="Arial" w:hAnsi="Arial"/>
                <w:sz w:val="25"/>
                <w:szCs w:val="25"/>
                <w:color w:val="auto"/>
                <w:vertAlign w:val="superscript"/>
              </w:rPr>
              <w:t>#</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20" w:type="dxa"/>
            <w:vAlign w:val="bottom"/>
            <w:gridSpan w:val="9"/>
          </w:tcPr>
          <w:p>
            <w:pPr>
              <w:spacing w:after="0"/>
              <w:rPr>
                <w:rFonts w:ascii="Arial" w:cs="Arial" w:eastAsia="Arial" w:hAnsi="Arial"/>
                <w:sz w:val="18"/>
                <w:szCs w:val="18"/>
                <w:color w:val="0000EE"/>
                <w:w w:val="94"/>
              </w:rPr>
            </w:pPr>
            <w:hyperlink w:anchor="page61">
              <w:r>
                <w:rPr>
                  <w:rFonts w:ascii="Arial" w:cs="Arial" w:eastAsia="Arial" w:hAnsi="Arial"/>
                  <w:sz w:val="18"/>
                  <w:szCs w:val="18"/>
                  <w:color w:val="0000EE"/>
                  <w:w w:val="94"/>
                </w:rPr>
                <w:t>Certification pursuant to Rule 13a-14(a) or Rule 15d-14(a) of the Securities Exchange Act of 1934 of the Chief Financial Officer.</w:t>
              </w:r>
            </w:hyperlink>
          </w:p>
        </w:tc>
        <w:tc>
          <w:tcPr>
            <w:tcW w:w="0" w:type="dxa"/>
            <w:vAlign w:val="bottom"/>
          </w:tcPr>
          <w:p>
            <w:pPr>
              <w:spacing w:after="0"/>
              <w:rPr>
                <w:sz w:val="1"/>
                <w:szCs w:val="1"/>
                <w:color w:val="auto"/>
              </w:rPr>
            </w:pPr>
          </w:p>
        </w:tc>
      </w:tr>
      <w:tr>
        <w:trPr>
          <w:trHeight w:val="20"/>
        </w:trPr>
        <w:tc>
          <w:tcPr>
            <w:tcW w:w="8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980" w:type="dxa"/>
            <w:vAlign w:val="bottom"/>
            <w:gridSpan w:val="3"/>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gridSpan w:val="3"/>
          </w:tcPr>
          <w:p>
            <w:pPr>
              <w:ind w:left="8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96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Certification pursuant to 18 U.S.C. Section 1350, as adopted pursuant to Section 906 of the Sarbanes-Oxley Act of 2002, of the Chief</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62">
              <w:r>
                <w:rPr>
                  <w:rFonts w:ascii="Arial" w:cs="Arial" w:eastAsia="Arial" w:hAnsi="Arial"/>
                  <w:sz w:val="18"/>
                  <w:szCs w:val="18"/>
                  <w:color w:val="0000EE"/>
                  <w:w w:val="92"/>
                </w:rPr>
                <w:t>Executive Officer.</w:t>
              </w:r>
            </w:hyperlink>
          </w:p>
        </w:tc>
        <w:tc>
          <w:tcPr>
            <w:tcW w:w="8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gridSpan w:val="3"/>
          </w:tcPr>
          <w:p>
            <w:pPr>
              <w:ind w:left="80"/>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24"/>
                <w:szCs w:val="24"/>
                <w:color w:val="auto"/>
              </w:rPr>
            </w:pPr>
          </w:p>
        </w:tc>
        <w:tc>
          <w:tcPr>
            <w:tcW w:w="96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Certification pursuant to 18 U.S.C. Section 1350, as adopted pursuant to Section 906 of the Sarbanes-Oxley Act of 2002, of the Chief</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9"/>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Financial Officer.</w:t>
              </w:r>
            </w:hyperlink>
          </w:p>
        </w:tc>
        <w:tc>
          <w:tcPr>
            <w:tcW w:w="0" w:type="dxa"/>
            <w:vAlign w:val="bottom"/>
          </w:tcPr>
          <w:p>
            <w:pPr>
              <w:spacing w:after="0"/>
              <w:rPr>
                <w:sz w:val="1"/>
                <w:szCs w:val="1"/>
                <w:color w:val="auto"/>
              </w:rPr>
            </w:pPr>
          </w:p>
        </w:tc>
      </w:tr>
      <w:tr>
        <w:trPr>
          <w:trHeight w:val="20"/>
        </w:trPr>
        <w:tc>
          <w:tcPr>
            <w:tcW w:w="860" w:type="dxa"/>
            <w:vAlign w:val="bottom"/>
            <w:gridSpan w:val="3"/>
            <w:vMerge w:val="restart"/>
          </w:tcPr>
          <w:p>
            <w:pPr>
              <w:spacing w:after="0"/>
              <w:rPr>
                <w:sz w:val="20"/>
                <w:szCs w:val="20"/>
                <w:color w:val="auto"/>
              </w:rPr>
            </w:pPr>
            <w:r>
              <w:rPr>
                <w:rFonts w:ascii="Arial" w:cs="Arial" w:eastAsia="Arial" w:hAnsi="Arial"/>
                <w:sz w:val="18"/>
                <w:szCs w:val="18"/>
                <w:color w:val="auto"/>
              </w:rPr>
              <w:t>101.INS</w:t>
            </w:r>
            <w:r>
              <w:rPr>
                <w:rFonts w:ascii="Arial" w:cs="Arial" w:eastAsia="Arial" w:hAnsi="Arial"/>
                <w:sz w:val="25"/>
                <w:szCs w:val="25"/>
                <w:color w:val="auto"/>
                <w:vertAlign w:val="superscript"/>
              </w:rPr>
              <w:t>#</w:t>
            </w:r>
          </w:p>
        </w:tc>
        <w:tc>
          <w:tcPr>
            <w:tcW w:w="3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3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86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101.SCH</w:t>
            </w:r>
            <w:r>
              <w:rPr>
                <w:rFonts w:ascii="Arial" w:cs="Arial" w:eastAsia="Arial" w:hAnsi="Arial"/>
                <w:sz w:val="25"/>
                <w:szCs w:val="25"/>
                <w:color w:val="auto"/>
                <w:vertAlign w:val="superscript"/>
              </w:rPr>
              <w:t>#</w:t>
            </w:r>
          </w:p>
        </w:tc>
        <w:tc>
          <w:tcPr>
            <w:tcW w:w="30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101.CAL</w:t>
            </w:r>
            <w:r>
              <w:rPr>
                <w:rFonts w:ascii="Arial" w:cs="Arial" w:eastAsia="Arial" w:hAnsi="Arial"/>
                <w:sz w:val="25"/>
                <w:szCs w:val="25"/>
                <w:color w:val="auto"/>
                <w:vertAlign w:val="superscript"/>
              </w:rPr>
              <w:t>#</w:t>
            </w:r>
          </w:p>
        </w:tc>
        <w:tc>
          <w:tcPr>
            <w:tcW w:w="30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101.DEF</w:t>
            </w:r>
            <w:r>
              <w:rPr>
                <w:rFonts w:ascii="Arial" w:cs="Arial" w:eastAsia="Arial" w:hAnsi="Arial"/>
                <w:sz w:val="25"/>
                <w:szCs w:val="25"/>
                <w:color w:val="auto"/>
                <w:vertAlign w:val="superscript"/>
              </w:rPr>
              <w:t>#</w:t>
            </w:r>
          </w:p>
        </w:tc>
        <w:tc>
          <w:tcPr>
            <w:tcW w:w="30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101.LAB</w:t>
            </w:r>
            <w:r>
              <w:rPr>
                <w:rFonts w:ascii="Arial" w:cs="Arial" w:eastAsia="Arial" w:hAnsi="Arial"/>
                <w:sz w:val="25"/>
                <w:szCs w:val="25"/>
                <w:color w:val="auto"/>
                <w:vertAlign w:val="superscript"/>
              </w:rPr>
              <w:t>#</w:t>
            </w:r>
          </w:p>
        </w:tc>
        <w:tc>
          <w:tcPr>
            <w:tcW w:w="30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5"/>
        </w:trPr>
        <w:tc>
          <w:tcPr>
            <w:tcW w:w="860" w:type="dxa"/>
            <w:vAlign w:val="bottom"/>
            <w:gridSpan w:val="3"/>
          </w:tcPr>
          <w:p>
            <w:pPr>
              <w:spacing w:after="0"/>
              <w:rPr>
                <w:sz w:val="20"/>
                <w:szCs w:val="20"/>
                <w:color w:val="auto"/>
              </w:rPr>
            </w:pPr>
            <w:r>
              <w:rPr>
                <w:rFonts w:ascii="Arial" w:cs="Arial" w:eastAsia="Arial" w:hAnsi="Arial"/>
                <w:sz w:val="18"/>
                <w:szCs w:val="18"/>
                <w:color w:val="auto"/>
              </w:rPr>
              <w:t>101.PRE</w:t>
            </w:r>
            <w:r>
              <w:rPr>
                <w:rFonts w:ascii="Arial" w:cs="Arial" w:eastAsia="Arial" w:hAnsi="Arial"/>
                <w:sz w:val="25"/>
                <w:szCs w:val="25"/>
                <w:color w:val="auto"/>
                <w:vertAlign w:val="superscript"/>
              </w:rPr>
              <w:t>#</w:t>
            </w:r>
          </w:p>
        </w:tc>
        <w:tc>
          <w:tcPr>
            <w:tcW w:w="30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620" w:type="dxa"/>
            <w:vAlign w:val="bottom"/>
            <w:gridSpan w:val="2"/>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2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Footnotes:</w:t>
      </w:r>
    </w:p>
    <w:p>
      <w:pPr>
        <w:spacing w:after="0" w:line="73"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Filed herewith</w:t>
      </w:r>
    </w:p>
    <w:p>
      <w:pPr>
        <w:spacing w:after="0" w:line="2"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00"/>
          </w:cols>
          <w:pgMar w:left="320" w:top="486" w:right="6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MAGNACHIP SEMICONDUCTOR CORPORATION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Dated: November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Dated: November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Young Soo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Young Soo Woo</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2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380"/>
          </w:cols>
          <w:pgMar w:left="320" w:top="486" w:right="119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Young-Joon Kim, certify that:</w:t>
      </w:r>
    </w:p>
    <w:p>
      <w:pPr>
        <w:spacing w:after="0" w:line="117" w:lineRule="exact"/>
        <w:rPr>
          <w:sz w:val="20"/>
          <w:szCs w:val="20"/>
          <w:color w:val="auto"/>
        </w:rPr>
      </w:pPr>
    </w:p>
    <w:p>
      <w:pPr>
        <w:ind w:left="620" w:hanging="184"/>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Corporation;</w:t>
      </w:r>
    </w:p>
    <w:p>
      <w:pPr>
        <w:spacing w:after="0" w:line="117" w:lineRule="exact"/>
        <w:rPr>
          <w:rFonts w:ascii="Arial" w:cs="Arial" w:eastAsia="Arial" w:hAnsi="Arial"/>
          <w:sz w:val="18"/>
          <w:szCs w:val="18"/>
          <w:color w:val="auto"/>
        </w:rPr>
      </w:pPr>
    </w:p>
    <w:p>
      <w:pPr>
        <w:ind w:right="200" w:firstLine="436"/>
        <w:spacing w:after="0" w:line="263"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120" w:firstLine="436"/>
        <w:spacing w:after="0" w:line="263"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left="440" w:right="140" w:hanging="4"/>
        <w:spacing w:after="0" w:line="263" w:lineRule="auto"/>
        <w:tabs>
          <w:tab w:leader="none" w:pos="6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40" w:right="60" w:hanging="4"/>
        <w:spacing w:after="0" w:line="263"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40" w:right="640" w:hanging="4"/>
        <w:spacing w:after="0" w:line="342" w:lineRule="auto"/>
        <w:tabs>
          <w:tab w:leader="none" w:pos="685"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40" w:right="80" w:hanging="4"/>
        <w:spacing w:after="0" w:line="263"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80" w:firstLine="436"/>
        <w:spacing w:after="0" w:line="342" w:lineRule="auto"/>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left="440" w:right="40" w:hanging="4"/>
        <w:spacing w:after="0" w:line="277" w:lineRule="auto"/>
        <w:tabs>
          <w:tab w:leader="none" w:pos="6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0" w:right="540" w:hanging="4"/>
        <w:spacing w:after="0" w:line="277"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Young Soo Woo, certify that:</w:t>
      </w:r>
    </w:p>
    <w:p>
      <w:pPr>
        <w:spacing w:after="0" w:line="117" w:lineRule="exact"/>
        <w:rPr>
          <w:sz w:val="20"/>
          <w:szCs w:val="20"/>
          <w:color w:val="auto"/>
        </w:rPr>
      </w:pPr>
    </w:p>
    <w:p>
      <w:pPr>
        <w:ind w:left="620" w:hanging="184"/>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Corporation;</w:t>
      </w:r>
    </w:p>
    <w:p>
      <w:pPr>
        <w:spacing w:after="0" w:line="117" w:lineRule="exact"/>
        <w:rPr>
          <w:rFonts w:ascii="Arial" w:cs="Arial" w:eastAsia="Arial" w:hAnsi="Arial"/>
          <w:sz w:val="18"/>
          <w:szCs w:val="18"/>
          <w:color w:val="auto"/>
        </w:rPr>
      </w:pPr>
    </w:p>
    <w:p>
      <w:pPr>
        <w:ind w:right="200" w:firstLine="436"/>
        <w:spacing w:after="0" w:line="263"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120" w:firstLine="436"/>
        <w:spacing w:after="0" w:line="263"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left="440" w:right="140" w:hanging="4"/>
        <w:spacing w:after="0" w:line="263" w:lineRule="auto"/>
        <w:tabs>
          <w:tab w:leader="none" w:pos="6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40" w:right="60" w:hanging="4"/>
        <w:spacing w:after="0" w:line="263"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40" w:right="640" w:hanging="4"/>
        <w:spacing w:after="0" w:line="342" w:lineRule="auto"/>
        <w:tabs>
          <w:tab w:leader="none" w:pos="685"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40" w:right="80" w:hanging="4"/>
        <w:spacing w:after="0" w:line="263"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80" w:firstLine="436"/>
        <w:spacing w:after="0" w:line="342" w:lineRule="auto"/>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left="440" w:right="40" w:hanging="4"/>
        <w:spacing w:after="0" w:line="277" w:lineRule="auto"/>
        <w:tabs>
          <w:tab w:leader="none" w:pos="6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0" w:right="540" w:hanging="4"/>
        <w:spacing w:after="0" w:line="277"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Young Soo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Young Soo Woo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020"/>
          </w:cols>
          <w:pgMar w:left="440" w:top="121" w:right="4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to such officer’s knowledge, that:</w:t>
      </w:r>
    </w:p>
    <w:p>
      <w:pPr>
        <w:spacing w:after="0" w:line="62" w:lineRule="exact"/>
        <w:rPr>
          <w:sz w:val="20"/>
          <w:szCs w:val="20"/>
          <w:color w:val="auto"/>
        </w:rPr>
      </w:pPr>
    </w:p>
    <w:p>
      <w:pPr>
        <w:ind w:right="260" w:firstLine="436"/>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2021 as filed with the Securities and Exchange Commission on the date hereof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or Section 15(d), as applicable, of the Securities Exchange Act of 1934, as amended; and</w:t>
      </w:r>
    </w:p>
    <w:p>
      <w:pPr>
        <w:spacing w:after="0" w:line="75" w:lineRule="exact"/>
        <w:rPr>
          <w:rFonts w:ascii="Arial" w:cs="Arial" w:eastAsia="Arial" w:hAnsi="Arial"/>
          <w:sz w:val="18"/>
          <w:szCs w:val="18"/>
          <w:color w:val="auto"/>
        </w:rPr>
      </w:pPr>
    </w:p>
    <w:p>
      <w:pPr>
        <w:ind w:right="720" w:firstLine="436"/>
        <w:spacing w:after="0" w:line="277"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November 5, 2021</w:t>
      </w:r>
      <w:r>
        <w:rPr>
          <w:sz w:val="20"/>
          <w:szCs w:val="20"/>
          <w:color w:val="auto"/>
        </w:rPr>
        <w:tab/>
      </w:r>
      <w:r>
        <w:rPr>
          <w:rFonts w:ascii="Arial" w:cs="Arial" w:eastAsia="Arial" w:hAnsi="Arial"/>
          <w:sz w:val="16"/>
          <w:szCs w:val="16"/>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20"/>
          </w:cols>
          <w:pgMar w:left="440" w:top="121" w:right="4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to such officer’s knowledge, that:</w:t>
      </w:r>
    </w:p>
    <w:p>
      <w:pPr>
        <w:spacing w:after="0" w:line="62" w:lineRule="exact"/>
        <w:rPr>
          <w:sz w:val="20"/>
          <w:szCs w:val="20"/>
          <w:color w:val="auto"/>
        </w:rPr>
      </w:pPr>
    </w:p>
    <w:p>
      <w:pPr>
        <w:ind w:right="260" w:firstLine="436"/>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2021 as filed with the Securities and Exchange Commission on the date hereof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or Section 15(d), as applicable, of the Securities Exchange Act of 1934, as amended; and</w:t>
      </w:r>
    </w:p>
    <w:p>
      <w:pPr>
        <w:spacing w:after="0" w:line="75" w:lineRule="exact"/>
        <w:rPr>
          <w:rFonts w:ascii="Arial" w:cs="Arial" w:eastAsia="Arial" w:hAnsi="Arial"/>
          <w:sz w:val="18"/>
          <w:szCs w:val="18"/>
          <w:color w:val="auto"/>
        </w:rPr>
      </w:pPr>
    </w:p>
    <w:p>
      <w:pPr>
        <w:ind w:right="720" w:firstLine="436"/>
        <w:spacing w:after="0" w:line="277"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November 5, 2021</w:t>
      </w:r>
      <w:r>
        <w:rPr>
          <w:sz w:val="20"/>
          <w:szCs w:val="20"/>
          <w:color w:val="auto"/>
        </w:rPr>
        <w:tab/>
      </w:r>
      <w:r>
        <w:rPr>
          <w:rFonts w:ascii="Arial" w:cs="Arial" w:eastAsia="Arial" w:hAnsi="Arial"/>
          <w:sz w:val="16"/>
          <w:szCs w:val="16"/>
          <w:color w:val="auto"/>
        </w:rPr>
        <w:t>/s/ Young Soo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Young Soo Woo</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p>
      <w:pPr>
        <w:spacing w:after="0" w:line="224"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lowerRoman"/>
      <w:start w:val="2"/>
    </w:lvl>
  </w:abstractNum>
  <w:abstractNum w:abstractNumId="3">
    <w:nsid w:val="1BEFD79F"/>
    <w:multiLevelType w:val="hybridMultilevel"/>
    <w:lvl w:ilvl="0">
      <w:lvlJc w:val="left"/>
      <w:lvlText w:val="(%1)"/>
      <w:numFmt w:val="lowerRoman"/>
      <w:start w:val="4"/>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lowerLetter"/>
      <w:start w:val="1"/>
    </w:lvl>
    <w:lvl w:ilvl="1">
      <w:lvlJc w:val="left"/>
      <w:lvlText w:val="•"/>
      <w:numFmt w:val="bullet"/>
      <w:start w:val="1"/>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lowerRoman"/>
      <w:start w:val="1"/>
    </w:lvl>
  </w:abstractNum>
  <w:abstractNum w:abstractNumId="9">
    <w:nsid w:val="431BD7B7"/>
    <w:multiLevelType w:val="hybridMultilevel"/>
    <w:lvl w:ilvl="0">
      <w:lvlJc w:val="left"/>
      <w:lvlText w:val="(%1)"/>
      <w:numFmt w:val="lowerLetter"/>
      <w:start w:val="1"/>
    </w:lvl>
  </w:abstractNum>
  <w:abstractNum w:abstractNumId="10">
    <w:nsid w:val="3F2DBA31"/>
    <w:multiLevelType w:val="hybridMultilevel"/>
    <w:lvl w:ilvl="0">
      <w:lvlJc w:val="left"/>
      <w:lvlText w:val="(%1)"/>
      <w:numFmt w:val="lowerLetter"/>
      <w:start w:val="3"/>
    </w:lvl>
    <w:lvl w:ilvl="1">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83" Type="http://schemas.openxmlformats.org/officeDocument/2006/relationships/hyperlink" Target="http://www.sec.gov/Archives/edgar/data/1325702/000119312521254078/d214342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2021-11-05T15:25:04Z</dcterms:created>
  <dcterms:modified xsi:type="dcterms:W3CDTF">2021-11-05T15:25:04Z</dcterms:modified>
</cp:coreProperties>
</file>