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60"/>
        <w:spacing w:after="0"/>
        <w:rPr>
          <w:sz w:val="20"/>
          <w:szCs w:val="20"/>
          <w:color w:val="auto"/>
        </w:rPr>
      </w:pPr>
      <w:r>
        <w:rPr>
          <w:rFonts w:ascii="Arial" w:cs="Arial" w:eastAsia="Arial" w:hAnsi="Arial"/>
          <w:sz w:val="32"/>
          <w:szCs w:val="32"/>
          <w:b w:val="1"/>
          <w:bCs w:val="1"/>
          <w:color w:val="auto"/>
        </w:rPr>
        <w:t>SECURITIES AND EXCHANGE COMMISSION</w:t>
      </w:r>
    </w:p>
    <w:p>
      <w:pPr>
        <w:ind w:left="42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760"/>
        <w:spacing w:after="0"/>
        <w:rPr>
          <w:sz w:val="20"/>
          <w:szCs w:val="20"/>
          <w:color w:val="auto"/>
        </w:rPr>
      </w:pPr>
      <w:r>
        <w:rPr>
          <w:rFonts w:ascii="Arial" w:cs="Arial" w:eastAsia="Arial" w:hAnsi="Arial"/>
          <w:sz w:val="32"/>
          <w:szCs w:val="32"/>
          <w:b w:val="1"/>
          <w:bCs w:val="1"/>
          <w:color w:val="auto"/>
        </w:rPr>
        <w:t>SCHEDULE 13G/A</w:t>
      </w:r>
    </w:p>
    <w:p>
      <w:pPr>
        <w:spacing w:after="0" w:line="34" w:lineRule="exact"/>
        <w:rPr>
          <w:sz w:val="24"/>
          <w:szCs w:val="24"/>
          <w:color w:val="auto"/>
        </w:rPr>
      </w:pPr>
    </w:p>
    <w:p>
      <w:pPr>
        <w:ind w:left="4340"/>
        <w:spacing w:after="0"/>
        <w:rPr>
          <w:sz w:val="20"/>
          <w:szCs w:val="20"/>
          <w:color w:val="auto"/>
        </w:rPr>
      </w:pPr>
      <w:r>
        <w:rPr>
          <w:rFonts w:ascii="Arial" w:cs="Arial" w:eastAsia="Arial" w:hAnsi="Arial"/>
          <w:sz w:val="22"/>
          <w:szCs w:val="22"/>
          <w:b w:val="1"/>
          <w:bCs w:val="1"/>
          <w:color w:val="auto"/>
        </w:rPr>
        <w:t>(Amendment No. 5)</w:t>
      </w:r>
    </w:p>
    <w:p>
      <w:pPr>
        <w:spacing w:after="0" w:line="182" w:lineRule="exact"/>
        <w:rPr>
          <w:sz w:val="24"/>
          <w:szCs w:val="24"/>
          <w:color w:val="auto"/>
        </w:rPr>
      </w:pPr>
    </w:p>
    <w:p>
      <w:pPr>
        <w:jc w:val="right"/>
        <w:ind w:right="699"/>
        <w:spacing w:after="0"/>
        <w:rPr>
          <w:sz w:val="20"/>
          <w:szCs w:val="20"/>
          <w:color w:val="auto"/>
        </w:rPr>
      </w:pPr>
      <w:r>
        <w:rPr>
          <w:rFonts w:ascii="Arial" w:cs="Arial" w:eastAsia="Arial" w:hAnsi="Arial"/>
          <w:sz w:val="22"/>
          <w:szCs w:val="22"/>
          <w:b w:val="1"/>
          <w:bCs w:val="1"/>
          <w:color w:val="auto"/>
        </w:rPr>
        <w:t>INFORMATION TO BE INCLUDED IN STATEMENTS FILED PURSUANT TO</w:t>
      </w:r>
    </w:p>
    <w:p>
      <w:pPr>
        <w:spacing w:after="0" w:line="4" w:lineRule="exact"/>
        <w:rPr>
          <w:sz w:val="24"/>
          <w:szCs w:val="24"/>
          <w:color w:val="auto"/>
        </w:rPr>
      </w:pPr>
    </w:p>
    <w:p>
      <w:pPr>
        <w:jc w:val="center"/>
        <w:ind w:right="-760"/>
        <w:spacing w:after="0"/>
        <w:rPr>
          <w:sz w:val="20"/>
          <w:szCs w:val="20"/>
          <w:color w:val="auto"/>
        </w:rPr>
      </w:pPr>
      <w:r>
        <w:rPr>
          <w:rFonts w:ascii="Arial" w:cs="Arial" w:eastAsia="Arial" w:hAnsi="Arial"/>
          <w:sz w:val="22"/>
          <w:szCs w:val="22"/>
          <w:b w:val="1"/>
          <w:bCs w:val="1"/>
          <w:color w:val="auto"/>
        </w:rPr>
        <w:t>RULES 13d-1(b), (c) AND (d) AND AMENDMENTS THERETO FILED</w:t>
      </w:r>
    </w:p>
    <w:p>
      <w:pPr>
        <w:jc w:val="center"/>
        <w:ind w:right="-760"/>
        <w:spacing w:after="0"/>
        <w:rPr>
          <w:sz w:val="20"/>
          <w:szCs w:val="20"/>
          <w:color w:val="auto"/>
        </w:rPr>
      </w:pPr>
      <w:r>
        <w:rPr>
          <w:rFonts w:ascii="Arial" w:cs="Arial" w:eastAsia="Arial" w:hAnsi="Arial"/>
          <w:sz w:val="22"/>
          <w:szCs w:val="22"/>
          <w:b w:val="1"/>
          <w:bCs w:val="1"/>
          <w:color w:val="auto"/>
        </w:rPr>
        <w:t>PURSUANT TO RULE 13d-2(b)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760"/>
        <w:spacing w:after="0"/>
        <w:rPr>
          <w:sz w:val="20"/>
          <w:szCs w:val="20"/>
          <w:color w:val="auto"/>
        </w:rPr>
      </w:pPr>
      <w:r>
        <w:rPr>
          <w:rFonts w:ascii="Arial" w:cs="Arial" w:eastAsia="Arial" w:hAnsi="Arial"/>
          <w:sz w:val="40"/>
          <w:szCs w:val="40"/>
          <w:b w:val="1"/>
          <w:bCs w:val="1"/>
          <w:color w:val="auto"/>
        </w:rPr>
        <w:t>MagnaChip Semiconductor Corporation</w:t>
      </w:r>
    </w:p>
    <w:p>
      <w:pPr>
        <w:spacing w:after="0" w:line="35"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1" w:lineRule="exact"/>
        <w:rPr>
          <w:sz w:val="24"/>
          <w:szCs w:val="24"/>
          <w:color w:val="auto"/>
        </w:rPr>
      </w:pPr>
    </w:p>
    <w:p>
      <w:pPr>
        <w:ind w:left="4400"/>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55933J203</w:t>
      </w:r>
    </w:p>
    <w:p>
      <w:pPr>
        <w:spacing w:after="0" w:line="21" w:lineRule="exact"/>
        <w:rPr>
          <w:sz w:val="24"/>
          <w:szCs w:val="24"/>
          <w:color w:val="auto"/>
        </w:rPr>
      </w:pPr>
    </w:p>
    <w:p>
      <w:pPr>
        <w:ind w:left="4720"/>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August 15, 2017</w:t>
      </w:r>
    </w:p>
    <w:p>
      <w:pPr>
        <w:spacing w:after="0" w:line="21" w:lineRule="exact"/>
        <w:rPr>
          <w:sz w:val="24"/>
          <w:szCs w:val="24"/>
          <w:color w:val="auto"/>
        </w:rPr>
      </w:pPr>
    </w:p>
    <w:p>
      <w:pPr>
        <w:ind w:left="354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199"/>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660" w:hanging="199"/>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660" w:hanging="199"/>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177800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220980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59"/>
          </w:cols>
          <w:pgMar w:left="700" w:top="517"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680" w:type="dxa"/>
            <w:vAlign w:val="bottom"/>
            <w:gridSpan w:val="6"/>
          </w:tcPr>
          <w:p>
            <w:pPr>
              <w:jc w:val="right"/>
              <w:spacing w:after="0"/>
              <w:rPr>
                <w:sz w:val="20"/>
                <w:szCs w:val="20"/>
                <w:color w:val="auto"/>
              </w:rPr>
            </w:pPr>
            <w:r>
              <w:rPr>
                <w:rFonts w:ascii="Arial" w:cs="Arial" w:eastAsia="Arial" w:hAnsi="Arial"/>
                <w:sz w:val="18"/>
                <w:szCs w:val="18"/>
                <w:color w:val="auto"/>
                <w:w w:val="90"/>
              </w:rPr>
              <w:t>CUSIP No. 55933J203</w:t>
            </w:r>
          </w:p>
        </w:tc>
        <w:tc>
          <w:tcPr>
            <w:tcW w:w="9760" w:type="dxa"/>
            <w:vAlign w:val="bottom"/>
          </w:tcPr>
          <w:p>
            <w:pPr>
              <w:ind w:left="4040"/>
              <w:spacing w:after="0"/>
              <w:rPr>
                <w:sz w:val="20"/>
                <w:szCs w:val="20"/>
                <w:color w:val="auto"/>
              </w:rPr>
            </w:pPr>
            <w:r>
              <w:rPr>
                <w:rFonts w:ascii="Arial" w:cs="Arial" w:eastAsia="Arial" w:hAnsi="Arial"/>
                <w:sz w:val="18"/>
                <w:szCs w:val="18"/>
                <w:color w:val="auto"/>
              </w:rPr>
              <w:t>13G/A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36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16"/>
                <w:szCs w:val="16"/>
                <w:color w:val="auto"/>
              </w:rPr>
            </w:pPr>
          </w:p>
        </w:tc>
        <w:tc>
          <w:tcPr>
            <w:tcW w:w="10760" w:type="dxa"/>
            <w:vAlign w:val="bottom"/>
            <w:tcBorders>
              <w:right w:val="single" w:sz="8" w:color="auto"/>
            </w:tcBorders>
            <w:gridSpan w:val="4"/>
          </w:tcPr>
          <w:p>
            <w:pPr>
              <w:ind w:left="100"/>
              <w:spacing w:after="0" w:line="195" w:lineRule="exact"/>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Avenue Partners, LLC</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920" w:type="dxa"/>
            <w:vAlign w:val="bottom"/>
            <w:tcBorders>
              <w:bottom w:val="single" w:sz="8" w:color="auto"/>
              <w:right w:val="single" w:sz="8" w:color="auto"/>
            </w:tcBorders>
            <w:gridSpan w:val="2"/>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076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2"/>
              </w:rPr>
              <w:t>New York</w:t>
            </w:r>
          </w:p>
        </w:tc>
        <w:tc>
          <w:tcPr>
            <w:tcW w:w="16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9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1"/>
              </w:rPr>
              <w:t>SHARES</w:t>
            </w: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6</w:t>
            </w:r>
          </w:p>
        </w:tc>
        <w:tc>
          <w:tcPr>
            <w:tcW w:w="9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BENEFICIALLY</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9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97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80" w:type="dxa"/>
            <w:vAlign w:val="bottom"/>
          </w:tcPr>
          <w:p>
            <w:pPr>
              <w:spacing w:after="0"/>
              <w:rPr>
                <w:sz w:val="15"/>
                <w:szCs w:val="15"/>
                <w:color w:val="auto"/>
              </w:rPr>
            </w:pPr>
          </w:p>
        </w:tc>
        <w:tc>
          <w:tcPr>
            <w:tcW w:w="1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7</w:t>
            </w:r>
          </w:p>
        </w:tc>
        <w:tc>
          <w:tcPr>
            <w:tcW w:w="976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9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9"/>
              </w:rPr>
              <w:t>PERSON</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9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9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8</w:t>
            </w:r>
          </w:p>
        </w:tc>
        <w:tc>
          <w:tcPr>
            <w:tcW w:w="9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right w:val="single" w:sz="8" w:color="auto"/>
            </w:tcBorders>
            <w:vMerge w:val="continue"/>
          </w:tcPr>
          <w:p>
            <w:pPr>
              <w:spacing w:after="0"/>
              <w:rPr>
                <w:sz w:val="7"/>
                <w:szCs w:val="7"/>
                <w:color w:val="auto"/>
              </w:rPr>
            </w:pPr>
          </w:p>
        </w:tc>
        <w:tc>
          <w:tcPr>
            <w:tcW w:w="9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20"/>
                <w:szCs w:val="20"/>
                <w:color w:val="auto"/>
              </w:rPr>
            </w:pPr>
          </w:p>
        </w:tc>
        <w:tc>
          <w:tcPr>
            <w:tcW w:w="1000" w:type="dxa"/>
            <w:vAlign w:val="bottom"/>
            <w:gridSpan w:val="3"/>
          </w:tcPr>
          <w:p>
            <w:pPr>
              <w:ind w:left="100"/>
              <w:spacing w:after="0"/>
              <w:rPr>
                <w:sz w:val="20"/>
                <w:szCs w:val="20"/>
                <w:color w:val="auto"/>
              </w:rPr>
            </w:pPr>
            <w:r>
              <w:rPr>
                <w:rFonts w:ascii="Arial" w:cs="Arial" w:eastAsia="Arial" w:hAnsi="Arial"/>
                <w:sz w:val="18"/>
                <w:szCs w:val="18"/>
                <w:color w:val="auto"/>
                <w:w w:val="75"/>
              </w:rPr>
              <w:t>AGGREGATE</w:t>
            </w:r>
          </w:p>
        </w:tc>
        <w:tc>
          <w:tcPr>
            <w:tcW w:w="97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0.0%</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OO</w:t>
            </w:r>
          </w:p>
        </w:tc>
        <w:tc>
          <w:tcPr>
            <w:tcW w:w="16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SEE INSTRUCTIONS BEFORE FILLING OUT</w:t>
      </w:r>
    </w:p>
    <w:p>
      <w:pPr>
        <w:sectPr>
          <w:pgSz w:w="11900" w:h="16838" w:orient="portrait"/>
          <w:cols w:equalWidth="0" w:num="1">
            <w:col w:w="11440"/>
          </w:cols>
          <w:pgMar w:left="240" w:top="274"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680" w:type="dxa"/>
            <w:vAlign w:val="bottom"/>
            <w:gridSpan w:val="6"/>
          </w:tcPr>
          <w:p>
            <w:pPr>
              <w:jc w:val="right"/>
              <w:spacing w:after="0"/>
              <w:rPr>
                <w:sz w:val="20"/>
                <w:szCs w:val="20"/>
                <w:color w:val="auto"/>
              </w:rPr>
            </w:pPr>
            <w:r>
              <w:rPr>
                <w:rFonts w:ascii="Arial" w:cs="Arial" w:eastAsia="Arial" w:hAnsi="Arial"/>
                <w:sz w:val="18"/>
                <w:szCs w:val="18"/>
                <w:color w:val="auto"/>
                <w:w w:val="90"/>
              </w:rPr>
              <w:t>CUSIP No. 55933J203</w:t>
            </w:r>
          </w:p>
        </w:tc>
        <w:tc>
          <w:tcPr>
            <w:tcW w:w="9760" w:type="dxa"/>
            <w:vAlign w:val="bottom"/>
          </w:tcPr>
          <w:p>
            <w:pPr>
              <w:ind w:left="4040"/>
              <w:spacing w:after="0"/>
              <w:rPr>
                <w:sz w:val="20"/>
                <w:szCs w:val="20"/>
                <w:color w:val="auto"/>
              </w:rPr>
            </w:pPr>
            <w:r>
              <w:rPr>
                <w:rFonts w:ascii="Arial" w:cs="Arial" w:eastAsia="Arial" w:hAnsi="Arial"/>
                <w:sz w:val="18"/>
                <w:szCs w:val="18"/>
                <w:color w:val="auto"/>
              </w:rPr>
              <w:t>13G/A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36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16"/>
                <w:szCs w:val="16"/>
                <w:color w:val="auto"/>
              </w:rPr>
            </w:pPr>
          </w:p>
        </w:tc>
        <w:tc>
          <w:tcPr>
            <w:tcW w:w="10760" w:type="dxa"/>
            <w:vAlign w:val="bottom"/>
            <w:tcBorders>
              <w:right w:val="single" w:sz="8" w:color="auto"/>
            </w:tcBorders>
            <w:gridSpan w:val="4"/>
          </w:tcPr>
          <w:p>
            <w:pPr>
              <w:ind w:left="100"/>
              <w:spacing w:after="0" w:line="195" w:lineRule="exact"/>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Avenue Capital Management II, L.P.</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940" w:type="dxa"/>
            <w:vAlign w:val="bottom"/>
            <w:tcBorders>
              <w:bottom w:val="single" w:sz="8" w:color="auto"/>
              <w:right w:val="single" w:sz="8" w:color="auto"/>
            </w:tcBorders>
            <w:gridSpan w:val="2"/>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076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2"/>
              </w:rPr>
              <w:t>Delaware</w:t>
            </w:r>
          </w:p>
        </w:tc>
        <w:tc>
          <w:tcPr>
            <w:tcW w:w="1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5</w:t>
            </w:r>
          </w:p>
        </w:tc>
        <w:tc>
          <w:tcPr>
            <w:tcW w:w="9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1"/>
              </w:rPr>
              <w:t>SHARES</w:t>
            </w:r>
          </w:p>
        </w:tc>
        <w:tc>
          <w:tcPr>
            <w:tcW w:w="60" w:type="dxa"/>
            <w:vAlign w:val="bottom"/>
          </w:tcPr>
          <w:p>
            <w:pPr>
              <w:spacing w:after="0"/>
              <w:rPr>
                <w:sz w:val="20"/>
                <w:szCs w:val="20"/>
                <w:color w:val="auto"/>
              </w:rPr>
            </w:pPr>
          </w:p>
        </w:tc>
        <w:tc>
          <w:tcPr>
            <w:tcW w:w="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6</w:t>
            </w:r>
          </w:p>
        </w:tc>
        <w:tc>
          <w:tcPr>
            <w:tcW w:w="9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BENEFICIALLY</w:t>
            </w:r>
          </w:p>
        </w:tc>
        <w:tc>
          <w:tcPr>
            <w:tcW w:w="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9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97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Pr>
          <w:p>
            <w:pPr>
              <w:spacing w:after="0"/>
              <w:rPr>
                <w:sz w:val="15"/>
                <w:szCs w:val="15"/>
                <w:color w:val="auto"/>
              </w:rPr>
            </w:pPr>
          </w:p>
        </w:tc>
        <w:tc>
          <w:tcPr>
            <w:tcW w:w="1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7</w:t>
            </w:r>
          </w:p>
        </w:tc>
        <w:tc>
          <w:tcPr>
            <w:tcW w:w="976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9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9"/>
              </w:rPr>
              <w:t>PERSON</w:t>
            </w:r>
          </w:p>
        </w:tc>
        <w:tc>
          <w:tcPr>
            <w:tcW w:w="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9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9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8</w:t>
            </w:r>
          </w:p>
        </w:tc>
        <w:tc>
          <w:tcPr>
            <w:tcW w:w="9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Borders>
              <w:right w:val="single" w:sz="8" w:color="auto"/>
            </w:tcBorders>
            <w:vMerge w:val="continue"/>
          </w:tcPr>
          <w:p>
            <w:pPr>
              <w:spacing w:after="0"/>
              <w:rPr>
                <w:sz w:val="7"/>
                <w:szCs w:val="7"/>
                <w:color w:val="auto"/>
              </w:rPr>
            </w:pPr>
          </w:p>
        </w:tc>
        <w:tc>
          <w:tcPr>
            <w:tcW w:w="9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20"/>
                <w:szCs w:val="20"/>
                <w:color w:val="auto"/>
              </w:rPr>
            </w:pPr>
          </w:p>
        </w:tc>
        <w:tc>
          <w:tcPr>
            <w:tcW w:w="1000" w:type="dxa"/>
            <w:vAlign w:val="bottom"/>
            <w:gridSpan w:val="3"/>
          </w:tcPr>
          <w:p>
            <w:pPr>
              <w:ind w:left="100"/>
              <w:spacing w:after="0"/>
              <w:rPr>
                <w:sz w:val="20"/>
                <w:szCs w:val="20"/>
                <w:color w:val="auto"/>
              </w:rPr>
            </w:pPr>
            <w:r>
              <w:rPr>
                <w:rFonts w:ascii="Arial" w:cs="Arial" w:eastAsia="Arial" w:hAnsi="Arial"/>
                <w:sz w:val="18"/>
                <w:szCs w:val="18"/>
                <w:color w:val="auto"/>
                <w:w w:val="75"/>
              </w:rPr>
              <w:t>AGGREGATE</w:t>
            </w:r>
          </w:p>
        </w:tc>
        <w:tc>
          <w:tcPr>
            <w:tcW w:w="97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0.0%</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IA/PN</w:t>
            </w:r>
          </w:p>
        </w:tc>
        <w:tc>
          <w:tcPr>
            <w:tcW w:w="1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SEE INSTRUCTIONS BEFORE FILLING OUT</w:t>
      </w:r>
    </w:p>
    <w:p>
      <w:pPr>
        <w:sectPr>
          <w:pgSz w:w="11900" w:h="16838" w:orient="portrait"/>
          <w:cols w:equalWidth="0" w:num="1">
            <w:col w:w="11440"/>
          </w:cols>
          <w:pgMar w:left="240" w:top="274"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680" w:type="dxa"/>
            <w:vAlign w:val="bottom"/>
            <w:gridSpan w:val="6"/>
          </w:tcPr>
          <w:p>
            <w:pPr>
              <w:jc w:val="right"/>
              <w:spacing w:after="0"/>
              <w:rPr>
                <w:sz w:val="20"/>
                <w:szCs w:val="20"/>
                <w:color w:val="auto"/>
              </w:rPr>
            </w:pPr>
            <w:r>
              <w:rPr>
                <w:rFonts w:ascii="Arial" w:cs="Arial" w:eastAsia="Arial" w:hAnsi="Arial"/>
                <w:sz w:val="18"/>
                <w:szCs w:val="18"/>
                <w:color w:val="auto"/>
                <w:w w:val="90"/>
              </w:rPr>
              <w:t>CUSIP No. 55933J203</w:t>
            </w:r>
          </w:p>
        </w:tc>
        <w:tc>
          <w:tcPr>
            <w:tcW w:w="9760" w:type="dxa"/>
            <w:vAlign w:val="bottom"/>
          </w:tcPr>
          <w:p>
            <w:pPr>
              <w:ind w:left="4040"/>
              <w:spacing w:after="0"/>
              <w:rPr>
                <w:sz w:val="20"/>
                <w:szCs w:val="20"/>
                <w:color w:val="auto"/>
              </w:rPr>
            </w:pPr>
            <w:r>
              <w:rPr>
                <w:rFonts w:ascii="Arial" w:cs="Arial" w:eastAsia="Arial" w:hAnsi="Arial"/>
                <w:sz w:val="18"/>
                <w:szCs w:val="18"/>
                <w:color w:val="auto"/>
              </w:rPr>
              <w:t>13G/A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36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16"/>
                <w:szCs w:val="16"/>
                <w:color w:val="auto"/>
              </w:rPr>
            </w:pPr>
          </w:p>
        </w:tc>
        <w:tc>
          <w:tcPr>
            <w:tcW w:w="10760" w:type="dxa"/>
            <w:vAlign w:val="bottom"/>
            <w:tcBorders>
              <w:right w:val="single" w:sz="8" w:color="auto"/>
            </w:tcBorders>
            <w:gridSpan w:val="4"/>
          </w:tcPr>
          <w:p>
            <w:pPr>
              <w:ind w:left="100"/>
              <w:spacing w:after="0" w:line="195" w:lineRule="exact"/>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Avenue Capital Management II GenPar, LLC</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940" w:type="dxa"/>
            <w:vAlign w:val="bottom"/>
            <w:tcBorders>
              <w:bottom w:val="single" w:sz="8" w:color="auto"/>
              <w:right w:val="single" w:sz="8" w:color="auto"/>
            </w:tcBorders>
            <w:gridSpan w:val="2"/>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076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2"/>
              </w:rPr>
              <w:t>Delaware</w:t>
            </w:r>
          </w:p>
        </w:tc>
        <w:tc>
          <w:tcPr>
            <w:tcW w:w="1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5</w:t>
            </w:r>
          </w:p>
        </w:tc>
        <w:tc>
          <w:tcPr>
            <w:tcW w:w="9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1"/>
              </w:rPr>
              <w:t>SHARES</w:t>
            </w:r>
          </w:p>
        </w:tc>
        <w:tc>
          <w:tcPr>
            <w:tcW w:w="60" w:type="dxa"/>
            <w:vAlign w:val="bottom"/>
          </w:tcPr>
          <w:p>
            <w:pPr>
              <w:spacing w:after="0"/>
              <w:rPr>
                <w:sz w:val="20"/>
                <w:szCs w:val="20"/>
                <w:color w:val="auto"/>
              </w:rPr>
            </w:pPr>
          </w:p>
        </w:tc>
        <w:tc>
          <w:tcPr>
            <w:tcW w:w="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6</w:t>
            </w:r>
          </w:p>
        </w:tc>
        <w:tc>
          <w:tcPr>
            <w:tcW w:w="9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BENEFICIALLY</w:t>
            </w:r>
          </w:p>
        </w:tc>
        <w:tc>
          <w:tcPr>
            <w:tcW w:w="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9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97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Pr>
          <w:p>
            <w:pPr>
              <w:spacing w:after="0"/>
              <w:rPr>
                <w:sz w:val="15"/>
                <w:szCs w:val="15"/>
                <w:color w:val="auto"/>
              </w:rPr>
            </w:pPr>
          </w:p>
        </w:tc>
        <w:tc>
          <w:tcPr>
            <w:tcW w:w="1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7</w:t>
            </w:r>
          </w:p>
        </w:tc>
        <w:tc>
          <w:tcPr>
            <w:tcW w:w="976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9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9"/>
              </w:rPr>
              <w:t>PERSON</w:t>
            </w:r>
          </w:p>
        </w:tc>
        <w:tc>
          <w:tcPr>
            <w:tcW w:w="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9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9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8</w:t>
            </w:r>
          </w:p>
        </w:tc>
        <w:tc>
          <w:tcPr>
            <w:tcW w:w="9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Borders>
              <w:right w:val="single" w:sz="8" w:color="auto"/>
            </w:tcBorders>
            <w:vMerge w:val="continue"/>
          </w:tcPr>
          <w:p>
            <w:pPr>
              <w:spacing w:after="0"/>
              <w:rPr>
                <w:sz w:val="7"/>
                <w:szCs w:val="7"/>
                <w:color w:val="auto"/>
              </w:rPr>
            </w:pPr>
          </w:p>
        </w:tc>
        <w:tc>
          <w:tcPr>
            <w:tcW w:w="9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20"/>
                <w:szCs w:val="20"/>
                <w:color w:val="auto"/>
              </w:rPr>
            </w:pPr>
          </w:p>
        </w:tc>
        <w:tc>
          <w:tcPr>
            <w:tcW w:w="1000" w:type="dxa"/>
            <w:vAlign w:val="bottom"/>
            <w:gridSpan w:val="3"/>
          </w:tcPr>
          <w:p>
            <w:pPr>
              <w:ind w:left="100"/>
              <w:spacing w:after="0"/>
              <w:rPr>
                <w:sz w:val="20"/>
                <w:szCs w:val="20"/>
                <w:color w:val="auto"/>
              </w:rPr>
            </w:pPr>
            <w:r>
              <w:rPr>
                <w:rFonts w:ascii="Arial" w:cs="Arial" w:eastAsia="Arial" w:hAnsi="Arial"/>
                <w:sz w:val="18"/>
                <w:szCs w:val="18"/>
                <w:color w:val="auto"/>
                <w:w w:val="75"/>
              </w:rPr>
              <w:t>AGGREGATE</w:t>
            </w:r>
          </w:p>
        </w:tc>
        <w:tc>
          <w:tcPr>
            <w:tcW w:w="97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0.0%</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OO</w:t>
            </w:r>
          </w:p>
        </w:tc>
        <w:tc>
          <w:tcPr>
            <w:tcW w:w="1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SEE INSTRUCTIONS BEFORE FILLING OUT</w:t>
      </w:r>
    </w:p>
    <w:p>
      <w:pPr>
        <w:sectPr>
          <w:pgSz w:w="11900" w:h="16838" w:orient="portrait"/>
          <w:cols w:equalWidth="0" w:num="1">
            <w:col w:w="11440"/>
          </w:cols>
          <w:pgMar w:left="240" w:top="274"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680" w:type="dxa"/>
            <w:vAlign w:val="bottom"/>
            <w:gridSpan w:val="5"/>
          </w:tcPr>
          <w:p>
            <w:pPr>
              <w:jc w:val="right"/>
              <w:spacing w:after="0"/>
              <w:rPr>
                <w:sz w:val="20"/>
                <w:szCs w:val="20"/>
                <w:color w:val="auto"/>
              </w:rPr>
            </w:pPr>
            <w:r>
              <w:rPr>
                <w:rFonts w:ascii="Arial" w:cs="Arial" w:eastAsia="Arial" w:hAnsi="Arial"/>
                <w:sz w:val="18"/>
                <w:szCs w:val="18"/>
                <w:color w:val="auto"/>
                <w:w w:val="90"/>
              </w:rPr>
              <w:t>CUSIP No. 55933J203</w:t>
            </w:r>
          </w:p>
        </w:tc>
        <w:tc>
          <w:tcPr>
            <w:tcW w:w="9760" w:type="dxa"/>
            <w:vAlign w:val="bottom"/>
          </w:tcPr>
          <w:p>
            <w:pPr>
              <w:ind w:left="4040"/>
              <w:spacing w:after="0"/>
              <w:rPr>
                <w:sz w:val="20"/>
                <w:szCs w:val="20"/>
                <w:color w:val="auto"/>
              </w:rPr>
            </w:pPr>
            <w:r>
              <w:rPr>
                <w:rFonts w:ascii="Arial" w:cs="Arial" w:eastAsia="Arial" w:hAnsi="Arial"/>
                <w:sz w:val="18"/>
                <w:szCs w:val="18"/>
                <w:color w:val="auto"/>
              </w:rPr>
              <w:t>13G/A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36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16"/>
                <w:szCs w:val="16"/>
                <w:color w:val="auto"/>
              </w:rPr>
            </w:pPr>
          </w:p>
        </w:tc>
        <w:tc>
          <w:tcPr>
            <w:tcW w:w="1076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6"/>
              </w:rPr>
              <w:t>Marc Lasry</w:t>
            </w: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000" w:type="dxa"/>
            <w:vAlign w:val="bottom"/>
            <w:tcBorders>
              <w:bottom w:val="single" w:sz="8" w:color="auto"/>
              <w:right w:val="single" w:sz="8" w:color="auto"/>
            </w:tcBorders>
            <w:gridSpan w:val="2"/>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0760" w:type="dxa"/>
            <w:vAlign w:val="bottom"/>
            <w:tcBorders>
              <w:bottom w:val="single" w:sz="8" w:color="auto"/>
              <w:right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240" w:type="dxa"/>
            <w:vAlign w:val="bottom"/>
            <w:tcBorders>
              <w:bottom w:val="single" w:sz="8" w:color="auto"/>
              <w:right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1"/>
              </w:rPr>
              <w:t>SHARES</w:t>
            </w: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9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BENEFICIALLY</w:t>
            </w:r>
          </w:p>
        </w:tc>
        <w:tc>
          <w:tcPr>
            <w:tcW w:w="240" w:type="dxa"/>
            <w:vAlign w:val="bottom"/>
            <w:tcBorders>
              <w:right w:val="single" w:sz="8" w:color="auto"/>
            </w:tcBorders>
          </w:tcPr>
          <w:p>
            <w:pPr>
              <w:spacing w:after="0"/>
              <w:rPr>
                <w:sz w:val="18"/>
                <w:szCs w:val="18"/>
                <w:color w:val="auto"/>
              </w:rPr>
            </w:pPr>
          </w:p>
        </w:tc>
        <w:tc>
          <w:tcPr>
            <w:tcW w:w="9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240" w:type="dxa"/>
            <w:vAlign w:val="bottom"/>
            <w:tcBorders>
              <w:bottom w:val="single" w:sz="8" w:color="auto"/>
              <w:right w:val="single" w:sz="8" w:color="auto"/>
            </w:tcBorders>
          </w:tcPr>
          <w:p>
            <w:pPr>
              <w:spacing w:after="0"/>
              <w:rPr>
                <w:sz w:val="20"/>
                <w:szCs w:val="20"/>
                <w:color w:val="auto"/>
              </w:rPr>
            </w:pPr>
          </w:p>
        </w:tc>
        <w:tc>
          <w:tcPr>
            <w:tcW w:w="97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24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76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240" w:type="dxa"/>
            <w:vAlign w:val="bottom"/>
            <w:tcBorders>
              <w:right w:val="single" w:sz="8" w:color="auto"/>
            </w:tcBorders>
          </w:tcPr>
          <w:p>
            <w:pPr>
              <w:spacing w:after="0"/>
              <w:rPr>
                <w:sz w:val="18"/>
                <w:szCs w:val="18"/>
                <w:color w:val="auto"/>
              </w:rPr>
            </w:pPr>
          </w:p>
        </w:tc>
        <w:tc>
          <w:tcPr>
            <w:tcW w:w="9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9"/>
              </w:rPr>
              <w:t>PERSON</w:t>
            </w:r>
          </w:p>
        </w:tc>
        <w:tc>
          <w:tcPr>
            <w:tcW w:w="240" w:type="dxa"/>
            <w:vAlign w:val="bottom"/>
            <w:tcBorders>
              <w:right w:val="single" w:sz="8" w:color="auto"/>
            </w:tcBorders>
          </w:tcPr>
          <w:p>
            <w:pPr>
              <w:spacing w:after="0"/>
              <w:rPr>
                <w:sz w:val="18"/>
                <w:szCs w:val="18"/>
                <w:color w:val="auto"/>
              </w:rPr>
            </w:pPr>
          </w:p>
        </w:tc>
        <w:tc>
          <w:tcPr>
            <w:tcW w:w="9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240" w:type="dxa"/>
            <w:vAlign w:val="bottom"/>
            <w:tcBorders>
              <w:bottom w:val="single" w:sz="8" w:color="auto"/>
              <w:right w:val="single" w:sz="8" w:color="auto"/>
            </w:tcBorders>
          </w:tcPr>
          <w:p>
            <w:pPr>
              <w:spacing w:after="0"/>
              <w:rPr>
                <w:sz w:val="5"/>
                <w:szCs w:val="5"/>
                <w:color w:val="auto"/>
              </w:rPr>
            </w:pPr>
          </w:p>
        </w:tc>
        <w:tc>
          <w:tcPr>
            <w:tcW w:w="9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2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9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240" w:type="dxa"/>
            <w:vAlign w:val="bottom"/>
            <w:tcBorders>
              <w:right w:val="single" w:sz="8" w:color="auto"/>
            </w:tcBorders>
            <w:vMerge w:val="continue"/>
          </w:tcPr>
          <w:p>
            <w:pPr>
              <w:spacing w:after="0"/>
              <w:rPr>
                <w:sz w:val="7"/>
                <w:szCs w:val="7"/>
                <w:color w:val="auto"/>
              </w:rPr>
            </w:pPr>
          </w:p>
        </w:tc>
        <w:tc>
          <w:tcPr>
            <w:tcW w:w="9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w w:val="75"/>
              </w:rPr>
              <w:t>AGGREGATE</w:t>
            </w:r>
          </w:p>
        </w:tc>
        <w:tc>
          <w:tcPr>
            <w:tcW w:w="97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0.0%</w:t>
            </w:r>
          </w:p>
        </w:tc>
        <w:tc>
          <w:tcPr>
            <w:tcW w:w="24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IN/HC</w:t>
            </w:r>
          </w:p>
        </w:tc>
        <w:tc>
          <w:tcPr>
            <w:tcW w:w="24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SEE INSTRUCTIONS BEFORE FILLING OUT</w:t>
      </w:r>
    </w:p>
    <w:p>
      <w:pPr>
        <w:sectPr>
          <w:pgSz w:w="11900" w:h="16838" w:orient="portrait"/>
          <w:cols w:equalWidth="0" w:num="1">
            <w:col w:w="11440"/>
          </w:cols>
          <w:pgMar w:left="240" w:top="274" w:right="21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13G/A</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Amendment No. 5 (this “Amendment”) to the Schedule 13G filed on February 9, 2012, as amended by Amendment No. 1, filed on February 1, 2013, as subsequently amended by Amendment No. 2, filed on February 28, 2014, as subsequently amended by Amendment No. 3, filed on February 13, 2015, as subsequently amended by Amendment No. 4, filed on February 12, 2016 (the “Schedule 13G”) is being filed on behalf of Avenue Partners, LLC (“Avenue Partners”), Avenue Capital Management II, L.P. (“Avenue Capital Management”), Avenue Capital Management II GenPar, LLC (“Avenue Capital Management GenPar”) and Marc Lasry relating to shares of Common Stock, par value $0.01 per share (the “Common Stock”), of MagnaChip Semiconductor Corporation, a Delaware corporation (the “Issuer”).</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4 of the Schedule 13G is amended and restated in its entirety to read as follows.</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See cover pages Items 5-11.</w:t>
      </w:r>
    </w:p>
    <w:p>
      <w:pPr>
        <w:spacing w:after="0" w:line="225" w:lineRule="exact"/>
        <w:rPr>
          <w:sz w:val="20"/>
          <w:szCs w:val="20"/>
          <w:color w:val="auto"/>
        </w:rPr>
      </w:pPr>
    </w:p>
    <w:p>
      <w:pPr>
        <w:ind w:right="400" w:firstLine="1027"/>
        <w:spacing w:after="0" w:line="277" w:lineRule="auto"/>
        <w:rPr>
          <w:sz w:val="20"/>
          <w:szCs w:val="20"/>
          <w:color w:val="auto"/>
        </w:rPr>
      </w:pPr>
      <w:r>
        <w:rPr>
          <w:rFonts w:ascii="Arial" w:cs="Arial" w:eastAsia="Arial" w:hAnsi="Arial"/>
          <w:sz w:val="18"/>
          <w:szCs w:val="18"/>
          <w:color w:val="auto"/>
        </w:rPr>
        <w:t>As of August 15, 2017, Avenue Capital Management, Avenue Capital Management GenPar and Marc Lasry beneficially own no shares of Common Stock of the Issuer.</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right="60" w:firstLine="1027"/>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has/have ceased to be the beneficial owner of more than five percent (5%) of the class of securities,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jc w:val="both"/>
        <w:ind w:left="1040" w:right="12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380"/>
          </w:cols>
          <w:pgMar w:left="240" w:top="270" w:right="2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reasonable inquiry and to the best of their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17, 2017</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AVENUE PARTNERS,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Eric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4546600</wp:posOffset>
            </wp:positionH>
            <wp:positionV relativeFrom="paragraph">
              <wp:posOffset>-10160</wp:posOffset>
            </wp:positionV>
            <wp:extent cx="14922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Eric Ross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Attorney-in-Fact for Marc Lasry, Managing Member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AVENUE CAPITAL MANAGEMENT II, L.P.</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Avenue Capital Management II GenPar, LLC,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Eric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4546600</wp:posOffset>
            </wp:positionH>
            <wp:positionV relativeFrom="paragraph">
              <wp:posOffset>-10160</wp:posOffset>
            </wp:positionV>
            <wp:extent cx="14922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Eric Ross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Attorney-in-Fact for Marc Lasry, Managing Member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AVENUE CAPITAL MANAGEMENT II GENPAR,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Eric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4546600</wp:posOffset>
            </wp:positionH>
            <wp:positionV relativeFrom="paragraph">
              <wp:posOffset>-10160</wp:posOffset>
            </wp:positionV>
            <wp:extent cx="14922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Eric Ross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Attorney-in-Fact for Marc Lasry, Managing Member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MARC LASRY</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Eric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4546600</wp:posOffset>
            </wp:positionH>
            <wp:positionV relativeFrom="paragraph">
              <wp:posOffset>-10160</wp:posOffset>
            </wp:positionV>
            <wp:extent cx="14922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Eric Ross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Attorney-in-Fact for Marc Lasry</w:t>
      </w:r>
    </w:p>
    <w:p>
      <w:pPr>
        <w:sectPr>
          <w:pgSz w:w="11900" w:h="16838" w:orient="portrait"/>
          <w:cols w:equalWidth="0" w:num="1">
            <w:col w:w="11420"/>
          </w:cols>
          <w:pgMar w:left="240" w:top="270"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Exhibits</w:t>
      </w:r>
    </w:p>
    <w:p>
      <w:pPr>
        <w:sectPr>
          <w:pgSz w:w="11900" w:h="16838" w:orient="portrait"/>
          <w:cols w:equalWidth="0" w:num="1">
            <w:col w:w="11400"/>
          </w:cols>
          <w:pgMar w:left="240" w:top="270" w:right="25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Exhibit 24</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Power of Attorney for Marc Lasry, dated February 11, 2010 (incorporated by reference to Exhibit 24 to the filing on Schedule 13G relating to beneficial ownership of shares of common stock, par value $0.01 per share, of Spectrum Brand Holdings, Inc., filed with the Securities and Exchange Commission on June 25, 2010).</w:t>
      </w:r>
    </w:p>
    <w:p>
      <w:pPr>
        <w:spacing w:after="0" w:line="73" w:lineRule="exact"/>
        <w:rPr>
          <w:sz w:val="20"/>
          <w:szCs w:val="20"/>
          <w:color w:val="auto"/>
        </w:rPr>
      </w:pPr>
    </w:p>
    <w:p>
      <w:pPr>
        <w:sectPr>
          <w:pgSz w:w="11900" w:h="16838" w:orient="portrait"/>
          <w:cols w:equalWidth="0" w:num="2">
            <w:col w:w="760" w:space="620"/>
            <w:col w:w="10020"/>
          </w:cols>
          <w:pgMar w:left="240" w:top="270" w:right="259" w:bottom="1440" w:gutter="0" w:footer="0" w:header="0"/>
          <w:type w:val="continuous"/>
        </w:sectPr>
      </w:pPr>
    </w:p>
    <w:p>
      <w:pPr>
        <w:spacing w:after="0"/>
        <w:rPr>
          <w:sz w:val="20"/>
          <w:szCs w:val="20"/>
          <w:color w:val="auto"/>
        </w:rPr>
      </w:pPr>
      <w:r>
        <w:rPr>
          <w:rFonts w:ascii="Arial" w:cs="Arial" w:eastAsia="Arial" w:hAnsi="Arial"/>
          <w:sz w:val="17"/>
          <w:szCs w:val="17"/>
          <w:color w:val="auto"/>
        </w:rPr>
        <w:t>Exhibit 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Agreement of Reporting Person</w:t>
      </w:r>
    </w:p>
    <w:p>
      <w:pPr>
        <w:sectPr>
          <w:pgSz w:w="11900" w:h="16838" w:orient="portrait"/>
          <w:cols w:equalWidth="0" w:num="2">
            <w:col w:w="900" w:space="480"/>
            <w:col w:w="10020"/>
          </w:cols>
          <w:pgMar w:left="240" w:top="270" w:right="259" w:bottom="1440" w:gutter="0" w:footer="0" w:header="0"/>
          <w:type w:val="continuous"/>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accordance with Rule 13d-1(k)(1)(iii) under the Securities Exchange Act of 1934, as amended (the “Act”), Avenue Partners, LLC, Avenue Capital Management II, L.P., Avenue Capital Management II GenPar, LLC and Marc Lasry hereby agree to file jointly the statement on this Schedule 13G/A (this “Schedule 13G/A”) to which this Agreement is attached and any further amendments thereto which may be deemed necessary, pursuant to Regulation 13D-G under the Act.</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and accuracy of information concerning any other party unless such party knows or has reason to believe such information is inaccurate.</w:t>
      </w:r>
    </w:p>
    <w:p>
      <w:pPr>
        <w:spacing w:after="0" w:line="16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It is understood and agreed that a copy of this Agreement shall be attached as an exhibit to the statement on this Schedule 13G/A, and any amendments thereto, filed on behalf of each of the parties 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17, 2017</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AVENUE PARTNERS,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Eric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4546600</wp:posOffset>
            </wp:positionH>
            <wp:positionV relativeFrom="paragraph">
              <wp:posOffset>-10160</wp:posOffset>
            </wp:positionV>
            <wp:extent cx="14922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Eric Ross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Title: Attorney-in-Fact for Marc Lasry, Managing Member</w:t>
      </w:r>
    </w:p>
    <w:p>
      <w:pPr>
        <w:spacing w:after="0" w:line="21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AVENUE CAPITAL MANAGEMENT II, L.P.</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Avenue Capital Management II GenPar, LLC,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Eric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4546600</wp:posOffset>
            </wp:positionH>
            <wp:positionV relativeFrom="paragraph">
              <wp:posOffset>-10160</wp:posOffset>
            </wp:positionV>
            <wp:extent cx="14922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Eric Ross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Title: Attorney-in-Fact for Marc Lasry, Managing Member</w:t>
      </w:r>
    </w:p>
    <w:p>
      <w:pPr>
        <w:spacing w:after="0" w:line="21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AVENUE CAPITAL MANAGEMENT II GENPAR,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Eric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4546600</wp:posOffset>
            </wp:positionH>
            <wp:positionV relativeFrom="paragraph">
              <wp:posOffset>-10160</wp:posOffset>
            </wp:positionV>
            <wp:extent cx="14922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Eric Ross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Title: Attorney-in-Fact for Marc Lasry, Managing Member</w:t>
      </w:r>
    </w:p>
    <w:p>
      <w:pPr>
        <w:spacing w:after="0" w:line="21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MARC LASRY</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Eric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4546600</wp:posOffset>
            </wp:positionH>
            <wp:positionV relativeFrom="paragraph">
              <wp:posOffset>-10160</wp:posOffset>
            </wp:positionV>
            <wp:extent cx="14922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Eric Ross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Attorney-in-Fact for Marc Lasry</w:t>
      </w:r>
    </w:p>
    <w:sectPr>
      <w:pgSz w:w="11900" w:h="16838" w:orient="portrait"/>
      <w:cols w:equalWidth="0" w:num="1">
        <w:col w:w="11380"/>
      </w:cols>
      <w:pgMar w:left="240" w:top="12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2019-12-18T23:19:43Z</dcterms:created>
  <dcterms:modified xsi:type="dcterms:W3CDTF">2019-12-18T23:19:43Z</dcterms:modified>
</cp:coreProperties>
</file>