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89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9331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Park Shin Young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80"/>
        <w:spacing w:after="0" w:line="373" w:lineRule="auto"/>
        <w:rPr>
          <w:sz w:val="20"/>
          <w:szCs w:val="20"/>
          <w:color w:val="auto"/>
        </w:rPr>
      </w:pPr>
      <w:r>
        <w:rPr>
          <w:rFonts w:ascii="Times New Roman" w:cs="Times New Roman" w:eastAsia="Times New Roman" w:hAnsi="Times New Roman"/>
          <w:sz w:val="16"/>
          <w:szCs w:val="16"/>
          <w:color w:val="0000FF"/>
        </w:rPr>
        <w:t>C/O MAGNACHIP SEMICONDUCTOR, LTD., 108, YEOUI-DAERO, YEONGDEUNGPO-GU</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M5</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07335</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MAGNACHIP SEMICONDUCTOR Corp </w:t>
              </w:r>
            </w:hyperlink>
            <w:r>
              <w:rPr>
                <w:rFonts w:ascii="Times New Roman" w:cs="Times New Roman" w:eastAsia="Times New Roman" w:hAnsi="Times New Roman"/>
                <w:sz w:val="16"/>
                <w:szCs w:val="16"/>
                <w:color w:val="000000"/>
              </w:rPr>
              <w:t>[</w:t>
            </w:r>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348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0"/>
                <w:szCs w:val="20"/>
                <w:color w:val="000000"/>
              </w:rPr>
              <w:t>]</w:t>
            </w:r>
          </w:p>
        </w:tc>
        <w:tc>
          <w:tcPr>
            <w:tcW w:w="2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gridSpan w:val="3"/>
            <w:vMerge w:val="continue"/>
          </w:tcPr>
          <w:p>
            <w:pPr>
              <w:spacing w:after="0"/>
              <w:rPr>
                <w:sz w:val="11"/>
                <w:szCs w:val="11"/>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34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120" w:type="dxa"/>
            <w:vAlign w:val="bottom"/>
          </w:tcPr>
          <w:p>
            <w:pPr>
              <w:ind w:left="58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2120" w:type="dxa"/>
            <w:vAlign w:val="bottom"/>
          </w:tcPr>
          <w:p>
            <w:pPr>
              <w:ind w:left="1200"/>
              <w:spacing w:after="0" w:line="178"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06/01/2025</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34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06/01/2025</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4"/>
              </w:rPr>
              <w:t>110,210</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241,786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06/01/2025</w:t>
            </w:r>
          </w:p>
        </w:tc>
        <w:tc>
          <w:tcPr>
            <w:tcW w:w="106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55,104</w:t>
            </w:r>
          </w:p>
        </w:tc>
        <w:tc>
          <w:tcPr>
            <w:tcW w:w="30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01/31/2028</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0000FF"/>
              </w:rPr>
              <w:t>55,104</w:t>
            </w:r>
          </w:p>
        </w:tc>
        <w:tc>
          <w:tcPr>
            <w:tcW w:w="4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55,104</w:t>
            </w:r>
          </w:p>
        </w:tc>
        <w:tc>
          <w:tcPr>
            <w:tcW w:w="280" w:type="dxa"/>
            <w:vAlign w:val="bottom"/>
          </w:tcPr>
          <w:p>
            <w:pPr>
              <w:spacing w:after="0"/>
              <w:rPr>
                <w:sz w:val="16"/>
                <w:szCs w:val="16"/>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Restricted</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("PRSU") represents a contingent right to receive one share of Issuer's common stock.</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number of shares of Issuer common stock that the Reporting Person would receive upon vesting and settlement of the PRSUs at the target level of performance. The PRSUs vest upon Issuer's common stock achieving a specified price per share.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Theodore Kim, Attorney-in-  </w:t>
      </w:r>
      <w:r>
        <w:rPr>
          <w:rFonts w:ascii="Times New Roman" w:cs="Times New Roman" w:eastAsia="Times New Roman" w:hAnsi="Times New Roman"/>
          <w:sz w:val="33"/>
          <w:szCs w:val="33"/>
          <w:color w:val="0000FF"/>
          <w:vertAlign w:val="subscript"/>
        </w:rPr>
        <w:t>06/03/2025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2025-06-03T15:25:03Z</dcterms:created>
  <dcterms:modified xsi:type="dcterms:W3CDTF">2025-06-03T15:25:03Z</dcterms:modified>
</cp:coreProperties>
</file>