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151765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163195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(Amendment No. 4)*</w:t>
      </w:r>
    </w:p>
    <w:p>
      <w:pPr>
        <w:spacing w:after="0" w:line="218" w:lineRule="exact"/>
        <w:rPr>
          <w:sz w:val="24"/>
          <w:szCs w:val="24"/>
          <w:color w:val="auto"/>
        </w:rPr>
      </w:pPr>
    </w:p>
    <w:p>
      <w:pPr>
        <w:jc w:val="center"/>
        <w:ind w:right="-459"/>
        <w:spacing w:after="0"/>
        <w:rPr>
          <w:sz w:val="20"/>
          <w:szCs w:val="20"/>
          <w:color w:val="auto"/>
        </w:rPr>
      </w:pPr>
      <w:r>
        <w:rPr>
          <w:rFonts w:ascii="Arial" w:cs="Arial" w:eastAsia="Arial" w:hAnsi="Arial"/>
          <w:sz w:val="22"/>
          <w:szCs w:val="22"/>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6985</wp:posOffset>
            </wp:positionV>
            <wp:extent cx="5486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(Name of Issuer)</w:t>
      </w:r>
    </w:p>
    <w:p>
      <w:pPr>
        <w:spacing w:after="0" w:line="214"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486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486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486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 to designate the rule pursuant to which this Schedule 13G is filed:</w:t>
      </w:r>
    </w:p>
    <w:p>
      <w:pPr>
        <w:spacing w:after="0" w:line="225" w:lineRule="exact"/>
        <w:rPr>
          <w:sz w:val="24"/>
          <w:szCs w:val="24"/>
          <w:color w:val="auto"/>
        </w:rPr>
      </w:pPr>
    </w:p>
    <w:p>
      <w:pPr>
        <w:jc w:val="both"/>
        <w:ind w:left="660" w:right="8760" w:hanging="7"/>
        <w:spacing w:after="0" w:line="227" w:lineRule="exact"/>
        <w:tabs>
          <w:tab w:leader="none" w:pos="101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(Page 1 of 7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4"/>
          <w:szCs w:val="24"/>
          <w:color w:val="auto"/>
        </w:rPr>
      </w:pPr>
    </w:p>
    <w:p>
      <w:pPr>
        <w:ind w:right="300" w:firstLine="648"/>
        <w:spacing w:after="0" w:line="323"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320" w:top="715" w:right="7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380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13G/A</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2 of 7 Pages</w:t>
            </w:r>
          </w:p>
        </w:tc>
      </w:tr>
      <w:tr>
        <w:trPr>
          <w:trHeight w:val="216"/>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2240" w:right="6540" w:hanging="1372"/>
        <w:spacing w:after="0" w:line="194" w:lineRule="auto"/>
        <w:tabs>
          <w:tab w:leader="none" w:pos="1916" w:val="left"/>
        </w:tabs>
        <w:numPr>
          <w:ilvl w:val="0"/>
          <w:numId w:val="2"/>
        </w:numPr>
        <w:rPr>
          <w:rFonts w:ascii="Arial" w:cs="Arial" w:eastAsia="Arial" w:hAnsi="Arial"/>
          <w:sz w:val="32"/>
          <w:szCs w:val="32"/>
          <w:b w:val="1"/>
          <w:bCs w:val="1"/>
          <w:color w:val="auto"/>
          <w:vertAlign w:val="subscript"/>
        </w:rPr>
      </w:pPr>
      <w:r>
        <w:rPr>
          <w:rFonts w:ascii="Arial" w:cs="Arial" w:eastAsia="Arial" w:hAnsi="Arial"/>
          <w:sz w:val="16"/>
          <w:szCs w:val="16"/>
          <w:color w:val="auto"/>
        </w:rPr>
        <w:t>NAMES OF REPORTING PERSONS Rubric Capital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4997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99745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w:t>
            </w:r>
          </w:p>
        </w:tc>
        <w:tc>
          <w:tcPr>
            <w:tcW w:w="70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top w:val="single" w:sz="8" w:color="auto"/>
            </w:tcBorders>
          </w:tcPr>
          <w:p>
            <w:pPr>
              <w:ind w:left="1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4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0" w:type="dxa"/>
            <w:vAlign w:val="bottom"/>
          </w:tcPr>
          <w:p>
            <w:pPr>
              <w:ind w:left="1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920" w:hanging="1052"/>
        <w:spacing w:after="0"/>
        <w:tabs>
          <w:tab w:leader="none" w:pos="19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30" w:lineRule="exact"/>
        <w:rPr>
          <w:sz w:val="20"/>
          <w:szCs w:val="20"/>
          <w:color w:val="auto"/>
        </w:rPr>
      </w:pPr>
    </w:p>
    <w:p>
      <w:pPr>
        <w:ind w:left="2240" w:right="5640" w:hanging="1372"/>
        <w:spacing w:after="0" w:line="182" w:lineRule="auto"/>
        <w:tabs>
          <w:tab w:leader="none" w:pos="1916" w:val="left"/>
        </w:tabs>
        <w:numPr>
          <w:ilvl w:val="0"/>
          <w:numId w:val="4"/>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State of Delaware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5</w:t>
            </w:r>
          </w:p>
        </w:tc>
        <w:tc>
          <w:tcPr>
            <w:tcW w:w="7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82"/>
        </w:trPr>
        <w:tc>
          <w:tcPr>
            <w:tcW w:w="1800" w:type="dxa"/>
            <w:vAlign w:val="bottom"/>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79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6</w:t>
            </w:r>
          </w:p>
        </w:tc>
        <w:tc>
          <w:tcPr>
            <w:tcW w:w="79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4"/>
        </w:trPr>
        <w:tc>
          <w:tcPr>
            <w:tcW w:w="1800" w:type="dxa"/>
            <w:vAlign w:val="bottom"/>
            <w:vMerge w:val="continue"/>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7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800" w:type="dxa"/>
            <w:vAlign w:val="bottom"/>
            <w:vMerge w:val="continue"/>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500" w:type="dxa"/>
            <w:vAlign w:val="bottom"/>
            <w:tcBorders>
              <w:right w:val="single" w:sz="8" w:color="auto"/>
            </w:tcBorders>
          </w:tcPr>
          <w:p>
            <w:pPr>
              <w:spacing w:after="0"/>
              <w:rPr>
                <w:sz w:val="18"/>
                <w:szCs w:val="18"/>
                <w:color w:val="auto"/>
              </w:rPr>
            </w:pPr>
          </w:p>
        </w:tc>
        <w:tc>
          <w:tcPr>
            <w:tcW w:w="7940" w:type="dxa"/>
            <w:vAlign w:val="bottom"/>
            <w:vMerge w:val="restart"/>
          </w:tcPr>
          <w:p>
            <w:pPr>
              <w:ind w:left="100"/>
              <w:spacing w:after="0"/>
              <w:rPr>
                <w:sz w:val="20"/>
                <w:szCs w:val="20"/>
                <w:color w:val="auto"/>
              </w:rPr>
            </w:pPr>
            <w:r>
              <w:rPr>
                <w:rFonts w:ascii="Arial" w:cs="Arial" w:eastAsia="Arial" w:hAnsi="Arial"/>
                <w:sz w:val="18"/>
                <w:szCs w:val="18"/>
                <w:color w:val="auto"/>
              </w:rPr>
              <w:t>872,308 shares of Common Stock</w:t>
            </w:r>
          </w:p>
        </w:tc>
        <w:tc>
          <w:tcPr>
            <w:tcW w:w="0" w:type="dxa"/>
            <w:vAlign w:val="bottom"/>
          </w:tcPr>
          <w:p>
            <w:pPr>
              <w:spacing w:after="0"/>
              <w:rPr>
                <w:sz w:val="1"/>
                <w:szCs w:val="1"/>
                <w:color w:val="auto"/>
              </w:rPr>
            </w:pPr>
          </w:p>
        </w:tc>
      </w:tr>
      <w:tr>
        <w:trPr>
          <w:trHeight w:val="95"/>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50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0" w:type="dxa"/>
            <w:vAlign w:val="bottom"/>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7</w:t>
            </w:r>
          </w:p>
        </w:tc>
        <w:tc>
          <w:tcPr>
            <w:tcW w:w="79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50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9"/>
                <w:szCs w:val="9"/>
                <w:color w:val="auto"/>
              </w:rPr>
            </w:pPr>
          </w:p>
        </w:tc>
        <w:tc>
          <w:tcPr>
            <w:tcW w:w="7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7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8</w:t>
            </w:r>
          </w:p>
        </w:tc>
        <w:tc>
          <w:tcPr>
            <w:tcW w:w="79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7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8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7940" w:type="dxa"/>
            <w:vAlign w:val="bottom"/>
          </w:tcPr>
          <w:p>
            <w:pPr>
              <w:ind w:left="100"/>
              <w:spacing w:after="0"/>
              <w:rPr>
                <w:sz w:val="20"/>
                <w:szCs w:val="20"/>
                <w:color w:val="auto"/>
              </w:rPr>
            </w:pPr>
            <w:r>
              <w:rPr>
                <w:rFonts w:ascii="Arial" w:cs="Arial" w:eastAsia="Arial" w:hAnsi="Arial"/>
                <w:sz w:val="18"/>
                <w:szCs w:val="18"/>
                <w:color w:val="auto"/>
              </w:rPr>
              <w:t>872,308 shares of Common Stock</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920" w:right="2760" w:hanging="1052"/>
        <w:spacing w:after="0" w:line="271" w:lineRule="auto"/>
        <w:tabs>
          <w:tab w:leader="none" w:pos="1920" w:val="left"/>
        </w:tabs>
        <w:numPr>
          <w:ilvl w:val="0"/>
          <w:numId w:val="5"/>
        </w:numPr>
        <w:rPr>
          <w:rFonts w:ascii="Arial" w:cs="Arial" w:eastAsia="Arial" w:hAnsi="Arial"/>
          <w:sz w:val="36"/>
          <w:szCs w:val="36"/>
          <w:b w:val="1"/>
          <w:bCs w:val="1"/>
          <w:color w:val="auto"/>
          <w:vertAlign w:val="subscript"/>
        </w:rPr>
      </w:pPr>
      <w:r>
        <w:rPr>
          <w:rFonts w:ascii="Arial" w:cs="Arial" w:eastAsia="Arial" w:hAnsi="Arial"/>
          <w:sz w:val="18"/>
          <w:szCs w:val="18"/>
          <w:color w:val="auto"/>
        </w:rPr>
        <w:t>AGGREGATE AMOUNT BENEFICIALLY OWNED BY EACH REPORTING PERSON 872,308 shares of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10</w:t>
            </w:r>
          </w:p>
        </w:tc>
        <w:tc>
          <w:tcPr>
            <w:tcW w:w="8080" w:type="dxa"/>
            <w:vAlign w:val="bottom"/>
          </w:tcPr>
          <w:p>
            <w:pPr>
              <w:ind w:left="4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1"/>
        </w:trPr>
        <w:tc>
          <w:tcPr>
            <w:tcW w:w="146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4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11</w:t>
            </w:r>
          </w:p>
        </w:tc>
        <w:tc>
          <w:tcPr>
            <w:tcW w:w="8080" w:type="dxa"/>
            <w:vAlign w:val="bottom"/>
          </w:tcPr>
          <w:p>
            <w:pPr>
              <w:ind w:left="46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8080" w:type="dxa"/>
            <w:vAlign w:val="bottom"/>
            <w:vMerge w:val="restart"/>
          </w:tcPr>
          <w:p>
            <w:pPr>
              <w:ind w:left="780"/>
              <w:spacing w:after="0"/>
              <w:rPr>
                <w:sz w:val="20"/>
                <w:szCs w:val="20"/>
                <w:color w:val="auto"/>
              </w:rPr>
            </w:pPr>
            <w:r>
              <w:rPr>
                <w:rFonts w:ascii="Arial" w:cs="Arial" w:eastAsia="Arial" w:hAnsi="Arial"/>
                <w:sz w:val="18"/>
                <w:szCs w:val="18"/>
                <w:color w:val="auto"/>
              </w:rPr>
              <w:t>1.88%</w:t>
            </w: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8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12</w:t>
            </w:r>
          </w:p>
        </w:tc>
        <w:tc>
          <w:tcPr>
            <w:tcW w:w="8080" w:type="dxa"/>
            <w:vAlign w:val="bottom"/>
          </w:tcPr>
          <w:p>
            <w:pPr>
              <w:ind w:left="460"/>
              <w:spacing w:after="0" w:line="195" w:lineRule="exact"/>
              <w:rPr>
                <w:sz w:val="20"/>
                <w:szCs w:val="20"/>
                <w:color w:val="auto"/>
              </w:rPr>
            </w:pPr>
            <w:r>
              <w:rPr>
                <w:rFonts w:ascii="Arial" w:cs="Arial" w:eastAsia="Arial" w:hAnsi="Arial"/>
                <w:sz w:val="18"/>
                <w:szCs w:val="18"/>
                <w:color w:val="auto"/>
              </w:rPr>
              <w:t>TYPE OF REPORTING PERSON</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8080" w:type="dxa"/>
            <w:vAlign w:val="bottom"/>
            <w:vMerge w:val="restart"/>
          </w:tcPr>
          <w:p>
            <w:pPr>
              <w:ind w:left="780"/>
              <w:spacing w:after="0"/>
              <w:rPr>
                <w:sz w:val="20"/>
                <w:szCs w:val="20"/>
                <w:color w:val="auto"/>
              </w:rPr>
            </w:pPr>
            <w:r>
              <w:rPr>
                <w:rFonts w:ascii="Arial" w:cs="Arial" w:eastAsia="Arial" w:hAnsi="Arial"/>
                <w:sz w:val="18"/>
                <w:szCs w:val="18"/>
                <w:color w:val="auto"/>
              </w:rPr>
              <w:t>PN, IA</w:t>
            </w: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8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3"/>
        </w:trPr>
        <w:tc>
          <w:tcPr>
            <w:tcW w:w="14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380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13G/A</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3 of 7 Pages</w:t>
            </w:r>
          </w:p>
        </w:tc>
      </w:tr>
      <w:tr>
        <w:trPr>
          <w:trHeight w:val="216"/>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31" w:lineRule="exact"/>
        <w:rPr>
          <w:sz w:val="20"/>
          <w:szCs w:val="20"/>
          <w:color w:val="auto"/>
        </w:rPr>
      </w:pPr>
    </w:p>
    <w:p>
      <w:pPr>
        <w:ind w:left="2240" w:right="6540" w:hanging="1372"/>
        <w:spacing w:after="0" w:line="182" w:lineRule="auto"/>
        <w:tabs>
          <w:tab w:leader="none" w:pos="1916" w:val="left"/>
        </w:tabs>
        <w:numPr>
          <w:ilvl w:val="0"/>
          <w:numId w:val="6"/>
        </w:numPr>
        <w:rPr>
          <w:rFonts w:ascii="Arial" w:cs="Arial" w:eastAsia="Arial" w:hAnsi="Arial"/>
          <w:sz w:val="34"/>
          <w:szCs w:val="34"/>
          <w:b w:val="1"/>
          <w:bCs w:val="1"/>
          <w:color w:val="auto"/>
          <w:vertAlign w:val="subscript"/>
        </w:rPr>
      </w:pPr>
      <w:r>
        <w:rPr>
          <w:rFonts w:ascii="Arial" w:cs="Arial" w:eastAsia="Arial" w:hAnsi="Arial"/>
          <w:sz w:val="17"/>
          <w:szCs w:val="17"/>
          <w:color w:val="auto"/>
        </w:rPr>
        <w:t>NAMES OF REPORTING PERSONS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4997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99745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w:t>
            </w:r>
          </w:p>
        </w:tc>
        <w:tc>
          <w:tcPr>
            <w:tcW w:w="700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CHECK THE APPROPRIATE BOX IF A MEMBER OF A GROUP</w:t>
            </w:r>
          </w:p>
        </w:tc>
        <w:tc>
          <w:tcPr>
            <w:tcW w:w="2800" w:type="dxa"/>
            <w:vAlign w:val="bottom"/>
            <w:tcBorders>
              <w:top w:val="single" w:sz="8" w:color="auto"/>
            </w:tcBorders>
          </w:tcPr>
          <w:p>
            <w:pPr>
              <w:ind w:left="15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4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800" w:type="dxa"/>
            <w:vAlign w:val="bottom"/>
          </w:tcPr>
          <w:p>
            <w:pPr>
              <w:ind w:left="15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ind w:left="1920" w:hanging="1052"/>
        <w:spacing w:after="0"/>
        <w:tabs>
          <w:tab w:leader="none" w:pos="19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130" w:lineRule="exact"/>
        <w:rPr>
          <w:sz w:val="20"/>
          <w:szCs w:val="20"/>
          <w:color w:val="auto"/>
        </w:rPr>
      </w:pPr>
    </w:p>
    <w:p>
      <w:pPr>
        <w:ind w:left="2240" w:right="5640" w:hanging="1372"/>
        <w:spacing w:after="0" w:line="182" w:lineRule="auto"/>
        <w:tabs>
          <w:tab w:leader="none" w:pos="1916" w:val="left"/>
        </w:tabs>
        <w:numPr>
          <w:ilvl w:val="0"/>
          <w:numId w:val="8"/>
        </w:numPr>
        <w:rPr>
          <w:rFonts w:ascii="Arial" w:cs="Arial" w:eastAsia="Arial" w:hAnsi="Arial"/>
          <w:sz w:val="34"/>
          <w:szCs w:val="34"/>
          <w:b w:val="1"/>
          <w:bCs w:val="1"/>
          <w:color w:val="auto"/>
          <w:vertAlign w:val="subscript"/>
        </w:rPr>
      </w:pPr>
      <w:r>
        <w:rPr>
          <w:rFonts w:ascii="Arial" w:cs="Arial" w:eastAsia="Arial" w:hAnsi="Arial"/>
          <w:sz w:val="17"/>
          <w:szCs w:val="17"/>
          <w:color w:val="auto"/>
        </w:rPr>
        <w:t>CITIZENSHIP OR PLACE OF ORGANIZATION United States of America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Borders>
              <w:top w:val="single" w:sz="8" w:color="auto"/>
            </w:tcBorders>
          </w:tcPr>
          <w:p>
            <w:pPr>
              <w:spacing w:after="0"/>
              <w:rPr>
                <w:sz w:val="18"/>
                <w:szCs w:val="18"/>
                <w:color w:val="auto"/>
              </w:rPr>
            </w:pPr>
          </w:p>
        </w:tc>
        <w:tc>
          <w:tcPr>
            <w:tcW w:w="1500" w:type="dxa"/>
            <w:vAlign w:val="bottom"/>
            <w:tcBorders>
              <w:top w:val="single" w:sz="8" w:color="auto"/>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5</w:t>
            </w:r>
          </w:p>
        </w:tc>
        <w:tc>
          <w:tcPr>
            <w:tcW w:w="79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82"/>
        </w:trPr>
        <w:tc>
          <w:tcPr>
            <w:tcW w:w="1800" w:type="dxa"/>
            <w:vAlign w:val="bottom"/>
          </w:tcPr>
          <w:p>
            <w:pPr>
              <w:spacing w:after="0"/>
              <w:rPr>
                <w:sz w:val="7"/>
                <w:szCs w:val="7"/>
                <w:color w:val="auto"/>
              </w:rPr>
            </w:pPr>
          </w:p>
        </w:tc>
        <w:tc>
          <w:tcPr>
            <w:tcW w:w="1500" w:type="dxa"/>
            <w:vAlign w:val="bottom"/>
            <w:tcBorders>
              <w:right w:val="single" w:sz="8" w:color="auto"/>
            </w:tcBorders>
            <w:vMerge w:val="continue"/>
          </w:tcPr>
          <w:p>
            <w:pPr>
              <w:spacing w:after="0"/>
              <w:rPr>
                <w:sz w:val="7"/>
                <w:szCs w:val="7"/>
                <w:color w:val="auto"/>
              </w:rPr>
            </w:pPr>
          </w:p>
        </w:tc>
        <w:tc>
          <w:tcPr>
            <w:tcW w:w="79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5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6</w:t>
            </w:r>
          </w:p>
        </w:tc>
        <w:tc>
          <w:tcPr>
            <w:tcW w:w="79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4"/>
        </w:trPr>
        <w:tc>
          <w:tcPr>
            <w:tcW w:w="1800" w:type="dxa"/>
            <w:vAlign w:val="bottom"/>
            <w:vMerge w:val="continue"/>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7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800" w:type="dxa"/>
            <w:vAlign w:val="bottom"/>
            <w:vMerge w:val="continue"/>
          </w:tcPr>
          <w:p>
            <w:pPr>
              <w:spacing w:after="0"/>
              <w:rPr>
                <w:sz w:val="4"/>
                <w:szCs w:val="4"/>
                <w:color w:val="auto"/>
              </w:rPr>
            </w:pPr>
          </w:p>
        </w:tc>
        <w:tc>
          <w:tcPr>
            <w:tcW w:w="1500" w:type="dxa"/>
            <w:vAlign w:val="bottom"/>
            <w:tcBorders>
              <w:right w:val="single" w:sz="8" w:color="auto"/>
            </w:tcBorders>
          </w:tcPr>
          <w:p>
            <w:pPr>
              <w:spacing w:after="0"/>
              <w:rPr>
                <w:sz w:val="4"/>
                <w:szCs w:val="4"/>
                <w:color w:val="auto"/>
              </w:rPr>
            </w:pPr>
          </w:p>
        </w:tc>
        <w:tc>
          <w:tcPr>
            <w:tcW w:w="7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00" w:type="dxa"/>
            <w:vAlign w:val="bottom"/>
          </w:tcPr>
          <w:p>
            <w:pPr>
              <w:jc w:val="center"/>
              <w:spacing w:after="0"/>
              <w:rPr>
                <w:sz w:val="20"/>
                <w:szCs w:val="20"/>
                <w:color w:val="auto"/>
              </w:rPr>
            </w:pPr>
            <w:r>
              <w:rPr>
                <w:rFonts w:ascii="Arial" w:cs="Arial" w:eastAsia="Arial" w:hAnsi="Arial"/>
                <w:sz w:val="18"/>
                <w:szCs w:val="18"/>
                <w:color w:val="auto"/>
                <w:w w:val="94"/>
              </w:rPr>
              <w:t>SHARES</w:t>
            </w:r>
          </w:p>
        </w:tc>
        <w:tc>
          <w:tcPr>
            <w:tcW w:w="1500" w:type="dxa"/>
            <w:vAlign w:val="bottom"/>
            <w:tcBorders>
              <w:right w:val="single" w:sz="8" w:color="auto"/>
            </w:tcBorders>
          </w:tcPr>
          <w:p>
            <w:pPr>
              <w:spacing w:after="0"/>
              <w:rPr>
                <w:sz w:val="18"/>
                <w:szCs w:val="18"/>
                <w:color w:val="auto"/>
              </w:rPr>
            </w:pPr>
          </w:p>
        </w:tc>
        <w:tc>
          <w:tcPr>
            <w:tcW w:w="7940" w:type="dxa"/>
            <w:vAlign w:val="bottom"/>
            <w:vMerge w:val="restart"/>
          </w:tcPr>
          <w:p>
            <w:pPr>
              <w:ind w:left="100"/>
              <w:spacing w:after="0"/>
              <w:rPr>
                <w:sz w:val="20"/>
                <w:szCs w:val="20"/>
                <w:color w:val="auto"/>
              </w:rPr>
            </w:pPr>
            <w:r>
              <w:rPr>
                <w:rFonts w:ascii="Arial" w:cs="Arial" w:eastAsia="Arial" w:hAnsi="Arial"/>
                <w:sz w:val="18"/>
                <w:szCs w:val="18"/>
                <w:color w:val="auto"/>
              </w:rPr>
              <w:t>872,308 shares of Common Stock</w:t>
            </w:r>
          </w:p>
        </w:tc>
        <w:tc>
          <w:tcPr>
            <w:tcW w:w="0" w:type="dxa"/>
            <w:vAlign w:val="bottom"/>
          </w:tcPr>
          <w:p>
            <w:pPr>
              <w:spacing w:after="0"/>
              <w:rPr>
                <w:sz w:val="1"/>
                <w:szCs w:val="1"/>
                <w:color w:val="auto"/>
              </w:rPr>
            </w:pPr>
          </w:p>
        </w:tc>
      </w:tr>
      <w:tr>
        <w:trPr>
          <w:trHeight w:val="95"/>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150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0" w:type="dxa"/>
            <w:vAlign w:val="bottom"/>
            <w:vMerge w:val="continue"/>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1500" w:type="dxa"/>
            <w:vAlign w:val="bottom"/>
            <w:tcBorders>
              <w:bottom w:val="single" w:sz="8" w:color="auto"/>
              <w:right w:val="single" w:sz="8" w:color="auto"/>
            </w:tcBorders>
          </w:tcPr>
          <w:p>
            <w:pPr>
              <w:spacing w:after="0"/>
              <w:rPr>
                <w:sz w:val="8"/>
                <w:szCs w:val="8"/>
                <w:color w:val="auto"/>
              </w:rPr>
            </w:pPr>
          </w:p>
        </w:tc>
        <w:tc>
          <w:tcPr>
            <w:tcW w:w="7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7</w:t>
            </w:r>
          </w:p>
        </w:tc>
        <w:tc>
          <w:tcPr>
            <w:tcW w:w="7940" w:type="dxa"/>
            <w:vAlign w:val="bottom"/>
            <w:vMerge w:val="restart"/>
          </w:tcPr>
          <w:p>
            <w:pPr>
              <w:ind w:left="100"/>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150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0" w:type="dxa"/>
            <w:vAlign w:val="bottom"/>
            <w:vMerge w:val="continue"/>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restart"/>
          </w:tcPr>
          <w:p>
            <w:pPr>
              <w:ind w:left="4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500" w:type="dxa"/>
            <w:vAlign w:val="bottom"/>
            <w:tcBorders>
              <w:right w:val="single" w:sz="8" w:color="auto"/>
            </w:tcBorders>
          </w:tcPr>
          <w:p>
            <w:pPr>
              <w:spacing w:after="0"/>
              <w:rPr>
                <w:sz w:val="9"/>
                <w:szCs w:val="9"/>
                <w:color w:val="auto"/>
              </w:rPr>
            </w:pPr>
          </w:p>
        </w:tc>
        <w:tc>
          <w:tcPr>
            <w:tcW w:w="7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800" w:type="dxa"/>
            <w:vAlign w:val="bottom"/>
            <w:vMerge w:val="continue"/>
          </w:tcPr>
          <w:p>
            <w:pPr>
              <w:spacing w:after="0"/>
              <w:rPr>
                <w:sz w:val="9"/>
                <w:szCs w:val="9"/>
                <w:color w:val="auto"/>
              </w:rPr>
            </w:pPr>
          </w:p>
        </w:tc>
        <w:tc>
          <w:tcPr>
            <w:tcW w:w="1500" w:type="dxa"/>
            <w:vAlign w:val="bottom"/>
            <w:tcBorders>
              <w:right w:val="single" w:sz="8" w:color="auto"/>
            </w:tcBorders>
          </w:tcPr>
          <w:p>
            <w:pPr>
              <w:spacing w:after="0"/>
              <w:rPr>
                <w:sz w:val="9"/>
                <w:szCs w:val="9"/>
                <w:color w:val="auto"/>
              </w:rPr>
            </w:pPr>
          </w:p>
        </w:tc>
        <w:tc>
          <w:tcPr>
            <w:tcW w:w="7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800" w:type="dxa"/>
            <w:vAlign w:val="bottom"/>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500" w:type="dxa"/>
            <w:vAlign w:val="bottom"/>
            <w:tcBorders>
              <w:bottom w:val="single" w:sz="8" w:color="auto"/>
              <w:right w:val="single" w:sz="8" w:color="auto"/>
            </w:tcBorders>
          </w:tcPr>
          <w:p>
            <w:pPr>
              <w:spacing w:after="0"/>
              <w:rPr>
                <w:sz w:val="9"/>
                <w:szCs w:val="9"/>
                <w:color w:val="auto"/>
              </w:rPr>
            </w:pPr>
          </w:p>
        </w:tc>
        <w:tc>
          <w:tcPr>
            <w:tcW w:w="7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right"/>
              <w:ind w:right="610"/>
              <w:spacing w:after="0"/>
              <w:rPr>
                <w:sz w:val="20"/>
                <w:szCs w:val="20"/>
                <w:color w:val="auto"/>
              </w:rPr>
            </w:pPr>
            <w:r>
              <w:rPr>
                <w:rFonts w:ascii="Arial" w:cs="Arial" w:eastAsia="Arial" w:hAnsi="Arial"/>
                <w:sz w:val="18"/>
                <w:szCs w:val="18"/>
                <w:b w:val="1"/>
                <w:bCs w:val="1"/>
                <w:color w:val="auto"/>
              </w:rPr>
              <w:t>8</w:t>
            </w:r>
          </w:p>
        </w:tc>
        <w:tc>
          <w:tcPr>
            <w:tcW w:w="79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7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18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7940" w:type="dxa"/>
            <w:vAlign w:val="bottom"/>
          </w:tcPr>
          <w:p>
            <w:pPr>
              <w:ind w:left="100"/>
              <w:spacing w:after="0"/>
              <w:rPr>
                <w:sz w:val="20"/>
                <w:szCs w:val="20"/>
                <w:color w:val="auto"/>
              </w:rPr>
            </w:pPr>
            <w:r>
              <w:rPr>
                <w:rFonts w:ascii="Arial" w:cs="Arial" w:eastAsia="Arial" w:hAnsi="Arial"/>
                <w:sz w:val="18"/>
                <w:szCs w:val="18"/>
                <w:color w:val="auto"/>
              </w:rPr>
              <w:t>872,308 shares of Common Stock</w:t>
            </w: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1920" w:right="2760" w:hanging="1052"/>
        <w:spacing w:after="0" w:line="271" w:lineRule="auto"/>
        <w:tabs>
          <w:tab w:leader="none" w:pos="1920" w:val="left"/>
        </w:tabs>
        <w:numPr>
          <w:ilvl w:val="0"/>
          <w:numId w:val="9"/>
        </w:numPr>
        <w:rPr>
          <w:rFonts w:ascii="Arial" w:cs="Arial" w:eastAsia="Arial" w:hAnsi="Arial"/>
          <w:sz w:val="36"/>
          <w:szCs w:val="36"/>
          <w:b w:val="1"/>
          <w:bCs w:val="1"/>
          <w:color w:val="auto"/>
          <w:vertAlign w:val="subscript"/>
        </w:rPr>
      </w:pPr>
      <w:r>
        <w:rPr>
          <w:rFonts w:ascii="Arial" w:cs="Arial" w:eastAsia="Arial" w:hAnsi="Arial"/>
          <w:sz w:val="18"/>
          <w:szCs w:val="18"/>
          <w:color w:val="auto"/>
        </w:rPr>
        <w:t>AGGREGATE AMOUNT BENEFICIALLY OWNED BY EACH REPORTING PERSON 872,308 shares of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460" w:type="dxa"/>
            <w:vAlign w:val="bottom"/>
          </w:tcPr>
          <w:p>
            <w:pPr>
              <w:jc w:val="right"/>
              <w:ind w:right="370"/>
              <w:spacing w:after="0"/>
              <w:rPr>
                <w:sz w:val="20"/>
                <w:szCs w:val="20"/>
                <w:color w:val="auto"/>
              </w:rPr>
            </w:pPr>
            <w:r>
              <w:rPr>
                <w:rFonts w:ascii="Arial" w:cs="Arial" w:eastAsia="Arial" w:hAnsi="Arial"/>
                <w:sz w:val="18"/>
                <w:szCs w:val="18"/>
                <w:b w:val="1"/>
                <w:bCs w:val="1"/>
                <w:color w:val="auto"/>
              </w:rPr>
              <w:t>10</w:t>
            </w:r>
          </w:p>
        </w:tc>
        <w:tc>
          <w:tcPr>
            <w:tcW w:w="8080" w:type="dxa"/>
            <w:vAlign w:val="bottom"/>
          </w:tcPr>
          <w:p>
            <w:pPr>
              <w:ind w:left="4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7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4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11</w:t>
            </w:r>
          </w:p>
        </w:tc>
        <w:tc>
          <w:tcPr>
            <w:tcW w:w="8080" w:type="dxa"/>
            <w:vAlign w:val="bottom"/>
          </w:tcPr>
          <w:p>
            <w:pPr>
              <w:ind w:left="460"/>
              <w:spacing w:after="0" w:line="195" w:lineRule="exact"/>
              <w:rPr>
                <w:sz w:val="20"/>
                <w:szCs w:val="20"/>
                <w:color w:val="auto"/>
              </w:rPr>
            </w:pPr>
            <w:r>
              <w:rPr>
                <w:rFonts w:ascii="Arial" w:cs="Arial" w:eastAsia="Arial" w:hAnsi="Arial"/>
                <w:sz w:val="18"/>
                <w:szCs w:val="18"/>
                <w:color w:val="auto"/>
              </w:rPr>
              <w:t>PERCENT OF CLASS REPRESENTED BY AMOUNT IN ROW (9)</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8080" w:type="dxa"/>
            <w:vAlign w:val="bottom"/>
            <w:vMerge w:val="restart"/>
          </w:tcPr>
          <w:p>
            <w:pPr>
              <w:ind w:left="780"/>
              <w:spacing w:after="0"/>
              <w:rPr>
                <w:sz w:val="20"/>
                <w:szCs w:val="20"/>
                <w:color w:val="auto"/>
              </w:rPr>
            </w:pPr>
            <w:r>
              <w:rPr>
                <w:rFonts w:ascii="Arial" w:cs="Arial" w:eastAsia="Arial" w:hAnsi="Arial"/>
                <w:sz w:val="18"/>
                <w:szCs w:val="18"/>
                <w:color w:val="auto"/>
              </w:rPr>
              <w:t>1.88%</w:t>
            </w: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808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12</w:t>
            </w:r>
          </w:p>
        </w:tc>
        <w:tc>
          <w:tcPr>
            <w:tcW w:w="8080" w:type="dxa"/>
            <w:vAlign w:val="bottom"/>
          </w:tcPr>
          <w:p>
            <w:pPr>
              <w:ind w:left="460"/>
              <w:spacing w:after="0" w:line="195" w:lineRule="exact"/>
              <w:rPr>
                <w:sz w:val="20"/>
                <w:szCs w:val="20"/>
                <w:color w:val="auto"/>
              </w:rPr>
            </w:pPr>
            <w:r>
              <w:rPr>
                <w:rFonts w:ascii="Arial" w:cs="Arial" w:eastAsia="Arial" w:hAnsi="Arial"/>
                <w:sz w:val="18"/>
                <w:szCs w:val="18"/>
                <w:color w:val="auto"/>
              </w:rPr>
              <w:t>TYPE OF REPORTING PERSON</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8080" w:type="dxa"/>
            <w:vAlign w:val="bottom"/>
            <w:vMerge w:val="restart"/>
          </w:tcPr>
          <w:p>
            <w:pPr>
              <w:ind w:left="780"/>
              <w:spacing w:after="0"/>
              <w:rPr>
                <w:sz w:val="20"/>
                <w:szCs w:val="20"/>
                <w:color w:val="auto"/>
              </w:rPr>
            </w:pPr>
            <w:r>
              <w:rPr>
                <w:rFonts w:ascii="Arial" w:cs="Arial" w:eastAsia="Arial" w:hAnsi="Arial"/>
                <w:sz w:val="18"/>
                <w:szCs w:val="18"/>
                <w:color w:val="auto"/>
              </w:rPr>
              <w:t>IN</w:t>
            </w: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808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7"/>
        </w:trPr>
        <w:tc>
          <w:tcPr>
            <w:tcW w:w="146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380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13G/A</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4 of 7 Pages</w:t>
            </w:r>
          </w:p>
        </w:tc>
      </w:tr>
      <w:tr>
        <w:trPr>
          <w:trHeight w:val="216"/>
        </w:trPr>
        <w:tc>
          <w:tcPr>
            <w:tcW w:w="1220" w:type="dxa"/>
            <w:vAlign w:val="bottom"/>
            <w:tcBorders>
              <w:left w:val="single" w:sz="8" w:color="auto"/>
              <w:bottom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426"/>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2520" w:type="dxa"/>
            <w:vAlign w:val="bottom"/>
          </w:tcPr>
          <w:p>
            <w:pPr>
              <w:ind w:left="480"/>
              <w:spacing w:after="0"/>
              <w:rPr>
                <w:sz w:val="20"/>
                <w:szCs w:val="20"/>
                <w:color w:val="auto"/>
              </w:rPr>
            </w:pPr>
            <w:r>
              <w:rPr>
                <w:rFonts w:ascii="Arial" w:cs="Arial" w:eastAsia="Arial" w:hAnsi="Arial"/>
                <w:sz w:val="18"/>
                <w:szCs w:val="18"/>
                <w:b w:val="1"/>
                <w:bCs w:val="1"/>
                <w:color w:val="auto"/>
              </w:rPr>
              <w:t>NAME OF ISSUER:</w:t>
            </w:r>
          </w:p>
        </w:tc>
        <w:tc>
          <w:tcPr>
            <w:tcW w:w="3800" w:type="dxa"/>
            <w:vAlign w:val="bottom"/>
          </w:tcPr>
          <w:p>
            <w:pPr>
              <w:spacing w:after="0"/>
              <w:rPr>
                <w:sz w:val="24"/>
                <w:szCs w:val="24"/>
                <w:color w:val="auto"/>
              </w:rPr>
            </w:pPr>
          </w:p>
        </w:tc>
        <w:tc>
          <w:tcPr>
            <w:tcW w:w="3700" w:type="dxa"/>
            <w:vAlign w:val="bottom"/>
          </w:tcPr>
          <w:p>
            <w:pPr>
              <w:spacing w:after="0"/>
              <w:rPr>
                <w:sz w:val="24"/>
                <w:szCs w:val="24"/>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name of the issuer is MagnaChip Semiconductor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ADDRESS OF ISSUER'S PRINCIPAL EXECUTIVE OFFICES:</w:t>
      </w:r>
    </w:p>
    <w:p>
      <w:pPr>
        <w:spacing w:after="0" w:line="256" w:lineRule="exact"/>
        <w:rPr>
          <w:sz w:val="20"/>
          <w:szCs w:val="20"/>
          <w:color w:val="auto"/>
        </w:rPr>
      </w:pPr>
    </w:p>
    <w:p>
      <w:pPr>
        <w:ind w:left="1700" w:right="1100"/>
        <w:spacing w:after="0" w:line="277" w:lineRule="auto"/>
        <w:rPr>
          <w:sz w:val="20"/>
          <w:szCs w:val="20"/>
          <w:color w:val="auto"/>
        </w:rPr>
      </w:pPr>
      <w:r>
        <w:rPr>
          <w:rFonts w:ascii="Arial" w:cs="Arial" w:eastAsia="Arial" w:hAnsi="Arial"/>
          <w:sz w:val="18"/>
          <w:szCs w:val="18"/>
          <w:color w:val="auto"/>
        </w:rPr>
        <w:t>The Issuer's principal executive offices are located at c/o MagnaChip Semiconductor S.A., 1, Allée Scheffer, L-2520, Luxembourg, Grand Duchy of Luxembourg.</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8"/>
          <w:szCs w:val="18"/>
          <w:b w:val="1"/>
          <w:bCs w:val="1"/>
          <w:color w:val="auto"/>
        </w:rPr>
        <w:t>NAME OF PERSON FILING:</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This statement is filed by:</w:t>
      </w:r>
    </w:p>
    <w:p>
      <w:pPr>
        <w:spacing w:after="0" w:line="225" w:lineRule="exact"/>
        <w:rPr>
          <w:sz w:val="20"/>
          <w:szCs w:val="20"/>
          <w:color w:val="auto"/>
        </w:rPr>
      </w:pPr>
    </w:p>
    <w:p>
      <w:pPr>
        <w:ind w:left="2500" w:right="200" w:hanging="805"/>
        <w:spacing w:after="0" w:line="263" w:lineRule="auto"/>
        <w:tabs>
          <w:tab w:leader="none" w:pos="2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Rubric Capital Management LP ("</w:t>
      </w:r>
      <w:r>
        <w:rPr>
          <w:rFonts w:ascii="Arial" w:cs="Arial" w:eastAsia="Arial" w:hAnsi="Arial"/>
          <w:sz w:val="18"/>
          <w:szCs w:val="18"/>
          <w:u w:val="single" w:color="auto"/>
          <w:color w:val="auto"/>
        </w:rPr>
        <w:t>Rubric Capital</w:t>
      </w:r>
      <w:r>
        <w:rPr>
          <w:rFonts w:ascii="Arial" w:cs="Arial" w:eastAsia="Arial" w:hAnsi="Arial"/>
          <w:sz w:val="18"/>
          <w:szCs w:val="18"/>
          <w:color w:val="auto"/>
        </w:rPr>
        <w:t>"), the investment adviser to certain investment funds and/or accounts (collectively, the "</w:t>
      </w:r>
      <w:r>
        <w:rPr>
          <w:rFonts w:ascii="Arial" w:cs="Arial" w:eastAsia="Arial" w:hAnsi="Arial"/>
          <w:sz w:val="18"/>
          <w:szCs w:val="18"/>
          <w:u w:val="single" w:color="auto"/>
          <w:color w:val="auto"/>
        </w:rPr>
        <w:t>Rubric Funds</w:t>
      </w:r>
      <w:r>
        <w:rPr>
          <w:rFonts w:ascii="Arial" w:cs="Arial" w:eastAsia="Arial" w:hAnsi="Arial"/>
          <w:sz w:val="18"/>
          <w:szCs w:val="18"/>
          <w:color w:val="auto"/>
        </w:rPr>
        <w:t>") that hold the shares of Common Stock (as defined in Item 2(d) below) reported herein; and</w:t>
      </w:r>
    </w:p>
    <w:p>
      <w:pPr>
        <w:spacing w:after="0" w:line="183" w:lineRule="exact"/>
        <w:rPr>
          <w:rFonts w:ascii="Arial" w:cs="Arial" w:eastAsia="Arial" w:hAnsi="Arial"/>
          <w:sz w:val="18"/>
          <w:szCs w:val="18"/>
          <w:color w:val="auto"/>
        </w:rPr>
      </w:pPr>
    </w:p>
    <w:p>
      <w:pPr>
        <w:ind w:left="2500" w:right="180" w:hanging="805"/>
        <w:spacing w:after="0" w:line="277" w:lineRule="auto"/>
        <w:tabs>
          <w:tab w:leader="none" w:pos="2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David Rosen ("</w:t>
      </w:r>
      <w:r>
        <w:rPr>
          <w:rFonts w:ascii="Arial" w:cs="Arial" w:eastAsia="Arial" w:hAnsi="Arial"/>
          <w:sz w:val="18"/>
          <w:szCs w:val="18"/>
          <w:u w:val="single" w:color="auto"/>
          <w:color w:val="auto"/>
        </w:rPr>
        <w:t>Mr. Rosen</w:t>
      </w:r>
      <w:r>
        <w:rPr>
          <w:rFonts w:ascii="Arial" w:cs="Arial" w:eastAsia="Arial" w:hAnsi="Arial"/>
          <w:sz w:val="18"/>
          <w:szCs w:val="18"/>
          <w:color w:val="auto"/>
        </w:rPr>
        <w:t>"), Managing Member of Rubric Capital Management GP LLC, the general partner of Rubric Capital.</w:t>
      </w:r>
    </w:p>
    <w:p>
      <w:pPr>
        <w:spacing w:after="0" w:line="17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foregoing persons are hereinafter sometimes collectively referred to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700" w:right="300"/>
        <w:spacing w:after="0" w:line="277" w:lineRule="auto"/>
        <w:rPr>
          <w:sz w:val="20"/>
          <w:szCs w:val="20"/>
          <w:color w:val="auto"/>
        </w:rPr>
      </w:pPr>
      <w:r>
        <w:rPr>
          <w:rFonts w:ascii="Arial" w:cs="Arial" w:eastAsia="Arial" w:hAnsi="Arial"/>
          <w:sz w:val="18"/>
          <w:szCs w:val="18"/>
          <w:color w:val="auto"/>
        </w:rPr>
        <w:t>The filing of this statement should not be construed as an admission that any of the forgoing persons or any Reporting Person is, for the purposes of Section 13 of the Act, the beneficial owner of the Shares reported herein.</w:t>
      </w:r>
    </w:p>
    <w:p>
      <w:pPr>
        <w:spacing w:after="0" w:line="166" w:lineRule="exact"/>
        <w:rPr>
          <w:sz w:val="20"/>
          <w:szCs w:val="20"/>
          <w:color w:val="auto"/>
        </w:rPr>
      </w:pPr>
    </w:p>
    <w:p>
      <w:pPr>
        <w:ind w:left="100"/>
        <w:spacing w:after="0"/>
        <w:tabs>
          <w:tab w:leader="none" w:pos="16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7"/>
          <w:szCs w:val="17"/>
          <w:b w:val="1"/>
          <w:bCs w:val="1"/>
          <w:color w:val="auto"/>
        </w:rPr>
        <w:t>ADDRESS OF PRINCIPAL BUSINESS OFFICE OR, IF NONE, RESIDENCE:</w:t>
      </w:r>
    </w:p>
    <w:p>
      <w:pPr>
        <w:spacing w:after="0" w:line="229" w:lineRule="exact"/>
        <w:rPr>
          <w:sz w:val="20"/>
          <w:szCs w:val="20"/>
          <w:color w:val="auto"/>
        </w:rPr>
      </w:pPr>
    </w:p>
    <w:p>
      <w:pPr>
        <w:ind w:left="1700" w:right="580"/>
        <w:spacing w:after="0" w:line="277" w:lineRule="auto"/>
        <w:rPr>
          <w:sz w:val="20"/>
          <w:szCs w:val="20"/>
          <w:color w:val="auto"/>
        </w:rPr>
      </w:pPr>
      <w:r>
        <w:rPr>
          <w:rFonts w:ascii="Arial" w:cs="Arial" w:eastAsia="Arial" w:hAnsi="Arial"/>
          <w:sz w:val="18"/>
          <w:szCs w:val="18"/>
          <w:color w:val="auto"/>
        </w:rPr>
        <w:t>The address of the principal business office of each of the Reporting Persons is 155 East 44th St, Suite 1630, New York, NY 10017.</w:t>
      </w:r>
    </w:p>
    <w:p>
      <w:pPr>
        <w:spacing w:after="0" w:line="16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8"/>
          <w:szCs w:val="18"/>
          <w:b w:val="1"/>
          <w:bCs w:val="1"/>
          <w:color w:val="auto"/>
        </w:rPr>
        <w:t>CITIZENSHIP:</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Rubric Capital is a Delaware limited partnership. Mr. Rosen is a citizen of the United States of America.</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Common stock, $0.01 par value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55933J203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 w:name="page5"/>
    <w:bookmarkEnd w:id="4"/>
    <w:p>
      <w:pPr>
        <w:ind w:left="20"/>
        <w:spacing w:after="0"/>
        <w:tabs>
          <w:tab w:leader="none" w:pos="5260" w:val="left"/>
          <w:tab w:leader="none" w:pos="7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57120" cy="3429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6010" cy="34290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140"/>
          </w:cols>
          <w:pgMar w:left="4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0" w:hanging="1686"/>
        <w:spacing w:after="0" w:line="282" w:lineRule="auto"/>
        <w:tabs>
          <w:tab w:leader="none" w:pos="15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 A:</w:t>
      </w:r>
    </w:p>
    <w:p>
      <w:pPr>
        <w:spacing w:after="0" w:line="133" w:lineRule="exact"/>
        <w:rPr>
          <w:sz w:val="20"/>
          <w:szCs w:val="20"/>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2840" w:right="620" w:hanging="1245"/>
        <w:spacing w:after="0" w:line="239" w:lineRule="exact"/>
        <w:tabs>
          <w:tab w:leader="none" w:pos="2427"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2420" w:hanging="825"/>
        <w:spacing w:after="0" w:line="207" w:lineRule="exact"/>
        <w:tabs>
          <w:tab w:leader="none" w:pos="2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0" w:lineRule="exact"/>
        <w:rPr>
          <w:sz w:val="20"/>
          <w:szCs w:val="20"/>
          <w:color w:val="auto"/>
        </w:rPr>
      </w:pPr>
    </w:p>
    <w:p>
      <w:pPr>
        <w:spacing w:after="0" w:line="274" w:lineRule="exact"/>
        <w:rPr>
          <w:sz w:val="20"/>
          <w:szCs w:val="20"/>
          <w:color w:val="auto"/>
        </w:rPr>
      </w:pPr>
    </w:p>
    <w:p>
      <w:pPr>
        <w:ind w:left="1600" w:right="2200"/>
        <w:spacing w:after="0" w:line="277" w:lineRule="auto"/>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_____________________</w:t>
      </w:r>
    </w:p>
    <w:p>
      <w:pPr>
        <w:spacing w:after="0" w:line="166"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r>
        <w:rPr>
          <w:rFonts w:ascii="Arial" w:cs="Arial" w:eastAsia="Arial" w:hAnsi="Arial"/>
          <w:sz w:val="17"/>
          <w:szCs w:val="17"/>
          <w:color w:val="auto"/>
        </w:rPr>
        <w:t>.</w:t>
      </w:r>
    </w:p>
    <w:p>
      <w:pPr>
        <w:spacing w:after="0" w:line="229" w:lineRule="exact"/>
        <w:rPr>
          <w:sz w:val="20"/>
          <w:szCs w:val="20"/>
          <w:color w:val="auto"/>
        </w:rPr>
      </w:pPr>
    </w:p>
    <w:p>
      <w:pPr>
        <w:ind w:left="1600" w:right="260"/>
        <w:spacing w:after="0" w:line="277" w:lineRule="auto"/>
        <w:rPr>
          <w:sz w:val="20"/>
          <w:szCs w:val="20"/>
          <w:color w:val="auto"/>
        </w:rPr>
      </w:pPr>
      <w:r>
        <w:rPr>
          <w:rFonts w:ascii="Arial" w:cs="Arial" w:eastAsia="Arial" w:hAnsi="Arial"/>
          <w:sz w:val="18"/>
          <w:szCs w:val="18"/>
          <w:color w:val="auto"/>
        </w:rPr>
        <w:t>The information required by Items 4(a) - (c) is set forth in Rows 5 - 11 of the cover page for each of the Reporting Persons and is incorporated herein by reference.</w:t>
      </w:r>
    </w:p>
    <w:p>
      <w:pPr>
        <w:spacing w:after="0" w:line="170" w:lineRule="exact"/>
        <w:rPr>
          <w:sz w:val="20"/>
          <w:szCs w:val="20"/>
          <w:color w:val="auto"/>
        </w:rPr>
      </w:pPr>
    </w:p>
    <w:p>
      <w:pPr>
        <w:ind w:left="1600" w:right="100"/>
        <w:spacing w:after="0" w:line="286" w:lineRule="auto"/>
        <w:rPr>
          <w:sz w:val="20"/>
          <w:szCs w:val="20"/>
          <w:color w:val="auto"/>
        </w:rPr>
      </w:pPr>
      <w:r>
        <w:rPr>
          <w:rFonts w:ascii="Arial" w:cs="Arial" w:eastAsia="Arial" w:hAnsi="Arial"/>
          <w:sz w:val="17"/>
          <w:szCs w:val="17"/>
          <w:color w:val="auto"/>
        </w:rPr>
        <w:t>The percentage set forth in Row (11) of the cover page for each of the Reporting Persons is based on the 46,464,889 shares of Common Stock outstanding as of October 29, 2021, as reported in the Company's Quarterly Report on Form 10-Q for the quarterly period ended September 30, 2021 filed with the Securities and Exchange Commission on November 5, 2021.</w:t>
      </w:r>
    </w:p>
    <w:p>
      <w:pPr>
        <w:spacing w:after="0" w:line="16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ind w:left="1600" w:right="3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See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426085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769" w:right="339" w:bottom="1440" w:gutter="0" w:footer="0" w:header="0"/>
          <w:type w:val="continuous"/>
        </w:sectPr>
      </w:pPr>
    </w:p>
    <w:bookmarkStart w:id="5" w:name="page6"/>
    <w:bookmarkEnd w:id="5"/>
    <w:p>
      <w:pPr>
        <w:ind w:left="20"/>
        <w:spacing w:after="0"/>
        <w:tabs>
          <w:tab w:leader="none" w:pos="5260" w:val="left"/>
          <w:tab w:leader="none" w:pos="7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448945</wp:posOffset>
            </wp:positionV>
            <wp:extent cx="235712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57120" cy="3429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36601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66010" cy="342900"/>
                    </a:xfrm>
                    <a:prstGeom prst="rect">
                      <a:avLst/>
                    </a:prstGeom>
                    <a:noFill/>
                  </pic:spPr>
                </pic:pic>
              </a:graphicData>
            </a:graphic>
          </wp:anchor>
        </w:drawing>
        <w:t>CUSIP No. 55933J203</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140"/>
          </w:cols>
          <w:pgMar w:left="4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0" w:hanging="1589"/>
        <w:spacing w:after="0" w:line="282" w:lineRule="auto"/>
        <w:tabs>
          <w:tab w:leader="none" w:pos="15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Each of the Reporting Persons hereby makes the following certification:</w:t>
      </w:r>
    </w:p>
    <w:p>
      <w:pPr>
        <w:spacing w:after="0" w:line="225" w:lineRule="exact"/>
        <w:rPr>
          <w:sz w:val="20"/>
          <w:szCs w:val="20"/>
          <w:color w:val="auto"/>
        </w:rPr>
      </w:pPr>
    </w:p>
    <w:p>
      <w:pPr>
        <w:ind w:left="1600" w:right="240"/>
        <w:spacing w:after="0" w:line="259" w:lineRule="auto"/>
        <w:rPr>
          <w:sz w:val="20"/>
          <w:szCs w:val="20"/>
          <w:color w:val="auto"/>
        </w:rPr>
      </w:pPr>
      <w:r>
        <w:rPr>
          <w:rFonts w:ascii="Arial" w:cs="Arial" w:eastAsia="Arial" w:hAnsi="Arial"/>
          <w:sz w:val="18"/>
          <w:szCs w:val="18"/>
          <w:color w:val="auto"/>
        </w:rPr>
        <w:t>By signing below the Reporting Person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401955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420" w:top="769" w:right="3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311"/>
        </w:trPr>
        <w:tc>
          <w:tcPr>
            <w:tcW w:w="37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55933J203</w:t>
            </w:r>
          </w:p>
        </w:tc>
        <w:tc>
          <w:tcPr>
            <w:tcW w:w="380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13G/A</w:t>
            </w:r>
          </w:p>
        </w:tc>
        <w:tc>
          <w:tcPr>
            <w:tcW w:w="37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Page 7 of 7 Pages</w:t>
            </w:r>
          </w:p>
        </w:tc>
      </w:tr>
      <w:tr>
        <w:trPr>
          <w:trHeight w:val="216"/>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38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our knowledge and belief, each of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RUBRIC CAPITAL MANAGEMENT LP</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Pr>
          <w:p>
            <w:pPr>
              <w:spacing w:after="0"/>
              <w:rPr>
                <w:sz w:val="17"/>
                <w:szCs w:val="17"/>
                <w:color w:val="auto"/>
              </w:rPr>
            </w:pPr>
          </w:p>
        </w:tc>
        <w:tc>
          <w:tcPr>
            <w:tcW w:w="1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/s/ Michael Nachmani</w:t>
            </w:r>
          </w:p>
        </w:tc>
      </w:tr>
      <w:tr>
        <w:trPr>
          <w:trHeight w:val="222"/>
        </w:trPr>
        <w:tc>
          <w:tcPr>
            <w:tcW w:w="2480" w:type="dxa"/>
            <w:vAlign w:val="bottom"/>
            <w:gridSpan w:val="3"/>
          </w:tcPr>
          <w:p>
            <w:pPr>
              <w:spacing w:after="0"/>
              <w:rPr>
                <w:sz w:val="20"/>
                <w:szCs w:val="20"/>
                <w:color w:val="auto"/>
              </w:rPr>
            </w:pPr>
            <w:r>
              <w:rPr>
                <w:rFonts w:ascii="Arial" w:cs="Arial" w:eastAsia="Arial" w:hAnsi="Arial"/>
                <w:sz w:val="18"/>
                <w:szCs w:val="18"/>
                <w:color w:val="auto"/>
              </w:rPr>
              <w:t>Name: Michael Nachmani</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000" w:type="dxa"/>
            <w:vAlign w:val="bottom"/>
            <w:gridSpan w:val="2"/>
          </w:tcPr>
          <w:p>
            <w:pPr>
              <w:jc w:val="center"/>
              <w:spacing w:after="0"/>
              <w:rPr>
                <w:sz w:val="20"/>
                <w:szCs w:val="20"/>
                <w:color w:val="auto"/>
              </w:rPr>
            </w:pPr>
            <w:r>
              <w:rPr>
                <w:rFonts w:ascii="Arial" w:cs="Arial" w:eastAsia="Arial" w:hAnsi="Arial"/>
                <w:sz w:val="18"/>
                <w:szCs w:val="18"/>
                <w:color w:val="auto"/>
                <w:w w:val="93"/>
              </w:rPr>
              <w:t>Chief Operating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724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724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4"/>
      <w:numFmt w:val="bullet"/>
      <w:start w:val="1"/>
    </w:lvl>
  </w:abstractNum>
  <w:abstractNum w:abstractNumId="8">
    <w:nsid w:val="4DB127F8"/>
    <w:multiLevelType w:val="hybridMultilevel"/>
    <w:lvl w:ilvl="0">
      <w:lvlJc w:val="left"/>
      <w:lvlText w:val="9"/>
      <w:numFmt w:val="bullet"/>
      <w:start w:val="1"/>
    </w:lvl>
  </w:abstractNum>
  <w:abstractNum w:abstractNumId="9">
    <w:nsid w:val="216231B"/>
    <w:multiLevelType w:val="hybridMultilevel"/>
    <w:lvl w:ilvl="0">
      <w:lvlJc w:val="left"/>
      <w:lvlText w:val="(%1)"/>
      <w:numFmt w:val="lowerRoman"/>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2022-02-14T08:31:49Z</dcterms:created>
  <dcterms:modified xsi:type="dcterms:W3CDTF">2022-02-14T08:31:49Z</dcterms:modified>
</cp:coreProperties>
</file>