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22,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2520"/>
        <w:spacing w:after="0"/>
        <w:tabs>
          <w:tab w:leader="none" w:pos="82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83-0406195</w:t>
      </w:r>
    </w:p>
    <w:p>
      <w:pPr>
        <w:spacing w:after="0" w:line="8" w:lineRule="exact"/>
        <w:rPr>
          <w:sz w:val="24"/>
          <w:szCs w:val="24"/>
          <w:color w:val="auto"/>
        </w:rPr>
      </w:pPr>
    </w:p>
    <w:p>
      <w:pPr>
        <w:ind w:left="2000"/>
        <w:spacing w:after="0"/>
        <w:tabs>
          <w:tab w:leader="none" w:pos="81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960"/>
        <w:spacing w:after="0"/>
        <w:tabs>
          <w:tab w:leader="none" w:pos="80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2011 EQUITY INCENTIVE PLAN (as amended, the “2011 Plan”)</w:t>
      </w:r>
    </w:p>
    <w:p>
      <w:pPr>
        <w:spacing w:after="0" w:line="21" w:lineRule="exact"/>
        <w:rPr>
          <w:sz w:val="24"/>
          <w:szCs w:val="24"/>
          <w:color w:val="auto"/>
        </w:rPr>
      </w:pPr>
    </w:p>
    <w:tbl>
      <w:tblPr>
        <w:tblLayout w:type="fixed"/>
        <w:tblInd w:w="40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380" w:type="dxa"/>
            <w:vAlign w:val="bottom"/>
          </w:tcPr>
          <w:p>
            <w:pPr>
              <w:ind w:left="620"/>
              <w:spacing w:after="0"/>
              <w:rPr>
                <w:sz w:val="20"/>
                <w:szCs w:val="20"/>
                <w:color w:val="auto"/>
              </w:rPr>
            </w:pPr>
            <w:r>
              <w:rPr>
                <w:rFonts w:ascii="Arial" w:cs="Arial" w:eastAsia="Arial" w:hAnsi="Arial"/>
                <w:sz w:val="14"/>
                <w:szCs w:val="14"/>
                <w:b w:val="1"/>
                <w:bCs w:val="1"/>
                <w:color w:val="auto"/>
              </w:rPr>
              <w:t>(Full title of plans)</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41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680" w:type="dxa"/>
            <w:vAlign w:val="bottom"/>
            <w:vMerge w:val="restart"/>
          </w:tcPr>
          <w:p>
            <w:pPr>
              <w:jc w:val="center"/>
              <w:ind w:left="672"/>
              <w:spacing w:after="0"/>
              <w:rPr>
                <w:sz w:val="20"/>
                <w:szCs w:val="20"/>
                <w:color w:val="auto"/>
              </w:rPr>
            </w:pPr>
            <w:r>
              <w:rPr>
                <w:rFonts w:ascii="Arial" w:cs="Arial" w:eastAsia="Arial" w:hAnsi="Arial"/>
                <w:sz w:val="14"/>
                <w:szCs w:val="14"/>
                <w:b w:val="1"/>
                <w:bCs w:val="1"/>
                <w:i w:val="1"/>
                <w:iCs w:val="1"/>
                <w:color w:val="auto"/>
                <w:w w:val="90"/>
              </w:rPr>
              <w:t>(Copy to:)</w:t>
            </w:r>
          </w:p>
        </w:tc>
        <w:tc>
          <w:tcPr>
            <w:tcW w:w="0" w:type="dxa"/>
            <w:vAlign w:val="bottom"/>
          </w:tcPr>
          <w:p>
            <w:pPr>
              <w:spacing w:after="0"/>
              <w:rPr>
                <w:sz w:val="1"/>
                <w:szCs w:val="1"/>
                <w:color w:val="auto"/>
              </w:rPr>
            </w:pPr>
          </w:p>
        </w:tc>
      </w:tr>
      <w:tr>
        <w:trPr>
          <w:trHeight w:val="380"/>
        </w:trPr>
        <w:tc>
          <w:tcPr>
            <w:tcW w:w="4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508"/>
              <w:spacing w:after="0"/>
              <w:rPr>
                <w:sz w:val="20"/>
                <w:szCs w:val="20"/>
                <w:color w:val="auto"/>
              </w:rPr>
            </w:pPr>
            <w:r>
              <w:rPr>
                <w:rFonts w:ascii="Arial" w:cs="Arial" w:eastAsia="Arial" w:hAnsi="Arial"/>
                <w:sz w:val="18"/>
                <w:szCs w:val="18"/>
                <w:b w:val="1"/>
                <w:bCs w:val="1"/>
                <w:color w:val="auto"/>
                <w:w w:val="92"/>
              </w:rPr>
              <w:t>Theodore S. Kim</w:t>
            </w:r>
          </w:p>
        </w:tc>
        <w:tc>
          <w:tcPr>
            <w:tcW w:w="2680" w:type="dxa"/>
            <w:vAlign w:val="bottom"/>
          </w:tcPr>
          <w:p>
            <w:pPr>
              <w:jc w:val="center"/>
              <w:ind w:left="672"/>
              <w:spacing w:after="0"/>
              <w:rPr>
                <w:sz w:val="20"/>
                <w:szCs w:val="20"/>
                <w:color w:val="auto"/>
              </w:rPr>
            </w:pPr>
            <w:r>
              <w:rPr>
                <w:rFonts w:ascii="Arial" w:cs="Arial" w:eastAsia="Arial" w:hAnsi="Arial"/>
                <w:sz w:val="18"/>
                <w:szCs w:val="18"/>
                <w:b w:val="1"/>
                <w:bCs w:val="1"/>
                <w:color w:val="auto"/>
                <w:w w:val="90"/>
              </w:rPr>
              <w:t>Micheal J. Reagan, Esq.</w:t>
            </w: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508"/>
              <w:spacing w:after="0"/>
              <w:rPr>
                <w:sz w:val="20"/>
                <w:szCs w:val="20"/>
                <w:color w:val="auto"/>
              </w:rPr>
            </w:pPr>
            <w:r>
              <w:rPr>
                <w:rFonts w:ascii="Arial" w:cs="Arial" w:eastAsia="Arial" w:hAnsi="Arial"/>
                <w:sz w:val="18"/>
                <w:szCs w:val="18"/>
                <w:b w:val="1"/>
                <w:bCs w:val="1"/>
                <w:color w:val="auto"/>
                <w:w w:val="90"/>
              </w:rPr>
              <w:t>Chief Compliance Officer, EVP, General Counsel and Secretary</w:t>
            </w:r>
          </w:p>
        </w:tc>
        <w:tc>
          <w:tcPr>
            <w:tcW w:w="2680" w:type="dxa"/>
            <w:vAlign w:val="bottom"/>
          </w:tcPr>
          <w:p>
            <w:pPr>
              <w:jc w:val="center"/>
              <w:ind w:left="692"/>
              <w:spacing w:after="0"/>
              <w:rPr>
                <w:sz w:val="20"/>
                <w:szCs w:val="20"/>
                <w:color w:val="auto"/>
              </w:rPr>
            </w:pPr>
            <w:r>
              <w:rPr>
                <w:rFonts w:ascii="Arial" w:cs="Arial" w:eastAsia="Arial" w:hAnsi="Arial"/>
                <w:sz w:val="18"/>
                <w:szCs w:val="18"/>
                <w:b w:val="1"/>
                <w:bCs w:val="1"/>
                <w:color w:val="auto"/>
                <w:w w:val="91"/>
              </w:rPr>
              <w:t>W. Stuart Ogg, Esq.</w:t>
            </w: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508"/>
              <w:spacing w:after="0"/>
              <w:rPr>
                <w:sz w:val="20"/>
                <w:szCs w:val="20"/>
                <w:color w:val="auto"/>
              </w:rPr>
            </w:pPr>
            <w:r>
              <w:rPr>
                <w:rFonts w:ascii="Arial" w:cs="Arial" w:eastAsia="Arial" w:hAnsi="Arial"/>
                <w:sz w:val="18"/>
                <w:szCs w:val="18"/>
                <w:b w:val="1"/>
                <w:bCs w:val="1"/>
                <w:color w:val="auto"/>
                <w:w w:val="90"/>
              </w:rPr>
              <w:t>c/o MagnaChip Semiconductor, Inc.</w:t>
            </w:r>
          </w:p>
        </w:tc>
        <w:tc>
          <w:tcPr>
            <w:tcW w:w="2680" w:type="dxa"/>
            <w:vAlign w:val="bottom"/>
          </w:tcPr>
          <w:p>
            <w:pPr>
              <w:jc w:val="center"/>
              <w:ind w:left="692"/>
              <w:spacing w:after="0"/>
              <w:rPr>
                <w:sz w:val="20"/>
                <w:szCs w:val="20"/>
                <w:color w:val="auto"/>
              </w:rPr>
            </w:pPr>
            <w:r>
              <w:rPr>
                <w:rFonts w:ascii="Arial" w:cs="Arial" w:eastAsia="Arial" w:hAnsi="Arial"/>
                <w:sz w:val="18"/>
                <w:szCs w:val="18"/>
                <w:b w:val="1"/>
                <w:bCs w:val="1"/>
                <w:color w:val="auto"/>
                <w:w w:val="86"/>
              </w:rPr>
              <w:t>Jones Day</w:t>
            </w: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508"/>
              <w:spacing w:after="0"/>
              <w:rPr>
                <w:sz w:val="20"/>
                <w:szCs w:val="20"/>
                <w:color w:val="auto"/>
              </w:rPr>
            </w:pPr>
            <w:r>
              <w:rPr>
                <w:rFonts w:ascii="Arial" w:cs="Arial" w:eastAsia="Arial" w:hAnsi="Arial"/>
                <w:sz w:val="18"/>
                <w:szCs w:val="18"/>
                <w:b w:val="1"/>
                <w:bCs w:val="1"/>
                <w:color w:val="auto"/>
                <w:w w:val="91"/>
              </w:rPr>
              <w:t>60 South Market Street, Suite 750</w:t>
            </w:r>
          </w:p>
        </w:tc>
        <w:tc>
          <w:tcPr>
            <w:tcW w:w="2680" w:type="dxa"/>
            <w:vAlign w:val="bottom"/>
          </w:tcPr>
          <w:p>
            <w:pPr>
              <w:jc w:val="center"/>
              <w:ind w:left="672"/>
              <w:spacing w:after="0"/>
              <w:rPr>
                <w:sz w:val="20"/>
                <w:szCs w:val="20"/>
                <w:color w:val="auto"/>
              </w:rPr>
            </w:pPr>
            <w:r>
              <w:rPr>
                <w:rFonts w:ascii="Arial" w:cs="Arial" w:eastAsia="Arial" w:hAnsi="Arial"/>
                <w:sz w:val="18"/>
                <w:szCs w:val="18"/>
                <w:b w:val="1"/>
                <w:bCs w:val="1"/>
                <w:color w:val="auto"/>
                <w:w w:val="91"/>
              </w:rPr>
              <w:t>1755 Embarcadero Road</w:t>
            </w: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488"/>
              <w:spacing w:after="0"/>
              <w:rPr>
                <w:sz w:val="20"/>
                <w:szCs w:val="20"/>
                <w:color w:val="auto"/>
              </w:rPr>
            </w:pPr>
            <w:r>
              <w:rPr>
                <w:rFonts w:ascii="Arial" w:cs="Arial" w:eastAsia="Arial" w:hAnsi="Arial"/>
                <w:sz w:val="18"/>
                <w:szCs w:val="18"/>
                <w:b w:val="1"/>
                <w:bCs w:val="1"/>
                <w:color w:val="auto"/>
                <w:w w:val="88"/>
              </w:rPr>
              <w:t>San Jose, CA 95113</w:t>
            </w:r>
          </w:p>
        </w:tc>
        <w:tc>
          <w:tcPr>
            <w:tcW w:w="2680" w:type="dxa"/>
            <w:vAlign w:val="bottom"/>
          </w:tcPr>
          <w:p>
            <w:pPr>
              <w:jc w:val="center"/>
              <w:ind w:left="672"/>
              <w:spacing w:after="0"/>
              <w:rPr>
                <w:sz w:val="20"/>
                <w:szCs w:val="20"/>
                <w:color w:val="auto"/>
              </w:rPr>
            </w:pPr>
            <w:r>
              <w:rPr>
                <w:rFonts w:ascii="Arial" w:cs="Arial" w:eastAsia="Arial" w:hAnsi="Arial"/>
                <w:sz w:val="18"/>
                <w:szCs w:val="18"/>
                <w:b w:val="1"/>
                <w:bCs w:val="1"/>
                <w:color w:val="auto"/>
                <w:w w:val="92"/>
              </w:rPr>
              <w:t>Palo Alto, CA 94303</w:t>
            </w:r>
          </w:p>
        </w:tc>
        <w:tc>
          <w:tcPr>
            <w:tcW w:w="0" w:type="dxa"/>
            <w:vAlign w:val="bottom"/>
          </w:tcPr>
          <w:p>
            <w:pPr>
              <w:spacing w:after="0"/>
              <w:rPr>
                <w:sz w:val="1"/>
                <w:szCs w:val="1"/>
                <w:color w:val="auto"/>
              </w:rPr>
            </w:pPr>
          </w:p>
        </w:tc>
      </w:tr>
      <w:tr>
        <w:trPr>
          <w:trHeight w:val="216"/>
        </w:trPr>
        <w:tc>
          <w:tcPr>
            <w:tcW w:w="6500" w:type="dxa"/>
            <w:vAlign w:val="bottom"/>
            <w:gridSpan w:val="2"/>
          </w:tcPr>
          <w:p>
            <w:pPr>
              <w:jc w:val="center"/>
              <w:ind w:right="1488"/>
              <w:spacing w:after="0"/>
              <w:rPr>
                <w:sz w:val="20"/>
                <w:szCs w:val="20"/>
                <w:color w:val="auto"/>
              </w:rPr>
            </w:pPr>
            <w:r>
              <w:rPr>
                <w:rFonts w:ascii="Arial" w:cs="Arial" w:eastAsia="Arial" w:hAnsi="Arial"/>
                <w:sz w:val="18"/>
                <w:szCs w:val="18"/>
                <w:b w:val="1"/>
                <w:bCs w:val="1"/>
                <w:color w:val="auto"/>
                <w:w w:val="91"/>
              </w:rPr>
              <w:t>Tel: (408) 625-5999</w:t>
            </w:r>
          </w:p>
        </w:tc>
        <w:tc>
          <w:tcPr>
            <w:tcW w:w="2680" w:type="dxa"/>
            <w:vAlign w:val="bottom"/>
          </w:tcPr>
          <w:p>
            <w:pPr>
              <w:jc w:val="center"/>
              <w:ind w:left="692"/>
              <w:spacing w:after="0"/>
              <w:rPr>
                <w:sz w:val="20"/>
                <w:szCs w:val="20"/>
                <w:color w:val="auto"/>
              </w:rPr>
            </w:pPr>
            <w:r>
              <w:rPr>
                <w:rFonts w:ascii="Arial" w:cs="Arial" w:eastAsia="Arial" w:hAnsi="Arial"/>
                <w:sz w:val="18"/>
                <w:szCs w:val="18"/>
                <w:b w:val="1"/>
                <w:bCs w:val="1"/>
                <w:color w:val="auto"/>
                <w:w w:val="91"/>
              </w:rPr>
              <w:t>Tel: (650) 739-3939</w:t>
            </w:r>
          </w:p>
        </w:tc>
        <w:tc>
          <w:tcPr>
            <w:tcW w:w="0" w:type="dxa"/>
            <w:vAlign w:val="bottom"/>
          </w:tcPr>
          <w:p>
            <w:pPr>
              <w:spacing w:after="0"/>
              <w:rPr>
                <w:sz w:val="1"/>
                <w:szCs w:val="1"/>
                <w:color w:val="auto"/>
              </w:rPr>
            </w:pPr>
          </w:p>
        </w:tc>
      </w:tr>
      <w:tr>
        <w:trPr>
          <w:trHeight w:val="212"/>
        </w:trPr>
        <w:tc>
          <w:tcPr>
            <w:tcW w:w="6500" w:type="dxa"/>
            <w:vAlign w:val="bottom"/>
            <w:gridSpan w:val="2"/>
          </w:tcPr>
          <w:p>
            <w:pPr>
              <w:jc w:val="center"/>
              <w:ind w:right="1508"/>
              <w:spacing w:after="0"/>
              <w:rPr>
                <w:sz w:val="20"/>
                <w:szCs w:val="20"/>
                <w:color w:val="auto"/>
              </w:rPr>
            </w:pPr>
            <w:r>
              <w:rPr>
                <w:rFonts w:ascii="Arial" w:cs="Arial" w:eastAsia="Arial" w:hAnsi="Arial"/>
                <w:sz w:val="18"/>
                <w:szCs w:val="18"/>
                <w:b w:val="1"/>
                <w:bCs w:val="1"/>
                <w:color w:val="auto"/>
                <w:w w:val="92"/>
              </w:rPr>
              <w:t>Fax: (408) 625-5990</w:t>
            </w:r>
          </w:p>
        </w:tc>
        <w:tc>
          <w:tcPr>
            <w:tcW w:w="2680" w:type="dxa"/>
            <w:vAlign w:val="bottom"/>
          </w:tcPr>
          <w:p>
            <w:pPr>
              <w:jc w:val="center"/>
              <w:ind w:left="672"/>
              <w:spacing w:after="0"/>
              <w:rPr>
                <w:sz w:val="20"/>
                <w:szCs w:val="20"/>
                <w:color w:val="auto"/>
              </w:rPr>
            </w:pPr>
            <w:r>
              <w:rPr>
                <w:rFonts w:ascii="Arial" w:cs="Arial" w:eastAsia="Arial" w:hAnsi="Arial"/>
                <w:sz w:val="18"/>
                <w:szCs w:val="18"/>
                <w:b w:val="1"/>
                <w:bCs w:val="1"/>
                <w:color w:val="auto"/>
                <w:w w:val="92"/>
              </w:rPr>
              <w:t>Fax: (650) 739-3900</w:t>
            </w:r>
          </w:p>
        </w:tc>
        <w:tc>
          <w:tcPr>
            <w:tcW w:w="0" w:type="dxa"/>
            <w:vAlign w:val="bottom"/>
          </w:tcPr>
          <w:p>
            <w:pPr>
              <w:spacing w:after="0"/>
              <w:rPr>
                <w:sz w:val="1"/>
                <w:szCs w:val="1"/>
                <w:color w:val="auto"/>
              </w:rPr>
            </w:pPr>
          </w:p>
        </w:tc>
      </w:tr>
      <w:tr>
        <w:trPr>
          <w:trHeight w:val="186"/>
        </w:trPr>
        <w:tc>
          <w:tcPr>
            <w:tcW w:w="6500" w:type="dxa"/>
            <w:vAlign w:val="bottom"/>
            <w:gridSpan w:val="2"/>
          </w:tcPr>
          <w:p>
            <w:pPr>
              <w:jc w:val="center"/>
              <w:ind w:right="1488"/>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(Check one):</w:t>
      </w:r>
    </w:p>
    <w:p>
      <w:pPr>
        <w:sectPr>
          <w:pgSz w:w="11900" w:h="16838" w:orient="portrait"/>
          <w:cols w:equalWidth="0" w:num="1">
            <w:col w:w="11420"/>
          </w:cols>
          <w:pgMar w:left="240" w:top="229" w:right="239" w:bottom="751"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tabs>
          <w:tab w:leader="none" w:pos="6440" w:val="left"/>
          <w:tab w:leader="none" w:pos="8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6440" w:val="left"/>
          <w:tab w:leader="none" w:pos="88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1358265</wp:posOffset>
            </wp:positionH>
            <wp:positionV relativeFrom="paragraph">
              <wp:posOffset>240665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sectPr>
          <w:pgSz w:w="11900" w:h="16838" w:orient="portrait"/>
          <w:cols w:equalWidth="0" w:num="2">
            <w:col w:w="1980" w:space="400"/>
            <w:col w:w="9040"/>
          </w:cols>
          <w:pgMar w:left="240" w:top="229" w:right="239" w:bottom="751" w:gutter="0" w:footer="0" w:header="0"/>
          <w:type w:val="continuous"/>
        </w:sectPr>
      </w:pPr>
    </w:p>
    <w:p>
      <w:pPr>
        <w:spacing w:after="0" w:line="34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vMerge w:val="restart"/>
          </w:tcPr>
          <w:p>
            <w:pPr>
              <w:ind w:left="144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Per Share(3)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Shares available for future awards under the 2011 Plan</w:t>
            </w:r>
          </w:p>
        </w:tc>
        <w:tc>
          <w:tcPr>
            <w:tcW w:w="1600" w:type="dxa"/>
            <w:vAlign w:val="bottom"/>
            <w:tcBorders>
              <w:bottom w:val="single" w:sz="8" w:color="auto"/>
              <w:right w:val="single" w:sz="8" w:color="auto"/>
            </w:tcBorders>
          </w:tcPr>
          <w:p>
            <w:pPr>
              <w:jc w:val="right"/>
              <w:ind w:right="284"/>
              <w:spacing w:after="0"/>
              <w:rPr>
                <w:sz w:val="20"/>
                <w:szCs w:val="20"/>
                <w:color w:val="auto"/>
              </w:rPr>
            </w:pPr>
            <w:r>
              <w:rPr>
                <w:rFonts w:ascii="Arial" w:cs="Arial" w:eastAsia="Arial" w:hAnsi="Arial"/>
                <w:sz w:val="18"/>
                <w:szCs w:val="18"/>
                <w:color w:val="auto"/>
              </w:rPr>
              <w:t>683,917(2)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8"/>
              </w:rPr>
              <w:t>$9.63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$6,586,120.71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$819.97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9" w:right="239" w:bottom="751" w:gutter="0" w:footer="0" w:header="0"/>
          <w:type w:val="continuous"/>
        </w:sectPr>
      </w:pPr>
    </w:p>
    <w:p>
      <w:pPr>
        <w:ind w:left="460" w:right="60" w:hanging="452"/>
        <w:spacing w:after="0" w:line="307"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amount being registered also includes an indeterminate number of shares of Common Stock that may be offered or issued by reason of stock splits, stock dividends and anti-dilution provisions and other terms pursuant to Rule 416 under the Securities Act of 1933, as amended.</w:t>
      </w:r>
    </w:p>
    <w:p>
      <w:pPr>
        <w:sectPr>
          <w:pgSz w:w="11900" w:h="16838" w:orient="portrait"/>
          <w:cols w:equalWidth="0" w:num="1">
            <w:col w:w="11420"/>
          </w:cols>
          <w:pgMar w:left="240" w:top="229" w:right="239" w:bottom="751" w:gutter="0" w:footer="0" w:header="0"/>
          <w:type w:val="continuous"/>
        </w:sectPr>
      </w:pPr>
    </w:p>
    <w:bookmarkStart w:id="1" w:name="page2"/>
    <w:bookmarkEnd w:id="1"/>
    <w:p>
      <w:pPr>
        <w:ind w:left="452" w:hanging="452"/>
        <w:spacing w:after="0" w:line="267"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shares of Common Stock that were automatically added to the shares authorized for issuance under the Registrant’s 2011 Plan on January 1, 2018 pursuant to an “evergreen” provision contained in the 2011 Plan. Pursuant to such provision, on January 1st of each calendar year commencing in 2012 and ending on (and including) January 1, 2021, the number of shares authorized for issuance under the 2011 Plan is automatically increased by a number equal to the smaller of (i) two percent (2%) of the number of shares of Common Stock issued and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preceding calendar year or (ii) an amount determined by the Registrant’s Board of Directors. Also represents 126 shares that were automatically added to the shares authorized for issuance under the Registrant’s 2011 Plan on January 1, 2017 pursuant to the evergreen provision that were not previously registered under the Registration Statement on Form S-8 filed by the Registrant with the Securities and Exchange Commission on February 23, 2017 (No. 333-21604).</w:t>
      </w:r>
    </w:p>
    <w:p>
      <w:pPr>
        <w:spacing w:after="0" w:line="3" w:lineRule="exact"/>
        <w:rPr>
          <w:rFonts w:ascii="Arial" w:cs="Arial" w:eastAsia="Arial" w:hAnsi="Arial"/>
          <w:sz w:val="17"/>
          <w:szCs w:val="17"/>
          <w:color w:val="auto"/>
        </w:rPr>
      </w:pPr>
    </w:p>
    <w:p>
      <w:pPr>
        <w:ind w:left="452" w:right="80" w:hanging="452"/>
        <w:spacing w:after="0" w:line="255"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Determined solely for purposes of calculating the registration fee pursuant to Rule 457(c) and (h). The proposed maximum offering price per share, proposed maximum aggregate offering price and the amount of the registration fee are based on $9.63, which is the average of the high and low prices for the Registrant’s Common Stock as reported on the New York Stock Exchange on February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139"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 OF CONTENTS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STATEMENTS ON FORM S-8 NOS. 333-172864, 333-180696, 333-186789, 333-202120, 333-209756 AND 333-216204</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Registration Statement is being filed for the purpose of increasing the number of securities of the same class as other securities for which a Registration Statement on Form S-8 relating to the same benefit plan is effective pursuant to the automatic increase provisions of such plan. The Registrant previously registered shares of its Common Stock for issuance under the 2011 Plan under the following registration statements: a Registration Statement on Form S-8 filed with the Securities and Exchange Commission (“SEC”) on March 16, 2011 (File No. 333-172864); a Registration Statement on Form S-8 filed with the SEC on April 13, 2012 (File No. 333-180696); a Registration Statement on Form S-8 filed with the SEC on February 22, 2013 (File</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 333-186789); a Registration Statement on Form S-8 filed with the SEC on February 17, 2015 (File No. 333-202120); a Registration Statement on Form S-8 filed with the SEC on February 26, 2016 (File No. 333-209756); and a Registration Statement on Form S-8 filed with the SEC on February 23, 2017 (File No. 333-216204). Pursuant to General Instruction E to Form S-8, this Registration Statement hereby incorporates by reference the contents of the Registration Statements referenced above with respect to the shares of common stock registered under the 2011 Plan.</w:t>
      </w:r>
    </w:p>
    <w:p>
      <w:pPr>
        <w:sectPr>
          <w:pgSz w:w="11900" w:h="16838" w:orient="portrait"/>
          <w:cols w:equalWidth="0" w:num="1">
            <w:col w:w="11400"/>
          </w:cols>
          <w:pgMar w:left="240" w:top="270"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20" w:type="dxa"/>
            <w:vAlign w:val="bottom"/>
            <w:gridSpan w:val="24"/>
          </w:tcPr>
          <w:p>
            <w:pPr>
              <w:jc w:val="center"/>
              <w:ind w:right="5120"/>
              <w:spacing w:after="0"/>
              <w:rPr>
                <w:sz w:val="20"/>
                <w:szCs w:val="20"/>
                <w:color w:val="auto"/>
              </w:rPr>
            </w:pPr>
            <w:r>
              <w:rPr>
                <w:rFonts w:ascii="Arial" w:cs="Arial" w:eastAsia="Arial" w:hAnsi="Arial"/>
                <w:sz w:val="18"/>
                <w:szCs w:val="18"/>
                <w:b w:val="1"/>
                <w:bCs w:val="1"/>
                <w:color w:val="auto"/>
              </w:rPr>
              <w:t>PART II</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60" w:type="dxa"/>
            <w:vAlign w:val="bottom"/>
            <w:gridSpan w:val="26"/>
          </w:tcPr>
          <w:p>
            <w:pPr>
              <w:jc w:val="center"/>
              <w:ind w:right="1360"/>
              <w:spacing w:after="0"/>
              <w:rPr>
                <w:sz w:val="20"/>
                <w:szCs w:val="20"/>
                <w:color w:val="auto"/>
              </w:rPr>
            </w:pPr>
            <w:r>
              <w:rPr>
                <w:rFonts w:ascii="Arial" w:cs="Arial" w:eastAsia="Arial" w:hAnsi="Arial"/>
                <w:sz w:val="18"/>
                <w:szCs w:val="18"/>
                <w:b w:val="1"/>
                <w:bCs w:val="1"/>
                <w:color w:val="auto"/>
              </w:rPr>
              <w:t>INFORMATION REQUIRED IN THE REGISTRATION STATEMENT</w:t>
            </w:r>
          </w:p>
        </w:tc>
        <w:tc>
          <w:tcPr>
            <w:tcW w:w="0" w:type="dxa"/>
            <w:vAlign w:val="bottom"/>
          </w:tcPr>
          <w:p>
            <w:pPr>
              <w:spacing w:after="0"/>
              <w:rPr>
                <w:sz w:val="1"/>
                <w:szCs w:val="1"/>
                <w:color w:val="auto"/>
              </w:rPr>
            </w:pPr>
          </w:p>
        </w:tc>
      </w:tr>
      <w:tr>
        <w:trPr>
          <w:trHeight w:val="459"/>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720" w:type="dxa"/>
            <w:vAlign w:val="bottom"/>
            <w:gridSpan w:val="27"/>
          </w:tcPr>
          <w:p>
            <w:pPr>
              <w:ind w:left="3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vMerge w:val="restart"/>
          </w:tcPr>
          <w:p>
            <w:pPr>
              <w:spacing w:after="0"/>
              <w:rPr>
                <w:sz w:val="24"/>
                <w:szCs w:val="24"/>
                <w:color w:val="auto"/>
              </w:rPr>
            </w:pPr>
          </w:p>
        </w:tc>
        <w:tc>
          <w:tcPr>
            <w:tcW w:w="546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46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2"/>
                <w:szCs w:val="22"/>
                <w:color w:val="auto"/>
              </w:rPr>
            </w:pPr>
          </w:p>
        </w:tc>
        <w:tc>
          <w:tcPr>
            <w:tcW w:w="9960" w:type="dxa"/>
            <w:vAlign w:val="bottom"/>
            <w:gridSpan w:val="26"/>
          </w:tcPr>
          <w:p>
            <w:pPr>
              <w:spacing w:after="0"/>
              <w:rPr>
                <w:rFonts w:ascii="Arial" w:cs="Arial" w:eastAsia="Arial" w:hAnsi="Arial"/>
                <w:sz w:val="18"/>
                <w:szCs w:val="18"/>
                <w:color w:val="0000EE"/>
                <w:w w:val="96"/>
              </w:rPr>
            </w:pPr>
            <w:hyperlink r:id="rId21">
              <w:r>
                <w:rPr>
                  <w:rFonts w:ascii="Arial" w:cs="Arial" w:eastAsia="Arial" w:hAnsi="Arial"/>
                  <w:sz w:val="18"/>
                  <w:szCs w:val="18"/>
                  <w:color w:val="0000EE"/>
                  <w:w w:val="96"/>
                </w:rPr>
                <w:t>Certificate of Incorporation of MagnaChip Semiconductor Corporation (incorporated by reference to Exhibit 3.2 to the Registrant’s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Current Report on Form 8-K filed with the Commission on March 11, 2011).</w:t>
              </w:r>
            </w:hyperlink>
          </w:p>
        </w:tc>
        <w:tc>
          <w:tcPr>
            <w:tcW w:w="5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MagnaChip Semiconductor Corporation (incorporated by reference to Exhibit 3.1 to the Registrant’s</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Current Report on Form 8-K filed on May 6, 2016).</w:t>
              </w:r>
            </w:hyperlink>
          </w:p>
        </w:tc>
        <w:tc>
          <w:tcPr>
            <w:tcW w:w="6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Certificate of Designation, Preferences and Rights of Series A Junior Participating Preferred Stock of MagnaChip Semiconductor</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Corporation, as filed with the Secretary of the State of Delaware on March 6, 2015 (incorporated by reference to Exhibit 3.1 to the</w:t>
              </w:r>
            </w:hyperlink>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60" w:type="dxa"/>
            <w:vAlign w:val="bottom"/>
            <w:gridSpan w:val="26"/>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Registrant’s Current Report on Form 8-K filed on March 6, 2015).</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89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Opinion of Jones Day regarding the validity of the shares of Common Stock being registered on this Registration Statement.</w:t>
            </w:r>
          </w:p>
        </w:tc>
        <w:tc>
          <w:tcPr>
            <w:tcW w:w="10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24"/>
                <w:szCs w:val="24"/>
                <w:color w:val="auto"/>
              </w:rPr>
            </w:pPr>
          </w:p>
        </w:tc>
        <w:tc>
          <w:tcPr>
            <w:tcW w:w="31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Consent of Samil PricewaterhouseCoopers.</w:t>
            </w:r>
          </w:p>
        </w:tc>
        <w:tc>
          <w:tcPr>
            <w:tcW w:w="68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23.2</w:t>
            </w:r>
          </w:p>
        </w:tc>
        <w:tc>
          <w:tcPr>
            <w:tcW w:w="760" w:type="dxa"/>
            <w:vAlign w:val="bottom"/>
          </w:tcPr>
          <w:p>
            <w:pPr>
              <w:spacing w:after="0"/>
              <w:rPr>
                <w:sz w:val="24"/>
                <w:szCs w:val="24"/>
                <w:color w:val="auto"/>
              </w:rPr>
            </w:pPr>
          </w:p>
        </w:tc>
        <w:tc>
          <w:tcPr>
            <w:tcW w:w="9960" w:type="dxa"/>
            <w:vAlign w:val="bottom"/>
            <w:gridSpan w:val="26"/>
          </w:tcPr>
          <w:p>
            <w:pPr>
              <w:spacing w:after="0"/>
              <w:rPr>
                <w:sz w:val="20"/>
                <w:szCs w:val="20"/>
                <w:color w:val="auto"/>
              </w:rPr>
            </w:pPr>
            <w:r>
              <w:rPr>
                <w:rFonts w:ascii="Arial" w:cs="Arial" w:eastAsia="Arial" w:hAnsi="Arial"/>
                <w:sz w:val="18"/>
                <w:szCs w:val="18"/>
                <w:color w:val="0000EE"/>
              </w:rPr>
              <w:t>Consent of Jones Day (contained in Exhibit 5.1 to this Registration Statement).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24.1</w:t>
            </w:r>
          </w:p>
        </w:tc>
        <w:tc>
          <w:tcPr>
            <w:tcW w:w="760" w:type="dxa"/>
            <w:vAlign w:val="bottom"/>
          </w:tcPr>
          <w:p>
            <w:pPr>
              <w:spacing w:after="0"/>
              <w:rPr>
                <w:sz w:val="24"/>
                <w:szCs w:val="24"/>
                <w:color w:val="auto"/>
              </w:rPr>
            </w:pPr>
          </w:p>
        </w:tc>
        <w:tc>
          <w:tcPr>
            <w:tcW w:w="5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 of Attorney (included on the signature page to this Registration Statement).</w:t>
              </w:r>
            </w:hyperlink>
          </w:p>
        </w:tc>
        <w:tc>
          <w:tcPr>
            <w:tcW w:w="40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99.1</w:t>
            </w:r>
          </w:p>
        </w:tc>
        <w:tc>
          <w:tcPr>
            <w:tcW w:w="76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EE"/>
                <w:w w:val="94"/>
              </w:rPr>
            </w:pPr>
            <w:hyperlink r:id="rId24">
              <w:r>
                <w:rPr>
                  <w:rFonts w:ascii="Arial" w:cs="Arial" w:eastAsia="Arial" w:hAnsi="Arial"/>
                  <w:sz w:val="18"/>
                  <w:szCs w:val="18"/>
                  <w:color w:val="0000EE"/>
                  <w:w w:val="94"/>
                </w:rPr>
                <w:t>MagnaChip Semiconductor Corporation 2011 Equity Incentive Plan (as amended on October 23, 2017)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Exhibit 10.24 to the Registrant’s Annual Report on Form 10-K filed on February 22, 2018).</w:t>
              </w:r>
            </w:hyperlink>
          </w:p>
        </w:tc>
        <w:tc>
          <w:tcPr>
            <w:tcW w:w="3020" w:type="dxa"/>
            <w:vAlign w:val="bottom"/>
            <w:tcBorders>
              <w:top w:val="single" w:sz="8" w:color="0000EE"/>
            </w:tcBorders>
            <w:gridSpan w:val="10"/>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99.2</w:t>
            </w:r>
          </w:p>
        </w:tc>
        <w:tc>
          <w:tcPr>
            <w:tcW w:w="760" w:type="dxa"/>
            <w:vAlign w:val="bottom"/>
          </w:tcPr>
          <w:p>
            <w:pPr>
              <w:spacing w:after="0"/>
              <w:rPr>
                <w:sz w:val="24"/>
                <w:szCs w:val="24"/>
                <w:color w:val="auto"/>
              </w:rPr>
            </w:pPr>
          </w:p>
        </w:tc>
        <w:tc>
          <w:tcPr>
            <w:tcW w:w="9880" w:type="dxa"/>
            <w:vAlign w:val="bottom"/>
            <w:tcBorders>
              <w:bottom w:val="single" w:sz="8" w:color="0000EE"/>
            </w:tcBorders>
            <w:gridSpan w:val="24"/>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MagnaChip Semiconductor Corporation 2011 Form of Stock Option Agreement (U.S. Participants) (incorporated by reference to Exhibit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55</w:t>
              </w:r>
              <w:r>
                <w:rPr>
                  <w:rFonts w:ascii="Arial" w:cs="Arial" w:eastAsia="Arial" w:hAnsi="Arial"/>
                  <w:sz w:val="18"/>
                  <w:szCs w:val="18"/>
                  <w:color w:val="0000EE"/>
                  <w:w w:val="90"/>
                </w:rPr>
                <w:t xml:space="preserve"> to the Registrant’s Registration Statement on Form S-1 (No. 333-165467)).</w:t>
              </w:r>
            </w:hyperlink>
          </w:p>
        </w:tc>
        <w:tc>
          <w:tcPr>
            <w:tcW w:w="4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99.3</w:t>
            </w:r>
          </w:p>
        </w:tc>
        <w:tc>
          <w:tcPr>
            <w:tcW w:w="76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MagnaChip Semiconductor Corporation 2011 Form of Stock Option Agreement (Non-U.S. Participants)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Exhibit 10.56 to the Registrant’s Registration Statement on Form S-1 (No. 333-165467)).</w:t>
              </w:r>
            </w:hyperlink>
          </w:p>
        </w:tc>
        <w:tc>
          <w:tcPr>
            <w:tcW w:w="3220" w:type="dxa"/>
            <w:vAlign w:val="bottom"/>
            <w:tcBorders>
              <w:top w:val="single" w:sz="8" w:color="0000EE"/>
            </w:tcBorders>
            <w:gridSpan w:val="12"/>
          </w:tcPr>
          <w:p>
            <w:pPr>
              <w:spacing w:after="0"/>
              <w:rPr>
                <w:sz w:val="17"/>
                <w:szCs w:val="17"/>
                <w:color w:val="auto"/>
              </w:rPr>
            </w:pPr>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99.4</w:t>
            </w:r>
          </w:p>
        </w:tc>
        <w:tc>
          <w:tcPr>
            <w:tcW w:w="760" w:type="dxa"/>
            <w:vAlign w:val="bottom"/>
          </w:tcPr>
          <w:p>
            <w:pPr>
              <w:spacing w:after="0"/>
              <w:rPr>
                <w:sz w:val="24"/>
                <w:szCs w:val="24"/>
                <w:color w:val="auto"/>
              </w:rPr>
            </w:pPr>
          </w:p>
        </w:tc>
        <w:tc>
          <w:tcPr>
            <w:tcW w:w="9960" w:type="dxa"/>
            <w:vAlign w:val="bottom"/>
            <w:tcBorders>
              <w:bottom w:val="single" w:sz="8" w:color="0000EE"/>
            </w:tcBorders>
            <w:gridSpan w:val="26"/>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MagnaChip Semiconductor Corporation 2011 Form of Restricted Stock Units Agreement (U.S. Participants)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Exhibit 10.57 to the Registrant’s Registration Statement on Form S-1 (No. 333-165467)).</w:t>
              </w:r>
            </w:hyperlink>
          </w:p>
        </w:tc>
        <w:tc>
          <w:tcPr>
            <w:tcW w:w="3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99.5</w:t>
            </w:r>
          </w:p>
        </w:tc>
        <w:tc>
          <w:tcPr>
            <w:tcW w:w="760" w:type="dxa"/>
            <w:vAlign w:val="bottom"/>
          </w:tcPr>
          <w:p>
            <w:pPr>
              <w:spacing w:after="0"/>
              <w:rPr>
                <w:sz w:val="24"/>
                <w:szCs w:val="24"/>
                <w:color w:val="auto"/>
              </w:rPr>
            </w:pPr>
          </w:p>
        </w:tc>
        <w:tc>
          <w:tcPr>
            <w:tcW w:w="9440" w:type="dxa"/>
            <w:vAlign w:val="bottom"/>
            <w:tcBorders>
              <w:bottom w:val="single" w:sz="8" w:color="0000EE"/>
            </w:tcBorders>
            <w:gridSpan w:val="17"/>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MagnaChip Semiconductor Corporation 2011 Form of Restricted Stock Units Agreement (Non-U.S. Participants) (incorporated by</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reference to Exhibit 10.58 to the Registrant’s Registration Statement on Form S-1 (No. 333-165467)).</w:t>
              </w:r>
            </w:hyperlink>
          </w:p>
        </w:tc>
        <w:tc>
          <w:tcPr>
            <w:tcW w:w="2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99.6</w:t>
            </w:r>
          </w:p>
        </w:tc>
        <w:tc>
          <w:tcPr>
            <w:tcW w:w="76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MagnaChip Semiconductor Corporation 2011 Form of Restricted Stock Agreement (U.S. Participants)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Exhibit 10.59 to the Registrant’s Registration Statement on Form S-1 (No. 333-165467)).</w:t>
              </w:r>
            </w:hyperlink>
          </w:p>
        </w:tc>
        <w:tc>
          <w:tcPr>
            <w:tcW w:w="3080" w:type="dxa"/>
            <w:vAlign w:val="bottom"/>
            <w:tcBorders>
              <w:top w:val="single" w:sz="8" w:color="0000EE"/>
            </w:tcBorders>
            <w:gridSpan w:val="10"/>
          </w:tcPr>
          <w:p>
            <w:pPr>
              <w:spacing w:after="0"/>
              <w:rPr>
                <w:sz w:val="17"/>
                <w:szCs w:val="17"/>
                <w:color w:val="auto"/>
              </w:rPr>
            </w:pPr>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99.7</w:t>
            </w:r>
          </w:p>
        </w:tc>
        <w:tc>
          <w:tcPr>
            <w:tcW w:w="76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MagnaChip Semiconductor Corporation 2011 Form of Restricted Stock Agreement (Non-U.S. Participants)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Exhibit 10.60 to the Registrant’s Registration Statement on Form S-1 (No. 333-165467)).</w:t>
              </w:r>
            </w:hyperlink>
          </w:p>
        </w:tc>
        <w:tc>
          <w:tcPr>
            <w:tcW w:w="3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99.8</w:t>
            </w:r>
          </w:p>
        </w:tc>
        <w:tc>
          <w:tcPr>
            <w:tcW w:w="76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EE"/>
                <w:w w:val="96"/>
              </w:rPr>
            </w:pPr>
            <w:hyperlink r:id="rId31">
              <w:r>
                <w:rPr>
                  <w:rFonts w:ascii="Arial" w:cs="Arial" w:eastAsia="Arial" w:hAnsi="Arial"/>
                  <w:sz w:val="18"/>
                  <w:szCs w:val="18"/>
                  <w:color w:val="0000EE"/>
                  <w:w w:val="96"/>
                </w:rPr>
                <w:t>MagnaChip Semiconductor Corporation 2011 Form of Restricted Stock Units Agreement (Nonemployee Director)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reference to Exhibit 10.1 to the Registrant’s Quarterly Report on Form 10-Q filed on May 6, 2016).</w:t>
              </w:r>
            </w:hyperlink>
          </w:p>
        </w:tc>
        <w:tc>
          <w:tcPr>
            <w:tcW w:w="2340" w:type="dxa"/>
            <w:vAlign w:val="bottom"/>
            <w:tcBorders>
              <w:top w:val="single" w:sz="8" w:color="0000EE"/>
            </w:tcBorders>
            <w:gridSpan w:val="7"/>
          </w:tcPr>
          <w:p>
            <w:pPr>
              <w:spacing w:after="0"/>
              <w:rPr>
                <w:sz w:val="17"/>
                <w:szCs w:val="17"/>
                <w:color w:val="auto"/>
              </w:rPr>
            </w:pPr>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February 22,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Young-Joon Kim</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(Principal Executive Officer)</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Young-Joon Kim and Jonathan W. Kim and each or either of them, as his or her true and lawful attorney-in-fact and agent, with full power of substitution and resubstitution, for him and in his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67"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S-8 has been signed below by the following persons on behalf of MagnaChip Semiconductor Corporation and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40" w:type="dxa"/>
            <w:vAlign w:val="bottom"/>
          </w:tcPr>
          <w:p>
            <w:pPr>
              <w:jc w:val="center"/>
              <w:ind w:left="612"/>
              <w:spacing w:after="0"/>
              <w:rPr>
                <w:sz w:val="20"/>
                <w:szCs w:val="20"/>
                <w:color w:val="auto"/>
              </w:rPr>
            </w:pPr>
            <w:r>
              <w:rPr>
                <w:rFonts w:ascii="Arial" w:cs="Arial" w:eastAsia="Arial" w:hAnsi="Arial"/>
                <w:sz w:val="14"/>
                <w:szCs w:val="14"/>
                <w:b w:val="1"/>
                <w:bCs w:val="1"/>
                <w:color w:val="auto"/>
                <w:w w:val="98"/>
              </w:rPr>
              <w:t>Date</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/s/ Young-Joon Kim</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 (Principal Executive Officer) and Director</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Jonathan W. Kim</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5"/>
        </w:trPr>
        <w:tc>
          <w:tcPr>
            <w:tcW w:w="8680" w:type="dxa"/>
            <w:vAlign w:val="bottom"/>
            <w:gridSpan w:val="2"/>
          </w:tcPr>
          <w:p>
            <w:pPr>
              <w:spacing w:after="0" w:line="195" w:lineRule="exact"/>
              <w:rPr>
                <w:sz w:val="20"/>
                <w:szCs w:val="20"/>
                <w:color w:val="auto"/>
              </w:rPr>
            </w:pPr>
            <w:r>
              <w:rPr>
                <w:rFonts w:ascii="Arial" w:cs="Arial" w:eastAsia="Arial" w:hAnsi="Arial"/>
                <w:sz w:val="18"/>
                <w:szCs w:val="18"/>
                <w:color w:val="auto"/>
                <w:w w:val="93"/>
              </w:rPr>
              <w:t xml:space="preserve">Jonathan W. Kim, </w:t>
            </w:r>
            <w:r>
              <w:rPr>
                <w:rFonts w:ascii="Arial" w:cs="Arial" w:eastAsia="Arial" w:hAnsi="Arial"/>
                <w:sz w:val="18"/>
                <w:szCs w:val="18"/>
                <w:i w:val="1"/>
                <w:iCs w:val="1"/>
                <w:color w:val="auto"/>
                <w:w w:val="93"/>
              </w:rPr>
              <w:t>Chief Financial Officer, Executive Vice President and Chief Accounting Officer (Principal Financial</w:t>
            </w:r>
          </w:p>
        </w:tc>
        <w:tc>
          <w:tcPr>
            <w:tcW w:w="2040" w:type="dxa"/>
            <w:vAlign w:val="bottom"/>
          </w:tcPr>
          <w:p>
            <w:pPr>
              <w:spacing w:after="0"/>
              <w:rPr>
                <w:sz w:val="16"/>
                <w:szCs w:val="16"/>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and Accounting Officer)</w:t>
            </w:r>
          </w:p>
        </w:tc>
        <w:tc>
          <w:tcPr>
            <w:tcW w:w="2040" w:type="dxa"/>
            <w:vAlign w:val="bottom"/>
          </w:tcPr>
          <w:p>
            <w:pPr>
              <w:spacing w:after="0"/>
              <w:rPr>
                <w:sz w:val="20"/>
                <w:szCs w:val="20"/>
                <w:color w:val="auto"/>
              </w:rPr>
            </w:pPr>
          </w:p>
        </w:tc>
      </w:tr>
      <w:tr>
        <w:trPr>
          <w:trHeight w:val="446"/>
        </w:trPr>
        <w:tc>
          <w:tcPr>
            <w:tcW w:w="8680" w:type="dxa"/>
            <w:vAlign w:val="bottom"/>
            <w:gridSpan w:val="2"/>
          </w:tcPr>
          <w:p>
            <w:pPr>
              <w:spacing w:after="0"/>
              <w:rPr>
                <w:sz w:val="20"/>
                <w:szCs w:val="20"/>
                <w:color w:val="auto"/>
              </w:rPr>
            </w:pPr>
            <w:r>
              <w:rPr>
                <w:rFonts w:ascii="Arial" w:cs="Arial" w:eastAsia="Arial" w:hAnsi="Arial"/>
                <w:sz w:val="18"/>
                <w:szCs w:val="18"/>
                <w:color w:val="auto"/>
              </w:rPr>
              <w:t>/s/ Melvin Keating</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Randal Klein</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Randal Klein, </w:t>
            </w:r>
            <w:r>
              <w:rPr>
                <w:rFonts w:ascii="Arial" w:cs="Arial" w:eastAsia="Arial" w:hAnsi="Arial"/>
                <w:sz w:val="18"/>
                <w:szCs w:val="18"/>
                <w:i w:val="1"/>
                <w:iCs w:val="1"/>
                <w:color w:val="auto"/>
              </w:rPr>
              <w:t>Director</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Ilbok Lee</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Camillo Martino</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Director</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Gary Tanner</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Non- Executive Chairman of the Board of Directors</w:t>
            </w:r>
          </w:p>
        </w:tc>
        <w:tc>
          <w:tcPr>
            <w:tcW w:w="2040" w:type="dxa"/>
            <w:vAlign w:val="bottom"/>
          </w:tcPr>
          <w:p>
            <w:pPr>
              <w:spacing w:after="0"/>
              <w:rPr>
                <w:sz w:val="19"/>
                <w:szCs w:val="19"/>
                <w:color w:val="auto"/>
              </w:rPr>
            </w:pP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rPr>
              <w:t>/s/ Nader Tavakoli</w:t>
            </w:r>
          </w:p>
        </w:tc>
        <w:tc>
          <w:tcPr>
            <w:tcW w:w="2040" w:type="dxa"/>
            <w:vAlign w:val="bottom"/>
          </w:tcPr>
          <w:p>
            <w:pPr>
              <w:jc w:val="center"/>
              <w:ind w:left="612"/>
              <w:spacing w:after="0"/>
              <w:rPr>
                <w:sz w:val="20"/>
                <w:szCs w:val="20"/>
                <w:color w:val="auto"/>
              </w:rPr>
            </w:pPr>
            <w:r>
              <w:rPr>
                <w:rFonts w:ascii="Arial" w:cs="Arial" w:eastAsia="Arial" w:hAnsi="Arial"/>
                <w:sz w:val="18"/>
                <w:szCs w:val="18"/>
                <w:color w:val="auto"/>
                <w:w w:val="91"/>
              </w:rPr>
              <w:t>February 22, 2018</w:t>
            </w:r>
          </w:p>
        </w:tc>
      </w:tr>
      <w:tr>
        <w:trPr>
          <w:trHeight w:val="20"/>
        </w:trPr>
        <w:tc>
          <w:tcPr>
            <w:tcW w:w="180" w:type="dxa"/>
            <w:vAlign w:val="bottom"/>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Director</w:t>
            </w:r>
          </w:p>
        </w:tc>
        <w:tc>
          <w:tcPr>
            <w:tcW w:w="2040" w:type="dxa"/>
            <w:vAlign w:val="bottom"/>
          </w:tcPr>
          <w:p>
            <w:pPr>
              <w:spacing w:after="0"/>
              <w:rPr>
                <w:sz w:val="19"/>
                <w:szCs w:val="19"/>
                <w:color w:val="auto"/>
              </w:rPr>
            </w:pPr>
          </w:p>
        </w:tc>
      </w:tr>
    </w:tbl>
    <w:p>
      <w:pPr>
        <w:sectPr>
          <w:pgSz w:w="11900" w:h="16838" w:orient="portrait"/>
          <w:cols w:equalWidth="0" w:num="1">
            <w:col w:w="11380"/>
          </w:cols>
          <w:pgMar w:left="240" w:top="270"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248920</wp:posOffset>
            </wp:positionV>
            <wp:extent cx="112331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2331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Silicon Valley Office • 1755 Embarcadero Road • Palo Alto, California 94303</w:t>
      </w:r>
    </w:p>
    <w:p>
      <w:pPr>
        <w:jc w:val="center"/>
        <w:spacing w:after="0"/>
        <w:rPr>
          <w:sz w:val="20"/>
          <w:szCs w:val="20"/>
          <w:color w:val="auto"/>
        </w:rPr>
      </w:pPr>
      <w:r>
        <w:rPr>
          <w:rFonts w:ascii="Arial" w:cs="Arial" w:eastAsia="Arial" w:hAnsi="Arial"/>
          <w:sz w:val="14"/>
          <w:szCs w:val="14"/>
          <w:color w:val="auto"/>
        </w:rPr>
        <w:t>TELEPHONE: +1.650.739.3939 • FACSIMILE: +1.650.739.3900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 Filed by MagnaChip Semiconductor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acted as counsel for MagnaChip Semiconductor Corporation,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Company’s 2011 Equity Incentive Plan (as amended,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additional 683,917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par value $0.01 per share, of the Company that may be issued or delivered and sold pursuant to the Plan and the authorized forms of stock option, restricted stock or other applicable award agreements thereunder (the “</w:t>
      </w:r>
      <w:r>
        <w:rPr>
          <w:rFonts w:ascii="Arial" w:cs="Arial" w:eastAsia="Arial" w:hAnsi="Arial"/>
          <w:sz w:val="16"/>
          <w:szCs w:val="16"/>
          <w:b w:val="1"/>
          <w:bCs w:val="1"/>
          <w:i w:val="1"/>
          <w:iCs w:val="1"/>
          <w:color w:val="auto"/>
        </w:rPr>
        <w:t>Award Agreements</w:t>
      </w:r>
      <w:r>
        <w:rPr>
          <w:rFonts w:ascii="Arial" w:cs="Arial" w:eastAsia="Arial" w:hAnsi="Arial"/>
          <w:sz w:val="16"/>
          <w:szCs w:val="16"/>
          <w:color w:val="auto"/>
        </w:rPr>
        <w:t>”) will be, when issued or delivered and sold in accordance with the Plan and the Award Agreements, validly issued, fully paid and nonassessable, provided that the consideration for the Shares is at least equal to the stated par value thereof.</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spacing w:after="0" w:line="86" w:lineRule="exact"/>
        <w:rPr>
          <w:sz w:val="20"/>
          <w:szCs w:val="20"/>
          <w:color w:val="auto"/>
        </w:rPr>
      </w:pPr>
    </w:p>
    <w:p>
      <w:pPr>
        <w:jc w:val="center"/>
        <w:spacing w:after="0" w:line="227" w:lineRule="auto"/>
        <w:rPr>
          <w:sz w:val="20"/>
          <w:szCs w:val="20"/>
          <w:color w:val="auto"/>
        </w:rPr>
      </w:pPr>
      <w:r>
        <w:rPr>
          <w:rFonts w:ascii="Arial" w:cs="Arial" w:eastAsia="Arial" w:hAnsi="Arial"/>
          <w:sz w:val="14"/>
          <w:szCs w:val="14"/>
          <w:color w:val="auto"/>
        </w:rPr>
        <w:t>ALKHOBAR • AMSTERDAM • ATLANTA • BEIJING • BOSTON • BRISBANE • BRUSSELS • CHICAGO • CLEVELAND • COLUMBUS • DALLAS DETROIT • DUBAI • DÜSSELDORF • FRANKFURT • HONG KONG • HOUSTON • IRVINE • JEDDAH • LONDON • LOS ANGELES • MADRID MEXICO CITY • MIAMI • MILAN • MINNEAPOLIS • MOSCOW • MUNICH • NEW YORK · PARIS • PERTH • PITTSBURGH · RIYADH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SAN DIEGO • SAN FRANCISCO • SÃO PAULO · SHANGHAI • SILICON VALLEY · SINGAPORE • SYDNEY • TAIPEI • TOKYO • WASHINGTON</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183515</wp:posOffset>
            </wp:positionV>
            <wp:extent cx="97790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77900" cy="163195"/>
                    </a:xfrm>
                    <a:prstGeom prst="rect">
                      <a:avLst/>
                    </a:prstGeom>
                    <a:noFill/>
                  </pic:spPr>
                </pic:pic>
              </a:graphicData>
            </a:graphic>
          </wp:anchor>
        </w:drawing>
        <w:t>February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1320"/>
          </w:cols>
          <w:pgMar w:left="240" w:top="746"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22, 2018 relating to the consolidated financial statements and the effectiveness of internal control over financial reporting of MagnaChip Semiconductor Corporation, which appears in MagnaChip Semiconductor Corporation’s Annual Report on Form 10-K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21" Type="http://schemas.openxmlformats.org/officeDocument/2006/relationships/hyperlink" Target="http://www.sec.gov/Archives/edgar/data/1325702/000119312511062703/dex32.htm" TargetMode="External"/><Relationship Id="rId22" Type="http://schemas.openxmlformats.org/officeDocument/2006/relationships/hyperlink" Target="http://www.sec.gov/Archives/edgar/data/1325702/000119312516582070/d161114dex31.htm" TargetMode="External"/><Relationship Id="rId23" Type="http://schemas.openxmlformats.org/officeDocument/2006/relationships/hyperlink" Target="http://www.sec.gov/Archives/edgar/data/1325702/000095014215000541/eh1500371_ex0301.htm" TargetMode="External"/><Relationship Id="rId24" Type="http://schemas.openxmlformats.org/officeDocument/2006/relationships/hyperlink" Target="http://www.sec.gov/Archives/edgar/data/1325702/000119312518054078/d527108dex1024.htm" TargetMode="External"/><Relationship Id="rId25" Type="http://schemas.openxmlformats.org/officeDocument/2006/relationships/hyperlink" Target="http://www.sec.gov/Archives/edgar/data/1325702/000119312511039495/dex1055.htm" TargetMode="External"/><Relationship Id="rId26" Type="http://schemas.openxmlformats.org/officeDocument/2006/relationships/hyperlink" Target="http://www.sec.gov/Archives/edgar/data/1325702/000119312511039495/dex1056.htm" TargetMode="External"/><Relationship Id="rId27" Type="http://schemas.openxmlformats.org/officeDocument/2006/relationships/hyperlink" Target="http://www.sec.gov/Archives/edgar/data/1325702/000119312511039495/dex1057.htm" TargetMode="External"/><Relationship Id="rId28" Type="http://schemas.openxmlformats.org/officeDocument/2006/relationships/hyperlink" Target="http://www.sec.gov/Archives/edgar/data/1325702/000119312511039495/dex1058.htm" TargetMode="External"/><Relationship Id="rId29" Type="http://schemas.openxmlformats.org/officeDocument/2006/relationships/hyperlink" Target="http://www.sec.gov/Archives/edgar/data/1325702/000119312511039495/dex1059.htm" TargetMode="External"/><Relationship Id="rId30" Type="http://schemas.openxmlformats.org/officeDocument/2006/relationships/hyperlink" Target="http://www.sec.gov/Archives/edgar/data/1325702/000119312511039495/dex1060.htm" TargetMode="External"/><Relationship Id="rId31" Type="http://schemas.openxmlformats.org/officeDocument/2006/relationships/hyperlink" Target="http://www.sec.gov/Archives/edgar/data/1325702/000119312516580819/d1847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2019-12-07T01:53:21Z</dcterms:created>
  <dcterms:modified xsi:type="dcterms:W3CDTF">2019-12-07T01:53:21Z</dcterms:modified>
</cp:coreProperties>
</file>