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April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8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2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8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198"/>
              <w:spacing w:after="0"/>
              <w:rPr>
                <w:sz w:val="20"/>
                <w:szCs w:val="20"/>
                <w:color w:val="auto"/>
              </w:rPr>
            </w:pPr>
            <w:r>
              <w:rPr>
                <w:rFonts w:ascii="Arial" w:cs="Arial" w:eastAsia="Arial" w:hAnsi="Arial"/>
                <w:sz w:val="18"/>
                <w:szCs w:val="18"/>
                <w:b w:val="1"/>
                <w:bCs w:val="1"/>
                <w:color w:val="auto"/>
                <w:w w:val="89"/>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19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382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first quarter ended March 31, 2019, as presented in a press release dated April 30, 2019.</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spacing w:after="0"/>
              <w:rPr>
                <w:sz w:val="14"/>
                <w:szCs w:val="14"/>
                <w:color w:val="auto"/>
              </w:rPr>
            </w:pPr>
          </w:p>
        </w:tc>
        <w:tc>
          <w:tcPr>
            <w:tcW w:w="8060" w:type="dxa"/>
            <w:vAlign w:val="bottom"/>
            <w:gridSpan w:val="3"/>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2"/>
          </w:tcPr>
          <w:p>
            <w:pPr>
              <w:spacing w:after="0"/>
              <w:rPr>
                <w:sz w:val="20"/>
                <w:szCs w:val="20"/>
                <w:color w:val="auto"/>
              </w:rPr>
            </w:pPr>
            <w:r>
              <w:rPr>
                <w:rFonts w:ascii="Arial" w:cs="Arial" w:eastAsia="Arial" w:hAnsi="Arial"/>
                <w:sz w:val="18"/>
                <w:szCs w:val="18"/>
                <w:color w:val="auto"/>
                <w:w w:val="91"/>
              </w:rPr>
              <w:t>99.1</w:t>
            </w:r>
          </w:p>
        </w:tc>
        <w:tc>
          <w:tcPr>
            <w:tcW w:w="640" w:type="dxa"/>
            <w:vAlign w:val="bottom"/>
          </w:tcPr>
          <w:p>
            <w:pPr>
              <w:spacing w:after="0"/>
              <w:rPr>
                <w:sz w:val="24"/>
                <w:szCs w:val="24"/>
                <w:color w:val="auto"/>
              </w:rPr>
            </w:pPr>
          </w:p>
        </w:tc>
        <w:tc>
          <w:tcPr>
            <w:tcW w:w="92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for MagnaChip Semiconductor Corporation dated April 30, 2019, announcing the results for the first quarter ended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March 31, 2019.</w:t>
              </w:r>
            </w:hyperlink>
          </w:p>
        </w:tc>
        <w:tc>
          <w:tcPr>
            <w:tcW w:w="80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70" w:right="6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April 30, 2019</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24663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977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First Quarter 2019 Financial Results</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April 30, 2019 </w:t>
      </w:r>
      <w:r>
        <w:rPr>
          <w:rFonts w:ascii="Arial" w:cs="Arial" w:eastAsia="Arial" w:hAnsi="Arial"/>
          <w:sz w:val="18"/>
          <w:szCs w:val="18"/>
          <w:color w:val="auto"/>
        </w:rPr>
        <w:t>— MagnaChip Semiconductor Corporation (NYSE: MX) today announced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first quarter of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2019 Summary</w:t>
      </w:r>
    </w:p>
    <w:p>
      <w:pPr>
        <w:spacing w:after="0" w:line="135"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$157.4 million exceeded the guidance range of $150-$155 million; revenue down 5.1% Year-over-Year (YoY)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Standard Products Group (SPG) revenue of $100.3 million, up 13.5% YoY</w:t>
      </w:r>
    </w:p>
    <w:p>
      <w:pPr>
        <w:spacing w:after="0" w:line="130" w:lineRule="exact"/>
        <w:rPr>
          <w:rFonts w:ascii="Arial" w:cs="Arial" w:eastAsia="Arial" w:hAnsi="Arial"/>
          <w:sz w:val="18"/>
          <w:szCs w:val="18"/>
          <w:color w:val="auto"/>
        </w:rPr>
      </w:pPr>
    </w:p>
    <w:p>
      <w:pPr>
        <w:ind w:left="1640" w:hanging="326"/>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Display Standard Products revenue of $58.2 million, up 17.2%; OLED revenue up 41.4% YoY</w:t>
      </w:r>
    </w:p>
    <w:p>
      <w:pPr>
        <w:spacing w:after="0" w:line="130" w:lineRule="exact"/>
        <w:rPr>
          <w:rFonts w:ascii="Arial" w:cs="Arial" w:eastAsia="Arial" w:hAnsi="Arial"/>
          <w:sz w:val="18"/>
          <w:szCs w:val="18"/>
          <w:color w:val="auto"/>
        </w:rPr>
      </w:pPr>
    </w:p>
    <w:p>
      <w:pPr>
        <w:ind w:left="1640" w:hanging="326"/>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Power Standard Products revenue of $42.0 million, up 8.7% YoY</w:t>
      </w:r>
    </w:p>
    <w:p>
      <w:pPr>
        <w:spacing w:after="0" w:line="130" w:lineRule="exact"/>
        <w:rPr>
          <w:rFonts w:ascii="Arial" w:cs="Arial" w:eastAsia="Arial" w:hAnsi="Arial"/>
          <w:sz w:val="18"/>
          <w:szCs w:val="18"/>
          <w:color w:val="auto"/>
        </w:rPr>
      </w:pPr>
    </w:p>
    <w:p>
      <w:pPr>
        <w:ind w:left="860" w:right="40" w:hanging="316"/>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Foundry Services Group (FSG) revenue of $57.1 million, down 26.3% YoY due to a previously disclosed customer inventory correction and a previously announced decision to be more selective about new business as a result of a strategic evaluation of the Foundry business and Fab 4</w:t>
      </w:r>
    </w:p>
    <w:p>
      <w:pPr>
        <w:spacing w:after="0" w:line="86" w:lineRule="exact"/>
        <w:rPr>
          <w:rFonts w:ascii="Arial" w:cs="Arial" w:eastAsia="Arial" w:hAnsi="Arial"/>
          <w:sz w:val="18"/>
          <w:szCs w:val="18"/>
          <w:color w:val="auto"/>
        </w:rPr>
      </w:pPr>
    </w:p>
    <w:p>
      <w:pPr>
        <w:ind w:left="860" w:right="80" w:hanging="316"/>
        <w:spacing w:after="0" w:line="342"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gross profit margin of 14.4% was within the guidance range of 14-16%; gross margin down 12.5 percentage points YoY due primarily to a widely anticipated decline in Foundry fab utilization, and an inventory reserve of $3.3 million related to a legacy display product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2019, MagnaChip anticipates:</w:t>
      </w:r>
    </w:p>
    <w:p>
      <w:pPr>
        <w:spacing w:after="0" w:line="131" w:lineRule="exact"/>
        <w:rPr>
          <w:sz w:val="20"/>
          <w:szCs w:val="20"/>
          <w:color w:val="auto"/>
        </w:rPr>
      </w:pPr>
    </w:p>
    <w:p>
      <w:pPr>
        <w:ind w:left="860" w:right="140" w:hanging="316"/>
        <w:spacing w:after="0" w:line="279"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to be in the range of $173 million to $181 million, up 12.5% at the mid-point of the projected range when compared with revenue of $157.4 million in the first quarter of 2019, and down 11.4% year-on-year when compared to the $199.7 million revenue recorded in the second quarter of 2018. Revenue guidance for the second quarter reflects an expectation that standard product revenue will show double-digit sequential improvement, and Foundry revenue will be flattish as compared to Q1 2019.</w:t>
      </w:r>
    </w:p>
    <w:p>
      <w:pPr>
        <w:spacing w:after="0" w:line="76" w:lineRule="exact"/>
        <w:rPr>
          <w:rFonts w:ascii="Arial" w:cs="Arial" w:eastAsia="Arial" w:hAnsi="Arial"/>
          <w:sz w:val="17"/>
          <w:szCs w:val="17"/>
          <w:color w:val="auto"/>
        </w:rPr>
      </w:pPr>
    </w:p>
    <w:p>
      <w:pPr>
        <w:ind w:left="860" w:right="260" w:hanging="316"/>
        <w:spacing w:after="0" w:line="308"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margin to be in the range of 16% to 18%, as compared to 14.4% in the first quarter of 2019 and 27% in the second quarter of 2018. Gross margin guidance reflects the expectation that fab utilization in the Foundry business has stabilized.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Strategic Evaluation of the Foundry business and Fab 4</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Chairman of the Board Nader Tavakoli said, “The Board and Company-led strategic evaluation of the Foundry business and Fab 4 that was announced in February is ongoing and supported by our financial advisor, JP Morgan, and legal advisor, Paul, Weiss. The Company intends to provide updates about the strategic evaluation process in a timely manner when meaningful milestones are achieved. As stated previously, the Board is committed to improving MagnaChip’s profitability and unlocking shareholder value. As we proceed with the strategic evaluation of the Foundry business and Fab 4, we will be mindful of the best interests of all of our stakeholders, including shareholders, customers and employees.”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Comments on Q1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 for both OLED and Power standard products achieved the highest levels ever recorded in the first quarter of a year, despite typically weak seasonal trends and a soft China smartphone market.</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display segment, OLED revenue increased over 41% year over year, and we were awarded six OLED design wins from leading smartphone makers in China. We also commenced volume production of OLED DDICs for mid-range smartphones from a major Korean brand. We added our ninth OLED DDIC with the launch of the industry’s most power-efficient 28-nanometer OLED DDIC, manufactured with the most advanced process technology used for DDICs. We also announced an OLED ecosystem initiative with three companies initially to develop next-generation features to improve the functionality of OLED platform solutions in a wide range of products and markets.</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Power segment, revenue from Premium products increased nearly 46% from the first quarter a year ago, and accounted for nearly 55% of Power revenue, as compared with 40% in the first quarter of 2018. We also continued to make inroads in the automotive sector, as we commenced shipments of two different high-voltage power standard products to a customer in that market.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Foundry revenue and fab utilization both experienced a severe decline in Q1, as was widely anticipated. While the Foundry business will remain weak in Q2, the business has recently showed signs of stabilizing.”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revenue in the first quarter of 2019 was $157.4 million, down 5.1% as compared to reported revenue of $165.8 million from the first quarter of 2018, and down 12.3% from $179.4 million in the fourth quarter of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Foundry Services Group revenue in the first quarter was $57.1 million, down 26.3% from the first quarter of 2018, and down 31.3% from the fourth quarter of 2018.</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Standard Products Group revenue in the first quarter was $100.3 million, up 13.5% YoY and up 4.2% sequentially. The improved results in the Standard Products Group year-over-year were primarily attributable to a sharp increase in revenue from mobile OLED display driver ICs in connection with the introduction of new OLED smartphones from manufacturers in China and Korea, and an increase in demand for premium Power products such as high-voltage MOSFETS, primarily for TV and industrial applications. The revenue improvement in the Standard Products Group was offset in part by a strategic reduction in demand of low-margin LCD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 and Gross Profit Margin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gross profit in the first quarter of 2019 was $22.7 million or 14.4 % as a percentage of revenue as compared with gross profit of $44.6 million or 26.9% in the first quarter of 2018, and $43.9 million or 24.5% in the fourth quarter of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Gross Profit Margin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Foundry Services Group gross profit margin was 6.4% as compared with 26.7% in the first quarter of 2018 and 23.2% in the fourth quarter of 2018. The Standard Products Group gross profit margin was 19.0% in the first quarter of 2019 as compared with 27.2% in the first quarter of 2018 and 25.6% in the fourth quarter of 2018. The sequential and YoY decline in the Standards Products Group gross profit margin was attributable in part by an additional inventory reserve of $3.3 million related to a legacy display product.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Net Income, Adjusted Net Income, Adjusted EBITDA</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loss, on a GAAP basis, for the first quarter of 2019 was $18.3 million, as compared with an income of $7.4 million in the first quarter of 2018 and an income of $7.9 million in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loss, on a GAAP basis, was $34.1 million or $1.00 per basic and diluted share in the first quarter of 2019, as compared with net income of</w:t>
      </w:r>
    </w:p>
    <w:p>
      <w:pPr>
        <w:spacing w:after="0" w:line="3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$2.8 million or $0.08 per basic and diluted share in the first quarter of 2018, and net loss of $2.4 million or $0.07 per basic and diluted share in the fourth quarter of 2018.</w:t>
      </w:r>
    </w:p>
    <w:p>
      <w:pPr>
        <w:spacing w:after="0" w:line="18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Adjusted Net Loss, a non-GAAP financial measure, totaled $19.9 million or $0.58 per basic and diluted share in the first quarter of 2019, as compared with Adjusted Net Income of $1.4 million or $0.04 per basic and diluted share in the first quarter of 2018, and Adjusted Net Income of $3.5 million or $0.10 per basic and diluted share in the fourth quarter of 2018.</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Adjusted EBITDA, a non-GAAP financial measure, in the first quarter of 2019 was negative $5.7 million or negative 3.6% of revenue in the first quarter of 2019, as compared with Adjusted EBITDA of $15.5 million or 9.3% of revenue in the first quarter of 2018, and Adjusted EBITDA of $17.4 million or 9.7% of revenue in the fourth quarter of 2018.</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and cash equivalents totaled $105.8 million in the first quarter of 2019, down from $132.4 million at the end of the fourth quarter of 2018.</w:t>
      </w:r>
    </w:p>
    <w:p>
      <w:pPr>
        <w:spacing w:after="0" w:line="255"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Borders>
              <w:top w:val="single" w:sz="8" w:color="auto"/>
            </w:tcBorders>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57,075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77,429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100,260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88,363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157,380</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165,819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3,637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20,664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22,702</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and Recent Company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 announced:</w:t>
      </w:r>
    </w:p>
    <w:p>
      <w:pPr>
        <w:spacing w:after="0" w:line="131" w:lineRule="exact"/>
        <w:rPr>
          <w:sz w:val="20"/>
          <w:szCs w:val="20"/>
          <w:color w:val="auto"/>
        </w:rPr>
      </w:pPr>
    </w:p>
    <w:p>
      <w:pPr>
        <w:ind w:left="860" w:right="80" w:hanging="316"/>
        <w:spacing w:after="0" w:line="273"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 launch of its 28-nanometer OLED Display Driver IC for smartphone displays, The 28nm process is the most advanced used today for manufacturing OLED DDICs, achieves a form factor reduction of 20 percent compared with the previous 40nm process, has a logic voltage of 1.0V vs. 1.1V in the previous generation, and also is expected to improve call quality by reducing EMI (Electromagnetic Interference) levels by 20 percent as compared to the 40nm DDIC, MagnaChip’s product roadmap includes plans to expand the feature set of OLED DDICs to include Ultra-High Definition (UHD) capabilities. </w:t>
      </w:r>
      <w:r>
        <w:rPr>
          <w:rFonts w:ascii="Arial" w:cs="Arial" w:eastAsia="Arial" w:hAnsi="Arial"/>
          <w:sz w:val="17"/>
          <w:szCs w:val="17"/>
          <w:u w:val="single" w:color="auto"/>
          <w:color w:val="auto"/>
        </w:rPr>
        <w:t>http://investors.magnachip.com/news-releases/news-release-details/magnachip-launches-28-nanometer-oled-ddic-smartphone-displays</w:t>
      </w:r>
    </w:p>
    <w:p>
      <w:pPr>
        <w:spacing w:after="0" w:line="83" w:lineRule="exact"/>
        <w:rPr>
          <w:rFonts w:ascii="Arial" w:cs="Arial" w:eastAsia="Arial" w:hAnsi="Arial"/>
          <w:sz w:val="17"/>
          <w:szCs w:val="17"/>
          <w:color w:val="auto"/>
        </w:rPr>
      </w:pPr>
    </w:p>
    <w:p>
      <w:pPr>
        <w:ind w:left="860" w:right="40" w:hanging="316"/>
        <w:spacing w:after="0" w:line="271"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 new initiative to partner with companies in the development of next-generation display features of smartphones and other mobile or handheld consumer electronic devices. MagnaChip intends to develop individual strategic partnerships with leading manufacturers of touch, stylus, fingerprint technologies, and associated OLED display technologies. Each company will collaborate with MagnaChip to develop and standardize innovative human-interface solutions based upon smart touch, stylus and fingerprint technologies that are suitable for MagnaChip’s industry leading OLED DDICs. The goal in each instance will be to improve the functionality of OLED displays on end user devices. There also will be a specified collaboration in shared intellectual property that will extend into new applications, including the IoT and automotive sectors. </w:t>
      </w:r>
      <w:r>
        <w:rPr>
          <w:rFonts w:ascii="Arial" w:cs="Arial" w:eastAsia="Arial" w:hAnsi="Arial"/>
          <w:sz w:val="17"/>
          <w:szCs w:val="17"/>
          <w:u w:val="single" w:color="auto"/>
          <w:color w:val="auto"/>
        </w:rPr>
        <w:t>http://investors.magnachip.com/news-releases/news-release-details/magnachip-announces-initiative-develop-next-generation-display</w:t>
      </w:r>
    </w:p>
    <w:p>
      <w:pPr>
        <w:spacing w:after="0" w:line="84" w:lineRule="exact"/>
        <w:rPr>
          <w:rFonts w:ascii="Arial" w:cs="Arial" w:eastAsia="Arial" w:hAnsi="Arial"/>
          <w:sz w:val="17"/>
          <w:szCs w:val="17"/>
          <w:color w:val="auto"/>
        </w:rPr>
      </w:pPr>
    </w:p>
    <w:p>
      <w:pPr>
        <w:ind w:left="860" w:right="120" w:hanging="316"/>
        <w:spacing w:after="0" w:line="297"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 partnership with ELAN Microelectronics Corp. to expand the capabilities for OLED displays for a wide variety of next-generation consumer, communication, computing and industrial products, as well as for automotive displays. The partnership seeks to build upon the recent growth and market penetration of OLED displays in areas such as smartphones, mobile devices, tablets and automotive applications, ranging from navigation and infotainment screens to brake light and interior lighting systems. </w:t>
      </w:r>
      <w:r>
        <w:rPr>
          <w:rFonts w:ascii="Arial" w:cs="Arial" w:eastAsia="Arial" w:hAnsi="Arial"/>
          <w:sz w:val="16"/>
          <w:szCs w:val="16"/>
          <w:u w:val="single" w:color="auto"/>
          <w:color w:val="auto"/>
        </w:rPr>
        <w:t>http://investors.magnachip.com/news-releases/news-release-details/magnachip-and-elan-microelectronics-announce-partnership-expand</w:t>
      </w:r>
    </w:p>
    <w:p>
      <w:pPr>
        <w:spacing w:after="0" w:line="63" w:lineRule="exact"/>
        <w:rPr>
          <w:rFonts w:ascii="Arial" w:cs="Arial" w:eastAsia="Arial" w:hAnsi="Arial"/>
          <w:sz w:val="16"/>
          <w:szCs w:val="16"/>
          <w:color w:val="auto"/>
        </w:rPr>
      </w:pPr>
    </w:p>
    <w:p>
      <w:pPr>
        <w:ind w:left="860" w:hanging="316"/>
        <w:spacing w:after="0" w:line="297"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 partnership with HiDeep to develop advanced OLED display capabilities for smartphone makers and other handheld consumer electronics devices. MagnaChip will cooperate with HiDeep to develop enhanced HMI solutions optimized for the growing OLED display market. Specifically, MagnaChip and HiDeep will collaborate and create useful and cost effective new HMI solutions for flexible OLED displays for top-tier panel makers and smartphone OEMs. This collaboration also will extend into a variety of other applications and end markets. </w:t>
      </w:r>
      <w:r>
        <w:rPr>
          <w:rFonts w:ascii="Arial" w:cs="Arial" w:eastAsia="Arial" w:hAnsi="Arial"/>
          <w:sz w:val="16"/>
          <w:szCs w:val="16"/>
          <w:u w:val="single" w:color="auto"/>
          <w:color w:val="auto"/>
        </w:rPr>
        <w:t>http://investors.magnachip.com/news-releases/news-release-details/magnachip-and-hideep-inc-announce-partnership-develop-enhanced</w:t>
      </w:r>
    </w:p>
    <w:p>
      <w:pPr>
        <w:sectPr>
          <w:pgSz w:w="11900" w:h="16838" w:orient="portrait"/>
          <w:cols w:equalWidth="0" w:num="1">
            <w:col w:w="11020"/>
          </w:cols>
          <w:pgMar w:left="440" w:top="274" w:right="439" w:bottom="1440" w:gutter="0" w:footer="0" w:header="0"/>
        </w:sectPr>
      </w:pPr>
    </w:p>
    <w:bookmarkStart w:id="6" w:name="page7"/>
    <w:bookmarkEnd w:id="6"/>
    <w:p>
      <w:pPr>
        <w:ind w:left="860" w:right="80" w:hanging="316"/>
        <w:spacing w:after="0" w:line="273"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partnership with Melfas Inc. to develop advanced OLED display capabilities for the automotive and consumer electronics sectors. Currently, OLED technology is deployed primarily in televisions and mobile products such as smartphones and smartwatches, but MagnaChip and Melfas are working towards developing automotive display-related solutions in an effort to respond to this fast-growing market. With their current solutions, the two companies will initially address opportunities in consumer electronics and, going forward, will work together to develop solutions for OLED displays in automotive applications. </w:t>
      </w:r>
      <w:r>
        <w:rPr>
          <w:rFonts w:ascii="Arial" w:cs="Arial" w:eastAsia="Arial" w:hAnsi="Arial"/>
          <w:sz w:val="17"/>
          <w:szCs w:val="17"/>
          <w:u w:val="single" w:color="auto"/>
          <w:color w:val="auto"/>
        </w:rPr>
        <w:t>http://investors.magnachip.com/news-releases/news-release-details/magnachip-and-melfas-inc-announce-partnership-collaborate-oled</w:t>
      </w:r>
    </w:p>
    <w:p>
      <w:pPr>
        <w:spacing w:after="0" w:line="83" w:lineRule="exact"/>
        <w:rPr>
          <w:rFonts w:ascii="Arial" w:cs="Arial" w:eastAsia="Arial" w:hAnsi="Arial"/>
          <w:sz w:val="17"/>
          <w:szCs w:val="17"/>
          <w:color w:val="auto"/>
        </w:rPr>
      </w:pPr>
    </w:p>
    <w:p>
      <w:pPr>
        <w:ind w:left="860" w:hanging="316"/>
        <w:spacing w:after="0" w:line="279"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An offering of second generation 0.13 micron 18V high-voltage process technology to its foundry customers. The technology, which is dedicated for designing source drivers for LCD and OLED televisions, offers fewer steps, allows suitable high-voltage design rules to shrink chip size, and adds a new device for DAC block design, as compared to the first-generation process. </w:t>
      </w:r>
      <w:r>
        <w:rPr>
          <w:rFonts w:ascii="Arial" w:cs="Arial" w:eastAsia="Arial" w:hAnsi="Arial"/>
          <w:sz w:val="17"/>
          <w:szCs w:val="17"/>
          <w:u w:val="single" w:color="auto"/>
          <w:color w:val="auto"/>
        </w:rPr>
        <w:t>http://investors.magnachip.com/news-releases/news-release-details/magnachip-offers-013-micron-18v-high-voltage-gen2-technology</w:t>
      </w:r>
    </w:p>
    <w:p>
      <w:pPr>
        <w:spacing w:after="0" w:line="275"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b w:val="1"/>
          <w:bCs w:val="1"/>
          <w:color w:val="auto"/>
        </w:rPr>
        <w:t>First Quarter 2019 Conference Call</w:t>
      </w:r>
    </w:p>
    <w:p>
      <w:pPr>
        <w:spacing w:after="0" w:line="12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The conference call will be webcast live today (April 30, 2019) at 5:00 p.m. EDT and also is available by dialing toll-free at</w:t>
      </w:r>
    </w:p>
    <w:p>
      <w:pPr>
        <w:spacing w:after="0" w:line="23" w:lineRule="exact"/>
        <w:rPr>
          <w:rFonts w:ascii="Arial" w:cs="Arial" w:eastAsia="Arial" w:hAnsi="Arial"/>
          <w:sz w:val="17"/>
          <w:szCs w:val="17"/>
          <w:color w:val="auto"/>
        </w:rPr>
      </w:pPr>
    </w:p>
    <w:p>
      <w:pPr>
        <w:ind w:left="880" w:right="100"/>
        <w:spacing w:after="0" w:line="295" w:lineRule="auto"/>
        <w:rPr>
          <w:rFonts w:ascii="Arial" w:cs="Arial" w:eastAsia="Arial" w:hAnsi="Arial"/>
          <w:sz w:val="17"/>
          <w:szCs w:val="17"/>
          <w:color w:val="auto"/>
        </w:rPr>
      </w:pPr>
      <w:r>
        <w:rPr>
          <w:rFonts w:ascii="Arial" w:cs="Arial" w:eastAsia="Arial" w:hAnsi="Arial"/>
          <w:sz w:val="16"/>
          <w:szCs w:val="16"/>
          <w:color w:val="auto"/>
        </w:rPr>
        <w:t xml:space="preserve">1-844-536-5472. International call-in participants can dial 1-614-999-9318. The conference ID number is 8618428. Participants are encouraged to initiate their calls at least 10 minutes in advance of the 5:00 p.m. EDT start time to ensure a timely connection. The webcast and earnings release will be accessible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A replay of the conference call will be available the same day and will run for 72 hours. The replay dial-in numbers are 1-404-537-3406 or toll-free at 1-855-859-2056. The access code is 8618428.</w:t>
      </w:r>
    </w:p>
    <w:p>
      <w:pPr>
        <w:spacing w:after="0" w:line="265"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b w:val="1"/>
          <w:bCs w:val="1"/>
          <w:color w:val="auto"/>
        </w:rPr>
        <w:t>About MagnaChip Semiconductor Corporation</w:t>
      </w:r>
    </w:p>
    <w:p>
      <w:pPr>
        <w:spacing w:after="0" w:line="121" w:lineRule="exact"/>
        <w:rPr>
          <w:rFonts w:ascii="Arial" w:cs="Arial" w:eastAsia="Arial" w:hAnsi="Arial"/>
          <w:sz w:val="17"/>
          <w:szCs w:val="17"/>
          <w:color w:val="auto"/>
        </w:rPr>
      </w:pPr>
    </w:p>
    <w:p>
      <w:pPr>
        <w:ind w:left="880" w:right="4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about 40 years of operating history, owns a portfolio of approximately 3,000 registered patents and pending applications, and has extensive engineering, design and manufacturing process expertise. For more information, please visit </w:t>
      </w:r>
      <w:r>
        <w:rPr>
          <w:rFonts w:ascii="Arial" w:cs="Arial" w:eastAsia="Arial" w:hAnsi="Arial"/>
          <w:sz w:val="18"/>
          <w:szCs w:val="18"/>
          <w:u w:val="single" w:color="auto"/>
          <w:color w:val="auto"/>
        </w:rPr>
        <w:t>www.magnachip.com</w:t>
      </w:r>
      <w:r>
        <w:rPr>
          <w:rFonts w:ascii="Arial" w:cs="Arial" w:eastAsia="Arial" w:hAnsi="Arial"/>
          <w:sz w:val="18"/>
          <w:szCs w:val="18"/>
          <w:color w:val="auto"/>
        </w:rPr>
        <w:t>. Information on or accessible through, MagnaChip’s website is not a part of, and is not incorporated into, this release.</w:t>
      </w:r>
    </w:p>
    <w:p>
      <w:pPr>
        <w:spacing w:after="0" w:line="297"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b w:val="1"/>
          <w:bCs w:val="1"/>
          <w:color w:val="auto"/>
        </w:rPr>
        <w:t>Safe Harbor for Forward-Looking Statements</w:t>
      </w:r>
    </w:p>
    <w:p>
      <w:pPr>
        <w:spacing w:after="0" w:line="121" w:lineRule="exact"/>
        <w:rPr>
          <w:rFonts w:ascii="Arial" w:cs="Arial" w:eastAsia="Arial" w:hAnsi="Arial"/>
          <w:sz w:val="17"/>
          <w:szCs w:val="17"/>
          <w:color w:val="auto"/>
        </w:rPr>
      </w:pPr>
    </w:p>
    <w:p>
      <w:pPr>
        <w:ind w:left="880"/>
        <w:spacing w:after="0" w:line="286" w:lineRule="auto"/>
        <w:rPr>
          <w:rFonts w:ascii="Arial" w:cs="Arial" w:eastAsia="Arial" w:hAnsi="Arial"/>
          <w:sz w:val="17"/>
          <w:szCs w:val="17"/>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but not limited to second quarter 2019 revenue and gross profit margin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and other risks detailed from time to time in MagnaChip’s filings with the SEC, including our Form 10-K filed on February 22, 2019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3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256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5660" w:type="dxa"/>
            <w:vAlign w:val="bottom"/>
            <w:gridSpan w:val="2"/>
          </w:tcPr>
          <w:p>
            <w:pPr>
              <w:ind w:left="3300"/>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Bruce Entin</w:t>
            </w:r>
          </w:p>
        </w:tc>
        <w:tc>
          <w:tcPr>
            <w:tcW w:w="5660" w:type="dxa"/>
            <w:vAlign w:val="bottom"/>
            <w:gridSpan w:val="2"/>
          </w:tcPr>
          <w:p>
            <w:pPr>
              <w:ind w:left="3300"/>
              <w:spacing w:after="0"/>
              <w:rPr>
                <w:sz w:val="20"/>
                <w:szCs w:val="20"/>
                <w:color w:val="auto"/>
              </w:rPr>
            </w:pPr>
            <w:r>
              <w:rPr>
                <w:rFonts w:ascii="Arial" w:cs="Arial" w:eastAsia="Arial" w:hAnsi="Arial"/>
                <w:sz w:val="18"/>
                <w:szCs w:val="18"/>
                <w:color w:val="auto"/>
              </w:rPr>
              <w:t>Chankeun Park</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Investor Relations</w:t>
            </w:r>
          </w:p>
        </w:tc>
        <w:tc>
          <w:tcPr>
            <w:tcW w:w="5660" w:type="dxa"/>
            <w:vAlign w:val="bottom"/>
            <w:gridSpan w:val="2"/>
          </w:tcPr>
          <w:p>
            <w:pPr>
              <w:ind w:left="3300"/>
              <w:spacing w:after="0"/>
              <w:rPr>
                <w:sz w:val="20"/>
                <w:szCs w:val="20"/>
                <w:color w:val="auto"/>
              </w:rPr>
            </w:pPr>
            <w:r>
              <w:rPr>
                <w:rFonts w:ascii="Arial" w:cs="Arial" w:eastAsia="Arial" w:hAnsi="Arial"/>
                <w:sz w:val="18"/>
                <w:szCs w:val="18"/>
                <w:color w:val="auto"/>
              </w:rPr>
              <w:t>Director, Public Relations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Tel. +1-408-625-1262</w:t>
            </w:r>
          </w:p>
        </w:tc>
        <w:tc>
          <w:tcPr>
            <w:tcW w:w="5660" w:type="dxa"/>
            <w:vAlign w:val="bottom"/>
            <w:gridSpan w:val="2"/>
          </w:tcPr>
          <w:p>
            <w:pPr>
              <w:ind w:left="3300"/>
              <w:spacing w:after="0"/>
              <w:rPr>
                <w:sz w:val="20"/>
                <w:szCs w:val="20"/>
                <w:color w:val="auto"/>
              </w:rPr>
            </w:pPr>
            <w:r>
              <w:rPr>
                <w:rFonts w:ascii="Arial" w:cs="Arial" w:eastAsia="Arial" w:hAnsi="Arial"/>
                <w:sz w:val="18"/>
                <w:szCs w:val="18"/>
                <w:color w:val="auto"/>
              </w:rPr>
              <w:t>Tel. +82-2-6903-5223</w:t>
            </w:r>
          </w:p>
        </w:tc>
      </w:tr>
      <w:tr>
        <w:trPr>
          <w:trHeight w:val="190"/>
        </w:trPr>
        <w:tc>
          <w:tcPr>
            <w:tcW w:w="2560" w:type="dxa"/>
            <w:vAlign w:val="bottom"/>
          </w:tcPr>
          <w:p>
            <w:pPr>
              <w:spacing w:after="0" w:line="190" w:lineRule="exact"/>
              <w:rPr>
                <w:sz w:val="20"/>
                <w:szCs w:val="20"/>
                <w:color w:val="auto"/>
              </w:rPr>
            </w:pPr>
            <w:r>
              <w:rPr>
                <w:rFonts w:ascii="Arial" w:cs="Arial" w:eastAsia="Arial" w:hAnsi="Arial"/>
                <w:sz w:val="18"/>
                <w:szCs w:val="18"/>
                <w:color w:val="auto"/>
                <w:w w:val="89"/>
              </w:rPr>
              <w:t>Investor.relations@magnachip.com</w:t>
            </w:r>
          </w:p>
        </w:tc>
        <w:tc>
          <w:tcPr>
            <w:tcW w:w="5660" w:type="dxa"/>
            <w:vAlign w:val="bottom"/>
            <w:gridSpan w:val="2"/>
          </w:tcPr>
          <w:p>
            <w:pPr>
              <w:ind w:left="3300"/>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20"/>
        </w:trPr>
        <w:tc>
          <w:tcPr>
            <w:tcW w:w="25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00"/>
          </w:cols>
          <w:pgMar w:left="440" w:top="274" w:right="459" w:bottom="1440" w:gutter="0" w:footer="0" w:header="0"/>
        </w:sectPr>
      </w:pPr>
    </w:p>
    <w:bookmarkStart w:id="7" w:name="page8"/>
    <w:bookmarkEnd w:id="7"/>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13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179,394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134,679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135,482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121,238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Gross profit %</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18,070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17,516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17,622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(18,281)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(5,463)</w:t>
            </w: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Foreign currency gain (loss), net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(9,997)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(4,316)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 expenses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Earnings (loss) per common share :</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 Diluted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34,194,878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34,627,292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34,253,111</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Weighted average number of shares—Diluted</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34,194,878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34,627,292</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35,154,693</w:t>
            </w:r>
          </w:p>
        </w:tc>
        <w:tc>
          <w:tcPr>
            <w:tcW w:w="2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128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51"/>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8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Adjustments: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Income tax expenses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EBITDA</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(19,922)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11,495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expenses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Adjusted EBITDA</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(5,679)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17,391</w:t>
            </w: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Adjustments: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expenses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(19,882)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3,516</w:t>
            </w: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 Basic</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34,194,878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34,627,292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34,253,111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34,194,878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35,128,341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35,154,693</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present Adjusted EBITDA and Adjusted Net Income (Loss) as non-GAAP supplemental measures of our performance. We define Adjusted EBITDA for the periods indicated as EBITDA (as defined below), adjusted to exclude (i) Restructuring and other charges, (ii) Equity-based compensation expense, (iii) Foreign currency loss (gain), net, (iv) Derivative valuation loss, net, (v) Restatement related expenses, (vi) Loss on early extinguishment of long-term borrowings, net and (vii) Others. EBITDA for the periods indicated is defined as net income (loss) before interest expense, net, income tax expenses and depreciation and amortization.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income (loss), adjusted to exclude</w:t>
      </w:r>
    </w:p>
    <w:p>
      <w:pPr>
        <w:spacing w:after="0" w:line="1" w:lineRule="exact"/>
        <w:rPr>
          <w:sz w:val="20"/>
          <w:szCs w:val="20"/>
          <w:color w:val="auto"/>
        </w:rPr>
      </w:pPr>
    </w:p>
    <w:p>
      <w:pPr>
        <w:ind w:left="220" w:hanging="216"/>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Restructuring and other charges, (ii) Equity-based compensation expense, (iii) Foreign currency loss (gain), net, (iv) Derivative valuation loss, net,</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Restatement related expenses, (vi) Loss on early extinguishment of long-term borrowings, net and (vii) Others.</w:t>
      </w:r>
    </w:p>
    <w:p>
      <w:pPr>
        <w:sectPr>
          <w:pgSz w:w="11900" w:h="16838" w:orient="portrait"/>
          <w:cols w:equalWidth="0" w:num="1">
            <w:col w:w="11040"/>
          </w:cols>
          <w:pgMar w:left="440" w:top="270" w:right="419" w:bottom="1440" w:gutter="0" w:footer="0" w:header="0"/>
        </w:sectPr>
      </w:pPr>
    </w:p>
    <w:bookmarkStart w:id="9" w:name="page10"/>
    <w:bookmarkEnd w:id="9"/>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105,812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92,056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80,794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 collateral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339,216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201,738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579,966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76,031</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149,834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Long-term borrowings, net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303,016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144,502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626,277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$0.01 par value, 150,000,000 shares authorized, 43,230,535 shares issued and 34,223,502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outstanding at March 31, 2019 and 43,054,458 shares issued and 34,441,232 outstanding at December 31, 2018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143,315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w w:val="94"/>
              </w:rPr>
              <w:t>Treasury stock, 9,007,033 shares at March 31, 2019 and 8,613,226 shares at December 31, 2018, respectively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(106,511)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700"/>
              <w:spacing w:after="0"/>
              <w:rPr>
                <w:sz w:val="20"/>
                <w:szCs w:val="20"/>
                <w:color w:val="auto"/>
              </w:rPr>
            </w:pPr>
            <w:r>
              <w:rPr>
                <w:rFonts w:ascii="Arial" w:cs="Arial" w:eastAsia="Arial" w:hAnsi="Arial"/>
                <w:sz w:val="18"/>
                <w:szCs w:val="18"/>
                <w:color w:val="auto"/>
              </w:rPr>
              <w:t>Total stockholders’ deficit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(46,311)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579,966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new leases standard (codified as Accounting Standards Codification 842, and effective January 1, 2019), operating leases as of March 31, 2019 are recognized in operating lease right-of-use assets of $13.0 million, and other current liabilities of $2.1 million for the current portion of operating lease liabilities and non-current operating lease liabilities of $11.0 million on our consolidated balance sheets. Finance lease right-of-use assets of $2.4 million are included in property, plant and equipment, net and the current and non-current portions of finance lease liabilities are included in other current liabilities of $0.2 million and other non-current liabilities of $2.2 million in our consolidated balance sheets, respectively.</w:t>
      </w:r>
    </w:p>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36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income (loss)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 (34,125)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8,303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foreign currency, net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(1,682)</w:t>
            </w: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(12,844)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Unbilled accounts receivable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9,726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(13,150)</w:t>
            </w: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(4,205)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(3,746)</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w:t>
            </w: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20,874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(2,759)</w:t>
            </w: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(5,365)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(7,129)</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(6,848)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Payment of severance benefits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(2,263)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(2,247)</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700"/>
              <w:spacing w:after="0"/>
              <w:rPr>
                <w:sz w:val="20"/>
                <w:szCs w:val="20"/>
                <w:color w:val="auto"/>
              </w:rPr>
            </w:pPr>
            <w:r>
              <w:rPr>
                <w:rFonts w:ascii="Arial" w:cs="Arial" w:eastAsia="Arial" w:hAnsi="Arial"/>
                <w:sz w:val="18"/>
                <w:szCs w:val="18"/>
                <w:color w:val="auto"/>
              </w:rPr>
              <w:t>Net cash used in operating activities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(11,675)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2,242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(7,329)</w:t>
            </w: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Collection of guarantee deposits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Payment of guarantee deposits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752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(9,801)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(2,897)</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Repurchase of long-term borrowings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Acquisition of treasury stock</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(2,353)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Repayment of principal portion of lease liabilities</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decrease in cash, cash equivalents and restricted cash</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(5,439)</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128,575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$105,812</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123,136</w:t>
            </w:r>
          </w:p>
        </w:tc>
        <w:tc>
          <w:tcPr>
            <w:tcW w:w="1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2019-12-28T13:32:36Z</dcterms:created>
  <dcterms:modified xsi:type="dcterms:W3CDTF">2019-12-28T13:32:36Z</dcterms:modified>
</cp:coreProperties>
</file>