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July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4120" w:type="dxa"/>
            <w:vAlign w:val="bottom"/>
          </w:tcPr>
          <w:p>
            <w:pPr>
              <w:jc w:val="center"/>
              <w:ind w:right="2358"/>
              <w:spacing w:after="0"/>
              <w:rPr>
                <w:sz w:val="20"/>
                <w:szCs w:val="20"/>
                <w:color w:val="auto"/>
              </w:rPr>
            </w:pPr>
            <w:r>
              <w:rPr>
                <w:rFonts w:ascii="Arial" w:cs="Arial" w:eastAsia="Arial" w:hAnsi="Arial"/>
                <w:sz w:val="18"/>
                <w:szCs w:val="18"/>
                <w:b w:val="1"/>
                <w:bCs w:val="1"/>
                <w:color w:val="auto"/>
                <w:w w:val="91"/>
              </w:rPr>
              <w:t>Delaware</w:t>
            </w:r>
          </w:p>
        </w:tc>
        <w:tc>
          <w:tcPr>
            <w:tcW w:w="2220" w:type="dxa"/>
            <w:vAlign w:val="bottom"/>
          </w:tcPr>
          <w:p>
            <w:pPr>
              <w:ind w:left="80"/>
              <w:spacing w:after="0"/>
              <w:rPr>
                <w:sz w:val="20"/>
                <w:szCs w:val="20"/>
                <w:color w:val="auto"/>
              </w:rPr>
            </w:pPr>
            <w:r>
              <w:rPr>
                <w:rFonts w:ascii="Arial" w:cs="Arial" w:eastAsia="Arial" w:hAnsi="Arial"/>
                <w:sz w:val="18"/>
                <w:szCs w:val="18"/>
                <w:b w:val="1"/>
                <w:bCs w:val="1"/>
                <w:color w:val="auto"/>
              </w:rPr>
              <w:t>001-34791</w:t>
            </w:r>
          </w:p>
        </w:tc>
        <w:tc>
          <w:tcPr>
            <w:tcW w:w="2460" w:type="dxa"/>
            <w:vAlign w:val="bottom"/>
          </w:tcPr>
          <w:p>
            <w:pPr>
              <w:jc w:val="center"/>
              <w:ind w:left="1241"/>
              <w:spacing w:after="0"/>
              <w:rPr>
                <w:sz w:val="20"/>
                <w:szCs w:val="20"/>
                <w:color w:val="auto"/>
              </w:rPr>
            </w:pPr>
            <w:r>
              <w:rPr>
                <w:rFonts w:ascii="Arial" w:cs="Arial" w:eastAsia="Arial" w:hAnsi="Arial"/>
                <w:sz w:val="18"/>
                <w:szCs w:val="18"/>
                <w:b w:val="1"/>
                <w:bCs w:val="1"/>
                <w:color w:val="auto"/>
                <w:w w:val="89"/>
              </w:rPr>
              <w:t>83-0406195</w:t>
            </w:r>
          </w:p>
        </w:tc>
      </w:tr>
      <w:tr>
        <w:trPr>
          <w:trHeight w:val="148"/>
        </w:trPr>
        <w:tc>
          <w:tcPr>
            <w:tcW w:w="4120" w:type="dxa"/>
            <w:vAlign w:val="bottom"/>
          </w:tcPr>
          <w:p>
            <w:pPr>
              <w:jc w:val="center"/>
              <w:ind w:right="233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2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120" w:type="dxa"/>
            <w:vAlign w:val="bottom"/>
          </w:tcPr>
          <w:p>
            <w:pPr>
              <w:jc w:val="center"/>
              <w:ind w:right="2338"/>
              <w:spacing w:after="0"/>
              <w:rPr>
                <w:sz w:val="20"/>
                <w:szCs w:val="20"/>
                <w:color w:val="auto"/>
              </w:rPr>
            </w:pPr>
            <w:r>
              <w:rPr>
                <w:rFonts w:ascii="Arial" w:cs="Arial" w:eastAsia="Arial" w:hAnsi="Arial"/>
                <w:sz w:val="14"/>
                <w:szCs w:val="14"/>
                <w:b w:val="1"/>
                <w:bCs w:val="1"/>
                <w:color w:val="auto"/>
                <w:w w:val="94"/>
              </w:rPr>
              <w:t>of Incorporation)</w:t>
            </w:r>
          </w:p>
        </w:tc>
        <w:tc>
          <w:tcPr>
            <w:tcW w:w="2220" w:type="dxa"/>
            <w:vAlign w:val="bottom"/>
          </w:tcPr>
          <w:p>
            <w:pPr>
              <w:ind w:left="6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120" w:type="dxa"/>
            <w:vAlign w:val="bottom"/>
          </w:tcPr>
          <w:p>
            <w:pPr>
              <w:jc w:val="center"/>
              <w:ind w:left="1138"/>
              <w:spacing w:after="0"/>
              <w:rPr>
                <w:sz w:val="20"/>
                <w:szCs w:val="20"/>
                <w:color w:val="auto"/>
              </w:rPr>
            </w:pPr>
            <w:r>
              <w:rPr>
                <w:rFonts w:ascii="Arial" w:cs="Arial" w:eastAsia="Arial" w:hAnsi="Arial"/>
                <w:sz w:val="18"/>
                <w:szCs w:val="18"/>
                <w:b w:val="1"/>
                <w:bCs w:val="1"/>
                <w:color w:val="auto"/>
                <w:w w:val="90"/>
              </w:rPr>
              <w:t>c/o MagnaChip Semiconductor S.A.</w:t>
            </w:r>
          </w:p>
        </w:tc>
        <w:tc>
          <w:tcPr>
            <w:tcW w:w="22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6"/>
        </w:trPr>
        <w:tc>
          <w:tcPr>
            <w:tcW w:w="4120" w:type="dxa"/>
            <w:vAlign w:val="bottom"/>
          </w:tcPr>
          <w:p>
            <w:pPr>
              <w:jc w:val="center"/>
              <w:ind w:left="1138"/>
              <w:spacing w:after="0"/>
              <w:rPr>
                <w:sz w:val="20"/>
                <w:szCs w:val="20"/>
                <w:color w:val="auto"/>
              </w:rPr>
            </w:pPr>
            <w:r>
              <w:rPr>
                <w:rFonts w:ascii="Arial" w:cs="Arial" w:eastAsia="Arial" w:hAnsi="Arial"/>
                <w:sz w:val="18"/>
                <w:szCs w:val="18"/>
                <w:b w:val="1"/>
                <w:bCs w:val="1"/>
                <w:color w:val="auto"/>
                <w:w w:val="89"/>
              </w:rPr>
              <w:t>1, Allée Scheffer, L-2520</w:t>
            </w:r>
          </w:p>
        </w:tc>
        <w:tc>
          <w:tcPr>
            <w:tcW w:w="22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25"/>
        </w:trPr>
        <w:tc>
          <w:tcPr>
            <w:tcW w:w="6340" w:type="dxa"/>
            <w:vAlign w:val="bottom"/>
            <w:gridSpan w:val="2"/>
          </w:tcPr>
          <w:p>
            <w:pPr>
              <w:jc w:val="center"/>
              <w:ind w:right="922"/>
              <w:spacing w:after="0"/>
              <w:rPr>
                <w:sz w:val="20"/>
                <w:szCs w:val="20"/>
                <w:color w:val="auto"/>
              </w:rPr>
            </w:pPr>
            <w:r>
              <w:rPr>
                <w:rFonts w:ascii="Arial" w:cs="Arial" w:eastAsia="Arial" w:hAnsi="Arial"/>
                <w:sz w:val="18"/>
                <w:szCs w:val="18"/>
                <w:b w:val="1"/>
                <w:bCs w:val="1"/>
                <w:color w:val="auto"/>
                <w:w w:val="91"/>
              </w:rPr>
              <w:t>Luxembourg, Grand Duchy of Luxembourg</w:t>
            </w:r>
          </w:p>
        </w:tc>
        <w:tc>
          <w:tcPr>
            <w:tcW w:w="2460" w:type="dxa"/>
            <w:vAlign w:val="bottom"/>
          </w:tcPr>
          <w:p>
            <w:pPr>
              <w:jc w:val="center"/>
              <w:ind w:left="1241"/>
              <w:spacing w:after="0"/>
              <w:rPr>
                <w:sz w:val="20"/>
                <w:szCs w:val="20"/>
                <w:color w:val="auto"/>
              </w:rPr>
            </w:pPr>
            <w:r>
              <w:rPr>
                <w:rFonts w:ascii="Arial" w:cs="Arial" w:eastAsia="Arial" w:hAnsi="Arial"/>
                <w:sz w:val="18"/>
                <w:szCs w:val="18"/>
                <w:b w:val="1"/>
                <w:bCs w:val="1"/>
                <w:color w:val="auto"/>
                <w:w w:val="90"/>
              </w:rPr>
              <w:t>Not Applicable</w:t>
            </w:r>
          </w:p>
        </w:tc>
      </w:tr>
      <w:tr>
        <w:trPr>
          <w:trHeight w:val="186"/>
        </w:trPr>
        <w:tc>
          <w:tcPr>
            <w:tcW w:w="4120" w:type="dxa"/>
            <w:vAlign w:val="bottom"/>
          </w:tcPr>
          <w:p>
            <w:pPr>
              <w:jc w:val="center"/>
              <w:ind w:left="113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2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248920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Attached hereto as Exhibit 99.1 and incorporated by reference herein is financial information for MagnaChip Semiconductor Corporation and its consolidated subsidiaries for the second quarter ended June 30, 2020, as presented in a press release dated July 30, 2020.</w:t>
      </w:r>
    </w:p>
    <w:p>
      <w:pPr>
        <w:spacing w:after="0" w:line="14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information disclosed under this Item 2.02, including Exhibit 99.1 hereto, shall not be deemed “filed” for purposes of Section 18 of the Securities Exchange Act of 1934, as amended, and shall not be deemed incorporated by reference into any filing made under the Securities Act of 1933, as amended, except as expressly set forth by specific reference in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July 20, 2020, MagnaChip Semiconductor Corporation’s Fab 3 facility in Gumi, South Korea experienced a temporary power outage for approximately 9 hours and 15 minutes as a result of an accident involving branches of a nearby tree falling onto cables connecting one of the electricity pylons that supplies power to the Gumi plant. We are nearly fully operational in our Fab 3 facility as of the date of this report. The accident caused damage to our work-in-process wafers with an estimated total cost of up to approximately $2.3 million. The related impact to our revenue from continuing operations is expected to be negligible. We are currently evaluating potential insurance and other claims that we may have for the above loss and damages.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for Forward-Looking Statements</w:t>
      </w:r>
    </w:p>
    <w:p>
      <w:pPr>
        <w:spacing w:after="0" w:line="11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Information in this report and the accompanying press release regarding MagnaChip’s forecasts, business outlook, expectations and beliefs are forward-looking statements within the meaning of the Private Securities Litigation Reform Act of 1995 that involve risks and uncertainties. These statements include statements about MagnaChip’s future operating and financial performance, outlook and business plans, including third quarter 2020 revenue and gross profit margin expectations, the evaluation and expectation of costs and related revenue impact and timing as a result of the power outage, and the impact of the COVID-19 pandemic and escalated trade tensions on MagnaChip’s third quarter 2020 and future operating results. All forward-looking statements included in this report and the accompanying press release are based upon information available to MagnaChip as of the date of this report and the accompanying press release, which may change, and we assume no obligation to update any such forward-looking statements. These statements are not guarantees of future performance and actual results could differ materially from our current expectations. Factors that could cause or contribute to such differences include the impact of changes in macroeconomic and/or general economic conditions, including those caused by or related to the COVID-19 outbreak, recessions, economic instability and the outbreak of disease; the impact of competitive products and pricing; timely design acceptance by our customers; timely introduction of new products and technologies; ability to ramp new products into volume production; industry wide shifts in supply and demand for semiconductor products; industry and/or company overcapacity; effective and cost efficient utilization of manufacturing capacity; financial stability in foreign markets and the impact of foreign exchange rates; unanticipated costs and expenses or the inability to identify expenses which can be eliminated; compliance with U.S. and international trade and export laws and regulations by us and our distributors; the risk that the pending sale of our Foundry Services Group business and the Fab 4 facility to Magnus Semiconductor, LLC or one of its wholly owned subsidiaries is not consummated according to our current expectations or at all; public health issues, including the COVID-19 pandemic; other business interruptions that could disrupt supply or delivery of, or demand for, MagnaChip’s products, including uncertainties regarding the impacts of the COVID-19 pandemic that may result in factory closures, reduced workforces, scarcity of raw materials and goods produced in infected areas, as well as reduced consumer and business spending affecting demand for MagnaChip’s products due to government and private sector mandatory business closures, travel restrictions or the like to prevent the spread of disease; and other risks detailed from time to time in MagnaChip’s filings with the Securities and Exchange Commission including our Form 10-K filed on February 21, 2020 (including that the impact of the COVID-19 pandemic may also exacerbate the risks discussed therein), our Form 10-Q filed on May 11, 2020 and subsequent registration statements, amendments or other reports that we may file from time to time with the Securities and Exchange Commission and/or make available on our website. MagnaChip assumes no obligation and does not intend to update the forward-looking statements provided, whether as a result of new information, future events or otherwise.</w:t>
      </w:r>
    </w:p>
    <w:p>
      <w:pPr>
        <w:sectPr>
          <w:pgSz w:w="11900" w:h="16838" w:orient="portrait"/>
          <w:cols w:equalWidth="0" w:num="1">
            <w:col w:w="10980"/>
          </w:cols>
          <w:pgMar w:left="440" w:top="270" w:right="479" w:bottom="1440" w:gutter="0" w:footer="0" w:header="0"/>
        </w:sectPr>
      </w:pPr>
    </w:p>
    <w:bookmarkStart w:id="2" w:name="page3"/>
    <w:bookmarkEnd w:id="2"/>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furnished as part of this report:</w:t>
      </w: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ind w:left="120"/>
        <w:spacing w:after="0"/>
        <w:tabs>
          <w:tab w:leader="none" w:pos="8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1"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Press release for MagnaChip Semiconductor Corporation dated July 30, 2020, announcing the results for the second quarter ended June 30,</w:t>
        </w:r>
      </w:hyperlink>
    </w:p>
    <w:p>
      <w:pPr>
        <w:spacing w:after="0" w:line="23" w:lineRule="exact"/>
        <w:rPr>
          <w:sz w:val="20"/>
          <w:szCs w:val="20"/>
          <w:color w:val="auto"/>
        </w:rPr>
      </w:pPr>
    </w:p>
    <w:p>
      <w:pPr>
        <w:ind w:left="8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2020.</w:t>
        </w:r>
      </w:hyperlink>
    </w:p>
    <w:p>
      <w:pPr>
        <w:sectPr>
          <w:pgSz w:w="11900" w:h="16838" w:orient="portrait"/>
          <w:cols w:equalWidth="0" w:num="1">
            <w:col w:w="10900"/>
          </w:cols>
          <w:pgMar w:left="440" w:top="270" w:right="559"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w:t>
      </w:r>
    </w:p>
    <w:p>
      <w:pPr>
        <w:spacing w:after="0" w:line="229"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spacing w:after="0"/>
        <w:tabs>
          <w:tab w:leader="none" w:pos="5360" w:val="left"/>
          <w:tab w:leader="none" w:pos="5820" w:val="left"/>
        </w:tabs>
        <w:rPr>
          <w:sz w:val="20"/>
          <w:szCs w:val="20"/>
          <w:color w:val="auto"/>
        </w:rPr>
      </w:pPr>
      <w:r>
        <w:rPr>
          <w:rFonts w:ascii="Arial" w:cs="Arial" w:eastAsia="Arial" w:hAnsi="Arial"/>
          <w:sz w:val="18"/>
          <w:szCs w:val="18"/>
          <w:color w:val="auto"/>
        </w:rPr>
        <w:t>Dated: July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14605</wp:posOffset>
            </wp:positionV>
            <wp:extent cx="32829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Theodore Kim</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Chief Compliance Officer, Executive Vice President, General Counsel</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and Secretary</w:t>
      </w:r>
    </w:p>
    <w:p>
      <w:pPr>
        <w:sectPr>
          <w:pgSz w:w="11900" w:h="16838" w:orient="portrait"/>
          <w:cols w:equalWidth="0" w:num="1">
            <w:col w:w="10900"/>
          </w:cols>
          <w:pgMar w:left="440" w:top="270" w:right="5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2486025" cy="6172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8602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102870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MagnaChip Reports Results for Second Quarter 2020</w:t>
      </w:r>
    </w:p>
    <w:p>
      <w:pPr>
        <w:spacing w:after="0" w:line="131" w:lineRule="exact"/>
        <w:rPr>
          <w:sz w:val="20"/>
          <w:szCs w:val="20"/>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GAAP earnings per share of $0.34 from continuing operations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Non-GAAP diluted earnings per share from continuing operations of $0.13</w:t>
      </w:r>
    </w:p>
    <w:p>
      <w:pPr>
        <w:spacing w:after="0" w:line="130" w:lineRule="exact"/>
        <w:rPr>
          <w:rFonts w:ascii="Arial" w:cs="Arial" w:eastAsia="Arial" w:hAnsi="Arial"/>
          <w:sz w:val="18"/>
          <w:szCs w:val="18"/>
          <w:color w:val="auto"/>
        </w:rPr>
      </w:pPr>
    </w:p>
    <w:p>
      <w:pPr>
        <w:ind w:left="960" w:right="580" w:hanging="424"/>
        <w:spacing w:after="0" w:line="282"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Cash of $192.8 million highest since IPO in March 2011; net operating cash flow of $36.0 million, which was the 5th straight quarter of positive operating cash flow</w:t>
      </w:r>
    </w:p>
    <w:p>
      <w:pPr>
        <w:spacing w:after="0" w:line="67" w:lineRule="exact"/>
        <w:rPr>
          <w:rFonts w:ascii="Arial" w:cs="Arial" w:eastAsia="Arial" w:hAnsi="Arial"/>
          <w:sz w:val="18"/>
          <w:szCs w:val="18"/>
          <w:color w:val="auto"/>
        </w:rPr>
      </w:pPr>
    </w:p>
    <w:p>
      <w:pPr>
        <w:ind w:left="960" w:right="640" w:hanging="424"/>
        <w:spacing w:after="0" w:line="282"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Revenue from continuing operations of $118.8 million; reflecting approximately $6 million impact from the strategic exit of non-auto LCD DDIC product line during the second quarter</w:t>
      </w:r>
    </w:p>
    <w:p>
      <w:pPr>
        <w:spacing w:after="0" w:line="67"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Revenue from standard products business of $109.0 million and the Foundry Services Group of $95.8 million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Non-GAAP combined revenue of $204.7 million from total operations exceeded high-end of the guidance range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Gross profit margin from continuing operations of 27.0%, 460 bps increase Y/Y</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Gross profit margin from standard products business of 29.5% and the Foundry Services Group of 32.3%</w:t>
      </w:r>
    </w:p>
    <w:p>
      <w:pPr>
        <w:spacing w:after="0" w:line="130" w:lineRule="exact"/>
        <w:rPr>
          <w:rFonts w:ascii="Arial" w:cs="Arial" w:eastAsia="Arial" w:hAnsi="Arial"/>
          <w:sz w:val="18"/>
          <w:szCs w:val="18"/>
          <w:color w:val="auto"/>
        </w:rPr>
      </w:pPr>
    </w:p>
    <w:p>
      <w:pPr>
        <w:ind w:left="960" w:right="780" w:hanging="424"/>
        <w:spacing w:after="0" w:line="282"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Excluding depreciation benefit of $2 million from discontinued operations, non-GAAP combined gross margin from total operations of 29.7% surpassed high-end of guidance range</w:t>
      </w:r>
    </w:p>
    <w:p>
      <w:pPr>
        <w:spacing w:after="0" w:line="162"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color w:val="auto"/>
        </w:rPr>
        <w:t xml:space="preserve">SEOUL, South Korea and SAN JOSE, Calif., July 30, 2020 </w:t>
      </w:r>
      <w:r>
        <w:rPr>
          <w:rFonts w:ascii="Arial" w:cs="Arial" w:eastAsia="Arial" w:hAnsi="Arial"/>
          <w:sz w:val="18"/>
          <w:szCs w:val="18"/>
          <w:color w:val="auto"/>
        </w:rPr>
        <w:t>— MagnaChip Semiconductor Corporation (NYSE: MX) (“MagnaChip” 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today announced financial results for the second quarter of 2020.</w:t>
      </w:r>
    </w:p>
    <w:p>
      <w:pPr>
        <w:spacing w:after="0" w:line="166"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“We executed well and delivered an excellent quarter despite market disruptions caused by COVID-19 by achieving key financial metrics above expectations, said YJ Kim, MagnaChip’s chief executive officer. In addition to delivering outstanding financial results, our team is making substantial progress with the pending sale of our Foundry Services Group business and Fab 4. Based on the progress we made so far, we now anticipate that the transaction likely will close in the third quarter instead of our previous estimate of the September-October timeframe.”</w:t>
      </w:r>
    </w:p>
    <w:p>
      <w:pPr>
        <w:spacing w:after="0" w:line="171"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color w:val="auto"/>
        </w:rPr>
        <w:t>“The new MagnaChip is undergoing a dramatic transformation to accelerate our profitability. While we can’t be completely immune to the risk of COVID-19 and macroeconomic conditions, we will continue our relentless execution to deliver a successful close of the pending transaction and strengthen our business foundation for profitable growth.”</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Q2 2020 Financial Highlights</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following table sets forth certain financial and other information relating to the continuing and discontinued operations. Following the execution of the definitive agreement to sell the Foundry business and Fab 4, the Foundry Services Group has been accounted for as a discontinued operations beginning in the first quarter of 2020.</w:t>
      </w:r>
    </w:p>
    <w:p>
      <w:pPr>
        <w:sectPr>
          <w:pgSz w:w="11900" w:h="16838" w:orient="portrait"/>
          <w:cols w:equalWidth="0" w:num="1">
            <w:col w:w="11020"/>
          </w:cols>
          <w:pgMar w:left="440" w:top="121" w:right="439" w:bottom="1440" w:gutter="0" w:footer="0" w:header="0"/>
        </w:sectPr>
      </w:pPr>
    </w:p>
    <w:bookmarkStart w:id="5" w:name="page6"/>
    <w:bookmarkEnd w:id="5"/>
    <w:tbl>
      <w:tblPr>
        <w:tblLayout w:type="fixed"/>
        <w:tblInd w:w="4" w:type="dxa"/>
        <w:tblCellMar>
          <w:top w:w="0" w:type="dxa"/>
          <w:left w:w="0" w:type="dxa"/>
          <w:bottom w:w="0" w:type="dxa"/>
          <w:right w:w="0" w:type="dxa"/>
        </w:tblCellMar>
      </w:tblPr>
      <w:tr>
        <w:trPr>
          <w:trHeight w:val="167"/>
        </w:trPr>
        <w:tc>
          <w:tcPr>
            <w:tcW w:w="5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gridSpan w:val="12"/>
          </w:tcPr>
          <w:p>
            <w:pPr>
              <w:jc w:val="right"/>
              <w:ind w:right="220"/>
              <w:spacing w:after="0"/>
              <w:rPr>
                <w:sz w:val="20"/>
                <w:szCs w:val="20"/>
                <w:color w:val="auto"/>
              </w:rPr>
            </w:pPr>
            <w:r>
              <w:rPr>
                <w:rFonts w:ascii="Arial" w:cs="Arial" w:eastAsia="Arial" w:hAnsi="Arial"/>
                <w:sz w:val="14"/>
                <w:szCs w:val="14"/>
                <w:color w:val="auto"/>
                <w:w w:val="91"/>
              </w:rPr>
              <w:t>In thousands of US dollars, except share data</w:t>
            </w:r>
          </w:p>
        </w:tc>
      </w:tr>
      <w:tr>
        <w:trPr>
          <w:trHeight w:val="142"/>
        </w:trPr>
        <w:tc>
          <w:tcPr>
            <w:tcW w:w="598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Q2 2020</w:t>
            </w:r>
          </w:p>
        </w:tc>
        <w:tc>
          <w:tcPr>
            <w:tcW w:w="3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5"/>
          </w:tcPr>
          <w:p>
            <w:pPr>
              <w:jc w:val="right"/>
              <w:ind w:right="380"/>
              <w:spacing w:after="0" w:line="142" w:lineRule="exact"/>
              <w:rPr>
                <w:sz w:val="20"/>
                <w:szCs w:val="20"/>
                <w:color w:val="auto"/>
              </w:rPr>
            </w:pPr>
            <w:r>
              <w:rPr>
                <w:rFonts w:ascii="Arial" w:cs="Arial" w:eastAsia="Arial" w:hAnsi="Arial"/>
                <w:sz w:val="14"/>
                <w:szCs w:val="14"/>
                <w:b w:val="1"/>
                <w:bCs w:val="1"/>
                <w:color w:val="auto"/>
              </w:rPr>
              <w:t>Q1 2020</w:t>
            </w:r>
          </w:p>
        </w:tc>
        <w:tc>
          <w:tcPr>
            <w:tcW w:w="1080" w:type="dxa"/>
            <w:vAlign w:val="bottom"/>
            <w:tcBorders>
              <w:top w:val="single" w:sz="8" w:color="auto"/>
            </w:tcBorders>
            <w:gridSpan w:val="5"/>
          </w:tcPr>
          <w:p>
            <w:pPr>
              <w:ind w:left="20"/>
              <w:spacing w:after="0" w:line="142" w:lineRule="exact"/>
              <w:rPr>
                <w:sz w:val="20"/>
                <w:szCs w:val="20"/>
                <w:color w:val="auto"/>
              </w:rPr>
            </w:pPr>
            <w:r>
              <w:rPr>
                <w:rFonts w:ascii="Arial" w:cs="Arial" w:eastAsia="Arial" w:hAnsi="Arial"/>
                <w:sz w:val="14"/>
                <w:szCs w:val="14"/>
                <w:b w:val="1"/>
                <w:bCs w:val="1"/>
                <w:color w:val="auto"/>
              </w:rPr>
              <w:t>Q/Q change</w:t>
            </w:r>
          </w:p>
        </w:tc>
        <w:tc>
          <w:tcPr>
            <w:tcW w:w="960" w:type="dxa"/>
            <w:vAlign w:val="bottom"/>
            <w:tcBorders>
              <w:top w:val="single" w:sz="8" w:color="auto"/>
            </w:tcBorders>
            <w:gridSpan w:val="6"/>
          </w:tcPr>
          <w:p>
            <w:pPr>
              <w:jc w:val="right"/>
              <w:ind w:right="380"/>
              <w:spacing w:after="0" w:line="142" w:lineRule="exact"/>
              <w:rPr>
                <w:sz w:val="20"/>
                <w:szCs w:val="20"/>
                <w:color w:val="auto"/>
              </w:rPr>
            </w:pPr>
            <w:r>
              <w:rPr>
                <w:rFonts w:ascii="Arial" w:cs="Arial" w:eastAsia="Arial" w:hAnsi="Arial"/>
                <w:sz w:val="14"/>
                <w:szCs w:val="14"/>
                <w:b w:val="1"/>
                <w:bCs w:val="1"/>
                <w:color w:val="auto"/>
              </w:rPr>
              <w:t>Q2 2019</w:t>
            </w:r>
          </w:p>
        </w:tc>
        <w:tc>
          <w:tcPr>
            <w:tcW w:w="8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Y/Y change</w:t>
            </w:r>
          </w:p>
        </w:tc>
        <w:tc>
          <w:tcPr>
            <w:tcW w:w="220" w:type="dxa"/>
            <w:vAlign w:val="bottom"/>
          </w:tcPr>
          <w:p>
            <w:pPr>
              <w:spacing w:after="0"/>
              <w:rPr>
                <w:sz w:val="12"/>
                <w:szCs w:val="12"/>
                <w:color w:val="auto"/>
              </w:rPr>
            </w:pPr>
          </w:p>
        </w:tc>
      </w:tr>
      <w:tr>
        <w:trPr>
          <w:trHeight w:val="196"/>
        </w:trPr>
        <w:tc>
          <w:tcPr>
            <w:tcW w:w="5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660" w:type="dxa"/>
            <w:vAlign w:val="bottom"/>
            <w:tcBorders>
              <w:top w:val="single" w:sz="8" w:color="auto"/>
              <w:right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left w:val="single" w:sz="8" w:color="CCEEFF"/>
            </w:tcBorders>
            <w:shd w:val="clear" w:color="auto" w:fill="CCEEFF"/>
          </w:tcPr>
          <w:p>
            <w:pPr>
              <w:spacing w:after="0"/>
              <w:rPr>
                <w:sz w:val="17"/>
                <w:szCs w:val="17"/>
                <w:color w:val="auto"/>
              </w:rPr>
            </w:pPr>
          </w:p>
        </w:tc>
        <w:tc>
          <w:tcPr>
            <w:tcW w:w="20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lef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lef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Continuing Operations</w:t>
            </w:r>
            <w:r>
              <w:rPr>
                <w:rFonts w:ascii="Arial" w:cs="Arial" w:eastAsia="Arial" w:hAnsi="Arial"/>
                <w:sz w:val="15"/>
                <w:szCs w:val="15"/>
                <w:color w:val="auto"/>
              </w:rPr>
              <w:t>(1)</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118,828</w:t>
            </w:r>
          </w:p>
        </w:tc>
        <w:tc>
          <w:tcPr>
            <w:tcW w:w="1260" w:type="dxa"/>
            <w:vAlign w:val="bottom"/>
            <w:gridSpan w:val="6"/>
          </w:tcPr>
          <w:p>
            <w:pPr>
              <w:jc w:val="right"/>
              <w:ind w:right="300"/>
              <w:spacing w:after="0"/>
              <w:rPr>
                <w:sz w:val="20"/>
                <w:szCs w:val="20"/>
                <w:color w:val="auto"/>
              </w:rPr>
            </w:pPr>
            <w:r>
              <w:rPr>
                <w:rFonts w:ascii="Arial" w:cs="Arial" w:eastAsia="Arial" w:hAnsi="Arial"/>
                <w:sz w:val="18"/>
                <w:szCs w:val="18"/>
                <w:color w:val="auto"/>
              </w:rPr>
              <w:t>120,473</w:t>
            </w:r>
          </w:p>
        </w:tc>
        <w:tc>
          <w:tcPr>
            <w:tcW w:w="1080" w:type="dxa"/>
            <w:vAlign w:val="bottom"/>
            <w:gridSpan w:val="5"/>
          </w:tcPr>
          <w:p>
            <w:pPr>
              <w:ind w:left="60"/>
              <w:spacing w:after="0"/>
              <w:rPr>
                <w:sz w:val="20"/>
                <w:szCs w:val="20"/>
                <w:color w:val="auto"/>
              </w:rPr>
            </w:pPr>
            <w:r>
              <w:rPr>
                <w:rFonts w:ascii="Arial" w:cs="Arial" w:eastAsia="Arial" w:hAnsi="Arial"/>
                <w:sz w:val="18"/>
                <w:szCs w:val="18"/>
                <w:color w:val="auto"/>
              </w:rPr>
              <w:t>down 1.4 %</w:t>
            </w:r>
          </w:p>
        </w:tc>
        <w:tc>
          <w:tcPr>
            <w:tcW w:w="800" w:type="dxa"/>
            <w:vAlign w:val="bottom"/>
            <w:gridSpan w:val="5"/>
          </w:tcPr>
          <w:p>
            <w:pPr>
              <w:jc w:val="right"/>
              <w:ind w:right="140"/>
              <w:spacing w:after="0"/>
              <w:rPr>
                <w:sz w:val="20"/>
                <w:szCs w:val="20"/>
                <w:color w:val="auto"/>
              </w:rPr>
            </w:pPr>
            <w:r>
              <w:rPr>
                <w:rFonts w:ascii="Arial" w:cs="Arial" w:eastAsia="Arial" w:hAnsi="Arial"/>
                <w:sz w:val="18"/>
                <w:szCs w:val="18"/>
                <w:color w:val="auto"/>
                <w:w w:val="98"/>
              </w:rPr>
              <w:t>140,885</w:t>
            </w:r>
          </w:p>
        </w:tc>
        <w:tc>
          <w:tcPr>
            <w:tcW w:w="16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w w:val="96"/>
              </w:rPr>
              <w:t>down 15.7 %</w:t>
            </w: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Standard Products Business</w:t>
            </w:r>
            <w:r>
              <w:rPr>
                <w:rFonts w:ascii="Arial" w:cs="Arial" w:eastAsia="Arial" w:hAnsi="Arial"/>
                <w:sz w:val="15"/>
                <w:szCs w:val="15"/>
                <w:color w:val="auto"/>
              </w:rPr>
              <w:t>(1)</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108,955</w:t>
            </w:r>
          </w:p>
        </w:tc>
        <w:tc>
          <w:tcPr>
            <w:tcW w:w="1260" w:type="dxa"/>
            <w:vAlign w:val="bottom"/>
            <w:gridSpan w:val="6"/>
            <w:shd w:val="clear" w:color="auto" w:fill="CCEEFF"/>
          </w:tcPr>
          <w:p>
            <w:pPr>
              <w:jc w:val="right"/>
              <w:ind w:right="300"/>
              <w:spacing w:after="0"/>
              <w:rPr>
                <w:sz w:val="20"/>
                <w:szCs w:val="20"/>
                <w:color w:val="auto"/>
              </w:rPr>
            </w:pPr>
            <w:r>
              <w:rPr>
                <w:rFonts w:ascii="Arial" w:cs="Arial" w:eastAsia="Arial" w:hAnsi="Arial"/>
                <w:sz w:val="18"/>
                <w:szCs w:val="18"/>
                <w:color w:val="auto"/>
              </w:rPr>
              <w:t>110,736</w:t>
            </w:r>
          </w:p>
        </w:tc>
        <w:tc>
          <w:tcPr>
            <w:tcW w:w="1080" w:type="dxa"/>
            <w:vAlign w:val="bottom"/>
            <w:tcBorders>
              <w:left w:val="single" w:sz="8" w:color="CCEEFF"/>
            </w:tcBorders>
            <w:gridSpan w:val="5"/>
            <w:shd w:val="clear" w:color="auto" w:fill="CCEEFF"/>
          </w:tcPr>
          <w:p>
            <w:pPr>
              <w:ind w:left="60"/>
              <w:spacing w:after="0"/>
              <w:rPr>
                <w:sz w:val="20"/>
                <w:szCs w:val="20"/>
                <w:color w:val="auto"/>
              </w:rPr>
            </w:pPr>
            <w:r>
              <w:rPr>
                <w:rFonts w:ascii="Arial" w:cs="Arial" w:eastAsia="Arial" w:hAnsi="Arial"/>
                <w:sz w:val="18"/>
                <w:szCs w:val="18"/>
                <w:color w:val="auto"/>
              </w:rPr>
              <w:t>down 1.6 %</w:t>
            </w:r>
          </w:p>
        </w:tc>
        <w:tc>
          <w:tcPr>
            <w:tcW w:w="8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w w:val="98"/>
              </w:rPr>
              <w:t>132,006</w:t>
            </w:r>
          </w:p>
        </w:tc>
        <w:tc>
          <w:tcPr>
            <w:tcW w:w="160" w:type="dxa"/>
            <w:vAlign w:val="bottom"/>
            <w:tcBorders>
              <w:left w:val="single" w:sz="8" w:color="CCEEFF"/>
            </w:tcBorders>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6"/>
              </w:rPr>
              <w:t>down 17.5 %</w:t>
            </w: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Foundry Services Group</w:t>
            </w:r>
          </w:p>
        </w:tc>
        <w:tc>
          <w:tcPr>
            <w:tcW w:w="660" w:type="dxa"/>
            <w:vAlign w:val="bottom"/>
          </w:tcPr>
          <w:p>
            <w:pPr>
              <w:jc w:val="right"/>
              <w:spacing w:after="0"/>
              <w:rPr>
                <w:sz w:val="20"/>
                <w:szCs w:val="20"/>
                <w:color w:val="auto"/>
              </w:rPr>
            </w:pPr>
            <w:r>
              <w:rPr>
                <w:rFonts w:ascii="Arial" w:cs="Arial" w:eastAsia="Arial" w:hAnsi="Arial"/>
                <w:sz w:val="18"/>
                <w:szCs w:val="18"/>
                <w:color w:val="auto"/>
              </w:rPr>
              <w:t>95,779</w:t>
            </w:r>
          </w:p>
        </w:tc>
        <w:tc>
          <w:tcPr>
            <w:tcW w:w="1260" w:type="dxa"/>
            <w:vAlign w:val="bottom"/>
            <w:gridSpan w:val="6"/>
          </w:tcPr>
          <w:p>
            <w:pPr>
              <w:jc w:val="right"/>
              <w:ind w:right="300"/>
              <w:spacing w:after="0"/>
              <w:rPr>
                <w:sz w:val="20"/>
                <w:szCs w:val="20"/>
                <w:color w:val="auto"/>
              </w:rPr>
            </w:pPr>
            <w:r>
              <w:rPr>
                <w:rFonts w:ascii="Arial" w:cs="Arial" w:eastAsia="Arial" w:hAnsi="Arial"/>
                <w:sz w:val="18"/>
                <w:szCs w:val="18"/>
                <w:color w:val="auto"/>
              </w:rPr>
              <w:t>86,279</w:t>
            </w:r>
          </w:p>
        </w:tc>
        <w:tc>
          <w:tcPr>
            <w:tcW w:w="160" w:type="dxa"/>
            <w:vAlign w:val="bottom"/>
          </w:tcPr>
          <w:p>
            <w:pPr>
              <w:spacing w:after="0"/>
              <w:rPr>
                <w:sz w:val="18"/>
                <w:szCs w:val="18"/>
                <w:color w:val="auto"/>
              </w:rPr>
            </w:pPr>
          </w:p>
        </w:tc>
        <w:tc>
          <w:tcPr>
            <w:tcW w:w="920" w:type="dxa"/>
            <w:vAlign w:val="bottom"/>
            <w:gridSpan w:val="4"/>
          </w:tcPr>
          <w:p>
            <w:pPr>
              <w:jc w:val="right"/>
              <w:ind w:right="160"/>
              <w:spacing w:after="0"/>
              <w:rPr>
                <w:sz w:val="20"/>
                <w:szCs w:val="20"/>
                <w:color w:val="auto"/>
              </w:rPr>
            </w:pPr>
            <w:r>
              <w:rPr>
                <w:rFonts w:ascii="Arial" w:cs="Arial" w:eastAsia="Arial" w:hAnsi="Arial"/>
                <w:sz w:val="18"/>
                <w:szCs w:val="18"/>
                <w:color w:val="auto"/>
                <w:w w:val="91"/>
              </w:rPr>
              <w:t>up 11.0 %</w:t>
            </w:r>
          </w:p>
        </w:tc>
        <w:tc>
          <w:tcPr>
            <w:tcW w:w="160" w:type="dxa"/>
            <w:vAlign w:val="bottom"/>
          </w:tcPr>
          <w:p>
            <w:pPr>
              <w:spacing w:after="0"/>
              <w:rPr>
                <w:sz w:val="18"/>
                <w:szCs w:val="18"/>
                <w:color w:val="auto"/>
              </w:rPr>
            </w:pPr>
          </w:p>
        </w:tc>
        <w:tc>
          <w:tcPr>
            <w:tcW w:w="640" w:type="dxa"/>
            <w:vAlign w:val="bottom"/>
            <w:gridSpan w:val="4"/>
          </w:tcPr>
          <w:p>
            <w:pPr>
              <w:jc w:val="right"/>
              <w:ind w:right="140"/>
              <w:spacing w:after="0"/>
              <w:rPr>
                <w:sz w:val="20"/>
                <w:szCs w:val="20"/>
                <w:color w:val="auto"/>
              </w:rPr>
            </w:pPr>
            <w:r>
              <w:rPr>
                <w:rFonts w:ascii="Arial" w:cs="Arial" w:eastAsia="Arial" w:hAnsi="Arial"/>
                <w:sz w:val="18"/>
                <w:szCs w:val="18"/>
                <w:color w:val="auto"/>
                <w:w w:val="87"/>
              </w:rPr>
              <w:t>73,139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up 31.0 %</w:t>
            </w: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Non-GAAP Combined Total Revenues</w:t>
            </w:r>
            <w:r>
              <w:rPr>
                <w:rFonts w:ascii="Arial" w:cs="Arial" w:eastAsia="Arial" w:hAnsi="Arial"/>
                <w:sz w:val="15"/>
                <w:szCs w:val="15"/>
                <w:color w:val="auto"/>
              </w:rPr>
              <w:t>(2)</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204,734</w:t>
            </w:r>
          </w:p>
        </w:tc>
        <w:tc>
          <w:tcPr>
            <w:tcW w:w="1260" w:type="dxa"/>
            <w:vAlign w:val="bottom"/>
            <w:gridSpan w:val="6"/>
            <w:shd w:val="clear" w:color="auto" w:fill="CCEEFF"/>
          </w:tcPr>
          <w:p>
            <w:pPr>
              <w:jc w:val="right"/>
              <w:ind w:right="300"/>
              <w:spacing w:after="0"/>
              <w:rPr>
                <w:sz w:val="20"/>
                <w:szCs w:val="20"/>
                <w:color w:val="auto"/>
              </w:rPr>
            </w:pPr>
            <w:r>
              <w:rPr>
                <w:rFonts w:ascii="Arial" w:cs="Arial" w:eastAsia="Arial" w:hAnsi="Arial"/>
                <w:sz w:val="18"/>
                <w:szCs w:val="18"/>
                <w:color w:val="auto"/>
              </w:rPr>
              <w:t>197,015</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7"/>
              </w:rPr>
              <w:t>up 3.9 %</w:t>
            </w:r>
          </w:p>
        </w:tc>
        <w:tc>
          <w:tcPr>
            <w:tcW w:w="8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w w:val="98"/>
              </w:rPr>
              <w:t>205,145</w:t>
            </w:r>
          </w:p>
        </w:tc>
        <w:tc>
          <w:tcPr>
            <w:tcW w:w="16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down 0.2 %</w:t>
            </w:r>
          </w:p>
        </w:tc>
      </w:tr>
      <w:tr>
        <w:trPr>
          <w:trHeight w:val="223"/>
        </w:trPr>
        <w:tc>
          <w:tcPr>
            <w:tcW w:w="5980" w:type="dxa"/>
            <w:vAlign w:val="bottom"/>
          </w:tcPr>
          <w:p>
            <w:pPr>
              <w:spacing w:after="0"/>
              <w:rPr>
                <w:sz w:val="20"/>
                <w:szCs w:val="20"/>
                <w:color w:val="auto"/>
              </w:rPr>
            </w:pPr>
            <w:r>
              <w:rPr>
                <w:rFonts w:ascii="Arial" w:cs="Arial" w:eastAsia="Arial" w:hAnsi="Arial"/>
                <w:sz w:val="18"/>
                <w:szCs w:val="18"/>
                <w:b w:val="1"/>
                <w:bCs w:val="1"/>
                <w:color w:val="auto"/>
              </w:rPr>
              <w:t>Gross Profit Margin</w:t>
            </w:r>
          </w:p>
        </w:tc>
        <w:tc>
          <w:tcPr>
            <w:tcW w:w="6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Continuing Operations</w:t>
            </w:r>
            <w:r>
              <w:rPr>
                <w:rFonts w:ascii="Arial" w:cs="Arial" w:eastAsia="Arial" w:hAnsi="Arial"/>
                <w:sz w:val="15"/>
                <w:szCs w:val="15"/>
                <w:color w:val="auto"/>
              </w:rPr>
              <w:t>(1)</w:t>
            </w:r>
          </w:p>
        </w:tc>
        <w:tc>
          <w:tcPr>
            <w:tcW w:w="960" w:type="dxa"/>
            <w:vAlign w:val="bottom"/>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27.0%</w:t>
            </w:r>
          </w:p>
        </w:tc>
        <w:tc>
          <w:tcPr>
            <w:tcW w:w="220" w:type="dxa"/>
            <w:vAlign w:val="bottom"/>
            <w:shd w:val="clear" w:color="auto" w:fill="CCEEFF"/>
          </w:tcPr>
          <w:p>
            <w:pPr>
              <w:spacing w:after="0"/>
              <w:rPr>
                <w:sz w:val="18"/>
                <w:szCs w:val="18"/>
                <w:color w:val="auto"/>
              </w:rPr>
            </w:pPr>
          </w:p>
        </w:tc>
        <w:tc>
          <w:tcPr>
            <w:tcW w:w="4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24.2%</w:t>
            </w:r>
          </w:p>
        </w:tc>
        <w:tc>
          <w:tcPr>
            <w:tcW w:w="1080" w:type="dxa"/>
            <w:vAlign w:val="bottom"/>
            <w:tcBorders>
              <w:left w:val="single" w:sz="8" w:color="CCEEFF"/>
            </w:tcBorders>
            <w:gridSpan w:val="5"/>
            <w:shd w:val="clear" w:color="auto" w:fill="CCEEFF"/>
          </w:tcPr>
          <w:p>
            <w:pPr>
              <w:ind w:left="80"/>
              <w:spacing w:after="0"/>
              <w:rPr>
                <w:sz w:val="20"/>
                <w:szCs w:val="20"/>
                <w:color w:val="auto"/>
              </w:rPr>
            </w:pPr>
            <w:r>
              <w:rPr>
                <w:rFonts w:ascii="Arial" w:cs="Arial" w:eastAsia="Arial" w:hAnsi="Arial"/>
                <w:sz w:val="18"/>
                <w:szCs w:val="18"/>
                <w:color w:val="auto"/>
              </w:rPr>
              <w:t>up 2.8 pts</w:t>
            </w:r>
          </w:p>
        </w:tc>
        <w:tc>
          <w:tcPr>
            <w:tcW w:w="1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6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up 4.6 pts</w:t>
            </w: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Standard Products Business</w:t>
            </w:r>
            <w:r>
              <w:rPr>
                <w:rFonts w:ascii="Arial" w:cs="Arial" w:eastAsia="Arial" w:hAnsi="Arial"/>
                <w:sz w:val="15"/>
                <w:szCs w:val="15"/>
                <w:color w:val="auto"/>
              </w:rPr>
              <w:t>(1)</w:t>
            </w:r>
          </w:p>
        </w:tc>
        <w:tc>
          <w:tcPr>
            <w:tcW w:w="960" w:type="dxa"/>
            <w:vAlign w:val="bottom"/>
            <w:gridSpan w:val="2"/>
          </w:tcPr>
          <w:p>
            <w:pPr>
              <w:jc w:val="right"/>
              <w:ind w:right="73"/>
              <w:spacing w:after="0"/>
              <w:rPr>
                <w:sz w:val="20"/>
                <w:szCs w:val="20"/>
                <w:color w:val="auto"/>
              </w:rPr>
            </w:pPr>
            <w:r>
              <w:rPr>
                <w:rFonts w:ascii="Arial" w:cs="Arial" w:eastAsia="Arial" w:hAnsi="Arial"/>
                <w:sz w:val="18"/>
                <w:szCs w:val="18"/>
                <w:color w:val="auto"/>
              </w:rPr>
              <w:t>29.5%</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26.3%</w:t>
            </w:r>
          </w:p>
        </w:tc>
        <w:tc>
          <w:tcPr>
            <w:tcW w:w="1080" w:type="dxa"/>
            <w:vAlign w:val="bottom"/>
            <w:gridSpan w:val="5"/>
          </w:tcPr>
          <w:p>
            <w:pPr>
              <w:ind w:left="80"/>
              <w:spacing w:after="0"/>
              <w:rPr>
                <w:sz w:val="20"/>
                <w:szCs w:val="20"/>
                <w:color w:val="auto"/>
              </w:rPr>
            </w:pPr>
            <w:r>
              <w:rPr>
                <w:rFonts w:ascii="Arial" w:cs="Arial" w:eastAsia="Arial" w:hAnsi="Arial"/>
                <w:sz w:val="18"/>
                <w:szCs w:val="18"/>
                <w:color w:val="auto"/>
              </w:rPr>
              <w:t>up 3.2 pts</w:t>
            </w:r>
          </w:p>
        </w:tc>
        <w:tc>
          <w:tcPr>
            <w:tcW w:w="16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24.0%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up 5.5 pts</w:t>
            </w: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Foundry Services Group</w:t>
            </w:r>
            <w:r>
              <w:rPr>
                <w:rFonts w:ascii="Arial" w:cs="Arial" w:eastAsia="Arial" w:hAnsi="Arial"/>
                <w:sz w:val="15"/>
                <w:szCs w:val="15"/>
                <w:color w:val="auto"/>
              </w:rPr>
              <w:t>(3)</w:t>
            </w:r>
          </w:p>
        </w:tc>
        <w:tc>
          <w:tcPr>
            <w:tcW w:w="960" w:type="dxa"/>
            <w:vAlign w:val="bottom"/>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32.3%</w:t>
            </w:r>
          </w:p>
        </w:tc>
        <w:tc>
          <w:tcPr>
            <w:tcW w:w="220" w:type="dxa"/>
            <w:vAlign w:val="bottom"/>
            <w:shd w:val="clear" w:color="auto" w:fill="CCEEFF"/>
          </w:tcPr>
          <w:p>
            <w:pPr>
              <w:spacing w:after="0"/>
              <w:rPr>
                <w:sz w:val="18"/>
                <w:szCs w:val="18"/>
                <w:color w:val="auto"/>
              </w:rPr>
            </w:pPr>
          </w:p>
        </w:tc>
        <w:tc>
          <w:tcPr>
            <w:tcW w:w="4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24.0%</w:t>
            </w:r>
          </w:p>
        </w:tc>
        <w:tc>
          <w:tcPr>
            <w:tcW w:w="1080" w:type="dxa"/>
            <w:vAlign w:val="bottom"/>
            <w:tcBorders>
              <w:left w:val="single" w:sz="8" w:color="CCEEFF"/>
            </w:tcBorders>
            <w:gridSpan w:val="5"/>
            <w:shd w:val="clear" w:color="auto" w:fill="CCEEFF"/>
          </w:tcPr>
          <w:p>
            <w:pPr>
              <w:ind w:left="80"/>
              <w:spacing w:after="0"/>
              <w:rPr>
                <w:sz w:val="20"/>
                <w:szCs w:val="20"/>
                <w:color w:val="auto"/>
              </w:rPr>
            </w:pPr>
            <w:r>
              <w:rPr>
                <w:rFonts w:ascii="Arial" w:cs="Arial" w:eastAsia="Arial" w:hAnsi="Arial"/>
                <w:sz w:val="18"/>
                <w:szCs w:val="18"/>
                <w:color w:val="auto"/>
              </w:rPr>
              <w:t>up 8.3 pts</w:t>
            </w:r>
          </w:p>
        </w:tc>
        <w:tc>
          <w:tcPr>
            <w:tcW w:w="1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Borders>
              <w:left w:val="single" w:sz="8" w:color="CCEEFF"/>
            </w:tcBorders>
            <w:shd w:val="clear" w:color="auto" w:fill="CCEEFF"/>
          </w:tcPr>
          <w:p>
            <w:pPr>
              <w:spacing w:after="0"/>
              <w:rPr>
                <w:sz w:val="18"/>
                <w:szCs w:val="18"/>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4"/>
              </w:rPr>
              <w:t>up 15.6 pts</w:t>
            </w:r>
          </w:p>
        </w:tc>
      </w:tr>
      <w:tr>
        <w:trPr>
          <w:trHeight w:val="223"/>
        </w:trPr>
        <w:tc>
          <w:tcPr>
            <w:tcW w:w="5980" w:type="dxa"/>
            <w:vAlign w:val="bottom"/>
          </w:tcPr>
          <w:p>
            <w:pPr>
              <w:ind w:left="360"/>
              <w:spacing w:after="0"/>
              <w:rPr>
                <w:sz w:val="20"/>
                <w:szCs w:val="20"/>
                <w:color w:val="auto"/>
              </w:rPr>
            </w:pPr>
            <w:r>
              <w:rPr>
                <w:rFonts w:ascii="Arial" w:cs="Arial" w:eastAsia="Arial" w:hAnsi="Arial"/>
                <w:sz w:val="18"/>
                <w:szCs w:val="18"/>
                <w:color w:val="auto"/>
              </w:rPr>
              <w:t>Non-GAAP Combined Total Gross Profit Margin</w:t>
            </w:r>
            <w:r>
              <w:rPr>
                <w:rFonts w:ascii="Arial" w:cs="Arial" w:eastAsia="Arial" w:hAnsi="Arial"/>
                <w:sz w:val="15"/>
                <w:szCs w:val="15"/>
                <w:color w:val="auto"/>
              </w:rPr>
              <w:t>(2)(3)</w:t>
            </w:r>
          </w:p>
        </w:tc>
        <w:tc>
          <w:tcPr>
            <w:tcW w:w="960" w:type="dxa"/>
            <w:vAlign w:val="bottom"/>
            <w:gridSpan w:val="2"/>
          </w:tcPr>
          <w:p>
            <w:pPr>
              <w:jc w:val="right"/>
              <w:ind w:right="73"/>
              <w:spacing w:after="0"/>
              <w:rPr>
                <w:sz w:val="20"/>
                <w:szCs w:val="20"/>
                <w:color w:val="auto"/>
              </w:rPr>
            </w:pPr>
            <w:r>
              <w:rPr>
                <w:rFonts w:ascii="Arial" w:cs="Arial" w:eastAsia="Arial" w:hAnsi="Arial"/>
                <w:sz w:val="18"/>
                <w:szCs w:val="18"/>
                <w:color w:val="auto"/>
              </w:rPr>
              <w:t>30.8%</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25.3%</w:t>
            </w:r>
          </w:p>
        </w:tc>
        <w:tc>
          <w:tcPr>
            <w:tcW w:w="1080" w:type="dxa"/>
            <w:vAlign w:val="bottom"/>
            <w:gridSpan w:val="5"/>
          </w:tcPr>
          <w:p>
            <w:pPr>
              <w:ind w:left="80"/>
              <w:spacing w:after="0"/>
              <w:rPr>
                <w:sz w:val="20"/>
                <w:szCs w:val="20"/>
                <w:color w:val="auto"/>
              </w:rPr>
            </w:pPr>
            <w:r>
              <w:rPr>
                <w:rFonts w:ascii="Arial" w:cs="Arial" w:eastAsia="Arial" w:hAnsi="Arial"/>
                <w:sz w:val="18"/>
                <w:szCs w:val="18"/>
                <w:color w:val="auto"/>
              </w:rPr>
              <w:t>up 5.5 pts</w:t>
            </w:r>
          </w:p>
        </w:tc>
        <w:tc>
          <w:tcPr>
            <w:tcW w:w="160" w:type="dxa"/>
            <w:vAlign w:val="bottom"/>
          </w:tcPr>
          <w:p>
            <w:pPr>
              <w:spacing w:after="0"/>
              <w:rPr>
                <w:sz w:val="19"/>
                <w:szCs w:val="19"/>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21.4%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up 9.4 pts</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660" w:type="dxa"/>
            <w:vAlign w:val="bottom"/>
            <w:tcBorders>
              <w:top w:val="single" w:sz="8" w:color="auto"/>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left w:val="single" w:sz="8" w:color="CCEEFF"/>
            </w:tcBorders>
            <w:shd w:val="clear" w:color="auto" w:fill="CCEEFF"/>
          </w:tcPr>
          <w:p>
            <w:pPr>
              <w:spacing w:after="0"/>
              <w:rPr>
                <w:sz w:val="18"/>
                <w:szCs w:val="18"/>
                <w:color w:val="auto"/>
              </w:rPr>
            </w:pPr>
          </w:p>
        </w:tc>
        <w:tc>
          <w:tcPr>
            <w:tcW w:w="20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3"/>
        </w:trPr>
        <w:tc>
          <w:tcPr>
            <w:tcW w:w="5980" w:type="dxa"/>
            <w:vAlign w:val="bottom"/>
          </w:tcPr>
          <w:p>
            <w:pPr>
              <w:ind w:left="360"/>
              <w:spacing w:after="0"/>
              <w:rPr>
                <w:sz w:val="20"/>
                <w:szCs w:val="20"/>
                <w:color w:val="auto"/>
              </w:rPr>
            </w:pPr>
            <w:r>
              <w:rPr>
                <w:rFonts w:ascii="Arial" w:cs="Arial" w:eastAsia="Arial" w:hAnsi="Arial"/>
                <w:sz w:val="18"/>
                <w:szCs w:val="18"/>
                <w:color w:val="auto"/>
              </w:rPr>
              <w:t>Continuing Operations</w:t>
            </w:r>
          </w:p>
        </w:tc>
        <w:tc>
          <w:tcPr>
            <w:tcW w:w="660" w:type="dxa"/>
            <w:vAlign w:val="bottom"/>
          </w:tcPr>
          <w:p>
            <w:pPr>
              <w:jc w:val="right"/>
              <w:spacing w:after="0"/>
              <w:rPr>
                <w:sz w:val="20"/>
                <w:szCs w:val="20"/>
                <w:color w:val="auto"/>
              </w:rPr>
            </w:pPr>
            <w:r>
              <w:rPr>
                <w:rFonts w:ascii="Arial" w:cs="Arial" w:eastAsia="Arial" w:hAnsi="Arial"/>
                <w:sz w:val="18"/>
                <w:szCs w:val="18"/>
                <w:color w:val="auto"/>
              </w:rPr>
              <w:t>11,774</w:t>
            </w:r>
          </w:p>
        </w:tc>
        <w:tc>
          <w:tcPr>
            <w:tcW w:w="1260" w:type="dxa"/>
            <w:vAlign w:val="bottom"/>
            <w:gridSpan w:val="6"/>
          </w:tcPr>
          <w:p>
            <w:pPr>
              <w:jc w:val="right"/>
              <w:ind w:right="240"/>
              <w:spacing w:after="0"/>
              <w:rPr>
                <w:sz w:val="20"/>
                <w:szCs w:val="20"/>
                <w:color w:val="auto"/>
              </w:rPr>
            </w:pPr>
            <w:r>
              <w:rPr>
                <w:rFonts w:ascii="Arial" w:cs="Arial" w:eastAsia="Arial" w:hAnsi="Arial"/>
                <w:sz w:val="18"/>
                <w:szCs w:val="18"/>
                <w:color w:val="auto"/>
              </w:rPr>
              <w:t>(31,078)</w:t>
            </w:r>
          </w:p>
        </w:tc>
        <w:tc>
          <w:tcPr>
            <w:tcW w:w="1080" w:type="dxa"/>
            <w:vAlign w:val="bottom"/>
            <w:gridSpan w:val="5"/>
          </w:tcPr>
          <w:p>
            <w:pPr>
              <w:jc w:val="right"/>
              <w:ind w:right="160"/>
              <w:spacing w:after="0"/>
              <w:rPr>
                <w:sz w:val="20"/>
                <w:szCs w:val="20"/>
                <w:color w:val="auto"/>
              </w:rPr>
            </w:pPr>
            <w:r>
              <w:rPr>
                <w:rFonts w:ascii="Arial" w:cs="Arial" w:eastAsia="Arial" w:hAnsi="Arial"/>
                <w:sz w:val="18"/>
                <w:szCs w:val="18"/>
                <w:color w:val="auto"/>
                <w:w w:val="98"/>
              </w:rPr>
              <w:t>up 137.9 %</w:t>
            </w:r>
          </w:p>
        </w:tc>
        <w:tc>
          <w:tcPr>
            <w:tcW w:w="160" w:type="dxa"/>
            <w:vAlign w:val="bottom"/>
          </w:tcPr>
          <w:p>
            <w:pPr>
              <w:spacing w:after="0"/>
              <w:rPr>
                <w:sz w:val="19"/>
                <w:szCs w:val="19"/>
                <w:color w:val="auto"/>
              </w:rPr>
            </w:pPr>
          </w:p>
        </w:tc>
        <w:tc>
          <w:tcPr>
            <w:tcW w:w="640" w:type="dxa"/>
            <w:vAlign w:val="bottom"/>
            <w:gridSpan w:val="4"/>
          </w:tcPr>
          <w:p>
            <w:pPr>
              <w:jc w:val="right"/>
              <w:ind w:right="80"/>
              <w:spacing w:after="0"/>
              <w:rPr>
                <w:sz w:val="20"/>
                <w:szCs w:val="20"/>
                <w:color w:val="auto"/>
              </w:rPr>
            </w:pPr>
            <w:r>
              <w:rPr>
                <w:rFonts w:ascii="Arial" w:cs="Arial" w:eastAsia="Arial" w:hAnsi="Arial"/>
                <w:sz w:val="18"/>
                <w:szCs w:val="18"/>
                <w:color w:val="auto"/>
                <w:w w:val="94"/>
              </w:rPr>
              <w:t>(8,490)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up 238.7 %</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(Loss) per Common Share</w:t>
            </w:r>
          </w:p>
        </w:tc>
        <w:tc>
          <w:tcPr>
            <w:tcW w:w="660" w:type="dxa"/>
            <w:vAlign w:val="bottom"/>
            <w:tcBorders>
              <w:top w:val="single" w:sz="8" w:color="auto"/>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left w:val="single" w:sz="8" w:color="CCEEFF"/>
            </w:tcBorders>
            <w:shd w:val="clear" w:color="auto" w:fill="CCEEFF"/>
          </w:tcPr>
          <w:p>
            <w:pPr>
              <w:spacing w:after="0"/>
              <w:rPr>
                <w:sz w:val="18"/>
                <w:szCs w:val="18"/>
                <w:color w:val="auto"/>
              </w:rPr>
            </w:pPr>
          </w:p>
        </w:tc>
        <w:tc>
          <w:tcPr>
            <w:tcW w:w="20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Continuing Operations</w:t>
            </w:r>
          </w:p>
        </w:tc>
        <w:tc>
          <w:tcPr>
            <w:tcW w:w="660" w:type="dxa"/>
            <w:vAlign w:val="bottom"/>
          </w:tcPr>
          <w:p>
            <w:pPr>
              <w:jc w:val="right"/>
              <w:spacing w:after="0"/>
              <w:rPr>
                <w:sz w:val="20"/>
                <w:szCs w:val="20"/>
                <w:color w:val="auto"/>
              </w:rPr>
            </w:pPr>
            <w:r>
              <w:rPr>
                <w:rFonts w:ascii="Arial" w:cs="Arial" w:eastAsia="Arial" w:hAnsi="Arial"/>
                <w:sz w:val="18"/>
                <w:szCs w:val="18"/>
                <w:color w:val="auto"/>
              </w:rPr>
              <w:t>0.28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8"/>
                <w:szCs w:val="18"/>
                <w:color w:val="auto"/>
                <w:w w:val="93"/>
              </w:rPr>
              <w:t>(0.89)</w:t>
            </w:r>
          </w:p>
        </w:tc>
        <w:tc>
          <w:tcPr>
            <w:tcW w:w="1080" w:type="dxa"/>
            <w:vAlign w:val="bottom"/>
            <w:gridSpan w:val="5"/>
          </w:tcPr>
          <w:p>
            <w:pPr>
              <w:jc w:val="right"/>
              <w:ind w:right="160"/>
              <w:spacing w:after="0"/>
              <w:rPr>
                <w:sz w:val="20"/>
                <w:szCs w:val="20"/>
                <w:color w:val="auto"/>
              </w:rPr>
            </w:pPr>
            <w:r>
              <w:rPr>
                <w:rFonts w:ascii="Arial" w:cs="Arial" w:eastAsia="Arial" w:hAnsi="Arial"/>
                <w:sz w:val="18"/>
                <w:szCs w:val="18"/>
                <w:color w:val="auto"/>
              </w:rPr>
              <w:t>up 131.5%</w:t>
            </w:r>
          </w:p>
        </w:tc>
        <w:tc>
          <w:tcPr>
            <w:tcW w:w="160" w:type="dxa"/>
            <w:vAlign w:val="bottom"/>
          </w:tcPr>
          <w:p>
            <w:pPr>
              <w:spacing w:after="0"/>
              <w:rPr>
                <w:sz w:val="18"/>
                <w:szCs w:val="18"/>
                <w:color w:val="auto"/>
              </w:rPr>
            </w:pPr>
          </w:p>
        </w:tc>
        <w:tc>
          <w:tcPr>
            <w:tcW w:w="640" w:type="dxa"/>
            <w:vAlign w:val="bottom"/>
            <w:gridSpan w:val="4"/>
          </w:tcPr>
          <w:p>
            <w:pPr>
              <w:jc w:val="right"/>
              <w:ind w:right="80"/>
              <w:spacing w:after="0"/>
              <w:rPr>
                <w:sz w:val="20"/>
                <w:szCs w:val="20"/>
                <w:color w:val="auto"/>
              </w:rPr>
            </w:pPr>
            <w:r>
              <w:rPr>
                <w:rFonts w:ascii="Arial" w:cs="Arial" w:eastAsia="Arial" w:hAnsi="Arial"/>
                <w:sz w:val="18"/>
                <w:szCs w:val="18"/>
                <w:color w:val="auto"/>
              </w:rPr>
              <w:t>(0.25)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up 212.0%</w:t>
            </w:r>
          </w:p>
        </w:tc>
      </w:tr>
      <w:tr>
        <w:trPr>
          <w:trHeight w:val="20"/>
        </w:trPr>
        <w:tc>
          <w:tcPr>
            <w:tcW w:w="5980" w:type="dxa"/>
            <w:vAlign w:val="bottom"/>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98"/>
        </w:trPr>
        <w:tc>
          <w:tcPr>
            <w:tcW w:w="5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12"/>
          </w:tcPr>
          <w:p>
            <w:pPr>
              <w:jc w:val="right"/>
              <w:ind w:right="220"/>
              <w:spacing w:after="0"/>
              <w:rPr>
                <w:sz w:val="20"/>
                <w:szCs w:val="20"/>
                <w:color w:val="auto"/>
              </w:rPr>
            </w:pPr>
            <w:r>
              <w:rPr>
                <w:rFonts w:ascii="Arial" w:cs="Arial" w:eastAsia="Arial" w:hAnsi="Arial"/>
                <w:sz w:val="14"/>
                <w:szCs w:val="14"/>
                <w:color w:val="auto"/>
                <w:w w:val="91"/>
              </w:rPr>
              <w:t>In thousands of US dollars, except share data</w:t>
            </w:r>
          </w:p>
        </w:tc>
      </w:tr>
      <w:tr>
        <w:trPr>
          <w:trHeight w:val="142"/>
        </w:trPr>
        <w:tc>
          <w:tcPr>
            <w:tcW w:w="5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Non-GAAP</w:t>
            </w:r>
            <w:r>
              <w:rPr>
                <w:rFonts w:ascii="Arial" w:cs="Arial" w:eastAsia="Arial" w:hAnsi="Arial"/>
                <w:sz w:val="12"/>
                <w:szCs w:val="12"/>
                <w:b w:val="1"/>
                <w:bCs w:val="1"/>
                <w:color w:val="auto"/>
              </w:rPr>
              <w:t>(2)</w:t>
            </w: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42"/>
        </w:trPr>
        <w:tc>
          <w:tcPr>
            <w:tcW w:w="5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w w:val="85"/>
              </w:rPr>
              <w:t>Q2 2020</w:t>
            </w:r>
          </w:p>
        </w:tc>
        <w:tc>
          <w:tcPr>
            <w:tcW w:w="200" w:type="dxa"/>
            <w:vAlign w:val="bottom"/>
          </w:tcPr>
          <w:p>
            <w:pPr>
              <w:spacing w:after="0"/>
              <w:rPr>
                <w:sz w:val="12"/>
                <w:szCs w:val="12"/>
                <w:color w:val="auto"/>
              </w:rPr>
            </w:pPr>
          </w:p>
        </w:tc>
        <w:tc>
          <w:tcPr>
            <w:tcW w:w="5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Q1 2020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w w:val="91"/>
              </w:rPr>
              <w:t>Q/Q change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w w:val="93"/>
              </w:rPr>
              <w:t>Q2 2019</w:t>
            </w: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0"/>
              </w:rPr>
              <w:t>Y/Y change</w:t>
            </w:r>
          </w:p>
        </w:tc>
        <w:tc>
          <w:tcPr>
            <w:tcW w:w="220" w:type="dxa"/>
            <w:vAlign w:val="bottom"/>
          </w:tcPr>
          <w:p>
            <w:pPr>
              <w:spacing w:after="0"/>
              <w:rPr>
                <w:sz w:val="12"/>
                <w:szCs w:val="12"/>
                <w:color w:val="auto"/>
              </w:rPr>
            </w:pPr>
          </w:p>
        </w:tc>
      </w:tr>
      <w:tr>
        <w:trPr>
          <w:trHeight w:val="196"/>
        </w:trPr>
        <w:tc>
          <w:tcPr>
            <w:tcW w:w="5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Continuing Operations</w:t>
            </w:r>
          </w:p>
        </w:tc>
        <w:tc>
          <w:tcPr>
            <w:tcW w:w="660" w:type="dxa"/>
            <w:vAlign w:val="bottom"/>
            <w:tcBorders>
              <w:top w:val="single" w:sz="8" w:color="CCEEFF"/>
              <w:right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lef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left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Adjusted Operating Income</w:t>
            </w:r>
          </w:p>
        </w:tc>
        <w:tc>
          <w:tcPr>
            <w:tcW w:w="6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10,125</w:t>
            </w:r>
          </w:p>
        </w:tc>
        <w:tc>
          <w:tcPr>
            <w:tcW w:w="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7,281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up 39.1 %</w:t>
            </w:r>
          </w:p>
        </w:tc>
        <w:tc>
          <w:tcPr>
            <w:tcW w:w="800" w:type="dxa"/>
            <w:vAlign w:val="bottom"/>
            <w:gridSpan w:val="5"/>
          </w:tcPr>
          <w:p>
            <w:pPr>
              <w:jc w:val="right"/>
              <w:ind w:right="100"/>
              <w:spacing w:after="0"/>
              <w:rPr>
                <w:sz w:val="20"/>
                <w:szCs w:val="20"/>
                <w:color w:val="auto"/>
              </w:rPr>
            </w:pPr>
            <w:r>
              <w:rPr>
                <w:rFonts w:ascii="Arial" w:cs="Arial" w:eastAsia="Arial" w:hAnsi="Arial"/>
                <w:sz w:val="18"/>
                <w:szCs w:val="18"/>
                <w:color w:val="auto"/>
              </w:rPr>
              <w:t>9,423</w:t>
            </w: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up 7.4 %</w:t>
            </w: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Adjusted Net Income</w:t>
            </w:r>
          </w:p>
        </w:tc>
        <w:tc>
          <w:tcPr>
            <w:tcW w:w="66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4,753</w:t>
            </w:r>
          </w:p>
        </w:tc>
        <w:tc>
          <w:tcPr>
            <w:tcW w:w="4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4"/>
              </w:rPr>
              <w:t>up 335.3 %</w:t>
            </w: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3,829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up 24.1 %</w:t>
            </w: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Adjusted Net Income per Common Share—Diluted</w:t>
            </w:r>
          </w:p>
        </w:tc>
        <w:tc>
          <w:tcPr>
            <w:tcW w:w="6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0.13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w w:val="94"/>
              </w:rPr>
              <w:t>up 333.3 %</w:t>
            </w:r>
          </w:p>
        </w:tc>
        <w:tc>
          <w:tcPr>
            <w:tcW w:w="800" w:type="dxa"/>
            <w:vAlign w:val="bottom"/>
            <w:gridSpan w:val="5"/>
          </w:tcPr>
          <w:p>
            <w:pPr>
              <w:jc w:val="right"/>
              <w:ind w:right="100"/>
              <w:spacing w:after="0"/>
              <w:rPr>
                <w:sz w:val="20"/>
                <w:szCs w:val="20"/>
                <w:color w:val="auto"/>
              </w:rPr>
            </w:pPr>
            <w:r>
              <w:rPr>
                <w:rFonts w:ascii="Arial" w:cs="Arial" w:eastAsia="Arial" w:hAnsi="Arial"/>
                <w:sz w:val="18"/>
                <w:szCs w:val="18"/>
                <w:color w:val="auto"/>
              </w:rPr>
              <w:t>0.11</w:t>
            </w: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up 18.2 %</w:t>
            </w:r>
          </w:p>
        </w:tc>
      </w:tr>
      <w:tr>
        <w:trPr>
          <w:trHeight w:val="20"/>
        </w:trPr>
        <w:tc>
          <w:tcPr>
            <w:tcW w:w="598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auto"/>
            </w:tcBorders>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98"/>
        </w:trPr>
        <w:tc>
          <w:tcPr>
            <w:tcW w:w="5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gridSpan w:val="7"/>
          </w:tcPr>
          <w:p>
            <w:pPr>
              <w:jc w:val="right"/>
              <w:ind w:right="220"/>
              <w:spacing w:after="0"/>
              <w:rPr>
                <w:sz w:val="20"/>
                <w:szCs w:val="20"/>
                <w:color w:val="auto"/>
              </w:rPr>
            </w:pPr>
            <w:r>
              <w:rPr>
                <w:rFonts w:ascii="Arial" w:cs="Arial" w:eastAsia="Arial" w:hAnsi="Arial"/>
                <w:sz w:val="14"/>
                <w:szCs w:val="14"/>
                <w:color w:val="auto"/>
                <w:w w:val="94"/>
              </w:rPr>
              <w:t>In thousands of US dollars</w:t>
            </w:r>
          </w:p>
        </w:tc>
      </w:tr>
      <w:tr>
        <w:trPr>
          <w:trHeight w:val="142"/>
        </w:trPr>
        <w:tc>
          <w:tcPr>
            <w:tcW w:w="5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GAAP</w:t>
            </w:r>
          </w:p>
        </w:tc>
        <w:tc>
          <w:tcPr>
            <w:tcW w:w="1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42"/>
        </w:trPr>
        <w:tc>
          <w:tcPr>
            <w:tcW w:w="5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w w:val="93"/>
              </w:rPr>
              <w:t>Q2 2020</w:t>
            </w:r>
          </w:p>
        </w:tc>
        <w:tc>
          <w:tcPr>
            <w:tcW w:w="200" w:type="dxa"/>
            <w:vAlign w:val="bottom"/>
          </w:tcPr>
          <w:p>
            <w:pPr>
              <w:spacing w:after="0"/>
              <w:rPr>
                <w:sz w:val="12"/>
                <w:szCs w:val="12"/>
                <w:color w:val="auto"/>
              </w:rPr>
            </w:pPr>
          </w:p>
        </w:tc>
        <w:tc>
          <w:tcPr>
            <w:tcW w:w="50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85"/>
              </w:rPr>
              <w:t>Q1 2020</w:t>
            </w:r>
          </w:p>
        </w:tc>
        <w:tc>
          <w:tcPr>
            <w:tcW w:w="160" w:type="dxa"/>
            <w:vAlign w:val="bottom"/>
          </w:tcPr>
          <w:p>
            <w:pPr>
              <w:spacing w:after="0"/>
              <w:rPr>
                <w:sz w:val="12"/>
                <w:szCs w:val="12"/>
                <w:color w:val="auto"/>
              </w:rPr>
            </w:pPr>
          </w:p>
        </w:tc>
        <w:tc>
          <w:tcPr>
            <w:tcW w:w="920" w:type="dxa"/>
            <w:vAlign w:val="bottom"/>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w w:val="99"/>
              </w:rPr>
              <w:t>Q/Q change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4"/>
          </w:tcPr>
          <w:p>
            <w:pPr>
              <w:jc w:val="right"/>
              <w:ind w:right="180"/>
              <w:spacing w:after="0" w:line="142" w:lineRule="exact"/>
              <w:rPr>
                <w:sz w:val="20"/>
                <w:szCs w:val="20"/>
                <w:color w:val="auto"/>
              </w:rPr>
            </w:pPr>
            <w:r>
              <w:rPr>
                <w:rFonts w:ascii="Arial" w:cs="Arial" w:eastAsia="Arial" w:hAnsi="Arial"/>
                <w:sz w:val="14"/>
                <w:szCs w:val="14"/>
                <w:b w:val="1"/>
                <w:bCs w:val="1"/>
                <w:color w:val="auto"/>
                <w:w w:val="96"/>
              </w:rPr>
              <w:t>Q2 2019</w:t>
            </w: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Y/Y change</w:t>
            </w:r>
          </w:p>
        </w:tc>
        <w:tc>
          <w:tcPr>
            <w:tcW w:w="220" w:type="dxa"/>
            <w:vAlign w:val="bottom"/>
          </w:tcPr>
          <w:p>
            <w:pPr>
              <w:spacing w:after="0"/>
              <w:rPr>
                <w:sz w:val="12"/>
                <w:szCs w:val="12"/>
                <w:color w:val="auto"/>
              </w:rPr>
            </w:pPr>
          </w:p>
        </w:tc>
      </w:tr>
      <w:tr>
        <w:trPr>
          <w:trHeight w:val="196"/>
        </w:trPr>
        <w:tc>
          <w:tcPr>
            <w:tcW w:w="5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Revenues—Standard Products Business</w:t>
            </w:r>
          </w:p>
        </w:tc>
        <w:tc>
          <w:tcPr>
            <w:tcW w:w="660" w:type="dxa"/>
            <w:vAlign w:val="bottom"/>
            <w:tcBorders>
              <w:top w:val="single" w:sz="8" w:color="CCEEFF"/>
              <w:right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lef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lef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Display Solutions</w:t>
            </w:r>
          </w:p>
        </w:tc>
        <w:tc>
          <w:tcPr>
            <w:tcW w:w="66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69,176</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77,593</w:t>
            </w:r>
          </w:p>
        </w:tc>
        <w:tc>
          <w:tcPr>
            <w:tcW w:w="160" w:type="dxa"/>
            <w:vAlign w:val="bottom"/>
          </w:tcPr>
          <w:p>
            <w:pPr>
              <w:spacing w:after="0"/>
              <w:rPr>
                <w:sz w:val="18"/>
                <w:szCs w:val="18"/>
                <w:color w:val="auto"/>
              </w:rPr>
            </w:pP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w w:val="94"/>
              </w:rPr>
              <w:t>down 10.8 %</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84,261</w:t>
            </w:r>
          </w:p>
        </w:tc>
        <w:tc>
          <w:tcPr>
            <w:tcW w:w="16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w w:val="96"/>
              </w:rPr>
              <w:t>down 17.9 %</w:t>
            </w: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Power Solutions</w:t>
            </w:r>
          </w:p>
        </w:tc>
        <w:tc>
          <w:tcPr>
            <w:tcW w:w="66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39,779</w:t>
            </w:r>
          </w:p>
        </w:tc>
        <w:tc>
          <w:tcPr>
            <w:tcW w:w="4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33,143</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up 20.0 %</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47,745</w:t>
            </w:r>
          </w:p>
        </w:tc>
        <w:tc>
          <w:tcPr>
            <w:tcW w:w="160" w:type="dxa"/>
            <w:vAlign w:val="bottom"/>
            <w:tcBorders>
              <w:left w:val="single" w:sz="8" w:color="CCEEFF"/>
            </w:tcBorders>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6"/>
              </w:rPr>
              <w:t>down 16.7 %</w:t>
            </w:r>
          </w:p>
        </w:tc>
      </w:tr>
      <w:tr>
        <w:trPr>
          <w:trHeight w:val="20"/>
        </w:trPr>
        <w:tc>
          <w:tcPr>
            <w:tcW w:w="598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424" w:right="20" w:hanging="424"/>
        <w:spacing w:after="0" w:line="267" w:lineRule="auto"/>
        <w:tabs>
          <w:tab w:leader="none" w:pos="424" w:val="left"/>
        </w:tabs>
        <w:numPr>
          <w:ilvl w:val="0"/>
          <w:numId w:val="3"/>
        </w:numPr>
        <w:rPr>
          <w:rFonts w:ascii="Arial" w:cs="Arial" w:eastAsia="Arial" w:hAnsi="Arial"/>
          <w:sz w:val="17"/>
          <w:szCs w:val="17"/>
          <w:color w:val="auto"/>
        </w:rPr>
      </w:pPr>
      <w:r>
        <w:rPr>
          <w:rFonts w:ascii="Arial" w:cs="Arial" w:eastAsia="Arial" w:hAnsi="Arial"/>
          <w:sz w:val="17"/>
          <w:szCs w:val="17"/>
          <w:color w:val="auto"/>
        </w:rPr>
        <w:t>Following the consummation of the sale of the Foundry Services Group business and Fab 4, and for a period up to three years, the Company will provide transitional foundry services to the buyer for Foundry products manufactured in the Company’s fabrication facility located in Gumi (“Transitional Fab 3 Foundry Services”). For the periods prior to the disposal of the Foundry Services Group business and Fab 4, revenue from the Transitional Fab 3 Foundry Services by the Company to the Foundry Services Group (i.e., discontinued operations) is recorded at cost as part of its continuing operations. Management believes that excluding the revenue of the Transitional Fab 3 Foundry Services from the continuing operations (i.e., revenue from standard products business) allows investors to better understand the results of continuing operations of our core standard products display solutions and power solutions businesses.</w:t>
      </w:r>
    </w:p>
    <w:p>
      <w:pPr>
        <w:spacing w:after="0" w:line="4" w:lineRule="exact"/>
        <w:rPr>
          <w:rFonts w:ascii="Arial" w:cs="Arial" w:eastAsia="Arial" w:hAnsi="Arial"/>
          <w:sz w:val="17"/>
          <w:szCs w:val="17"/>
          <w:color w:val="auto"/>
        </w:rPr>
      </w:pPr>
    </w:p>
    <w:p>
      <w:pPr>
        <w:ind w:left="424" w:right="60" w:hanging="424"/>
        <w:spacing w:after="0" w:line="265" w:lineRule="auto"/>
        <w:tabs>
          <w:tab w:leader="none" w:pos="424" w:val="left"/>
        </w:tabs>
        <w:numPr>
          <w:ilvl w:val="0"/>
          <w:numId w:val="3"/>
        </w:numPr>
        <w:rPr>
          <w:rFonts w:ascii="Arial" w:cs="Arial" w:eastAsia="Arial" w:hAnsi="Arial"/>
          <w:sz w:val="17"/>
          <w:szCs w:val="17"/>
          <w:color w:val="auto"/>
        </w:rPr>
      </w:pPr>
      <w:r>
        <w:rPr>
          <w:rFonts w:ascii="Arial" w:cs="Arial" w:eastAsia="Arial" w:hAnsi="Arial"/>
          <w:sz w:val="17"/>
          <w:szCs w:val="17"/>
          <w:color w:val="auto"/>
        </w:rPr>
        <w:t>Management believes that non-GAAP financial measures, when viewed in conjunction with GAAP results, can provide a meaningful understanding of the factors and trends affecting MagnaChip’s business and operations and assist in evaluating our core operating performance, as well as providing a meaningful comparison to previous information provided on a basis prior to the discontinued operations classification of the Foundry Services Group. However, such non-GAAP financial measures have limitations and should not be considered as a substitute for net income from continuing operations or as a better indicator of our operating performance than measures that are presented in accordance with GAAP. A reconciliation of GAAP results to non-GAAP results is included in this press release.</w:t>
      </w:r>
    </w:p>
    <w:p>
      <w:pPr>
        <w:ind w:left="424" w:right="200" w:hanging="424"/>
        <w:spacing w:after="0" w:line="260"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second quarter, depreciation and amortization associated with the assets classified as held-for-sale ceased, which resulted in an increase in gross profit from discontinued operations by approximately $2 million.</w:t>
      </w:r>
    </w:p>
    <w:p>
      <w:pPr>
        <w:sectPr>
          <w:pgSz w:w="11900" w:h="16838" w:orient="portrait"/>
          <w:cols w:equalWidth="0" w:num="1">
            <w:col w:w="11024"/>
          </w:cols>
          <w:pgMar w:left="436" w:top="269"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Q3 2020 Financial Guidance</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On July 20, 2020, our Fab 3 facility in Gumi, South Korea experienced a temporary power outage for approximately 9 hours and 15 minutes as a result of an accident involving branches of a nearby tree falling onto cables connecting one of the electricity pylons that supplies power to the Gumi plant. We are nearly fully operational in our Fab 3 facility as of the date of this earnings report. The accident caused damage to our work-in-process wafers with an estimated total cost of up to approximately $2.3 million. The related impact to our revenue from continuing operations is expected to be negligible. We are currently evaluating potential insurance and other claims that we may have for the above loss and damages.</w:t>
      </w:r>
    </w:p>
    <w:p>
      <w:pPr>
        <w:spacing w:after="0" w:line="176"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As we expect to close the pending sale of the Foundry business and Fab 4 in Q3, we will provide a quarterly outlook on continuing operations only. The COVID-19 global pandemic and escalated trade tension are rapidly evolving situations and reduce our forward visibility. While actual results may vary, MagnaChip currently anticipates for Q3 2020:</w:t>
      </w:r>
    </w:p>
    <w:p>
      <w:pPr>
        <w:spacing w:after="0" w:line="89" w:lineRule="exact"/>
        <w:rPr>
          <w:sz w:val="20"/>
          <w:szCs w:val="20"/>
          <w:color w:val="auto"/>
        </w:rPr>
      </w:pPr>
    </w:p>
    <w:p>
      <w:pPr>
        <w:ind w:left="960" w:right="30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from the continuing operations to be in the range of $118 million to $124 million, including $9.5 million to $10 million of the Transitional Fab 3 Foundry Services at cost</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profit margin from continuing operations to be in the range of 25% to 27%</w:t>
      </w:r>
    </w:p>
    <w:p>
      <w:pPr>
        <w:spacing w:after="0" w:line="130" w:lineRule="exact"/>
        <w:rPr>
          <w:rFonts w:ascii="Arial" w:cs="Arial" w:eastAsia="Arial" w:hAnsi="Arial"/>
          <w:sz w:val="18"/>
          <w:szCs w:val="18"/>
          <w:color w:val="auto"/>
        </w:rPr>
      </w:pPr>
    </w:p>
    <w:p>
      <w:pPr>
        <w:ind w:left="1420" w:right="260" w:hanging="331"/>
        <w:spacing w:after="0" w:line="277" w:lineRule="auto"/>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Without the estimated power outage impact, gross profit margin from continuing operations would have been in the range of 27% and 29%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2020 Earnings Conference Call</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MagnaChip will host a conference call at 5 p.m. Eastern Time on July 30, 2020. The conference call will be webcast live and also is available by dialing toll-free at 1-844-536-5472. International call-in participants can dial 1-614-999-9318. The conference ID number is 8269223. Participants are encouraged to initiate their calls at least 10 minutes in advance of the 5 p.m. ET start time to ensure a timely connection. The webcast and earnings release will be accessible at www.magnachip.com. A replay of the conference call will be available the same day and will run for 72 hours. The replay dial-in numbers are 1-404-537-3406 or toll-free at 1-855-859-2056. The access code is 8269223.</w:t>
      </w:r>
    </w:p>
    <w:p>
      <w:pPr>
        <w:sectPr>
          <w:pgSz w:w="11900" w:h="16838" w:orient="portrait"/>
          <w:cols w:equalWidth="0" w:num="1">
            <w:col w:w="11000"/>
          </w:cols>
          <w:pgMar w:left="440" w:top="270"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Safe Harbor for Forward-Looking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Information in this release regarding MagnaChip’s forecasts, business outlook, expectations and beliefs are forward-looking statements within the meaning of the Private Securities Litigation Reform Act of 1995 that involve risks and uncertainties. These statements include statements about MagnaChip’s future operating and financial performance, outlook and business plans, including third quarter 2020 revenue and gross profit margin expectations, the evaluation and expectation of costs and related revenue impact and timing as a result of the power outage, and the impact of the COVID-19 pandemic and escalated trade tensions on MagnaChip’s third quarter 2020 and future operating results. All forward-looking statements included in this release are based upon information available to MagnaChip as of the date of this release, which may change, and we assume no obligation to update any such forward-looking statements. These statements are not guarantees of future performance and actual results could differ materially from our current expectations. Factors that could cause or contribute to such differences include the impact of changes in macroeconomic and/or general economic conditions, including those caused by or related to the COVID-19 outbreak, recessions, economic instability and the outbreak of disease; the impact of competitive products and pricing; timely design acceptance by our customers; timely introduction of new products and technologies; ability to ramp new products into volume production; industry wide shifts in supply and demand for semiconductor products; industry and/or company overcapacity; effective and cost efficient utilization of manufacturing capacity; financial stability in foreign markets and the impact of foreign exchange rates; unanticipated costs and expenses or the inability to identify expenses which can be eliminated; compliance with U.S. and international trade and export laws and regulations by us and our distributors; the risk that the pending sale of our Foundry Services Group business and the Fab 4 facility to Magnus Semiconductor, LLC or one of its wholly owned subsidiaries is not consummated according to our current expectations or at all; public health issues, including the COVID-19 pandemic; other business interruptions that could disrupt supply or delivery of, or demand for, MagnaChip’s products, including uncertainties regarding the impacts of the COVID-19 pandemic that may result in factory closures, reduced workforces, scarcity of raw materials and goods produced in infected areas, as well as reduced consumer and business spending affecting demand for MagnaChip’s products due to government and private sector mandatory business closures, travel restrictions or the like to prevent the spread of disease; and other risks detailed from time to time in MagnaChip’s filings with the SEC, including our Form 10-K filed on February 21, 2020 (including that the impact of the COVID-19 pandemic may also exacerbate the risks discussed therein), our Form 10-Q filed on May 11, 2020 and subsequent registration statements, amendments or other reports that we may file from time to time with the Securities and Exchange Commission and/or make available on our website. MagnaChip assumes no obligation and does not intend to update the forward-looking statements provided, whether as a result of new information, future events or otherwise.</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MagnaChip Semiconductor</w:t>
      </w:r>
    </w:p>
    <w:p>
      <w:pPr>
        <w:spacing w:after="0" w:line="12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MagnaChip is a designer and manufacturer of analog and mixed-signal semiconductor platform solutions for communications, IoT, consumer, industrial and automotive applications. The Company provides a broad range of standard products and manufacturing services to customers worldwide. MagnaChip, with more than 40 years of operating history, owns a portfolio of approximately 2,950 registered patents and pending applications, and has extensive engineering, design and manufacturing process expertise. For more information, please visit www.magnachip.com. Information on or accessible through MagnaChip’s website is not a part of, and is not incorporated into, this release.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ectPr>
          <w:pgSz w:w="11900" w:h="16838" w:orient="portrait"/>
          <w:cols w:equalWidth="0" w:num="1">
            <w:col w:w="10960"/>
          </w:cols>
          <w:pgMar w:left="440" w:top="270" w:right="49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the United States: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So-Yeon Jeong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Head of Investor Relations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Tel. +1-408-712-6151</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Korea: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Chankeun Park</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Director of Public Relations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Tel. +82-2-6903-5223</w:t>
      </w:r>
    </w:p>
    <w:p>
      <w:pPr>
        <w:spacing w:after="0" w:line="116" w:lineRule="exact"/>
        <w:rPr>
          <w:sz w:val="20"/>
          <w:szCs w:val="20"/>
          <w:color w:val="auto"/>
        </w:rPr>
      </w:pPr>
    </w:p>
    <w:p>
      <w:pPr>
        <w:sectPr>
          <w:pgSz w:w="11900" w:h="16838" w:orient="portrait"/>
          <w:cols w:equalWidth="0" w:num="2">
            <w:col w:w="5020" w:space="720"/>
            <w:col w:w="5220"/>
          </w:cols>
          <w:pgMar w:left="440" w:top="270" w:right="499" w:bottom="1440" w:gutter="0" w:footer="0" w:header="0"/>
          <w:type w:val="continuous"/>
        </w:sectPr>
      </w:pPr>
    </w:p>
    <w:p>
      <w:pPr>
        <w:spacing w:after="0"/>
        <w:rPr>
          <w:sz w:val="20"/>
          <w:szCs w:val="20"/>
          <w:color w:val="auto"/>
        </w:rPr>
      </w:pPr>
      <w:r>
        <w:rPr>
          <w:rFonts w:ascii="Arial" w:cs="Arial" w:eastAsia="Arial" w:hAnsi="Arial"/>
          <w:sz w:val="16"/>
          <w:szCs w:val="16"/>
          <w:color w:val="auto"/>
        </w:rPr>
        <w:t>Investor.relations@magnachip.com</w:t>
      </w:r>
    </w:p>
    <w:p>
      <w:pPr>
        <w:spacing w:after="0" w:line="20" w:lineRule="exact"/>
        <w:rPr>
          <w:sz w:val="20"/>
          <w:szCs w:val="20"/>
          <w:color w:val="auto"/>
        </w:rPr>
      </w:pPr>
      <w:r>
        <w:rPr>
          <w:sz w:val="20"/>
          <w:szCs w:val="20"/>
          <w:color w:val="auto"/>
        </w:rPr>
        <w:br w:type="column"/>
      </w:r>
    </w:p>
    <w:p>
      <w:pPr>
        <w:jc w:val="center"/>
        <w:ind w:right="2860"/>
        <w:spacing w:after="0"/>
        <w:rPr>
          <w:sz w:val="20"/>
          <w:szCs w:val="20"/>
          <w:color w:val="auto"/>
        </w:rPr>
      </w:pPr>
      <w:r>
        <w:rPr>
          <w:rFonts w:ascii="Arial" w:cs="Arial" w:eastAsia="Arial" w:hAnsi="Arial"/>
          <w:sz w:val="16"/>
          <w:szCs w:val="16"/>
          <w:color w:val="auto"/>
        </w:rPr>
        <w:t>chankeun.park@magnachip.com</w:t>
      </w:r>
    </w:p>
    <w:p>
      <w:pPr>
        <w:sectPr>
          <w:pgSz w:w="11900" w:h="16838" w:orient="portrait"/>
          <w:cols w:equalWidth="0" w:num="2">
            <w:col w:w="5020" w:space="720"/>
            <w:col w:w="5220"/>
          </w:cols>
          <w:pgMar w:left="440" w:top="270" w:right="499" w:bottom="1440" w:gutter="0" w:footer="0" w:header="0"/>
          <w:type w:val="continuous"/>
        </w:sectPr>
      </w:pPr>
    </w:p>
    <w:bookmarkStart w:id="8" w:name="page9"/>
    <w:bookmarkEnd w:id="8"/>
    <w:p>
      <w:pPr>
        <w:jc w:val="center"/>
        <w:spacing w:after="0" w:line="2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MAGNACHIP SEMICONDUCTOR CORPORATION AND SUBSIDIARIES CONSOLIDATED STATEMENTS OF OPERATIONS (In thousands of US dollars, except share data) (Unaudited)</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4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June 30,</w:t>
            </w:r>
          </w:p>
        </w:tc>
        <w:tc>
          <w:tcPr>
            <w:tcW w:w="2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tcPr>
          <w:p>
            <w:pPr>
              <w:jc w:val="center"/>
              <w:ind w:right="580"/>
              <w:spacing w:after="0" w:line="119" w:lineRule="exact"/>
              <w:rPr>
                <w:sz w:val="20"/>
                <w:szCs w:val="20"/>
                <w:color w:val="auto"/>
              </w:rPr>
            </w:pPr>
            <w:r>
              <w:rPr>
                <w:rFonts w:ascii="Arial" w:cs="Arial" w:eastAsia="Arial" w:hAnsi="Arial"/>
                <w:sz w:val="13"/>
                <w:szCs w:val="13"/>
                <w:b w:val="1"/>
                <w:bCs w:val="1"/>
                <w:color w:val="auto"/>
              </w:rPr>
              <w:t>March 31,</w:t>
            </w: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111"/>
              <w:spacing w:after="0" w:line="119" w:lineRule="exact"/>
              <w:rPr>
                <w:sz w:val="20"/>
                <w:szCs w:val="20"/>
                <w:color w:val="auto"/>
              </w:rPr>
            </w:pPr>
            <w:r>
              <w:rPr>
                <w:rFonts w:ascii="Arial" w:cs="Arial" w:eastAsia="Arial" w:hAnsi="Arial"/>
                <w:sz w:val="13"/>
                <w:szCs w:val="13"/>
                <w:b w:val="1"/>
                <w:bCs w:val="1"/>
                <w:color w:val="auto"/>
              </w:rPr>
              <w:t>June 30,</w:t>
            </w:r>
          </w:p>
        </w:tc>
        <w:tc>
          <w:tcPr>
            <w:tcW w:w="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right"/>
              <w:ind w:right="700"/>
              <w:spacing w:after="0" w:line="119" w:lineRule="exact"/>
              <w:rPr>
                <w:sz w:val="20"/>
                <w:szCs w:val="20"/>
                <w:color w:val="auto"/>
              </w:rPr>
            </w:pPr>
            <w:r>
              <w:rPr>
                <w:rFonts w:ascii="Arial" w:cs="Arial" w:eastAsia="Arial" w:hAnsi="Arial"/>
                <w:sz w:val="13"/>
                <w:szCs w:val="13"/>
                <w:b w:val="1"/>
                <w:bCs w:val="1"/>
                <w:color w:val="auto"/>
              </w:rPr>
              <w:t>June 30,</w:t>
            </w: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91"/>
              <w:spacing w:after="0" w:line="119" w:lineRule="exact"/>
              <w:rPr>
                <w:sz w:val="20"/>
                <w:szCs w:val="20"/>
                <w:color w:val="auto"/>
              </w:rPr>
            </w:pPr>
            <w:r>
              <w:rPr>
                <w:rFonts w:ascii="Arial" w:cs="Arial" w:eastAsia="Arial" w:hAnsi="Arial"/>
                <w:sz w:val="13"/>
                <w:szCs w:val="13"/>
                <w:b w:val="1"/>
                <w:bCs w:val="1"/>
                <w:color w:val="auto"/>
              </w:rPr>
              <w:t>June 30,</w:t>
            </w:r>
          </w:p>
        </w:tc>
        <w:tc>
          <w:tcPr>
            <w:tcW w:w="220" w:type="dxa"/>
            <w:vAlign w:val="bottom"/>
          </w:tcPr>
          <w:p>
            <w:pPr>
              <w:spacing w:after="0"/>
              <w:rPr>
                <w:sz w:val="10"/>
                <w:szCs w:val="10"/>
                <w:color w:val="auto"/>
              </w:rPr>
            </w:pPr>
          </w:p>
        </w:tc>
      </w:tr>
      <w:tr>
        <w:trPr>
          <w:trHeight w:val="171"/>
        </w:trPr>
        <w:tc>
          <w:tcPr>
            <w:tcW w:w="4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2020</w:t>
            </w:r>
          </w:p>
        </w:tc>
        <w:tc>
          <w:tcPr>
            <w:tcW w:w="5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4"/>
                <w:szCs w:val="14"/>
                <w:color w:val="auto"/>
              </w:rPr>
            </w:pPr>
          </w:p>
        </w:tc>
      </w:tr>
      <w:tr>
        <w:trPr>
          <w:trHeight w:val="196"/>
        </w:trPr>
        <w:tc>
          <w:tcPr>
            <w:tcW w:w="4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Net sales – standard products business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108,955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110,736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132,006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219,691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232,270</w:t>
            </w: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sales – transitional Fab 3 foundry services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9,873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9,737</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8,879</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19,610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15,882</w:t>
            </w:r>
          </w:p>
        </w:tc>
      </w:tr>
      <w:tr>
        <w:trPr>
          <w:trHeight w:val="216"/>
        </w:trPr>
        <w:tc>
          <w:tcPr>
            <w:tcW w:w="428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118,828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120,473</w:t>
            </w:r>
          </w:p>
        </w:tc>
        <w:tc>
          <w:tcPr>
            <w:tcW w:w="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140,885</w:t>
            </w: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239,301</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248,152</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Cost of sales – standard products business</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76,817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81,606</w:t>
            </w:r>
          </w:p>
        </w:tc>
        <w:tc>
          <w:tcPr>
            <w:tcW w:w="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100,384</w:t>
            </w: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158,423</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181,625</w:t>
            </w: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Cost of sales – transitional Fab 3 foundry services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9,873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9,737</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8,879</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19,610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15,882</w:t>
            </w:r>
          </w:p>
        </w:tc>
      </w:tr>
      <w:tr>
        <w:trPr>
          <w:trHeight w:val="216"/>
        </w:trPr>
        <w:tc>
          <w:tcPr>
            <w:tcW w:w="4280" w:type="dxa"/>
            <w:vAlign w:val="bottom"/>
          </w:tcPr>
          <w:p>
            <w:pPr>
              <w:ind w:left="720"/>
              <w:spacing w:after="0"/>
              <w:rPr>
                <w:sz w:val="20"/>
                <w:szCs w:val="20"/>
                <w:color w:val="auto"/>
              </w:rPr>
            </w:pPr>
            <w:r>
              <w:rPr>
                <w:rFonts w:ascii="Arial" w:cs="Arial" w:eastAsia="Arial" w:hAnsi="Arial"/>
                <w:sz w:val="18"/>
                <w:szCs w:val="18"/>
                <w:color w:val="auto"/>
              </w:rPr>
              <w:t>Total cost of sales</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86,690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91,343</w:t>
            </w:r>
          </w:p>
        </w:tc>
        <w:tc>
          <w:tcPr>
            <w:tcW w:w="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109,263</w:t>
            </w: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178,033</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197,507</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32,138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29,130</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31,622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61,268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50,645</w:t>
            </w:r>
          </w:p>
        </w:tc>
      </w:tr>
      <w:tr>
        <w:trPr>
          <w:trHeight w:val="202"/>
        </w:trPr>
        <w:tc>
          <w:tcPr>
            <w:tcW w:w="4280" w:type="dxa"/>
            <w:vAlign w:val="bottom"/>
          </w:tcPr>
          <w:p>
            <w:pPr>
              <w:spacing w:after="0" w:line="201" w:lineRule="exact"/>
              <w:rPr>
                <w:sz w:val="20"/>
                <w:szCs w:val="20"/>
                <w:color w:val="auto"/>
              </w:rPr>
            </w:pPr>
            <w:r>
              <w:rPr>
                <w:rFonts w:ascii="Arial" w:cs="Arial" w:eastAsia="Arial" w:hAnsi="Arial"/>
                <w:sz w:val="18"/>
                <w:szCs w:val="18"/>
                <w:color w:val="auto"/>
              </w:rPr>
              <w:t>Gross profit as a percentage of standard products</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4280" w:type="dxa"/>
            <w:vAlign w:val="bottom"/>
          </w:tcPr>
          <w:p>
            <w:pPr>
              <w:ind w:left="180"/>
              <w:spacing w:after="0"/>
              <w:rPr>
                <w:sz w:val="20"/>
                <w:szCs w:val="20"/>
                <w:color w:val="auto"/>
              </w:rPr>
            </w:pPr>
            <w:r>
              <w:rPr>
                <w:rFonts w:ascii="Arial" w:cs="Arial" w:eastAsia="Arial" w:hAnsi="Arial"/>
                <w:sz w:val="18"/>
                <w:szCs w:val="18"/>
                <w:color w:val="auto"/>
              </w:rPr>
              <w:t>business net sales</w:t>
            </w:r>
          </w:p>
        </w:tc>
        <w:tc>
          <w:tcPr>
            <w:tcW w:w="1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29.5%</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26.3%</w:t>
            </w:r>
          </w:p>
        </w:tc>
        <w:tc>
          <w:tcPr>
            <w:tcW w:w="80" w:type="dxa"/>
            <w:vAlign w:val="bottom"/>
          </w:tcPr>
          <w:p>
            <w:pPr>
              <w:spacing w:after="0"/>
              <w:rPr>
                <w:sz w:val="20"/>
                <w:szCs w:val="20"/>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21.8%</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Gross profit as a percentage of total revenues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24.2%</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12,408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12,102</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11,095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24,510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23,131</w:t>
            </w: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11,108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10,509</w:t>
            </w:r>
          </w:p>
        </w:tc>
        <w:tc>
          <w:tcPr>
            <w:tcW w:w="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11,772</w:t>
            </w: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21,617</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23,816</w:t>
            </w: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charges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554</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23,516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23,165</w:t>
            </w:r>
          </w:p>
        </w:tc>
        <w:tc>
          <w:tcPr>
            <w:tcW w:w="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22,867</w:t>
            </w: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46,681</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46,947</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8,622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5,965</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8,755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14,587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3,698</w:t>
            </w: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(5,430)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(5,607)</w:t>
            </w:r>
          </w:p>
        </w:tc>
        <w:tc>
          <w:tcPr>
            <w:tcW w:w="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(5,439)</w:t>
            </w:r>
          </w:p>
        </w:tc>
        <w:tc>
          <w:tcPr>
            <w:tcW w:w="10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(11,037)</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(11,076)</w:t>
            </w: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gain (loss), net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8,469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(30,971)</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(11,571)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(22,502)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(22,181)</w:t>
            </w:r>
          </w:p>
        </w:tc>
      </w:tr>
      <w:tr>
        <w:trPr>
          <w:trHeight w:val="202"/>
        </w:trPr>
        <w:tc>
          <w:tcPr>
            <w:tcW w:w="4280" w:type="dxa"/>
            <w:vAlign w:val="bottom"/>
          </w:tcPr>
          <w:p>
            <w:pPr>
              <w:ind w:left="360"/>
              <w:spacing w:after="0" w:line="201" w:lineRule="exact"/>
              <w:rPr>
                <w:sz w:val="20"/>
                <w:szCs w:val="20"/>
                <w:color w:val="auto"/>
              </w:rPr>
            </w:pPr>
            <w:r>
              <w:rPr>
                <w:rFonts w:ascii="Arial" w:cs="Arial" w:eastAsia="Arial" w:hAnsi="Arial"/>
                <w:sz w:val="18"/>
                <w:szCs w:val="18"/>
                <w:color w:val="auto"/>
              </w:rPr>
              <w:t>Loss on early extinguishment of long-term</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4280" w:type="dxa"/>
            <w:vAlign w:val="bottom"/>
          </w:tcPr>
          <w:p>
            <w:pPr>
              <w:ind w:left="540"/>
              <w:spacing w:after="0"/>
              <w:rPr>
                <w:sz w:val="20"/>
                <w:szCs w:val="20"/>
                <w:color w:val="auto"/>
              </w:rPr>
            </w:pPr>
            <w:r>
              <w:rPr>
                <w:rFonts w:ascii="Arial" w:cs="Arial" w:eastAsia="Arial" w:hAnsi="Arial"/>
                <w:sz w:val="18"/>
                <w:szCs w:val="18"/>
                <w:color w:val="auto"/>
              </w:rPr>
              <w:t>borrowings, net</w:t>
            </w:r>
          </w:p>
        </w:tc>
        <w:tc>
          <w:tcPr>
            <w:tcW w:w="10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838</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1,629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1,138</w:t>
            </w:r>
          </w:p>
        </w:tc>
      </w:tr>
      <w:tr>
        <w:trPr>
          <w:trHeight w:val="202"/>
        </w:trPr>
        <w:tc>
          <w:tcPr>
            <w:tcW w:w="4280" w:type="dxa"/>
            <w:vAlign w:val="bottom"/>
          </w:tcPr>
          <w:p>
            <w:pPr>
              <w:spacing w:after="0" w:line="201" w:lineRule="exact"/>
              <w:rPr>
                <w:sz w:val="20"/>
                <w:szCs w:val="20"/>
                <w:color w:val="auto"/>
              </w:rPr>
            </w:pPr>
            <w:r>
              <w:rPr>
                <w:rFonts w:ascii="Arial" w:cs="Arial" w:eastAsia="Arial" w:hAnsi="Arial"/>
                <w:sz w:val="18"/>
                <w:szCs w:val="18"/>
                <w:color w:val="auto"/>
              </w:rPr>
              <w:t>Income (loss) from continuing operations before</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428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12,452</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(29,775)</w:t>
            </w:r>
          </w:p>
        </w:tc>
        <w:tc>
          <w:tcPr>
            <w:tcW w:w="80" w:type="dxa"/>
            <w:vAlign w:val="bottom"/>
          </w:tcPr>
          <w:p>
            <w:pPr>
              <w:spacing w:after="0"/>
              <w:rPr>
                <w:sz w:val="20"/>
                <w:szCs w:val="20"/>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(7,704)</w:t>
            </w:r>
          </w:p>
        </w:tc>
        <w:tc>
          <w:tcPr>
            <w:tcW w:w="100" w:type="dxa"/>
            <w:vAlign w:val="bottom"/>
          </w:tcPr>
          <w:p>
            <w:pPr>
              <w:spacing w:after="0"/>
              <w:rPr>
                <w:sz w:val="20"/>
                <w:szCs w:val="20"/>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(17,323)</w:t>
            </w:r>
          </w:p>
        </w:tc>
        <w:tc>
          <w:tcPr>
            <w:tcW w:w="1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(28,463)</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1,303</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786</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1,981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1,582</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11,774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(31,078)</w:t>
            </w:r>
          </w:p>
        </w:tc>
        <w:tc>
          <w:tcPr>
            <w:tcW w:w="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(8,490)</w:t>
            </w:r>
          </w:p>
        </w:tc>
        <w:tc>
          <w:tcPr>
            <w:tcW w:w="10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(19,304)</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(30,045)</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w w:val="99"/>
              </w:rPr>
              <w:t>Income (loss) from discontinued operations, net of tax</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17,397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7,329</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(1,030)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24,726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(13,600)</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29,171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(23,749)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(9,520)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5,422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(43,645)</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0.34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(0.89)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(0.25)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(0.55)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(0.88)</w:t>
            </w: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0.21</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0.71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(0.40)</w:t>
            </w: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0.84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(0.68)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(0.28)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0.16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(1.28)</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0.28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(0.89)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(0.25)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(0.55)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(0.88)</w:t>
            </w: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0.21</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0.71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(0.40)</w:t>
            </w: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0.65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(0.68)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(0.28)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0.16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(1.28)</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35,092,312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34,893,157</w:t>
            </w:r>
          </w:p>
        </w:tc>
        <w:tc>
          <w:tcPr>
            <w:tcW w:w="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34,245,127</w:t>
            </w: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34,992,734</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34,220,141</w:t>
            </w: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46,474,237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34,893,157</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34,245,127</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34,992,734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34,220,141</w:t>
            </w:r>
          </w:p>
        </w:tc>
      </w:tr>
    </w:tbl>
    <w:p>
      <w:pPr>
        <w:sectPr>
          <w:pgSz w:w="11900" w:h="16838" w:orient="portrait"/>
          <w:cols w:equalWidth="0" w:num="1">
            <w:col w:w="11020"/>
          </w:cols>
          <w:pgMar w:left="440" w:top="270" w:right="439" w:bottom="1440" w:gutter="0" w:footer="0" w:header="0"/>
        </w:sectPr>
      </w:pPr>
    </w:p>
    <w:bookmarkStart w:id="9" w:name="page10"/>
    <w:bookmarkEnd w:id="9"/>
    <w:p>
      <w:pPr>
        <w:jc w:val="center"/>
        <w:spacing w:after="0" w:line="2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MAGNACHIP SEMICONDUCTOR CORPORATION AND SUBSIDIARIES CONSOLIDATED BALANCE SHEETS (In thousands of US dollars, except share data) (Unaudited)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2"/>
              </w:rPr>
              <w:t>June 30,</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9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r>
      <w:tr>
        <w:trPr>
          <w:trHeight w:val="196"/>
        </w:trPr>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192,824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151,657</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48,548</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47,447</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45,511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41,404</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10,406</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10,200</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8,598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9,003</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Hedge collateral</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11,740</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9,820</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7,405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10,013</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Current assets held for sale</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205,086</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99,821</w:t>
            </w: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530,118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379,365</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69,110</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73,068</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1,182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1,876</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2,590</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2,769</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Long-term prepaid expenses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2,936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5,757</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9,212</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9,059</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 held for sale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123,434</w:t>
            </w:r>
          </w:p>
        </w:tc>
      </w:tr>
      <w:tr>
        <w:trPr>
          <w:trHeight w:val="216"/>
        </w:trPr>
        <w:tc>
          <w:tcPr>
            <w:tcW w:w="890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615,148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595,328</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42,366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40,376</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Other accounts payable</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4,049</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6,410</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45,735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44,799</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1,053</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1,625</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long-term borrowings,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82,706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5,481</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3,583</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liabilities held for sale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146,569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37,040</w:t>
            </w:r>
          </w:p>
        </w:tc>
      </w:tr>
      <w:tr>
        <w:trPr>
          <w:trHeight w:val="216"/>
        </w:trPr>
        <w:tc>
          <w:tcPr>
            <w:tcW w:w="89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327,959</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133,833</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223,242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304,743</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Accrued severance benefits, net</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49,927</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51,181</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7,845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9,671</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Non-current liabilities held for sale</w:t>
            </w: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110,881</w:t>
            </w: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608,973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610,309</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8900" w:type="dxa"/>
            <w:vAlign w:val="bottom"/>
          </w:tcPr>
          <w:p>
            <w:pPr>
              <w:ind w:left="360"/>
              <w:spacing w:after="0" w:line="201" w:lineRule="exact"/>
              <w:rPr>
                <w:sz w:val="20"/>
                <w:szCs w:val="20"/>
                <w:color w:val="auto"/>
              </w:rPr>
            </w:pPr>
            <w:r>
              <w:rPr>
                <w:rFonts w:ascii="Arial" w:cs="Arial" w:eastAsia="Arial" w:hAnsi="Arial"/>
                <w:sz w:val="18"/>
                <w:szCs w:val="18"/>
                <w:color w:val="auto"/>
                <w:w w:val="99"/>
              </w:rPr>
              <w:t>Common stock, $0.01 par value, 150,000,000 shares authorized, 44,248,706 shares issued and 35,143,033</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8900" w:type="dxa"/>
            <w:vAlign w:val="bottom"/>
          </w:tcPr>
          <w:p>
            <w:pPr>
              <w:ind w:left="540"/>
              <w:spacing w:after="0"/>
              <w:rPr>
                <w:sz w:val="20"/>
                <w:szCs w:val="20"/>
                <w:color w:val="auto"/>
              </w:rPr>
            </w:pPr>
            <w:r>
              <w:rPr>
                <w:rFonts w:ascii="Arial" w:cs="Arial" w:eastAsia="Arial" w:hAnsi="Arial"/>
                <w:sz w:val="18"/>
                <w:szCs w:val="18"/>
                <w:color w:val="auto"/>
                <w:w w:val="93"/>
              </w:rPr>
              <w:t>outstanding at June 30, 2020 and 43,851,991 shares issued and 34,800,312 outstanding at December 31, 2019</w:t>
            </w:r>
          </w:p>
        </w:tc>
        <w:tc>
          <w:tcPr>
            <w:tcW w:w="100" w:type="dxa"/>
            <w:vAlign w:val="bottom"/>
          </w:tcPr>
          <w:p>
            <w:pPr>
              <w:spacing w:after="0"/>
              <w:rPr>
                <w:sz w:val="20"/>
                <w:szCs w:val="20"/>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443</w:t>
            </w: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439</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155,591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152,404</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(52,709)</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(58,131)</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Treasury stock, 9,105,673 shares at June 30, 2020 and 9,051,679 shares at December 31, 2019, respectively</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(107,649)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(107,033)</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10,499</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(2,660)</w:t>
            </w: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equity (deficit)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6,175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(14,981)</w:t>
            </w:r>
          </w:p>
        </w:tc>
      </w:tr>
      <w:tr>
        <w:trPr>
          <w:trHeight w:val="230"/>
        </w:trPr>
        <w:tc>
          <w:tcPr>
            <w:tcW w:w="890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615,148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595,328</w:t>
            </w:r>
          </w:p>
        </w:tc>
      </w:tr>
    </w:tbl>
    <w:p>
      <w:pPr>
        <w:sectPr>
          <w:pgSz w:w="11900" w:h="16838" w:orient="portrait"/>
          <w:cols w:equalWidth="0" w:num="1">
            <w:col w:w="11020"/>
          </w:cols>
          <w:pgMar w:left="440" w:top="270" w:right="4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1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Six Months Ended</w:t>
            </w:r>
          </w:p>
        </w:tc>
      </w:tr>
      <w:tr>
        <w:trPr>
          <w:trHeight w:val="142"/>
        </w:trPr>
        <w:tc>
          <w:tcPr>
            <w:tcW w:w="6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w w:val="96"/>
              </w:rPr>
              <w:t>June 30, 2020</w:t>
            </w:r>
          </w:p>
        </w:tc>
        <w:tc>
          <w:tcPr>
            <w:tcW w:w="560" w:type="dxa"/>
            <w:vAlign w:val="bottom"/>
          </w:tcPr>
          <w:p>
            <w:pPr>
              <w:spacing w:after="0"/>
              <w:rPr>
                <w:sz w:val="12"/>
                <w:szCs w:val="12"/>
                <w:color w:val="auto"/>
              </w:rPr>
            </w:pPr>
          </w:p>
        </w:tc>
        <w:tc>
          <w:tcPr>
            <w:tcW w:w="14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June 30, 2020</w:t>
            </w: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June 30, 2019</w:t>
            </w:r>
          </w:p>
        </w:tc>
        <w:tc>
          <w:tcPr>
            <w:tcW w:w="120" w:type="dxa"/>
            <w:vAlign w:val="bottom"/>
          </w:tcPr>
          <w:p>
            <w:pPr>
              <w:spacing w:after="0"/>
              <w:rPr>
                <w:sz w:val="12"/>
                <w:szCs w:val="12"/>
                <w:color w:val="auto"/>
              </w:rPr>
            </w:pPr>
          </w:p>
        </w:tc>
      </w:tr>
      <w:tr>
        <w:trPr>
          <w:trHeight w:val="196"/>
        </w:trPr>
        <w:tc>
          <w:tcPr>
            <w:tcW w:w="6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Net income (loss)</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29,171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5,422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(43,645)</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w w:val="94"/>
              </w:rPr>
              <w:t>Adjustments to reconcile net income (loss) to net cash provided by operating activities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2,544</w:t>
            </w: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10,479</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16,505</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severance benefits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5,108</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10,179</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6,406</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Amortization of debt issuance costs and original issue discount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607</w:t>
            </w: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1,205</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1,134</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(gain) on foreign currency, net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(12,083)</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26,397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24,609</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Restructuring and other charges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732</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inventory reserves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1,463</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2,033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8,940</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1,643</w:t>
            </w: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2,528</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1,441</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early extinguishment of long-term borrowings, net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00"/>
              <w:spacing w:after="0"/>
              <w:rPr>
                <w:sz w:val="20"/>
                <w:szCs w:val="20"/>
                <w:color w:val="auto"/>
              </w:rPr>
            </w:pPr>
            <w:r>
              <w:rPr>
                <w:rFonts w:ascii="Arial" w:cs="Arial" w:eastAsia="Arial" w:hAnsi="Arial"/>
                <w:sz w:val="18"/>
                <w:szCs w:val="18"/>
                <w:color w:val="auto"/>
              </w:rPr>
              <w:t>(218)</w:t>
            </w:r>
          </w:p>
        </w:tc>
        <w:tc>
          <w:tcPr>
            <w:tcW w:w="1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(494)</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9,992</w:t>
            </w:r>
          </w:p>
        </w:tc>
        <w:tc>
          <w:tcPr>
            <w:tcW w:w="1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(438)</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(20,974)</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Unbilled accounts receivable, net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3,996</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10,933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6,201</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00"/>
              <w:spacing w:after="0"/>
              <w:rPr>
                <w:sz w:val="20"/>
                <w:szCs w:val="20"/>
                <w:color w:val="auto"/>
              </w:rPr>
            </w:pPr>
            <w:r>
              <w:rPr>
                <w:rFonts w:ascii="Arial" w:cs="Arial" w:eastAsia="Arial" w:hAnsi="Arial"/>
                <w:sz w:val="18"/>
                <w:szCs w:val="18"/>
                <w:color w:val="auto"/>
              </w:rPr>
              <w:t>(9,197)</w:t>
            </w:r>
          </w:p>
        </w:tc>
        <w:tc>
          <w:tcPr>
            <w:tcW w:w="1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(14,060)</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(7,351)</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receivables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(1,915)</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(2,969)</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3,838</w:t>
            </w: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4,747</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5,929</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2,959</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4,947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32,137</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Other accounts payable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00"/>
              <w:spacing w:after="0"/>
              <w:rPr>
                <w:sz w:val="20"/>
                <w:szCs w:val="20"/>
                <w:color w:val="auto"/>
              </w:rPr>
            </w:pPr>
            <w:r>
              <w:rPr>
                <w:rFonts w:ascii="Arial" w:cs="Arial" w:eastAsia="Arial" w:hAnsi="Arial"/>
                <w:sz w:val="18"/>
                <w:szCs w:val="18"/>
                <w:color w:val="auto"/>
              </w:rPr>
              <w:t>(4,325)</w:t>
            </w:r>
          </w:p>
        </w:tc>
        <w:tc>
          <w:tcPr>
            <w:tcW w:w="1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(5,898)</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(3,960)</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4,878</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2,880</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158</w:t>
            </w: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1,220</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(7,491)</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(570)</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1,238</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1,716</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Payment of severance benefits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00"/>
              <w:spacing w:after="0"/>
              <w:rPr>
                <w:sz w:val="20"/>
                <w:szCs w:val="20"/>
                <w:color w:val="auto"/>
              </w:rPr>
            </w:pPr>
            <w:r>
              <w:rPr>
                <w:rFonts w:ascii="Arial" w:cs="Arial" w:eastAsia="Arial" w:hAnsi="Arial"/>
                <w:sz w:val="18"/>
                <w:szCs w:val="18"/>
                <w:color w:val="auto"/>
              </w:rPr>
              <w:t>(2,192)</w:t>
            </w:r>
          </w:p>
        </w:tc>
        <w:tc>
          <w:tcPr>
            <w:tcW w:w="1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(4,272)</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(4,579)</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35,997</w:t>
            </w: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57,065</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17,155</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Proceeds from settlement of hedge collateral</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1,616</w:t>
            </w: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5,855</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4,627</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hedge collateral</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(7,841)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(8,395)</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Purchase of property, plant and equipment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00"/>
              <w:spacing w:after="0"/>
              <w:rPr>
                <w:sz w:val="20"/>
                <w:szCs w:val="20"/>
                <w:color w:val="auto"/>
              </w:rPr>
            </w:pPr>
            <w:r>
              <w:rPr>
                <w:rFonts w:ascii="Arial" w:cs="Arial" w:eastAsia="Arial" w:hAnsi="Arial"/>
                <w:sz w:val="18"/>
                <w:szCs w:val="18"/>
                <w:color w:val="auto"/>
              </w:rPr>
              <w:t>(5,491)</w:t>
            </w:r>
          </w:p>
        </w:tc>
        <w:tc>
          <w:tcPr>
            <w:tcW w:w="1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(8,842)</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(15,000)</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for intellectual property registration</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(244)</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(642)</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Collection of guarantee deposits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388</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guarantee deposits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(571)</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(571)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(1,330)</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193</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(4,677)</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(11,804)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(20,159)</w:t>
            </w:r>
          </w:p>
        </w:tc>
      </w:tr>
      <w:tr>
        <w:trPr>
          <w:trHeight w:val="216"/>
        </w:trPr>
        <w:tc>
          <w:tcPr>
            <w:tcW w:w="65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 of long-term borrowings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(1,175)</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663</w:t>
            </w: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663</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149</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of treasury stock</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(1,021)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(2,588)</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Repayment of financing related to water treatment facility arrangement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00"/>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(267)</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(281)</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of principal portion of lease liabilities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(119)</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472</w:t>
            </w:r>
          </w:p>
        </w:tc>
        <w:tc>
          <w:tcPr>
            <w:tcW w:w="1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(744)</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(4,013)</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3,739</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(3,350)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(1,668)</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35,531</w:t>
            </w: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41,167</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(8,685)</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Beginning of the period</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157,293</w:t>
            </w: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w w:val="98"/>
              </w:rPr>
              <w:t>151,657</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132,438</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End of the period</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192,824</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8"/>
              </w:rPr>
              <w:t>192,824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123,753</w:t>
            </w:r>
          </w:p>
        </w:tc>
      </w:tr>
    </w:tbl>
    <w:p>
      <w:pPr>
        <w:sectPr>
          <w:pgSz w:w="11900" w:h="16838" w:orient="portrait"/>
          <w:cols w:equalWidth="0" w:num="1">
            <w:col w:w="11020"/>
          </w:cols>
          <w:pgMar w:left="440" w:top="270" w:right="4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INCOME TO ADJUSTED OPERATING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8"/>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gridSpan w:val="4"/>
          </w:tcPr>
          <w:p>
            <w:pPr>
              <w:ind w:left="12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500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740" w:type="dxa"/>
            <w:vAlign w:val="bottom"/>
            <w:tcBorders>
              <w:top w:val="single" w:sz="8" w:color="auto"/>
            </w:tcBorders>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rPr>
              <w:t>June 30,</w:t>
            </w: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5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June 30,</w:t>
            </w:r>
          </w:p>
        </w:tc>
        <w:tc>
          <w:tcPr>
            <w:tcW w:w="260" w:type="dxa"/>
            <w:vAlign w:val="bottom"/>
          </w:tcPr>
          <w:p>
            <w:pPr>
              <w:spacing w:after="0"/>
              <w:rPr>
                <w:sz w:val="10"/>
                <w:szCs w:val="10"/>
                <w:color w:val="auto"/>
              </w:rPr>
            </w:pPr>
          </w:p>
        </w:tc>
        <w:tc>
          <w:tcPr>
            <w:tcW w:w="860" w:type="dxa"/>
            <w:vAlign w:val="bottom"/>
            <w:tcBorders>
              <w:top w:val="single" w:sz="8" w:color="auto"/>
            </w:tcBorders>
            <w:gridSpan w:val="2"/>
          </w:tcPr>
          <w:p>
            <w:pPr>
              <w:ind w:left="40"/>
              <w:spacing w:after="0" w:line="119" w:lineRule="exact"/>
              <w:rPr>
                <w:sz w:val="20"/>
                <w:szCs w:val="20"/>
                <w:color w:val="auto"/>
              </w:rPr>
            </w:pPr>
            <w:r>
              <w:rPr>
                <w:rFonts w:ascii="Arial" w:cs="Arial" w:eastAsia="Arial" w:hAnsi="Arial"/>
                <w:sz w:val="13"/>
                <w:szCs w:val="13"/>
                <w:b w:val="1"/>
                <w:bCs w:val="1"/>
                <w:color w:val="auto"/>
              </w:rPr>
              <w:t>June 30,</w:t>
            </w:r>
          </w:p>
        </w:tc>
        <w:tc>
          <w:tcPr>
            <w:tcW w:w="5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June 30,</w:t>
            </w:r>
          </w:p>
        </w:tc>
        <w:tc>
          <w:tcPr>
            <w:tcW w:w="60" w:type="dxa"/>
            <w:vAlign w:val="bottom"/>
          </w:tcPr>
          <w:p>
            <w:pPr>
              <w:spacing w:after="0"/>
              <w:rPr>
                <w:sz w:val="10"/>
                <w:szCs w:val="10"/>
                <w:color w:val="auto"/>
              </w:rPr>
            </w:pPr>
          </w:p>
        </w:tc>
      </w:tr>
      <w:tr>
        <w:trPr>
          <w:trHeight w:val="171"/>
        </w:trPr>
        <w:tc>
          <w:tcPr>
            <w:tcW w:w="5000" w:type="dxa"/>
            <w:vAlign w:val="bottom"/>
            <w:tcBorders>
              <w:bottom w:val="single" w:sz="8" w:color="CCEEFF"/>
            </w:tcBorders>
          </w:tcPr>
          <w:p>
            <w:pPr>
              <w:spacing w:after="0"/>
              <w:rPr>
                <w:sz w:val="14"/>
                <w:szCs w:val="14"/>
                <w:color w:val="auto"/>
              </w:rPr>
            </w:pPr>
          </w:p>
        </w:tc>
        <w:tc>
          <w:tcPr>
            <w:tcW w:w="20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4"/>
                <w:szCs w:val="14"/>
                <w:color w:val="auto"/>
              </w:rPr>
            </w:pPr>
          </w:p>
        </w:tc>
      </w:tr>
      <w:tr>
        <w:trPr>
          <w:trHeight w:val="209"/>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5,965</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$8,755</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$14,587</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$3,698</w:t>
            </w:r>
          </w:p>
        </w:tc>
        <w:tc>
          <w:tcPr>
            <w:tcW w:w="6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Adjustments: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Equity-based compensation expense</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762</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668</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2,265</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1,231</w:t>
            </w:r>
          </w:p>
        </w:tc>
      </w:tr>
      <w:tr>
        <w:trPr>
          <w:trHeight w:val="216"/>
        </w:trPr>
        <w:tc>
          <w:tcPr>
            <w:tcW w:w="5000" w:type="dxa"/>
            <w:vAlign w:val="bottom"/>
          </w:tcPr>
          <w:p>
            <w:pPr>
              <w:ind w:left="360"/>
              <w:spacing w:after="0"/>
              <w:rPr>
                <w:sz w:val="20"/>
                <w:szCs w:val="20"/>
                <w:color w:val="auto"/>
              </w:rPr>
            </w:pPr>
            <w:r>
              <w:rPr>
                <w:rFonts w:ascii="Arial" w:cs="Arial" w:eastAsia="Arial" w:hAnsi="Arial"/>
                <w:sz w:val="18"/>
                <w:szCs w:val="18"/>
                <w:color w:val="auto"/>
              </w:rPr>
              <w:t>Others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554</w:t>
            </w: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554</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585</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Adjusted Operating Income</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10,125</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7,281</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$9,423</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$17,406</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$5,514</w:t>
            </w:r>
          </w:p>
        </w:tc>
      </w:tr>
    </w:tbl>
    <w:p>
      <w:pPr>
        <w:spacing w:after="0" w:line="20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We present Adjusted Operating Income as supplemental measures of our performance. We define Adjusted Operating Income for the periods indicated as operating income adjusted to exclude (i) Equity-based compensation expense and (ii) Others. Others include non-recurring professional fees and expenses incurred in connection with certain treasury and finance initiatives for the three months ended March 31, 2020, and a $0.6 million legal settlement charge related to dispute with a prior customer and a legal expense related to the indemnification of a former employee, which is borne by us under a negotiated separation agreement for the three months ended March 31, 2019.</w:t>
      </w:r>
    </w:p>
    <w:p>
      <w:pPr>
        <w:sectPr>
          <w:pgSz w:w="11900" w:h="16838" w:orient="portrait"/>
          <w:cols w:equalWidth="0" w:num="1">
            <w:col w:w="11020"/>
          </w:cols>
          <w:pgMar w:left="440" w:top="270" w:right="439" w:bottom="1440" w:gutter="0" w:footer="0" w:header="0"/>
        </w:sectPr>
      </w:pPr>
    </w:p>
    <w:bookmarkStart w:id="12" w:name="page13"/>
    <w:bookmarkEnd w:id="12"/>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RECONCILIATION OF NET INCOME TO ADJUSTED EBITDA AND ADJUSTED NET INCOME (LOSS)</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 thousands of US dollars, except share data)</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4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June 30,</w:t>
            </w: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112"/>
              <w:spacing w:after="0" w:line="119" w:lineRule="exact"/>
              <w:rPr>
                <w:sz w:val="20"/>
                <w:szCs w:val="20"/>
                <w:color w:val="auto"/>
              </w:rPr>
            </w:pPr>
            <w:r>
              <w:rPr>
                <w:rFonts w:ascii="Arial" w:cs="Arial" w:eastAsia="Arial" w:hAnsi="Arial"/>
                <w:sz w:val="13"/>
                <w:szCs w:val="13"/>
                <w:b w:val="1"/>
                <w:bCs w:val="1"/>
                <w:color w:val="auto"/>
              </w:rPr>
              <w:t>June 30,</w:t>
            </w:r>
          </w:p>
        </w:tc>
        <w:tc>
          <w:tcPr>
            <w:tcW w:w="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June 30,</w:t>
            </w: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112"/>
              <w:spacing w:after="0" w:line="119" w:lineRule="exact"/>
              <w:rPr>
                <w:sz w:val="20"/>
                <w:szCs w:val="20"/>
                <w:color w:val="auto"/>
              </w:rPr>
            </w:pPr>
            <w:r>
              <w:rPr>
                <w:rFonts w:ascii="Arial" w:cs="Arial" w:eastAsia="Arial" w:hAnsi="Arial"/>
                <w:sz w:val="13"/>
                <w:szCs w:val="13"/>
                <w:b w:val="1"/>
                <w:bCs w:val="1"/>
                <w:color w:val="auto"/>
              </w:rPr>
              <w:t>June 30,</w:t>
            </w:r>
          </w:p>
        </w:tc>
        <w:tc>
          <w:tcPr>
            <w:tcW w:w="120" w:type="dxa"/>
            <w:vAlign w:val="bottom"/>
          </w:tcPr>
          <w:p>
            <w:pPr>
              <w:spacing w:after="0"/>
              <w:rPr>
                <w:sz w:val="10"/>
                <w:szCs w:val="10"/>
                <w:color w:val="auto"/>
              </w:rPr>
            </w:pPr>
          </w:p>
        </w:tc>
      </w:tr>
      <w:tr>
        <w:trPr>
          <w:trHeight w:val="171"/>
        </w:trPr>
        <w:tc>
          <w:tcPr>
            <w:tcW w:w="41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2020</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r>
      <w:tr>
        <w:trPr>
          <w:trHeight w:val="209"/>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(31,078)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(30,045)</w:t>
            </w:r>
          </w:p>
        </w:tc>
        <w:tc>
          <w:tcPr>
            <w:tcW w:w="12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Adjustments: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4,736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4,852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9,911</w:t>
            </w:r>
          </w:p>
        </w:tc>
      </w:tr>
      <w:tr>
        <w:trPr>
          <w:trHeight w:val="216"/>
        </w:trPr>
        <w:tc>
          <w:tcPr>
            <w:tcW w:w="412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678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1,303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1,981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1,582</w:t>
            </w: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2,551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5,102</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EBITDA</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19,732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(22,275)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(2,543)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(13,450)</w:t>
            </w: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Equity-based compensation expense</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668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1,231</w:t>
            </w:r>
          </w:p>
        </w:tc>
      </w:tr>
      <w:tr>
        <w:trPr>
          <w:trHeight w:val="216"/>
        </w:trPr>
        <w:tc>
          <w:tcPr>
            <w:tcW w:w="4120" w:type="dxa"/>
            <w:vAlign w:val="bottom"/>
          </w:tcPr>
          <w:p>
            <w:pPr>
              <w:ind w:left="360"/>
              <w:spacing w:after="0"/>
              <w:rPr>
                <w:sz w:val="20"/>
                <w:szCs w:val="20"/>
                <w:color w:val="auto"/>
              </w:rPr>
            </w:pPr>
            <w:r>
              <w:rPr>
                <w:rFonts w:ascii="Arial" w:cs="Arial" w:eastAsia="Arial" w:hAnsi="Arial"/>
                <w:sz w:val="18"/>
                <w:szCs w:val="18"/>
                <w:color w:val="auto"/>
              </w:rPr>
              <w:t>Foreign currency loss (gain), net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(8,469)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30,971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11,571</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22,502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22,181</w:t>
            </w: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 valuation loss (gain), net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w:t>
            </w:r>
          </w:p>
        </w:tc>
      </w:tr>
      <w:tr>
        <w:trPr>
          <w:trHeight w:val="202"/>
        </w:trPr>
        <w:tc>
          <w:tcPr>
            <w:tcW w:w="4120" w:type="dxa"/>
            <w:vAlign w:val="bottom"/>
          </w:tcPr>
          <w:p>
            <w:pPr>
              <w:ind w:left="360"/>
              <w:spacing w:after="0" w:line="201" w:lineRule="exact"/>
              <w:rPr>
                <w:sz w:val="20"/>
                <w:szCs w:val="20"/>
                <w:color w:val="auto"/>
              </w:rPr>
            </w:pPr>
            <w:r>
              <w:rPr>
                <w:rFonts w:ascii="Arial" w:cs="Arial" w:eastAsia="Arial" w:hAnsi="Arial"/>
                <w:sz w:val="18"/>
                <w:szCs w:val="18"/>
                <w:color w:val="auto"/>
              </w:rPr>
              <w:t>Loss on early extinguishment of long-term</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4120" w:type="dxa"/>
            <w:vAlign w:val="bottom"/>
          </w:tcPr>
          <w:p>
            <w:pPr>
              <w:ind w:left="540"/>
              <w:spacing w:after="0"/>
              <w:rPr>
                <w:sz w:val="20"/>
                <w:szCs w:val="20"/>
                <w:color w:val="auto"/>
              </w:rPr>
            </w:pPr>
            <w:r>
              <w:rPr>
                <w:rFonts w:ascii="Arial" w:cs="Arial" w:eastAsia="Arial" w:hAnsi="Arial"/>
                <w:sz w:val="18"/>
                <w:szCs w:val="18"/>
                <w:color w:val="auto"/>
              </w:rPr>
              <w:t>borrowings, net</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585</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Adjusted EBITDA</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12,711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9,895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12,018</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22,606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10,725</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11,774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(31,078)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(19,304)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(30,045)</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Adjustments: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Equity-based compensation expense</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668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1,231</w:t>
            </w:r>
          </w:p>
        </w:tc>
      </w:tr>
      <w:tr>
        <w:trPr>
          <w:trHeight w:val="216"/>
        </w:trPr>
        <w:tc>
          <w:tcPr>
            <w:tcW w:w="4120" w:type="dxa"/>
            <w:vAlign w:val="bottom"/>
          </w:tcPr>
          <w:p>
            <w:pPr>
              <w:ind w:left="360"/>
              <w:spacing w:after="0"/>
              <w:rPr>
                <w:sz w:val="20"/>
                <w:szCs w:val="20"/>
                <w:color w:val="auto"/>
              </w:rPr>
            </w:pPr>
            <w:r>
              <w:rPr>
                <w:rFonts w:ascii="Arial" w:cs="Arial" w:eastAsia="Arial" w:hAnsi="Arial"/>
                <w:sz w:val="18"/>
                <w:szCs w:val="18"/>
                <w:color w:val="auto"/>
              </w:rPr>
              <w:t>Foreign currency loss (gain), net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(8,469)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30,971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11,571</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22,502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22,181</w:t>
            </w: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 valuation loss (gain), net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w:t>
            </w:r>
          </w:p>
        </w:tc>
      </w:tr>
      <w:tr>
        <w:trPr>
          <w:trHeight w:val="202"/>
        </w:trPr>
        <w:tc>
          <w:tcPr>
            <w:tcW w:w="4120" w:type="dxa"/>
            <w:vAlign w:val="bottom"/>
          </w:tcPr>
          <w:p>
            <w:pPr>
              <w:ind w:left="360"/>
              <w:spacing w:after="0" w:line="201" w:lineRule="exact"/>
              <w:rPr>
                <w:sz w:val="20"/>
                <w:szCs w:val="20"/>
                <w:color w:val="auto"/>
              </w:rPr>
            </w:pPr>
            <w:r>
              <w:rPr>
                <w:rFonts w:ascii="Arial" w:cs="Arial" w:eastAsia="Arial" w:hAnsi="Arial"/>
                <w:sz w:val="18"/>
                <w:szCs w:val="18"/>
                <w:color w:val="auto"/>
              </w:rPr>
              <w:t>Loss on early extinguishment of long-term</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4120" w:type="dxa"/>
            <w:vAlign w:val="bottom"/>
          </w:tcPr>
          <w:p>
            <w:pPr>
              <w:ind w:left="540"/>
              <w:spacing w:after="0"/>
              <w:rPr>
                <w:sz w:val="20"/>
                <w:szCs w:val="20"/>
                <w:color w:val="auto"/>
              </w:rPr>
            </w:pPr>
            <w:r>
              <w:rPr>
                <w:rFonts w:ascii="Arial" w:cs="Arial" w:eastAsia="Arial" w:hAnsi="Arial"/>
                <w:sz w:val="18"/>
                <w:szCs w:val="18"/>
                <w:color w:val="auto"/>
              </w:rPr>
              <w:t>borrowings, net</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585</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Adjusted Net Income (Loss)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4,753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1,092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3,829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5,845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(5,870)</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(Loss) per common share—</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120" w:type="dxa"/>
            <w:vAlign w:val="bottom"/>
          </w:tcPr>
          <w:p>
            <w:pPr>
              <w:ind w:left="360"/>
              <w:spacing w:after="0"/>
              <w:rPr>
                <w:sz w:val="20"/>
                <w:szCs w:val="20"/>
                <w:color w:val="auto"/>
              </w:rPr>
            </w:pPr>
            <w:r>
              <w:rPr>
                <w:rFonts w:ascii="Arial" w:cs="Arial" w:eastAsia="Arial" w:hAnsi="Arial"/>
                <w:sz w:val="18"/>
                <w:szCs w:val="18"/>
                <w:color w:val="auto"/>
              </w:rPr>
              <w:t>- Basic</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0.14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0.03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0.11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0.17</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(0.17)</w:t>
            </w: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Diluted</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(0.17)</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Weighted average number of shares – basic</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35,092,312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34,893,157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34,245,127</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34,992,734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34,220,141</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 diluted</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36,330,083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35,883,200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34,965,562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36,248,039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34,220,141</w:t>
            </w:r>
          </w:p>
        </w:tc>
      </w:tr>
    </w:tbl>
    <w:p>
      <w:pPr>
        <w:spacing w:after="0" w:line="202" w:lineRule="exact"/>
        <w:rPr>
          <w:sz w:val="20"/>
          <w:szCs w:val="20"/>
          <w:color w:val="auto"/>
        </w:rPr>
      </w:pPr>
    </w:p>
    <w:p>
      <w:pPr>
        <w:ind w:left="4" w:right="340"/>
        <w:spacing w:after="0" w:line="291" w:lineRule="auto"/>
        <w:rPr>
          <w:sz w:val="20"/>
          <w:szCs w:val="20"/>
          <w:color w:val="auto"/>
        </w:rPr>
      </w:pPr>
      <w:r>
        <w:rPr>
          <w:rFonts w:ascii="Arial" w:cs="Arial" w:eastAsia="Arial" w:hAnsi="Arial"/>
          <w:sz w:val="16"/>
          <w:szCs w:val="16"/>
          <w:color w:val="auto"/>
        </w:rPr>
        <w:t>We present Adjusted EBITDA and Adjusted Net Income (Loss) as supplemental measures of our performance. We define Adjusted EBITDA for the periods indicated as EBITDA (as defined below), adjusted to exclude (i) Equity-based compensation expense, (ii) Foreign currency loss (gain), net,</w:t>
      </w:r>
    </w:p>
    <w:p>
      <w:pPr>
        <w:ind w:left="4" w:right="60" w:hanging="4"/>
        <w:spacing w:after="0" w:line="281" w:lineRule="auto"/>
        <w:tabs>
          <w:tab w:leader="none" w:pos="319" w:val="left"/>
        </w:tabs>
        <w:numPr>
          <w:ilvl w:val="0"/>
          <w:numId w:val="5"/>
        </w:numPr>
        <w:rPr>
          <w:rFonts w:ascii="Arial" w:cs="Arial" w:eastAsia="Arial" w:hAnsi="Arial"/>
          <w:sz w:val="16"/>
          <w:szCs w:val="16"/>
          <w:color w:val="auto"/>
        </w:rPr>
      </w:pPr>
      <w:r>
        <w:rPr>
          <w:rFonts w:ascii="Arial" w:cs="Arial" w:eastAsia="Arial" w:hAnsi="Arial"/>
          <w:sz w:val="16"/>
          <w:szCs w:val="16"/>
          <w:color w:val="auto"/>
        </w:rPr>
        <w:t>Derivative valuation loss (gain), net, (iv) Loss on early extinguishment of long-term borrowings, net and (v) Others. Others include non-recurring professional fees and expenses incurred in connection with certain treasury and finance initiatives for the three months ended March 31, 2020, and a $0.6 million legal settlement charge related to dispute with a prior customer and a legal expense related to the indemnification of a former employee, which is borne by us under a negotiated separation agreement for the three months ended March 31, 2019. EBITDA for the periods indicated is defined as Income (loss) from continuing operations before interest expense, net, income tax expense and depreciation and amortization. We prepare Adjusted Net Income (Loss) by adjusting income (loss) from continuing operations to eliminate the impact of a number of non-cash expenses and other items that may be either one time or recurring that we do not consider to be indicative of our core ongoing operating performance. We believe that Adjusted Net Income (Loss) is particularly useful because it reflects the impact of our asset base and capital structure on our operating performance. We define Adjusted Net Income (Loss) for the periods as income (loss) from continuing operations, adjusted to exclude (i) Equity-based compensation expense,</w:t>
      </w:r>
    </w:p>
    <w:p>
      <w:pPr>
        <w:spacing w:after="0" w:line="5" w:lineRule="exact"/>
        <w:rPr>
          <w:rFonts w:ascii="Arial" w:cs="Arial" w:eastAsia="Arial" w:hAnsi="Arial"/>
          <w:sz w:val="16"/>
          <w:szCs w:val="16"/>
          <w:color w:val="auto"/>
        </w:rPr>
      </w:pPr>
    </w:p>
    <w:p>
      <w:pPr>
        <w:ind w:left="264" w:hanging="264"/>
        <w:spacing w:after="0"/>
        <w:tabs>
          <w:tab w:leader="none" w:pos="264" w:val="left"/>
        </w:tabs>
        <w:numPr>
          <w:ilvl w:val="0"/>
          <w:numId w:val="6"/>
        </w:numPr>
        <w:rPr>
          <w:rFonts w:ascii="Arial" w:cs="Arial" w:eastAsia="Arial" w:hAnsi="Arial"/>
          <w:sz w:val="17"/>
          <w:szCs w:val="17"/>
          <w:color w:val="auto"/>
        </w:rPr>
      </w:pPr>
      <w:r>
        <w:rPr>
          <w:rFonts w:ascii="Arial" w:cs="Arial" w:eastAsia="Arial" w:hAnsi="Arial"/>
          <w:sz w:val="17"/>
          <w:szCs w:val="17"/>
          <w:color w:val="auto"/>
        </w:rPr>
        <w:t>Foreign currency loss (gain), net, (iii) Derivative valuation loss (gain), net, (iv) Loss on early extinguishment of long-term borrowings, net and</w:t>
      </w:r>
    </w:p>
    <w:p>
      <w:pPr>
        <w:spacing w:after="0" w:line="20" w:lineRule="exact"/>
        <w:rPr>
          <w:rFonts w:ascii="Arial" w:cs="Arial" w:eastAsia="Arial" w:hAnsi="Arial"/>
          <w:sz w:val="17"/>
          <w:szCs w:val="17"/>
          <w:color w:val="auto"/>
        </w:rPr>
      </w:pPr>
    </w:p>
    <w:p>
      <w:pPr>
        <w:ind w:left="4" w:right="100" w:hanging="4"/>
        <w:spacing w:after="0" w:line="302" w:lineRule="auto"/>
        <w:tabs>
          <w:tab w:leader="none" w:pos="259" w:val="left"/>
        </w:tabs>
        <w:numPr>
          <w:ilvl w:val="0"/>
          <w:numId w:val="7"/>
        </w:numPr>
        <w:rPr>
          <w:rFonts w:ascii="Arial" w:cs="Arial" w:eastAsia="Arial" w:hAnsi="Arial"/>
          <w:sz w:val="16"/>
          <w:szCs w:val="16"/>
          <w:color w:val="auto"/>
        </w:rPr>
      </w:pPr>
      <w:r>
        <w:rPr>
          <w:rFonts w:ascii="Arial" w:cs="Arial" w:eastAsia="Arial" w:hAnsi="Arial"/>
          <w:sz w:val="16"/>
          <w:szCs w:val="16"/>
          <w:color w:val="auto"/>
        </w:rPr>
        <w:t>Others. Others include non-recurring professional fees and expenses incurred in connection with certain treasury and finance initiatives for the three months ended March 31, 2020, and a $0.6 million legal settlement charge related to dispute with a prior customer and a legal expense related to the indemnification of a former employee, which is borne by us under a negotiated separation agreement for the three months ended March 31, 2019.</w:t>
      </w:r>
    </w:p>
    <w:p>
      <w:pPr>
        <w:sectPr>
          <w:pgSz w:w="11900" w:h="16838" w:orient="portrait"/>
          <w:cols w:equalWidth="0" w:num="1">
            <w:col w:w="11024"/>
          </w:cols>
          <w:pgMar w:left="436" w:top="270" w:right="43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NON-GAAP COMBINED RESULTS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8"/>
          </w:tcPr>
          <w:p>
            <w:pPr>
              <w:jc w:val="center"/>
              <w:ind w:right="480"/>
              <w:spacing w:after="0"/>
              <w:rPr>
                <w:sz w:val="20"/>
                <w:szCs w:val="20"/>
                <w:color w:val="auto"/>
              </w:rPr>
            </w:pPr>
            <w:r>
              <w:rPr>
                <w:rFonts w:ascii="Arial" w:cs="Arial" w:eastAsia="Arial" w:hAnsi="Arial"/>
                <w:sz w:val="14"/>
                <w:szCs w:val="14"/>
                <w:b w:val="1"/>
                <w:bCs w:val="1"/>
                <w:color w:val="auto"/>
                <w:w w:val="92"/>
              </w:rPr>
              <w:t>Three Months Ended June 30, 2020</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5"/>
          </w:tcPr>
          <w:p>
            <w:pPr>
              <w:jc w:val="right"/>
              <w:ind w:right="360"/>
              <w:spacing w:after="0" w:line="142" w:lineRule="exact"/>
              <w:rPr>
                <w:sz w:val="20"/>
                <w:szCs w:val="20"/>
                <w:color w:val="auto"/>
              </w:rPr>
            </w:pPr>
            <w:r>
              <w:rPr>
                <w:rFonts w:ascii="Arial" w:cs="Arial" w:eastAsia="Arial" w:hAnsi="Arial"/>
                <w:sz w:val="14"/>
                <w:szCs w:val="14"/>
                <w:b w:val="1"/>
                <w:bCs w:val="1"/>
                <w:color w:val="auto"/>
              </w:rPr>
              <w:t>Continuing Operations</w:t>
            </w:r>
          </w:p>
        </w:tc>
        <w:tc>
          <w:tcPr>
            <w:tcW w:w="100" w:type="dxa"/>
            <w:vAlign w:val="bottom"/>
          </w:tcPr>
          <w:p>
            <w:pPr>
              <w:spacing w:after="0"/>
              <w:rPr>
                <w:sz w:val="12"/>
                <w:szCs w:val="12"/>
                <w:color w:val="auto"/>
              </w:rPr>
            </w:pPr>
          </w:p>
        </w:tc>
        <w:tc>
          <w:tcPr>
            <w:tcW w:w="2040" w:type="dxa"/>
            <w:vAlign w:val="bottom"/>
            <w:gridSpan w:val="4"/>
          </w:tcPr>
          <w:p>
            <w:pPr>
              <w:jc w:val="right"/>
              <w:ind w:right="400"/>
              <w:spacing w:after="0" w:line="142" w:lineRule="exact"/>
              <w:rPr>
                <w:sz w:val="20"/>
                <w:szCs w:val="20"/>
                <w:color w:val="auto"/>
              </w:rPr>
            </w:pPr>
            <w:r>
              <w:rPr>
                <w:rFonts w:ascii="Arial" w:cs="Arial" w:eastAsia="Arial" w:hAnsi="Arial"/>
                <w:sz w:val="14"/>
                <w:szCs w:val="14"/>
                <w:b w:val="1"/>
                <w:bCs w:val="1"/>
                <w:color w:val="auto"/>
                <w:w w:val="97"/>
              </w:rPr>
              <w:t>Discontinued Operations</w:t>
            </w:r>
          </w:p>
        </w:tc>
        <w:tc>
          <w:tcPr>
            <w:tcW w:w="68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3"/>
              </w:rPr>
              <w:t>Combined</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3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Borders>
              <w:top w:val="single" w:sz="8" w:color="auto"/>
            </w:tcBorders>
            <w:vMerge w:val="restart"/>
          </w:tcPr>
          <w:p>
            <w:pPr>
              <w:jc w:val="center"/>
              <w:ind w:right="148"/>
              <w:spacing w:after="0"/>
              <w:rPr>
                <w:sz w:val="20"/>
                <w:szCs w:val="20"/>
                <w:color w:val="auto"/>
              </w:rPr>
            </w:pPr>
            <w:r>
              <w:rPr>
                <w:rFonts w:ascii="Arial" w:cs="Arial" w:eastAsia="Arial" w:hAnsi="Arial"/>
                <w:sz w:val="14"/>
                <w:szCs w:val="14"/>
                <w:b w:val="1"/>
                <w:bCs w:val="1"/>
                <w:color w:val="auto"/>
                <w:w w:val="95"/>
              </w:rPr>
              <w:t>Standard</w:t>
            </w:r>
          </w:p>
        </w:tc>
        <w:tc>
          <w:tcPr>
            <w:tcW w:w="920" w:type="dxa"/>
            <w:vAlign w:val="bottom"/>
            <w:tcBorders>
              <w:top w:val="single" w:sz="8" w:color="auto"/>
            </w:tcBorders>
            <w:gridSpan w:val="3"/>
          </w:tcPr>
          <w:p>
            <w:pPr>
              <w:jc w:val="center"/>
              <w:ind w:left="104"/>
              <w:spacing w:after="0" w:line="119" w:lineRule="exact"/>
              <w:rPr>
                <w:sz w:val="20"/>
                <w:szCs w:val="20"/>
                <w:color w:val="auto"/>
              </w:rPr>
            </w:pPr>
            <w:r>
              <w:rPr>
                <w:rFonts w:ascii="Arial" w:cs="Arial" w:eastAsia="Arial" w:hAnsi="Arial"/>
                <w:sz w:val="13"/>
                <w:szCs w:val="13"/>
                <w:b w:val="1"/>
                <w:bCs w:val="1"/>
                <w:color w:val="auto"/>
              </w:rPr>
              <w:t>Transitional</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Borders>
              <w:top w:val="single" w:sz="8" w:color="auto"/>
            </w:tcBorders>
            <w:vMerge w:val="restart"/>
          </w:tcPr>
          <w:p>
            <w:pPr>
              <w:jc w:val="center"/>
              <w:ind w:right="188"/>
              <w:spacing w:after="0"/>
              <w:rPr>
                <w:sz w:val="20"/>
                <w:szCs w:val="20"/>
                <w:color w:val="auto"/>
              </w:rPr>
            </w:pPr>
            <w:r>
              <w:rPr>
                <w:rFonts w:ascii="Arial" w:cs="Arial" w:eastAsia="Arial" w:hAnsi="Arial"/>
                <w:sz w:val="14"/>
                <w:szCs w:val="14"/>
                <w:b w:val="1"/>
                <w:bCs w:val="1"/>
                <w:color w:val="auto"/>
                <w:w w:val="92"/>
              </w:rPr>
              <w:t>Foundry</w:t>
            </w:r>
          </w:p>
        </w:tc>
        <w:tc>
          <w:tcPr>
            <w:tcW w:w="880" w:type="dxa"/>
            <w:vAlign w:val="bottom"/>
            <w:tcBorders>
              <w:top w:val="single" w:sz="8" w:color="auto"/>
            </w:tcBorders>
            <w:gridSpan w:val="2"/>
          </w:tcPr>
          <w:p>
            <w:pPr>
              <w:ind w:left="140"/>
              <w:spacing w:after="0" w:line="119" w:lineRule="exact"/>
              <w:rPr>
                <w:sz w:val="20"/>
                <w:szCs w:val="20"/>
                <w:color w:val="auto"/>
              </w:rPr>
            </w:pPr>
            <w:r>
              <w:rPr>
                <w:rFonts w:ascii="Arial" w:cs="Arial" w:eastAsia="Arial" w:hAnsi="Arial"/>
                <w:sz w:val="13"/>
                <w:szCs w:val="13"/>
                <w:b w:val="1"/>
                <w:bCs w:val="1"/>
                <w:color w:val="auto"/>
                <w:w w:val="97"/>
              </w:rPr>
              <w:t>Transitional</w:t>
            </w:r>
          </w:p>
        </w:tc>
        <w:tc>
          <w:tcPr>
            <w:tcW w:w="3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Fab 3</w:t>
            </w: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Fab 3</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vMerge w:val="restart"/>
          </w:tcPr>
          <w:p>
            <w:pPr>
              <w:spacing w:after="0"/>
              <w:rPr>
                <w:sz w:val="20"/>
                <w:szCs w:val="20"/>
                <w:color w:val="auto"/>
              </w:rPr>
            </w:pPr>
            <w:r>
              <w:rPr>
                <w:rFonts w:ascii="Arial" w:cs="Arial" w:eastAsia="Arial" w:hAnsi="Arial"/>
                <w:sz w:val="14"/>
                <w:szCs w:val="14"/>
                <w:b w:val="1"/>
                <w:bCs w:val="1"/>
                <w:color w:val="auto"/>
              </w:rPr>
              <w:t>Combined results of operations (non-GAAP):</w:t>
            </w: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0"/>
              </w:rPr>
              <w:t>products</w:t>
            </w:r>
          </w:p>
        </w:tc>
        <w:tc>
          <w:tcPr>
            <w:tcW w:w="260" w:type="dxa"/>
            <w:vAlign w:val="bottom"/>
          </w:tcPr>
          <w:p>
            <w:pPr>
              <w:spacing w:after="0"/>
              <w:rPr>
                <w:sz w:val="12"/>
                <w:szCs w:val="12"/>
                <w:color w:val="auto"/>
              </w:rPr>
            </w:pPr>
          </w:p>
        </w:tc>
        <w:tc>
          <w:tcPr>
            <w:tcW w:w="8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foundry</w:t>
            </w:r>
          </w:p>
        </w:tc>
        <w:tc>
          <w:tcPr>
            <w:tcW w:w="100" w:type="dxa"/>
            <w:vAlign w:val="bottom"/>
          </w:tcPr>
          <w:p>
            <w:pPr>
              <w:spacing w:after="0"/>
              <w:rPr>
                <w:sz w:val="12"/>
                <w:szCs w:val="12"/>
                <w:color w:val="auto"/>
              </w:rPr>
            </w:pPr>
          </w:p>
        </w:tc>
        <w:tc>
          <w:tcPr>
            <w:tcW w:w="86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0"/>
              </w:rPr>
              <w:t>Services</w:t>
            </w:r>
          </w:p>
        </w:tc>
        <w:tc>
          <w:tcPr>
            <w:tcW w:w="24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foundry</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40" w:type="dxa"/>
            <w:vAlign w:val="bottom"/>
            <w:vMerge w:val="continue"/>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128"/>
              <w:spacing w:after="0"/>
              <w:rPr>
                <w:sz w:val="20"/>
                <w:szCs w:val="20"/>
                <w:color w:val="auto"/>
              </w:rPr>
            </w:pPr>
            <w:r>
              <w:rPr>
                <w:rFonts w:ascii="Arial" w:cs="Arial" w:eastAsia="Arial" w:hAnsi="Arial"/>
                <w:sz w:val="14"/>
                <w:szCs w:val="14"/>
                <w:b w:val="1"/>
                <w:bCs w:val="1"/>
                <w:color w:val="auto"/>
                <w:w w:val="85"/>
              </w:rPr>
              <w:t>business</w:t>
            </w:r>
          </w:p>
        </w:tc>
        <w:tc>
          <w:tcPr>
            <w:tcW w:w="260" w:type="dxa"/>
            <w:vAlign w:val="bottom"/>
          </w:tcPr>
          <w:p>
            <w:pPr>
              <w:spacing w:after="0"/>
              <w:rPr>
                <w:sz w:val="14"/>
                <w:szCs w:val="14"/>
                <w:color w:val="auto"/>
              </w:rPr>
            </w:pPr>
          </w:p>
        </w:tc>
        <w:tc>
          <w:tcPr>
            <w:tcW w:w="8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services</w:t>
            </w:r>
          </w:p>
        </w:tc>
        <w:tc>
          <w:tcPr>
            <w:tcW w:w="100" w:type="dxa"/>
            <w:vAlign w:val="bottom"/>
          </w:tcPr>
          <w:p>
            <w:pPr>
              <w:spacing w:after="0"/>
              <w:rPr>
                <w:sz w:val="14"/>
                <w:szCs w:val="14"/>
                <w:color w:val="auto"/>
              </w:rPr>
            </w:pPr>
          </w:p>
        </w:tc>
        <w:tc>
          <w:tcPr>
            <w:tcW w:w="860" w:type="dxa"/>
            <w:vAlign w:val="bottom"/>
          </w:tcPr>
          <w:p>
            <w:pPr>
              <w:jc w:val="center"/>
              <w:ind w:right="188"/>
              <w:spacing w:after="0"/>
              <w:rPr>
                <w:sz w:val="20"/>
                <w:szCs w:val="20"/>
                <w:color w:val="auto"/>
              </w:rPr>
            </w:pPr>
            <w:r>
              <w:rPr>
                <w:rFonts w:ascii="Arial" w:cs="Arial" w:eastAsia="Arial" w:hAnsi="Arial"/>
                <w:sz w:val="14"/>
                <w:szCs w:val="14"/>
                <w:b w:val="1"/>
                <w:bCs w:val="1"/>
                <w:color w:val="auto"/>
                <w:w w:val="95"/>
              </w:rPr>
              <w:t>Group</w:t>
            </w:r>
          </w:p>
        </w:tc>
        <w:tc>
          <w:tcPr>
            <w:tcW w:w="240" w:type="dxa"/>
            <w:vAlign w:val="bottom"/>
          </w:tcPr>
          <w:p>
            <w:pPr>
              <w:spacing w:after="0"/>
              <w:rPr>
                <w:sz w:val="14"/>
                <w:szCs w:val="14"/>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services</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56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$108,955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9,873</w:t>
            </w:r>
          </w:p>
        </w:tc>
        <w:tc>
          <w:tcPr>
            <w:tcW w:w="9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$95,779</w:t>
            </w: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(9,873)</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$204,734</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Gross profit margin</w:t>
            </w:r>
          </w:p>
        </w:tc>
        <w:tc>
          <w:tcPr>
            <w:tcW w:w="2560" w:type="dxa"/>
            <w:vAlign w:val="bottom"/>
            <w:gridSpan w:val="3"/>
          </w:tcPr>
          <w:p>
            <w:pPr>
              <w:jc w:val="right"/>
              <w:ind w:right="8"/>
              <w:spacing w:after="0"/>
              <w:rPr>
                <w:sz w:val="20"/>
                <w:szCs w:val="20"/>
                <w:color w:val="auto"/>
              </w:rPr>
            </w:pPr>
            <w:r>
              <w:rPr>
                <w:rFonts w:ascii="Arial" w:cs="Arial" w:eastAsia="Arial" w:hAnsi="Arial"/>
                <w:sz w:val="18"/>
                <w:szCs w:val="18"/>
                <w:color w:val="auto"/>
              </w:rPr>
              <w:t>29.5%</w:t>
            </w:r>
          </w:p>
        </w:tc>
        <w:tc>
          <w:tcPr>
            <w:tcW w:w="260" w:type="dxa"/>
            <w:vAlign w:val="bottom"/>
          </w:tcPr>
          <w:p>
            <w:pPr>
              <w:spacing w:after="0"/>
              <w:rPr>
                <w:sz w:val="20"/>
                <w:szCs w:val="20"/>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8"/>
              <w:spacing w:after="0"/>
              <w:rPr>
                <w:sz w:val="20"/>
                <w:szCs w:val="20"/>
                <w:color w:val="auto"/>
              </w:rPr>
            </w:pPr>
            <w:r>
              <w:rPr>
                <w:rFonts w:ascii="Arial" w:cs="Arial" w:eastAsia="Arial" w:hAnsi="Arial"/>
                <w:sz w:val="18"/>
                <w:szCs w:val="18"/>
                <w:color w:val="auto"/>
              </w:rPr>
              <w:t>32.3%</w:t>
            </w:r>
          </w:p>
        </w:tc>
        <w:tc>
          <w:tcPr>
            <w:tcW w:w="24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350"/>
        </w:trPr>
        <w:tc>
          <w:tcPr>
            <w:tcW w:w="4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8"/>
          </w:tcPr>
          <w:p>
            <w:pPr>
              <w:jc w:val="center"/>
              <w:ind w:right="480"/>
              <w:spacing w:after="0"/>
              <w:rPr>
                <w:sz w:val="20"/>
                <w:szCs w:val="20"/>
                <w:color w:val="auto"/>
              </w:rPr>
            </w:pPr>
            <w:r>
              <w:rPr>
                <w:rFonts w:ascii="Arial" w:cs="Arial" w:eastAsia="Arial" w:hAnsi="Arial"/>
                <w:sz w:val="14"/>
                <w:szCs w:val="14"/>
                <w:b w:val="1"/>
                <w:bCs w:val="1"/>
                <w:color w:val="auto"/>
                <w:w w:val="92"/>
              </w:rPr>
              <w:t>Three Months Ended June 30, 2019</w:t>
            </w:r>
          </w:p>
        </w:tc>
        <w:tc>
          <w:tcPr>
            <w:tcW w:w="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5"/>
          </w:tcPr>
          <w:p>
            <w:pPr>
              <w:jc w:val="right"/>
              <w:ind w:right="360"/>
              <w:spacing w:after="0" w:line="142" w:lineRule="exact"/>
              <w:rPr>
                <w:sz w:val="20"/>
                <w:szCs w:val="20"/>
                <w:color w:val="auto"/>
              </w:rPr>
            </w:pPr>
            <w:r>
              <w:rPr>
                <w:rFonts w:ascii="Arial" w:cs="Arial" w:eastAsia="Arial" w:hAnsi="Arial"/>
                <w:sz w:val="14"/>
                <w:szCs w:val="14"/>
                <w:b w:val="1"/>
                <w:bCs w:val="1"/>
                <w:color w:val="auto"/>
              </w:rPr>
              <w:t>Continuing Operations</w:t>
            </w:r>
          </w:p>
        </w:tc>
        <w:tc>
          <w:tcPr>
            <w:tcW w:w="100" w:type="dxa"/>
            <w:vAlign w:val="bottom"/>
          </w:tcPr>
          <w:p>
            <w:pPr>
              <w:spacing w:after="0"/>
              <w:rPr>
                <w:sz w:val="12"/>
                <w:szCs w:val="12"/>
                <w:color w:val="auto"/>
              </w:rPr>
            </w:pPr>
          </w:p>
        </w:tc>
        <w:tc>
          <w:tcPr>
            <w:tcW w:w="2040" w:type="dxa"/>
            <w:vAlign w:val="bottom"/>
            <w:gridSpan w:val="4"/>
          </w:tcPr>
          <w:p>
            <w:pPr>
              <w:jc w:val="right"/>
              <w:ind w:right="400"/>
              <w:spacing w:after="0" w:line="142" w:lineRule="exact"/>
              <w:rPr>
                <w:sz w:val="20"/>
                <w:szCs w:val="20"/>
                <w:color w:val="auto"/>
              </w:rPr>
            </w:pPr>
            <w:r>
              <w:rPr>
                <w:rFonts w:ascii="Arial" w:cs="Arial" w:eastAsia="Arial" w:hAnsi="Arial"/>
                <w:sz w:val="14"/>
                <w:szCs w:val="14"/>
                <w:b w:val="1"/>
                <w:bCs w:val="1"/>
                <w:color w:val="auto"/>
                <w:w w:val="97"/>
              </w:rPr>
              <w:t>Discontinued Operations</w:t>
            </w:r>
          </w:p>
        </w:tc>
        <w:tc>
          <w:tcPr>
            <w:tcW w:w="68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3"/>
              </w:rPr>
              <w:t>Combined</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3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Borders>
              <w:top w:val="single" w:sz="8" w:color="auto"/>
            </w:tcBorders>
            <w:vMerge w:val="restart"/>
          </w:tcPr>
          <w:p>
            <w:pPr>
              <w:jc w:val="center"/>
              <w:ind w:right="148"/>
              <w:spacing w:after="0"/>
              <w:rPr>
                <w:sz w:val="20"/>
                <w:szCs w:val="20"/>
                <w:color w:val="auto"/>
              </w:rPr>
            </w:pPr>
            <w:r>
              <w:rPr>
                <w:rFonts w:ascii="Arial" w:cs="Arial" w:eastAsia="Arial" w:hAnsi="Arial"/>
                <w:sz w:val="14"/>
                <w:szCs w:val="14"/>
                <w:b w:val="1"/>
                <w:bCs w:val="1"/>
                <w:color w:val="auto"/>
                <w:w w:val="95"/>
              </w:rPr>
              <w:t>Standard</w:t>
            </w:r>
          </w:p>
        </w:tc>
        <w:tc>
          <w:tcPr>
            <w:tcW w:w="920" w:type="dxa"/>
            <w:vAlign w:val="bottom"/>
            <w:tcBorders>
              <w:top w:val="single" w:sz="8" w:color="auto"/>
            </w:tcBorders>
            <w:gridSpan w:val="3"/>
          </w:tcPr>
          <w:p>
            <w:pPr>
              <w:jc w:val="center"/>
              <w:ind w:left="104"/>
              <w:spacing w:after="0" w:line="119" w:lineRule="exact"/>
              <w:rPr>
                <w:sz w:val="20"/>
                <w:szCs w:val="20"/>
                <w:color w:val="auto"/>
              </w:rPr>
            </w:pPr>
            <w:r>
              <w:rPr>
                <w:rFonts w:ascii="Arial" w:cs="Arial" w:eastAsia="Arial" w:hAnsi="Arial"/>
                <w:sz w:val="13"/>
                <w:szCs w:val="13"/>
                <w:b w:val="1"/>
                <w:bCs w:val="1"/>
                <w:color w:val="auto"/>
              </w:rPr>
              <w:t>Transitional</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Borders>
              <w:top w:val="single" w:sz="8" w:color="auto"/>
            </w:tcBorders>
            <w:vMerge w:val="restart"/>
          </w:tcPr>
          <w:p>
            <w:pPr>
              <w:jc w:val="center"/>
              <w:ind w:right="188"/>
              <w:spacing w:after="0"/>
              <w:rPr>
                <w:sz w:val="20"/>
                <w:szCs w:val="20"/>
                <w:color w:val="auto"/>
              </w:rPr>
            </w:pPr>
            <w:r>
              <w:rPr>
                <w:rFonts w:ascii="Arial" w:cs="Arial" w:eastAsia="Arial" w:hAnsi="Arial"/>
                <w:sz w:val="14"/>
                <w:szCs w:val="14"/>
                <w:b w:val="1"/>
                <w:bCs w:val="1"/>
                <w:color w:val="auto"/>
                <w:w w:val="92"/>
              </w:rPr>
              <w:t>Foundry</w:t>
            </w:r>
          </w:p>
        </w:tc>
        <w:tc>
          <w:tcPr>
            <w:tcW w:w="880" w:type="dxa"/>
            <w:vAlign w:val="bottom"/>
            <w:tcBorders>
              <w:top w:val="single" w:sz="8" w:color="auto"/>
            </w:tcBorders>
            <w:gridSpan w:val="2"/>
          </w:tcPr>
          <w:p>
            <w:pPr>
              <w:ind w:left="140"/>
              <w:spacing w:after="0" w:line="119" w:lineRule="exact"/>
              <w:rPr>
                <w:sz w:val="20"/>
                <w:szCs w:val="20"/>
                <w:color w:val="auto"/>
              </w:rPr>
            </w:pPr>
            <w:r>
              <w:rPr>
                <w:rFonts w:ascii="Arial" w:cs="Arial" w:eastAsia="Arial" w:hAnsi="Arial"/>
                <w:sz w:val="13"/>
                <w:szCs w:val="13"/>
                <w:b w:val="1"/>
                <w:bCs w:val="1"/>
                <w:color w:val="auto"/>
                <w:w w:val="97"/>
              </w:rPr>
              <w:t>Transitional</w:t>
            </w:r>
          </w:p>
        </w:tc>
        <w:tc>
          <w:tcPr>
            <w:tcW w:w="3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Fab 3</w:t>
            </w: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Fab 3</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vMerge w:val="restart"/>
          </w:tcPr>
          <w:p>
            <w:pPr>
              <w:spacing w:after="0"/>
              <w:rPr>
                <w:sz w:val="20"/>
                <w:szCs w:val="20"/>
                <w:color w:val="auto"/>
              </w:rPr>
            </w:pPr>
            <w:r>
              <w:rPr>
                <w:rFonts w:ascii="Arial" w:cs="Arial" w:eastAsia="Arial" w:hAnsi="Arial"/>
                <w:sz w:val="14"/>
                <w:szCs w:val="14"/>
                <w:b w:val="1"/>
                <w:bCs w:val="1"/>
                <w:color w:val="auto"/>
              </w:rPr>
              <w:t>Combined results of operations (non-GAAP):</w:t>
            </w: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0"/>
              </w:rPr>
              <w:t>products</w:t>
            </w:r>
          </w:p>
        </w:tc>
        <w:tc>
          <w:tcPr>
            <w:tcW w:w="260" w:type="dxa"/>
            <w:vAlign w:val="bottom"/>
          </w:tcPr>
          <w:p>
            <w:pPr>
              <w:spacing w:after="0"/>
              <w:rPr>
                <w:sz w:val="12"/>
                <w:szCs w:val="12"/>
                <w:color w:val="auto"/>
              </w:rPr>
            </w:pPr>
          </w:p>
        </w:tc>
        <w:tc>
          <w:tcPr>
            <w:tcW w:w="8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foundry</w:t>
            </w:r>
          </w:p>
        </w:tc>
        <w:tc>
          <w:tcPr>
            <w:tcW w:w="100" w:type="dxa"/>
            <w:vAlign w:val="bottom"/>
          </w:tcPr>
          <w:p>
            <w:pPr>
              <w:spacing w:after="0"/>
              <w:rPr>
                <w:sz w:val="12"/>
                <w:szCs w:val="12"/>
                <w:color w:val="auto"/>
              </w:rPr>
            </w:pPr>
          </w:p>
        </w:tc>
        <w:tc>
          <w:tcPr>
            <w:tcW w:w="86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0"/>
              </w:rPr>
              <w:t>Services</w:t>
            </w:r>
          </w:p>
        </w:tc>
        <w:tc>
          <w:tcPr>
            <w:tcW w:w="24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foundry</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40" w:type="dxa"/>
            <w:vAlign w:val="bottom"/>
            <w:vMerge w:val="continue"/>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128"/>
              <w:spacing w:after="0"/>
              <w:rPr>
                <w:sz w:val="20"/>
                <w:szCs w:val="20"/>
                <w:color w:val="auto"/>
              </w:rPr>
            </w:pPr>
            <w:r>
              <w:rPr>
                <w:rFonts w:ascii="Arial" w:cs="Arial" w:eastAsia="Arial" w:hAnsi="Arial"/>
                <w:sz w:val="14"/>
                <w:szCs w:val="14"/>
                <w:b w:val="1"/>
                <w:bCs w:val="1"/>
                <w:color w:val="auto"/>
                <w:w w:val="85"/>
              </w:rPr>
              <w:t>business</w:t>
            </w:r>
          </w:p>
        </w:tc>
        <w:tc>
          <w:tcPr>
            <w:tcW w:w="260" w:type="dxa"/>
            <w:vAlign w:val="bottom"/>
          </w:tcPr>
          <w:p>
            <w:pPr>
              <w:spacing w:after="0"/>
              <w:rPr>
                <w:sz w:val="14"/>
                <w:szCs w:val="14"/>
                <w:color w:val="auto"/>
              </w:rPr>
            </w:pPr>
          </w:p>
        </w:tc>
        <w:tc>
          <w:tcPr>
            <w:tcW w:w="8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services</w:t>
            </w:r>
          </w:p>
        </w:tc>
        <w:tc>
          <w:tcPr>
            <w:tcW w:w="100" w:type="dxa"/>
            <w:vAlign w:val="bottom"/>
          </w:tcPr>
          <w:p>
            <w:pPr>
              <w:spacing w:after="0"/>
              <w:rPr>
                <w:sz w:val="14"/>
                <w:szCs w:val="14"/>
                <w:color w:val="auto"/>
              </w:rPr>
            </w:pPr>
          </w:p>
        </w:tc>
        <w:tc>
          <w:tcPr>
            <w:tcW w:w="860" w:type="dxa"/>
            <w:vAlign w:val="bottom"/>
          </w:tcPr>
          <w:p>
            <w:pPr>
              <w:jc w:val="center"/>
              <w:ind w:right="188"/>
              <w:spacing w:after="0"/>
              <w:rPr>
                <w:sz w:val="20"/>
                <w:szCs w:val="20"/>
                <w:color w:val="auto"/>
              </w:rPr>
            </w:pPr>
            <w:r>
              <w:rPr>
                <w:rFonts w:ascii="Arial" w:cs="Arial" w:eastAsia="Arial" w:hAnsi="Arial"/>
                <w:sz w:val="14"/>
                <w:szCs w:val="14"/>
                <w:b w:val="1"/>
                <w:bCs w:val="1"/>
                <w:color w:val="auto"/>
                <w:w w:val="95"/>
              </w:rPr>
              <w:t>Group</w:t>
            </w:r>
          </w:p>
        </w:tc>
        <w:tc>
          <w:tcPr>
            <w:tcW w:w="240" w:type="dxa"/>
            <w:vAlign w:val="bottom"/>
          </w:tcPr>
          <w:p>
            <w:pPr>
              <w:spacing w:after="0"/>
              <w:rPr>
                <w:sz w:val="14"/>
                <w:szCs w:val="14"/>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services</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56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$132,006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8,879</w:t>
            </w:r>
          </w:p>
        </w:tc>
        <w:tc>
          <w:tcPr>
            <w:tcW w:w="9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$73,139</w:t>
            </w: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(8,879)</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$205,145</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Gross profit margin</w:t>
            </w:r>
          </w:p>
        </w:tc>
        <w:tc>
          <w:tcPr>
            <w:tcW w:w="2560" w:type="dxa"/>
            <w:vAlign w:val="bottom"/>
            <w:gridSpan w:val="3"/>
          </w:tcPr>
          <w:p>
            <w:pPr>
              <w:jc w:val="right"/>
              <w:ind w:right="8"/>
              <w:spacing w:after="0"/>
              <w:rPr>
                <w:sz w:val="20"/>
                <w:szCs w:val="20"/>
                <w:color w:val="auto"/>
              </w:rPr>
            </w:pPr>
            <w:r>
              <w:rPr>
                <w:rFonts w:ascii="Arial" w:cs="Arial" w:eastAsia="Arial" w:hAnsi="Arial"/>
                <w:sz w:val="18"/>
                <w:szCs w:val="18"/>
                <w:color w:val="auto"/>
              </w:rPr>
              <w:t>24.0%</w:t>
            </w:r>
          </w:p>
        </w:tc>
        <w:tc>
          <w:tcPr>
            <w:tcW w:w="260" w:type="dxa"/>
            <w:vAlign w:val="bottom"/>
          </w:tcPr>
          <w:p>
            <w:pPr>
              <w:spacing w:after="0"/>
              <w:rPr>
                <w:sz w:val="20"/>
                <w:szCs w:val="20"/>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8"/>
              <w:spacing w:after="0"/>
              <w:rPr>
                <w:sz w:val="20"/>
                <w:szCs w:val="20"/>
                <w:color w:val="auto"/>
              </w:rPr>
            </w:pPr>
            <w:r>
              <w:rPr>
                <w:rFonts w:ascii="Arial" w:cs="Arial" w:eastAsia="Arial" w:hAnsi="Arial"/>
                <w:sz w:val="18"/>
                <w:szCs w:val="18"/>
                <w:color w:val="auto"/>
              </w:rPr>
              <w:t>16.7%</w:t>
            </w:r>
          </w:p>
        </w:tc>
        <w:tc>
          <w:tcPr>
            <w:tcW w:w="24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377"/>
        </w:trPr>
        <w:tc>
          <w:tcPr>
            <w:tcW w:w="4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8"/>
          </w:tcPr>
          <w:p>
            <w:pPr>
              <w:jc w:val="center"/>
              <w:ind w:right="580"/>
              <w:spacing w:after="0"/>
              <w:rPr>
                <w:sz w:val="20"/>
                <w:szCs w:val="20"/>
                <w:color w:val="auto"/>
              </w:rPr>
            </w:pPr>
            <w:r>
              <w:rPr>
                <w:rFonts w:ascii="Arial" w:cs="Arial" w:eastAsia="Arial" w:hAnsi="Arial"/>
                <w:sz w:val="14"/>
                <w:szCs w:val="14"/>
                <w:b w:val="1"/>
                <w:bCs w:val="1"/>
                <w:color w:val="auto"/>
                <w:w w:val="93"/>
              </w:rPr>
              <w:t>Six Months Ended June 30, 2020</w:t>
            </w:r>
          </w:p>
        </w:tc>
        <w:tc>
          <w:tcPr>
            <w:tcW w:w="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5"/>
          </w:tcPr>
          <w:p>
            <w:pPr>
              <w:jc w:val="right"/>
              <w:ind w:right="460"/>
              <w:spacing w:after="0" w:line="142" w:lineRule="exact"/>
              <w:rPr>
                <w:sz w:val="20"/>
                <w:szCs w:val="20"/>
                <w:color w:val="auto"/>
              </w:rPr>
            </w:pPr>
            <w:r>
              <w:rPr>
                <w:rFonts w:ascii="Arial" w:cs="Arial" w:eastAsia="Arial" w:hAnsi="Arial"/>
                <w:sz w:val="14"/>
                <w:szCs w:val="14"/>
                <w:b w:val="1"/>
                <w:bCs w:val="1"/>
                <w:color w:val="auto"/>
              </w:rPr>
              <w:t>Continuing Operations</w:t>
            </w:r>
          </w:p>
        </w:tc>
        <w:tc>
          <w:tcPr>
            <w:tcW w:w="100" w:type="dxa"/>
            <w:vAlign w:val="bottom"/>
          </w:tcPr>
          <w:p>
            <w:pPr>
              <w:spacing w:after="0"/>
              <w:rPr>
                <w:sz w:val="12"/>
                <w:szCs w:val="12"/>
                <w:color w:val="auto"/>
              </w:rPr>
            </w:pPr>
          </w:p>
        </w:tc>
        <w:tc>
          <w:tcPr>
            <w:tcW w:w="2040" w:type="dxa"/>
            <w:vAlign w:val="bottom"/>
            <w:gridSpan w:val="4"/>
          </w:tcPr>
          <w:p>
            <w:pPr>
              <w:jc w:val="right"/>
              <w:ind w:right="440"/>
              <w:spacing w:after="0" w:line="142" w:lineRule="exact"/>
              <w:rPr>
                <w:sz w:val="20"/>
                <w:szCs w:val="20"/>
                <w:color w:val="auto"/>
              </w:rPr>
            </w:pPr>
            <w:r>
              <w:rPr>
                <w:rFonts w:ascii="Arial" w:cs="Arial" w:eastAsia="Arial" w:hAnsi="Arial"/>
                <w:sz w:val="14"/>
                <w:szCs w:val="14"/>
                <w:b w:val="1"/>
                <w:bCs w:val="1"/>
                <w:color w:val="auto"/>
                <w:w w:val="94"/>
              </w:rPr>
              <w:t>Discontinued Operations</w:t>
            </w:r>
          </w:p>
        </w:tc>
        <w:tc>
          <w:tcPr>
            <w:tcW w:w="68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3"/>
              </w:rPr>
              <w:t>Combined</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3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0" w:type="dxa"/>
            <w:vAlign w:val="bottom"/>
            <w:tcBorders>
              <w:top w:val="single" w:sz="8" w:color="auto"/>
            </w:tcBorders>
            <w:gridSpan w:val="2"/>
            <w:vMerge w:val="restart"/>
          </w:tcPr>
          <w:p>
            <w:pPr>
              <w:jc w:val="center"/>
              <w:ind w:right="248"/>
              <w:spacing w:after="0"/>
              <w:rPr>
                <w:sz w:val="20"/>
                <w:szCs w:val="20"/>
                <w:color w:val="auto"/>
              </w:rPr>
            </w:pPr>
            <w:r>
              <w:rPr>
                <w:rFonts w:ascii="Arial" w:cs="Arial" w:eastAsia="Arial" w:hAnsi="Arial"/>
                <w:sz w:val="14"/>
                <w:szCs w:val="14"/>
                <w:b w:val="1"/>
                <w:bCs w:val="1"/>
                <w:color w:val="auto"/>
                <w:w w:val="92"/>
              </w:rPr>
              <w:t>Standard</w:t>
            </w:r>
          </w:p>
        </w:tc>
        <w:tc>
          <w:tcPr>
            <w:tcW w:w="8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Transitional</w:t>
            </w:r>
          </w:p>
        </w:tc>
        <w:tc>
          <w:tcPr>
            <w:tcW w:w="240" w:type="dxa"/>
            <w:vAlign w:val="bottom"/>
            <w:gridSpan w:val="2"/>
          </w:tcPr>
          <w:p>
            <w:pPr>
              <w:spacing w:after="0"/>
              <w:rPr>
                <w:sz w:val="10"/>
                <w:szCs w:val="10"/>
                <w:color w:val="auto"/>
              </w:rPr>
            </w:pPr>
          </w:p>
        </w:tc>
        <w:tc>
          <w:tcPr>
            <w:tcW w:w="960" w:type="dxa"/>
            <w:vAlign w:val="bottom"/>
            <w:tcBorders>
              <w:top w:val="single" w:sz="8" w:color="auto"/>
            </w:tcBorders>
            <w:gridSpan w:val="2"/>
            <w:vMerge w:val="restart"/>
          </w:tcPr>
          <w:p>
            <w:pPr>
              <w:jc w:val="center"/>
              <w:ind w:right="188"/>
              <w:spacing w:after="0"/>
              <w:rPr>
                <w:sz w:val="20"/>
                <w:szCs w:val="20"/>
                <w:color w:val="auto"/>
              </w:rPr>
            </w:pPr>
            <w:r>
              <w:rPr>
                <w:rFonts w:ascii="Arial" w:cs="Arial" w:eastAsia="Arial" w:hAnsi="Arial"/>
                <w:sz w:val="14"/>
                <w:szCs w:val="14"/>
                <w:b w:val="1"/>
                <w:bCs w:val="1"/>
                <w:color w:val="auto"/>
                <w:w w:val="96"/>
              </w:rPr>
              <w:t>Foundry</w:t>
            </w:r>
          </w:p>
        </w:tc>
        <w:tc>
          <w:tcPr>
            <w:tcW w:w="880" w:type="dxa"/>
            <w:vAlign w:val="bottom"/>
            <w:tcBorders>
              <w:top w:val="single" w:sz="8" w:color="auto"/>
            </w:tcBorders>
            <w:gridSpan w:val="2"/>
          </w:tcPr>
          <w:p>
            <w:pPr>
              <w:ind w:left="140"/>
              <w:spacing w:after="0" w:line="119" w:lineRule="exact"/>
              <w:rPr>
                <w:sz w:val="20"/>
                <w:szCs w:val="20"/>
                <w:color w:val="auto"/>
              </w:rPr>
            </w:pPr>
            <w:r>
              <w:rPr>
                <w:rFonts w:ascii="Arial" w:cs="Arial" w:eastAsia="Arial" w:hAnsi="Arial"/>
                <w:sz w:val="13"/>
                <w:szCs w:val="13"/>
                <w:b w:val="1"/>
                <w:bCs w:val="1"/>
                <w:color w:val="auto"/>
                <w:w w:val="97"/>
              </w:rPr>
              <w:t>Transitional</w:t>
            </w:r>
          </w:p>
        </w:tc>
        <w:tc>
          <w:tcPr>
            <w:tcW w:w="3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Fab 3</w:t>
            </w:r>
          </w:p>
        </w:tc>
        <w:tc>
          <w:tcPr>
            <w:tcW w:w="9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Fab 3</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40" w:type="dxa"/>
            <w:vAlign w:val="bottom"/>
            <w:vMerge w:val="restart"/>
          </w:tcPr>
          <w:p>
            <w:pPr>
              <w:spacing w:after="0"/>
              <w:rPr>
                <w:sz w:val="20"/>
                <w:szCs w:val="20"/>
                <w:color w:val="auto"/>
              </w:rPr>
            </w:pPr>
            <w:r>
              <w:rPr>
                <w:rFonts w:ascii="Arial" w:cs="Arial" w:eastAsia="Arial" w:hAnsi="Arial"/>
                <w:sz w:val="14"/>
                <w:szCs w:val="14"/>
                <w:b w:val="1"/>
                <w:bCs w:val="1"/>
                <w:color w:val="auto"/>
              </w:rPr>
              <w:t>Combined results of operations (non-GAAP):</w:t>
            </w:r>
          </w:p>
        </w:tc>
        <w:tc>
          <w:tcPr>
            <w:tcW w:w="1560" w:type="dxa"/>
            <w:vAlign w:val="bottom"/>
          </w:tcPr>
          <w:p>
            <w:pPr>
              <w:spacing w:after="0"/>
              <w:rPr>
                <w:sz w:val="12"/>
                <w:szCs w:val="12"/>
                <w:color w:val="auto"/>
              </w:rPr>
            </w:pPr>
          </w:p>
        </w:tc>
        <w:tc>
          <w:tcPr>
            <w:tcW w:w="1000" w:type="dxa"/>
            <w:vAlign w:val="bottom"/>
            <w:gridSpan w:val="2"/>
          </w:tcPr>
          <w:p>
            <w:pPr>
              <w:jc w:val="center"/>
              <w:ind w:right="248"/>
              <w:spacing w:after="0" w:line="149" w:lineRule="exact"/>
              <w:rPr>
                <w:sz w:val="20"/>
                <w:szCs w:val="20"/>
                <w:color w:val="auto"/>
              </w:rPr>
            </w:pPr>
            <w:r>
              <w:rPr>
                <w:rFonts w:ascii="Arial" w:cs="Arial" w:eastAsia="Arial" w:hAnsi="Arial"/>
                <w:sz w:val="14"/>
                <w:szCs w:val="14"/>
                <w:b w:val="1"/>
                <w:bCs w:val="1"/>
                <w:color w:val="auto"/>
                <w:w w:val="93"/>
              </w:rPr>
              <w:t>products</w:t>
            </w:r>
          </w:p>
        </w:tc>
        <w:tc>
          <w:tcPr>
            <w:tcW w:w="10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foundry</w:t>
            </w:r>
          </w:p>
        </w:tc>
        <w:tc>
          <w:tcPr>
            <w:tcW w:w="960" w:type="dxa"/>
            <w:vAlign w:val="bottom"/>
            <w:gridSpan w:val="2"/>
          </w:tcPr>
          <w:p>
            <w:pPr>
              <w:jc w:val="center"/>
              <w:ind w:right="188"/>
              <w:spacing w:after="0" w:line="149" w:lineRule="exact"/>
              <w:rPr>
                <w:sz w:val="20"/>
                <w:szCs w:val="20"/>
                <w:color w:val="auto"/>
              </w:rPr>
            </w:pPr>
            <w:r>
              <w:rPr>
                <w:rFonts w:ascii="Arial" w:cs="Arial" w:eastAsia="Arial" w:hAnsi="Arial"/>
                <w:sz w:val="14"/>
                <w:szCs w:val="14"/>
                <w:b w:val="1"/>
                <w:bCs w:val="1"/>
                <w:color w:val="auto"/>
                <w:w w:val="86"/>
              </w:rPr>
              <w:t>Services</w:t>
            </w:r>
          </w:p>
        </w:tc>
        <w:tc>
          <w:tcPr>
            <w:tcW w:w="24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foundry</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40" w:type="dxa"/>
            <w:vAlign w:val="bottom"/>
            <w:vMerge w:val="continue"/>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jc w:val="center"/>
              <w:ind w:right="248"/>
              <w:spacing w:after="0"/>
              <w:rPr>
                <w:sz w:val="20"/>
                <w:szCs w:val="20"/>
                <w:color w:val="auto"/>
              </w:rPr>
            </w:pPr>
            <w:r>
              <w:rPr>
                <w:rFonts w:ascii="Arial" w:cs="Arial" w:eastAsia="Arial" w:hAnsi="Arial"/>
                <w:sz w:val="14"/>
                <w:szCs w:val="14"/>
                <w:b w:val="1"/>
                <w:bCs w:val="1"/>
                <w:color w:val="auto"/>
                <w:w w:val="85"/>
              </w:rPr>
              <w:t>business</w:t>
            </w:r>
          </w:p>
        </w:tc>
        <w:tc>
          <w:tcPr>
            <w:tcW w:w="10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5"/>
              </w:rPr>
              <w:t>services</w:t>
            </w:r>
          </w:p>
        </w:tc>
        <w:tc>
          <w:tcPr>
            <w:tcW w:w="100" w:type="dxa"/>
            <w:vAlign w:val="bottom"/>
          </w:tcPr>
          <w:p>
            <w:pPr>
              <w:spacing w:after="0"/>
              <w:rPr>
                <w:sz w:val="14"/>
                <w:szCs w:val="14"/>
                <w:color w:val="auto"/>
              </w:rPr>
            </w:pPr>
          </w:p>
        </w:tc>
        <w:tc>
          <w:tcPr>
            <w:tcW w:w="860" w:type="dxa"/>
            <w:vAlign w:val="bottom"/>
          </w:tcPr>
          <w:p>
            <w:pPr>
              <w:jc w:val="center"/>
              <w:ind w:right="288"/>
              <w:spacing w:after="0"/>
              <w:rPr>
                <w:sz w:val="20"/>
                <w:szCs w:val="20"/>
                <w:color w:val="auto"/>
              </w:rPr>
            </w:pPr>
            <w:r>
              <w:rPr>
                <w:rFonts w:ascii="Arial" w:cs="Arial" w:eastAsia="Arial" w:hAnsi="Arial"/>
                <w:sz w:val="14"/>
                <w:szCs w:val="14"/>
                <w:b w:val="1"/>
                <w:bCs w:val="1"/>
                <w:color w:val="auto"/>
                <w:w w:val="99"/>
              </w:rPr>
              <w:t>Group</w:t>
            </w:r>
          </w:p>
        </w:tc>
        <w:tc>
          <w:tcPr>
            <w:tcW w:w="240" w:type="dxa"/>
            <w:vAlign w:val="bottom"/>
          </w:tcPr>
          <w:p>
            <w:pPr>
              <w:spacing w:after="0"/>
              <w:rPr>
                <w:sz w:val="14"/>
                <w:szCs w:val="14"/>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services</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56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$219,691</w:t>
            </w:r>
          </w:p>
        </w:tc>
        <w:tc>
          <w:tcPr>
            <w:tcW w:w="26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19,610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w w:val="90"/>
              </w:rPr>
              <w:t>$182,058</w:t>
            </w: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(19,610)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$401,749</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Gross profit margin</w:t>
            </w:r>
          </w:p>
        </w:tc>
        <w:tc>
          <w:tcPr>
            <w:tcW w:w="2560" w:type="dxa"/>
            <w:vAlign w:val="bottom"/>
            <w:gridSpan w:val="3"/>
          </w:tcPr>
          <w:p>
            <w:pPr>
              <w:jc w:val="right"/>
              <w:ind w:right="88"/>
              <w:spacing w:after="0"/>
              <w:rPr>
                <w:sz w:val="20"/>
                <w:szCs w:val="20"/>
                <w:color w:val="auto"/>
              </w:rPr>
            </w:pPr>
            <w:r>
              <w:rPr>
                <w:rFonts w:ascii="Arial" w:cs="Arial" w:eastAsia="Arial" w:hAnsi="Arial"/>
                <w:sz w:val="18"/>
                <w:szCs w:val="18"/>
                <w:color w:val="auto"/>
              </w:rPr>
              <w:t>27.9%</w:t>
            </w:r>
          </w:p>
        </w:tc>
        <w:tc>
          <w:tcPr>
            <w:tcW w:w="260" w:type="dxa"/>
            <w:vAlign w:val="bottom"/>
          </w:tcPr>
          <w:p>
            <w:pPr>
              <w:spacing w:after="0"/>
              <w:rPr>
                <w:sz w:val="20"/>
                <w:szCs w:val="20"/>
                <w:color w:val="auto"/>
              </w:rPr>
            </w:pPr>
          </w:p>
        </w:tc>
        <w:tc>
          <w:tcPr>
            <w:tcW w:w="8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8"/>
              <w:spacing w:after="0"/>
              <w:rPr>
                <w:sz w:val="20"/>
                <w:szCs w:val="20"/>
                <w:color w:val="auto"/>
              </w:rPr>
            </w:pPr>
            <w:r>
              <w:rPr>
                <w:rFonts w:ascii="Arial" w:cs="Arial" w:eastAsia="Arial" w:hAnsi="Arial"/>
                <w:sz w:val="18"/>
                <w:szCs w:val="18"/>
                <w:color w:val="auto"/>
              </w:rPr>
              <w:t>28.3%</w:t>
            </w:r>
          </w:p>
        </w:tc>
        <w:tc>
          <w:tcPr>
            <w:tcW w:w="24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350"/>
        </w:trPr>
        <w:tc>
          <w:tcPr>
            <w:tcW w:w="4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8"/>
          </w:tcPr>
          <w:p>
            <w:pPr>
              <w:jc w:val="center"/>
              <w:ind w:right="580"/>
              <w:spacing w:after="0"/>
              <w:rPr>
                <w:sz w:val="20"/>
                <w:szCs w:val="20"/>
                <w:color w:val="auto"/>
              </w:rPr>
            </w:pPr>
            <w:r>
              <w:rPr>
                <w:rFonts w:ascii="Arial" w:cs="Arial" w:eastAsia="Arial" w:hAnsi="Arial"/>
                <w:sz w:val="14"/>
                <w:szCs w:val="14"/>
                <w:b w:val="1"/>
                <w:bCs w:val="1"/>
                <w:color w:val="auto"/>
                <w:w w:val="93"/>
              </w:rPr>
              <w:t>Six Months Ended June 30, 2019</w:t>
            </w:r>
          </w:p>
        </w:tc>
        <w:tc>
          <w:tcPr>
            <w:tcW w:w="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5"/>
          </w:tcPr>
          <w:p>
            <w:pPr>
              <w:jc w:val="right"/>
              <w:ind w:right="460"/>
              <w:spacing w:after="0" w:line="142" w:lineRule="exact"/>
              <w:rPr>
                <w:sz w:val="20"/>
                <w:szCs w:val="20"/>
                <w:color w:val="auto"/>
              </w:rPr>
            </w:pPr>
            <w:r>
              <w:rPr>
                <w:rFonts w:ascii="Arial" w:cs="Arial" w:eastAsia="Arial" w:hAnsi="Arial"/>
                <w:sz w:val="14"/>
                <w:szCs w:val="14"/>
                <w:b w:val="1"/>
                <w:bCs w:val="1"/>
                <w:color w:val="auto"/>
              </w:rPr>
              <w:t>Continuing Operations</w:t>
            </w:r>
          </w:p>
        </w:tc>
        <w:tc>
          <w:tcPr>
            <w:tcW w:w="100" w:type="dxa"/>
            <w:vAlign w:val="bottom"/>
          </w:tcPr>
          <w:p>
            <w:pPr>
              <w:spacing w:after="0"/>
              <w:rPr>
                <w:sz w:val="12"/>
                <w:szCs w:val="12"/>
                <w:color w:val="auto"/>
              </w:rPr>
            </w:pPr>
          </w:p>
        </w:tc>
        <w:tc>
          <w:tcPr>
            <w:tcW w:w="2040" w:type="dxa"/>
            <w:vAlign w:val="bottom"/>
            <w:gridSpan w:val="4"/>
          </w:tcPr>
          <w:p>
            <w:pPr>
              <w:jc w:val="right"/>
              <w:ind w:right="440"/>
              <w:spacing w:after="0" w:line="142" w:lineRule="exact"/>
              <w:rPr>
                <w:sz w:val="20"/>
                <w:szCs w:val="20"/>
                <w:color w:val="auto"/>
              </w:rPr>
            </w:pPr>
            <w:r>
              <w:rPr>
                <w:rFonts w:ascii="Arial" w:cs="Arial" w:eastAsia="Arial" w:hAnsi="Arial"/>
                <w:sz w:val="14"/>
                <w:szCs w:val="14"/>
                <w:b w:val="1"/>
                <w:bCs w:val="1"/>
                <w:color w:val="auto"/>
                <w:w w:val="94"/>
              </w:rPr>
              <w:t>Discontinued Operations</w:t>
            </w:r>
          </w:p>
        </w:tc>
        <w:tc>
          <w:tcPr>
            <w:tcW w:w="68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3"/>
              </w:rPr>
              <w:t>Combined</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3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0" w:type="dxa"/>
            <w:vAlign w:val="bottom"/>
            <w:tcBorders>
              <w:top w:val="single" w:sz="8" w:color="auto"/>
            </w:tcBorders>
            <w:gridSpan w:val="2"/>
            <w:vMerge w:val="restart"/>
          </w:tcPr>
          <w:p>
            <w:pPr>
              <w:jc w:val="center"/>
              <w:ind w:right="248"/>
              <w:spacing w:after="0"/>
              <w:rPr>
                <w:sz w:val="20"/>
                <w:szCs w:val="20"/>
                <w:color w:val="auto"/>
              </w:rPr>
            </w:pPr>
            <w:r>
              <w:rPr>
                <w:rFonts w:ascii="Arial" w:cs="Arial" w:eastAsia="Arial" w:hAnsi="Arial"/>
                <w:sz w:val="14"/>
                <w:szCs w:val="14"/>
                <w:b w:val="1"/>
                <w:bCs w:val="1"/>
                <w:color w:val="auto"/>
                <w:w w:val="92"/>
              </w:rPr>
              <w:t>Standard</w:t>
            </w:r>
          </w:p>
        </w:tc>
        <w:tc>
          <w:tcPr>
            <w:tcW w:w="8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Transitional</w:t>
            </w:r>
          </w:p>
        </w:tc>
        <w:tc>
          <w:tcPr>
            <w:tcW w:w="240" w:type="dxa"/>
            <w:vAlign w:val="bottom"/>
            <w:gridSpan w:val="2"/>
          </w:tcPr>
          <w:p>
            <w:pPr>
              <w:spacing w:after="0"/>
              <w:rPr>
                <w:sz w:val="10"/>
                <w:szCs w:val="10"/>
                <w:color w:val="auto"/>
              </w:rPr>
            </w:pPr>
          </w:p>
        </w:tc>
        <w:tc>
          <w:tcPr>
            <w:tcW w:w="960" w:type="dxa"/>
            <w:vAlign w:val="bottom"/>
            <w:tcBorders>
              <w:top w:val="single" w:sz="8" w:color="auto"/>
            </w:tcBorders>
            <w:gridSpan w:val="2"/>
            <w:vMerge w:val="restart"/>
          </w:tcPr>
          <w:p>
            <w:pPr>
              <w:jc w:val="center"/>
              <w:ind w:right="188"/>
              <w:spacing w:after="0"/>
              <w:rPr>
                <w:sz w:val="20"/>
                <w:szCs w:val="20"/>
                <w:color w:val="auto"/>
              </w:rPr>
            </w:pPr>
            <w:r>
              <w:rPr>
                <w:rFonts w:ascii="Arial" w:cs="Arial" w:eastAsia="Arial" w:hAnsi="Arial"/>
                <w:sz w:val="14"/>
                <w:szCs w:val="14"/>
                <w:b w:val="1"/>
                <w:bCs w:val="1"/>
                <w:color w:val="auto"/>
                <w:w w:val="96"/>
              </w:rPr>
              <w:t>Foundry</w:t>
            </w:r>
          </w:p>
        </w:tc>
        <w:tc>
          <w:tcPr>
            <w:tcW w:w="880" w:type="dxa"/>
            <w:vAlign w:val="bottom"/>
            <w:tcBorders>
              <w:top w:val="single" w:sz="8" w:color="auto"/>
            </w:tcBorders>
            <w:gridSpan w:val="2"/>
          </w:tcPr>
          <w:p>
            <w:pPr>
              <w:ind w:left="140"/>
              <w:spacing w:after="0" w:line="119" w:lineRule="exact"/>
              <w:rPr>
                <w:sz w:val="20"/>
                <w:szCs w:val="20"/>
                <w:color w:val="auto"/>
              </w:rPr>
            </w:pPr>
            <w:r>
              <w:rPr>
                <w:rFonts w:ascii="Arial" w:cs="Arial" w:eastAsia="Arial" w:hAnsi="Arial"/>
                <w:sz w:val="13"/>
                <w:szCs w:val="13"/>
                <w:b w:val="1"/>
                <w:bCs w:val="1"/>
                <w:color w:val="auto"/>
                <w:w w:val="97"/>
              </w:rPr>
              <w:t>Transitional</w:t>
            </w:r>
          </w:p>
        </w:tc>
        <w:tc>
          <w:tcPr>
            <w:tcW w:w="3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Fab 3</w:t>
            </w:r>
          </w:p>
        </w:tc>
        <w:tc>
          <w:tcPr>
            <w:tcW w:w="9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Fab 3</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vMerge w:val="restart"/>
          </w:tcPr>
          <w:p>
            <w:pPr>
              <w:spacing w:after="0"/>
              <w:rPr>
                <w:sz w:val="20"/>
                <w:szCs w:val="20"/>
                <w:color w:val="auto"/>
              </w:rPr>
            </w:pPr>
            <w:r>
              <w:rPr>
                <w:rFonts w:ascii="Arial" w:cs="Arial" w:eastAsia="Arial" w:hAnsi="Arial"/>
                <w:sz w:val="14"/>
                <w:szCs w:val="14"/>
                <w:b w:val="1"/>
                <w:bCs w:val="1"/>
                <w:color w:val="auto"/>
              </w:rPr>
              <w:t>Combined results of operations (non-GAAP):</w:t>
            </w:r>
          </w:p>
        </w:tc>
        <w:tc>
          <w:tcPr>
            <w:tcW w:w="1560" w:type="dxa"/>
            <w:vAlign w:val="bottom"/>
          </w:tcPr>
          <w:p>
            <w:pPr>
              <w:spacing w:after="0"/>
              <w:rPr>
                <w:sz w:val="12"/>
                <w:szCs w:val="12"/>
                <w:color w:val="auto"/>
              </w:rPr>
            </w:pPr>
          </w:p>
        </w:tc>
        <w:tc>
          <w:tcPr>
            <w:tcW w:w="1000" w:type="dxa"/>
            <w:vAlign w:val="bottom"/>
            <w:gridSpan w:val="2"/>
          </w:tcPr>
          <w:p>
            <w:pPr>
              <w:jc w:val="center"/>
              <w:ind w:right="248"/>
              <w:spacing w:after="0" w:line="149" w:lineRule="exact"/>
              <w:rPr>
                <w:sz w:val="20"/>
                <w:szCs w:val="20"/>
                <w:color w:val="auto"/>
              </w:rPr>
            </w:pPr>
            <w:r>
              <w:rPr>
                <w:rFonts w:ascii="Arial" w:cs="Arial" w:eastAsia="Arial" w:hAnsi="Arial"/>
                <w:sz w:val="14"/>
                <w:szCs w:val="14"/>
                <w:b w:val="1"/>
                <w:bCs w:val="1"/>
                <w:color w:val="auto"/>
                <w:w w:val="93"/>
              </w:rPr>
              <w:t>products</w:t>
            </w:r>
          </w:p>
        </w:tc>
        <w:tc>
          <w:tcPr>
            <w:tcW w:w="10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foundry</w:t>
            </w:r>
          </w:p>
        </w:tc>
        <w:tc>
          <w:tcPr>
            <w:tcW w:w="960" w:type="dxa"/>
            <w:vAlign w:val="bottom"/>
            <w:gridSpan w:val="2"/>
          </w:tcPr>
          <w:p>
            <w:pPr>
              <w:jc w:val="center"/>
              <w:ind w:right="188"/>
              <w:spacing w:after="0" w:line="149" w:lineRule="exact"/>
              <w:rPr>
                <w:sz w:val="20"/>
                <w:szCs w:val="20"/>
                <w:color w:val="auto"/>
              </w:rPr>
            </w:pPr>
            <w:r>
              <w:rPr>
                <w:rFonts w:ascii="Arial" w:cs="Arial" w:eastAsia="Arial" w:hAnsi="Arial"/>
                <w:sz w:val="14"/>
                <w:szCs w:val="14"/>
                <w:b w:val="1"/>
                <w:bCs w:val="1"/>
                <w:color w:val="auto"/>
                <w:w w:val="86"/>
              </w:rPr>
              <w:t>Services</w:t>
            </w:r>
          </w:p>
        </w:tc>
        <w:tc>
          <w:tcPr>
            <w:tcW w:w="24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foundry</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40" w:type="dxa"/>
            <w:vAlign w:val="bottom"/>
            <w:vMerge w:val="continue"/>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jc w:val="center"/>
              <w:ind w:right="248"/>
              <w:spacing w:after="0"/>
              <w:rPr>
                <w:sz w:val="20"/>
                <w:szCs w:val="20"/>
                <w:color w:val="auto"/>
              </w:rPr>
            </w:pPr>
            <w:r>
              <w:rPr>
                <w:rFonts w:ascii="Arial" w:cs="Arial" w:eastAsia="Arial" w:hAnsi="Arial"/>
                <w:sz w:val="14"/>
                <w:szCs w:val="14"/>
                <w:b w:val="1"/>
                <w:bCs w:val="1"/>
                <w:color w:val="auto"/>
                <w:w w:val="85"/>
              </w:rPr>
              <w:t>business</w:t>
            </w:r>
          </w:p>
        </w:tc>
        <w:tc>
          <w:tcPr>
            <w:tcW w:w="10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5"/>
              </w:rPr>
              <w:t>services</w:t>
            </w:r>
          </w:p>
        </w:tc>
        <w:tc>
          <w:tcPr>
            <w:tcW w:w="100" w:type="dxa"/>
            <w:vAlign w:val="bottom"/>
          </w:tcPr>
          <w:p>
            <w:pPr>
              <w:spacing w:after="0"/>
              <w:rPr>
                <w:sz w:val="14"/>
                <w:szCs w:val="14"/>
                <w:color w:val="auto"/>
              </w:rPr>
            </w:pPr>
          </w:p>
        </w:tc>
        <w:tc>
          <w:tcPr>
            <w:tcW w:w="860" w:type="dxa"/>
            <w:vAlign w:val="bottom"/>
          </w:tcPr>
          <w:p>
            <w:pPr>
              <w:jc w:val="center"/>
              <w:ind w:right="288"/>
              <w:spacing w:after="0"/>
              <w:rPr>
                <w:sz w:val="20"/>
                <w:szCs w:val="20"/>
                <w:color w:val="auto"/>
              </w:rPr>
            </w:pPr>
            <w:r>
              <w:rPr>
                <w:rFonts w:ascii="Arial" w:cs="Arial" w:eastAsia="Arial" w:hAnsi="Arial"/>
                <w:sz w:val="14"/>
                <w:szCs w:val="14"/>
                <w:b w:val="1"/>
                <w:bCs w:val="1"/>
                <w:color w:val="auto"/>
                <w:w w:val="99"/>
              </w:rPr>
              <w:t>Group</w:t>
            </w:r>
          </w:p>
        </w:tc>
        <w:tc>
          <w:tcPr>
            <w:tcW w:w="240" w:type="dxa"/>
            <w:vAlign w:val="bottom"/>
          </w:tcPr>
          <w:p>
            <w:pPr>
              <w:spacing w:after="0"/>
              <w:rPr>
                <w:sz w:val="14"/>
                <w:szCs w:val="14"/>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services</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56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$232,270</w:t>
            </w:r>
          </w:p>
        </w:tc>
        <w:tc>
          <w:tcPr>
            <w:tcW w:w="26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15,882</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w w:val="90"/>
              </w:rPr>
              <w:t>$130,255</w:t>
            </w: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(15,882)</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$362,525</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Gross profit margin</w:t>
            </w:r>
          </w:p>
        </w:tc>
        <w:tc>
          <w:tcPr>
            <w:tcW w:w="2560" w:type="dxa"/>
            <w:vAlign w:val="bottom"/>
            <w:gridSpan w:val="3"/>
          </w:tcPr>
          <w:p>
            <w:pPr>
              <w:jc w:val="right"/>
              <w:ind w:right="88"/>
              <w:spacing w:after="0"/>
              <w:rPr>
                <w:sz w:val="20"/>
                <w:szCs w:val="20"/>
                <w:color w:val="auto"/>
              </w:rPr>
            </w:pPr>
            <w:r>
              <w:rPr>
                <w:rFonts w:ascii="Arial" w:cs="Arial" w:eastAsia="Arial" w:hAnsi="Arial"/>
                <w:sz w:val="18"/>
                <w:szCs w:val="18"/>
                <w:color w:val="auto"/>
              </w:rPr>
              <w:t>21.8%</w:t>
            </w:r>
          </w:p>
        </w:tc>
        <w:tc>
          <w:tcPr>
            <w:tcW w:w="260" w:type="dxa"/>
            <w:vAlign w:val="bottom"/>
          </w:tcPr>
          <w:p>
            <w:pPr>
              <w:spacing w:after="0"/>
              <w:rPr>
                <w:sz w:val="20"/>
                <w:szCs w:val="20"/>
                <w:color w:val="auto"/>
              </w:rPr>
            </w:pPr>
          </w:p>
        </w:tc>
        <w:tc>
          <w:tcPr>
            <w:tcW w:w="8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8"/>
              <w:spacing w:after="0"/>
              <w:rPr>
                <w:sz w:val="20"/>
                <w:szCs w:val="20"/>
                <w:color w:val="auto"/>
              </w:rPr>
            </w:pPr>
            <w:r>
              <w:rPr>
                <w:rFonts w:ascii="Arial" w:cs="Arial" w:eastAsia="Arial" w:hAnsi="Arial"/>
                <w:sz w:val="18"/>
                <w:szCs w:val="18"/>
                <w:color w:val="auto"/>
              </w:rPr>
              <w:t>12.2%</w:t>
            </w:r>
          </w:p>
        </w:tc>
        <w:tc>
          <w:tcPr>
            <w:tcW w:w="24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
      <w:numFmt w:val="bullet"/>
      <w:start w:val="1"/>
    </w:lvl>
    <w:lvl w:ilvl="1">
      <w:lvlJc w:val="left"/>
      <w:lvlText w:val="•"/>
      <w:numFmt w:val="bullet"/>
      <w:start w:val="1"/>
    </w:lvl>
  </w:abstractNum>
  <w:abstractNum w:abstractNumId="4">
    <w:nsid w:val="507ED7AB"/>
    <w:multiLevelType w:val="hybridMultilevel"/>
    <w:lvl w:ilvl="0">
      <w:lvlJc w:val="left"/>
      <w:lvlText w:val="(%1)"/>
      <w:numFmt w:val="lowerRoman"/>
      <w:start w:val="3"/>
    </w:lvl>
  </w:abstractNum>
  <w:abstractNum w:abstractNumId="5">
    <w:nsid w:val="2EB141F2"/>
    <w:multiLevelType w:val="hybridMultilevel"/>
    <w:lvl w:ilvl="0">
      <w:lvlJc w:val="left"/>
      <w:lvlText w:val="(%1)"/>
      <w:numFmt w:val="lowerRoman"/>
      <w:start w:val="2"/>
    </w:lvl>
  </w:abstractNum>
  <w:abstractNum w:abstractNumId="6">
    <w:nsid w:val="41B71EFB"/>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2020-07-30T18:28:57Z</dcterms:created>
  <dcterms:modified xsi:type="dcterms:W3CDTF">2020-07-30T18:28:57Z</dcterms:modified>
</cp:coreProperties>
</file>