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June 16, 2010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333-165467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6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10985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8550" cy="6350"/>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5 to</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Form S-1</w:t>
      </w:r>
    </w:p>
    <w:p>
      <w:pPr>
        <w:jc w:val="center"/>
        <w:ind w:right="-339"/>
        <w:spacing w:after="0" w:line="234"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0" w:lineRule="auto"/>
        <w:rPr>
          <w:sz w:val="20"/>
          <w:szCs w:val="20"/>
          <w:color w:val="auto"/>
        </w:rPr>
      </w:pPr>
      <w:r>
        <w:rPr>
          <w:rFonts w:ascii="Arial" w:cs="Arial" w:eastAsia="Arial" w:hAnsi="Arial"/>
          <w:sz w:val="16"/>
          <w:szCs w:val="16"/>
          <w:b w:val="1"/>
          <w:bCs w:val="1"/>
          <w:color w:val="auto"/>
        </w:rPr>
        <w:t>UNDER</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26"/>
          <w:szCs w:val="26"/>
          <w:b w:val="1"/>
          <w:bCs w:val="1"/>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-186690</wp:posOffset>
            </wp:positionV>
            <wp:extent cx="10985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8550" cy="6350"/>
                    </a:xfrm>
                    <a:prstGeom prst="rect">
                      <a:avLst/>
                    </a:prstGeom>
                    <a:noFill/>
                  </pic:spPr>
                </pic:pic>
              </a:graphicData>
            </a:graphic>
          </wp:anchor>
        </w:drawing>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(to be converted into MagnaChip Semiconductor Corporation)</w:t>
      </w:r>
    </w:p>
    <w:p>
      <w:pPr>
        <w:jc w:val="center"/>
        <w:ind w:right="-339"/>
        <w:spacing w:after="0"/>
        <w:rPr>
          <w:sz w:val="20"/>
          <w:szCs w:val="20"/>
          <w:color w:val="auto"/>
        </w:rPr>
      </w:pPr>
      <w:r>
        <w:rPr>
          <w:rFonts w:ascii="Arial" w:cs="Arial" w:eastAsia="Arial" w:hAnsi="Arial"/>
          <w:sz w:val="9"/>
          <w:szCs w:val="9"/>
          <w:i w:val="1"/>
          <w:iCs w:val="1"/>
          <w:color w:val="auto"/>
        </w:rPr>
        <w:t>(Exact name of Registrant as specified in its charter)</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2780" w:type="dxa"/>
            <w:vAlign w:val="bottom"/>
            <w:gridSpan w:val="2"/>
          </w:tcPr>
          <w:p>
            <w:pPr>
              <w:jc w:val="center"/>
              <w:ind w:left="843"/>
              <w:spacing w:after="0"/>
              <w:rPr>
                <w:sz w:val="20"/>
                <w:szCs w:val="20"/>
                <w:color w:val="auto"/>
              </w:rPr>
            </w:pPr>
            <w:r>
              <w:rPr>
                <w:rFonts w:ascii="Arial" w:cs="Arial" w:eastAsia="Arial" w:hAnsi="Arial"/>
                <w:sz w:val="13"/>
                <w:szCs w:val="13"/>
                <w:b w:val="1"/>
                <w:bCs w:val="1"/>
                <w:color w:val="auto"/>
                <w:w w:val="98"/>
              </w:rPr>
              <w:t>Delaware</w:t>
            </w:r>
          </w:p>
        </w:tc>
        <w:tc>
          <w:tcPr>
            <w:tcW w:w="5440" w:type="dxa"/>
            <w:vAlign w:val="bottom"/>
          </w:tcPr>
          <w:p>
            <w:pPr>
              <w:jc w:val="center"/>
              <w:ind w:left="60"/>
              <w:spacing w:after="0"/>
              <w:rPr>
                <w:sz w:val="20"/>
                <w:szCs w:val="20"/>
                <w:color w:val="auto"/>
              </w:rPr>
            </w:pPr>
            <w:r>
              <w:rPr>
                <w:rFonts w:ascii="Arial" w:cs="Arial" w:eastAsia="Arial" w:hAnsi="Arial"/>
                <w:sz w:val="13"/>
                <w:szCs w:val="13"/>
                <w:b w:val="1"/>
                <w:bCs w:val="1"/>
                <w:color w:val="auto"/>
                <w:w w:val="96"/>
              </w:rPr>
              <w:t>3674</w:t>
            </w:r>
          </w:p>
        </w:tc>
        <w:tc>
          <w:tcPr>
            <w:tcW w:w="1300" w:type="dxa"/>
            <w:vAlign w:val="bottom"/>
          </w:tcPr>
          <w:p>
            <w:pPr>
              <w:jc w:val="center"/>
              <w:ind w:left="423"/>
              <w:spacing w:after="0"/>
              <w:rPr>
                <w:sz w:val="20"/>
                <w:szCs w:val="20"/>
                <w:color w:val="auto"/>
              </w:rPr>
            </w:pPr>
            <w:r>
              <w:rPr>
                <w:rFonts w:ascii="Arial" w:cs="Arial" w:eastAsia="Arial" w:hAnsi="Arial"/>
                <w:sz w:val="13"/>
                <w:szCs w:val="13"/>
                <w:b w:val="1"/>
                <w:bCs w:val="1"/>
                <w:color w:val="auto"/>
              </w:rPr>
              <w:t>26-1815025</w:t>
            </w:r>
          </w:p>
        </w:tc>
        <w:tc>
          <w:tcPr>
            <w:tcW w:w="0" w:type="dxa"/>
            <w:vAlign w:val="bottom"/>
          </w:tcPr>
          <w:p>
            <w:pPr>
              <w:spacing w:after="0"/>
              <w:rPr>
                <w:sz w:val="1"/>
                <w:szCs w:val="1"/>
                <w:color w:val="auto"/>
              </w:rPr>
            </w:pPr>
          </w:p>
        </w:tc>
      </w:tr>
      <w:tr>
        <w:trPr>
          <w:trHeight w:val="118"/>
        </w:trPr>
        <w:tc>
          <w:tcPr>
            <w:tcW w:w="2780" w:type="dxa"/>
            <w:vAlign w:val="bottom"/>
            <w:gridSpan w:val="2"/>
          </w:tcPr>
          <w:p>
            <w:pPr>
              <w:jc w:val="center"/>
              <w:ind w:left="843"/>
              <w:spacing w:after="0"/>
              <w:rPr>
                <w:sz w:val="20"/>
                <w:szCs w:val="20"/>
                <w:color w:val="auto"/>
              </w:rPr>
            </w:pPr>
            <w:r>
              <w:rPr>
                <w:rFonts w:ascii="Arial" w:cs="Arial" w:eastAsia="Arial" w:hAnsi="Arial"/>
                <w:sz w:val="10"/>
                <w:szCs w:val="10"/>
                <w:i w:val="1"/>
                <w:iCs w:val="1"/>
                <w:color w:val="auto"/>
              </w:rPr>
              <w:t>(State or other jurisdiction of</w:t>
            </w:r>
          </w:p>
        </w:tc>
        <w:tc>
          <w:tcPr>
            <w:tcW w:w="5440" w:type="dxa"/>
            <w:vAlign w:val="bottom"/>
          </w:tcPr>
          <w:p>
            <w:pPr>
              <w:jc w:val="center"/>
              <w:ind w:left="60"/>
              <w:spacing w:after="0"/>
              <w:rPr>
                <w:sz w:val="20"/>
                <w:szCs w:val="20"/>
                <w:color w:val="auto"/>
              </w:rPr>
            </w:pPr>
            <w:r>
              <w:rPr>
                <w:rFonts w:ascii="Arial" w:cs="Arial" w:eastAsia="Arial" w:hAnsi="Arial"/>
                <w:sz w:val="10"/>
                <w:szCs w:val="10"/>
                <w:i w:val="1"/>
                <w:iCs w:val="1"/>
                <w:color w:val="auto"/>
              </w:rPr>
              <w:t>(Primary Standard Industrial</w:t>
            </w:r>
          </w:p>
        </w:tc>
        <w:tc>
          <w:tcPr>
            <w:tcW w:w="1300" w:type="dxa"/>
            <w:vAlign w:val="bottom"/>
          </w:tcPr>
          <w:p>
            <w:pPr>
              <w:jc w:val="center"/>
              <w:ind w:left="443"/>
              <w:spacing w:after="0"/>
              <w:rPr>
                <w:sz w:val="20"/>
                <w:szCs w:val="20"/>
                <w:color w:val="auto"/>
              </w:rPr>
            </w:pPr>
            <w:r>
              <w:rPr>
                <w:rFonts w:ascii="Arial" w:cs="Arial" w:eastAsia="Arial" w:hAnsi="Arial"/>
                <w:sz w:val="10"/>
                <w:szCs w:val="10"/>
                <w:i w:val="1"/>
                <w:iCs w:val="1"/>
                <w:color w:val="auto"/>
              </w:rPr>
              <w:t>(I.R.S. Employer</w:t>
            </w:r>
          </w:p>
        </w:tc>
        <w:tc>
          <w:tcPr>
            <w:tcW w:w="0" w:type="dxa"/>
            <w:vAlign w:val="bottom"/>
          </w:tcPr>
          <w:p>
            <w:pPr>
              <w:spacing w:after="0"/>
              <w:rPr>
                <w:sz w:val="1"/>
                <w:szCs w:val="1"/>
                <w:color w:val="auto"/>
              </w:rPr>
            </w:pPr>
          </w:p>
        </w:tc>
      </w:tr>
      <w:tr>
        <w:trPr>
          <w:trHeight w:val="135"/>
        </w:trPr>
        <w:tc>
          <w:tcPr>
            <w:tcW w:w="2780" w:type="dxa"/>
            <w:vAlign w:val="bottom"/>
            <w:gridSpan w:val="2"/>
          </w:tcPr>
          <w:p>
            <w:pPr>
              <w:jc w:val="center"/>
              <w:ind w:left="843"/>
              <w:spacing w:after="0"/>
              <w:rPr>
                <w:sz w:val="20"/>
                <w:szCs w:val="20"/>
                <w:color w:val="auto"/>
              </w:rPr>
            </w:pPr>
            <w:r>
              <w:rPr>
                <w:rFonts w:ascii="Arial" w:cs="Arial" w:eastAsia="Arial" w:hAnsi="Arial"/>
                <w:sz w:val="10"/>
                <w:szCs w:val="10"/>
                <w:i w:val="1"/>
                <w:iCs w:val="1"/>
                <w:color w:val="auto"/>
              </w:rPr>
              <w:t>incorporation or organization)</w:t>
            </w:r>
          </w:p>
        </w:tc>
        <w:tc>
          <w:tcPr>
            <w:tcW w:w="5440" w:type="dxa"/>
            <w:vAlign w:val="bottom"/>
          </w:tcPr>
          <w:p>
            <w:pPr>
              <w:jc w:val="center"/>
              <w:ind w:left="60"/>
              <w:spacing w:after="0"/>
              <w:rPr>
                <w:sz w:val="20"/>
                <w:szCs w:val="20"/>
                <w:color w:val="auto"/>
              </w:rPr>
            </w:pPr>
            <w:r>
              <w:rPr>
                <w:rFonts w:ascii="Arial" w:cs="Arial" w:eastAsia="Arial" w:hAnsi="Arial"/>
                <w:sz w:val="10"/>
                <w:szCs w:val="10"/>
                <w:i w:val="1"/>
                <w:iCs w:val="1"/>
                <w:color w:val="auto"/>
              </w:rPr>
              <w:t>Classification Code Number)</w:t>
            </w:r>
          </w:p>
        </w:tc>
        <w:tc>
          <w:tcPr>
            <w:tcW w:w="1300" w:type="dxa"/>
            <w:vAlign w:val="bottom"/>
          </w:tcPr>
          <w:p>
            <w:pPr>
              <w:jc w:val="center"/>
              <w:ind w:left="423"/>
              <w:spacing w:after="0"/>
              <w:rPr>
                <w:sz w:val="20"/>
                <w:szCs w:val="20"/>
                <w:color w:val="auto"/>
              </w:rPr>
            </w:pPr>
            <w:r>
              <w:rPr>
                <w:rFonts w:ascii="Arial" w:cs="Arial" w:eastAsia="Arial" w:hAnsi="Arial"/>
                <w:sz w:val="10"/>
                <w:szCs w:val="10"/>
                <w:i w:val="1"/>
                <w:iCs w:val="1"/>
                <w:color w:val="auto"/>
              </w:rPr>
              <w:t>Identification No.)</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c/o MagnaChip Semiconductor S.A.</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60"/>
              <w:spacing w:after="0"/>
              <w:rPr>
                <w:sz w:val="20"/>
                <w:szCs w:val="20"/>
                <w:color w:val="auto"/>
              </w:rPr>
            </w:pPr>
            <w:r>
              <w:rPr>
                <w:rFonts w:ascii="Arial" w:cs="Arial" w:eastAsia="Arial" w:hAnsi="Arial"/>
                <w:sz w:val="12"/>
                <w:szCs w:val="12"/>
                <w:b w:val="1"/>
                <w:bCs w:val="1"/>
                <w:color w:val="auto"/>
                <w:w w:val="97"/>
              </w:rPr>
              <w:t>74, rue de Merl, B.P. 709 L-2146 Luxembourg R.C.S.</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Luxembourg B97483</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60"/>
              <w:spacing w:after="0"/>
              <w:rPr>
                <w:sz w:val="20"/>
                <w:szCs w:val="20"/>
                <w:color w:val="auto"/>
              </w:rPr>
            </w:pPr>
            <w:r>
              <w:rPr>
                <w:rFonts w:ascii="Arial" w:cs="Arial" w:eastAsia="Arial" w:hAnsi="Arial"/>
                <w:sz w:val="12"/>
                <w:szCs w:val="12"/>
                <w:b w:val="1"/>
                <w:bCs w:val="1"/>
                <w:color w:val="auto"/>
                <w:w w:val="98"/>
              </w:rPr>
              <w:t>(352) 45-62-62</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60"/>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74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440" w:type="dxa"/>
            <w:vAlign w:val="bottom"/>
            <w:vMerge w:val="restart"/>
          </w:tcPr>
          <w:p>
            <w:pPr>
              <w:jc w:val="center"/>
              <w:ind w:right="140"/>
              <w:spacing w:after="0"/>
              <w:rPr>
                <w:sz w:val="20"/>
                <w:szCs w:val="20"/>
                <w:color w:val="auto"/>
              </w:rPr>
            </w:pPr>
            <w:r>
              <w:rPr>
                <w:rFonts w:ascii="Arial" w:cs="Arial" w:eastAsia="Arial" w:hAnsi="Arial"/>
                <w:sz w:val="13"/>
                <w:szCs w:val="13"/>
                <w:b w:val="1"/>
                <w:bCs w:val="1"/>
                <w:color w:val="auto"/>
              </w:rPr>
              <w:t>John McFarland</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Senior Vice President, General Counsel and Secretary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c/o MagnaChip Semiconductor, Inc.</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20400 Stevens Creek Boulevard, Suite 370</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Cupertino, CA 95014</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Telephone: (408) 625-5999</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40" w:type="dxa"/>
            <w:vAlign w:val="bottom"/>
          </w:tcPr>
          <w:p>
            <w:pPr>
              <w:jc w:val="center"/>
              <w:ind w:right="140"/>
              <w:spacing w:after="0"/>
              <w:rPr>
                <w:sz w:val="20"/>
                <w:szCs w:val="20"/>
                <w:color w:val="auto"/>
              </w:rPr>
            </w:pPr>
            <w:r>
              <w:rPr>
                <w:rFonts w:ascii="Arial" w:cs="Arial" w:eastAsia="Arial" w:hAnsi="Arial"/>
                <w:sz w:val="13"/>
                <w:szCs w:val="13"/>
                <w:b w:val="1"/>
                <w:bCs w:val="1"/>
                <w:color w:val="auto"/>
              </w:rPr>
              <w:t>Fax: (408) 625-5990</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60"/>
              <w:spacing w:after="0"/>
              <w:rPr>
                <w:sz w:val="20"/>
                <w:szCs w:val="20"/>
                <w:color w:val="auto"/>
              </w:rPr>
            </w:pPr>
            <w:r>
              <w:rPr>
                <w:rFonts w:ascii="Arial" w:cs="Arial" w:eastAsia="Arial" w:hAnsi="Arial"/>
                <w:sz w:val="9"/>
                <w:szCs w:val="9"/>
                <w:i w:val="1"/>
                <w:iCs w:val="1"/>
                <w:color w:val="auto"/>
              </w:rPr>
              <w:t>(Name, address, including zip code, and telephone number, including area code, of agent for service)</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4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5440" w:type="dxa"/>
            <w:vAlign w:val="bottom"/>
            <w:vMerge w:val="restart"/>
          </w:tcPr>
          <w:p>
            <w:pPr>
              <w:jc w:val="center"/>
              <w:ind w:right="140"/>
              <w:spacing w:after="0"/>
              <w:rPr>
                <w:sz w:val="20"/>
                <w:szCs w:val="20"/>
                <w:color w:val="auto"/>
              </w:rPr>
            </w:pPr>
            <w:r>
              <w:rPr>
                <w:rFonts w:ascii="Arial" w:cs="Arial" w:eastAsia="Arial" w:hAnsi="Arial"/>
                <w:sz w:val="13"/>
                <w:szCs w:val="13"/>
                <w:b w:val="1"/>
                <w:bCs w:val="1"/>
                <w:i w:val="1"/>
                <w:iCs w:val="1"/>
                <w:color w:val="auto"/>
              </w:rPr>
              <w:t>Copies to:</w:t>
            </w: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3780" w:type="dxa"/>
            <w:vAlign w:val="bottom"/>
          </w:tcPr>
          <w:p>
            <w:pPr>
              <w:jc w:val="center"/>
              <w:ind w:right="1734"/>
              <w:spacing w:after="0"/>
              <w:rPr>
                <w:sz w:val="20"/>
                <w:szCs w:val="20"/>
                <w:color w:val="auto"/>
              </w:rPr>
            </w:pPr>
            <w:r>
              <w:rPr>
                <w:rFonts w:ascii="Arial" w:cs="Arial" w:eastAsia="Arial" w:hAnsi="Arial"/>
                <w:sz w:val="13"/>
                <w:szCs w:val="13"/>
                <w:b w:val="1"/>
                <w:bCs w:val="1"/>
                <w:color w:val="auto"/>
              </w:rPr>
              <w:t>Micheal J. Reagan</w:t>
            </w:r>
          </w:p>
        </w:tc>
        <w:tc>
          <w:tcPr>
            <w:tcW w:w="3460" w:type="dxa"/>
            <w:vAlign w:val="bottom"/>
          </w:tcPr>
          <w:p>
            <w:pPr>
              <w:jc w:val="center"/>
              <w:ind w:left="1754"/>
              <w:spacing w:after="0"/>
              <w:rPr>
                <w:sz w:val="20"/>
                <w:szCs w:val="20"/>
                <w:color w:val="auto"/>
              </w:rPr>
            </w:pPr>
            <w:r>
              <w:rPr>
                <w:rFonts w:ascii="Arial" w:cs="Arial" w:eastAsia="Arial" w:hAnsi="Arial"/>
                <w:sz w:val="13"/>
                <w:szCs w:val="13"/>
                <w:b w:val="1"/>
                <w:bCs w:val="1"/>
                <w:color w:val="auto"/>
              </w:rPr>
              <w:t>Kirk A. Davenport</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w w:val="99"/>
              </w:rPr>
              <w:t>Khoa D. Do</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Keith Benson</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Peter M. Astiz</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w w:val="99"/>
              </w:rPr>
              <w:t>Latham &amp; Watkins LLP</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DLA Piper LLP (US)</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w w:val="99"/>
              </w:rPr>
              <w:t>885 Third Avenue</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2000 University Avenue</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New York, NY 10022-4834</w:t>
            </w:r>
          </w:p>
        </w:tc>
      </w:tr>
      <w:tr>
        <w:trPr>
          <w:trHeight w:val="147"/>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East Palo Alto, California 94303</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Telephone: (212) 906-1200</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Telephone: (650) 833-2000</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Fax: (212) 751-4864</w:t>
            </w:r>
          </w:p>
        </w:tc>
      </w:tr>
      <w:tr>
        <w:trPr>
          <w:trHeight w:val="173"/>
        </w:trPr>
        <w:tc>
          <w:tcPr>
            <w:tcW w:w="3780" w:type="dxa"/>
            <w:vAlign w:val="bottom"/>
          </w:tcPr>
          <w:p>
            <w:pPr>
              <w:jc w:val="center"/>
              <w:ind w:right="1754"/>
              <w:spacing w:after="0"/>
              <w:rPr>
                <w:sz w:val="20"/>
                <w:szCs w:val="20"/>
                <w:color w:val="auto"/>
              </w:rPr>
            </w:pPr>
            <w:r>
              <w:rPr>
                <w:rFonts w:ascii="Arial" w:cs="Arial" w:eastAsia="Arial" w:hAnsi="Arial"/>
                <w:sz w:val="13"/>
                <w:szCs w:val="13"/>
                <w:b w:val="1"/>
                <w:bCs w:val="1"/>
                <w:color w:val="auto"/>
              </w:rPr>
              <w:t>Fax: (650) 833-2001</w:t>
            </w:r>
          </w:p>
        </w:tc>
        <w:tc>
          <w:tcPr>
            <w:tcW w:w="3460" w:type="dxa"/>
            <w:vAlign w:val="bottom"/>
          </w:tcPr>
          <w:p>
            <w:pPr>
              <w:spacing w:after="0"/>
              <w:rPr>
                <w:sz w:val="15"/>
                <w:szCs w:val="15"/>
                <w:color w:val="auto"/>
              </w:rPr>
            </w:pPr>
          </w:p>
        </w:tc>
      </w:tr>
    </w:tbl>
    <w:p>
      <w:pPr>
        <w:spacing w:after="0" w:line="6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w:t>
      </w:r>
    </w:p>
    <w:p>
      <w:pPr>
        <w:ind w:left="340"/>
        <w:spacing w:after="0"/>
        <w:rPr>
          <w:sz w:val="20"/>
          <w:szCs w:val="20"/>
          <w:color w:val="auto"/>
        </w:rPr>
      </w:pPr>
      <w:r>
        <w:rPr>
          <w:rFonts w:ascii="Arial" w:cs="Arial" w:eastAsia="Arial" w:hAnsi="Arial"/>
          <w:sz w:val="13"/>
          <w:szCs w:val="13"/>
          <w:color w:val="auto"/>
        </w:rPr>
        <w:t>box: o</w:t>
      </w:r>
    </w:p>
    <w:p>
      <w:pPr>
        <w:spacing w:after="0" w:line="96" w:lineRule="exact"/>
        <w:rPr>
          <w:sz w:val="20"/>
          <w:szCs w:val="20"/>
          <w:color w:val="auto"/>
        </w:rPr>
      </w:pPr>
    </w:p>
    <w:p>
      <w:pPr>
        <w:ind w:left="340" w:right="440" w:firstLine="431"/>
        <w:spacing w:after="0" w:line="248"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84" w:lineRule="exact"/>
        <w:rPr>
          <w:sz w:val="20"/>
          <w:szCs w:val="20"/>
          <w:color w:val="auto"/>
        </w:rPr>
      </w:pPr>
    </w:p>
    <w:p>
      <w:pPr>
        <w:ind w:left="340" w:right="80" w:firstLine="431"/>
        <w:spacing w:after="0" w:line="248"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84" w:lineRule="exact"/>
        <w:rPr>
          <w:sz w:val="20"/>
          <w:szCs w:val="20"/>
          <w:color w:val="auto"/>
        </w:rPr>
      </w:pPr>
    </w:p>
    <w:p>
      <w:pPr>
        <w:ind w:left="340" w:right="80" w:firstLine="431"/>
        <w:spacing w:after="0" w:line="248"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84" w:lineRule="exact"/>
        <w:rPr>
          <w:sz w:val="20"/>
          <w:szCs w:val="20"/>
          <w:color w:val="auto"/>
        </w:rPr>
      </w:pPr>
    </w:p>
    <w:p>
      <w:pPr>
        <w:ind w:left="340" w:right="120" w:firstLine="431"/>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0"/>
          <w:szCs w:val="20"/>
          <w:color w:val="auto"/>
        </w:rPr>
      </w:pPr>
    </w:p>
    <w:p>
      <w:pPr>
        <w:ind w:left="3840" w:hanging="5346"/>
        <w:spacing w:after="0" w:line="174" w:lineRule="exact"/>
        <w:tabs>
          <w:tab w:leader="none" w:pos="382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o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 (Do not check if a smaller reporting company)</w:t>
      </w:r>
    </w:p>
    <w:p>
      <w:pPr>
        <w:spacing w:after="0" w:line="237" w:lineRule="exact"/>
        <w:rPr>
          <w:sz w:val="20"/>
          <w:szCs w:val="20"/>
          <w:color w:val="auto"/>
        </w:rPr>
      </w:pPr>
    </w:p>
    <w:p>
      <w:pPr>
        <w:ind w:left="340" w:firstLine="431"/>
        <w:spacing w:after="0" w:line="255"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63500</wp:posOffset>
            </wp:positionV>
            <wp:extent cx="684720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312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6255" cy="312420"/>
                    </a:xfrm>
                    <a:prstGeom prst="rect">
                      <a:avLst/>
                    </a:prstGeom>
                    <a:noFill/>
                  </pic:spPr>
                </pic:pic>
              </a:graphicData>
            </a:graphic>
          </wp:anchor>
        </w:drawing>
      </w:r>
    </w:p>
    <w:p>
      <w:pPr>
        <w:spacing w:after="0" w:line="306" w:lineRule="exact"/>
        <w:rPr>
          <w:sz w:val="20"/>
          <w:szCs w:val="20"/>
          <w:color w:val="auto"/>
        </w:rPr>
      </w:pPr>
    </w:p>
    <w:p>
      <w:pPr>
        <w:ind w:left="440" w:right="440"/>
        <w:spacing w:after="0" w:line="244" w:lineRule="auto"/>
        <w:rPr>
          <w:sz w:val="20"/>
          <w:szCs w:val="20"/>
          <w:color w:val="auto"/>
        </w:rPr>
      </w:pPr>
      <w:r>
        <w:rPr>
          <w:rFonts w:ascii="Arial" w:cs="Arial" w:eastAsia="Arial" w:hAnsi="Arial"/>
          <w:sz w:val="12"/>
          <w:szCs w:val="12"/>
          <w:color w:val="E8112D"/>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E8112D"/>
        </w:rPr>
        <w:t>Subject to Completion. Dated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27940</wp:posOffset>
            </wp:positionV>
            <wp:extent cx="2390775" cy="542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077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MagnaChip Semiconductor Corporation</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7,500,000 Depositary Shares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Representing 7,500,000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80010</wp:posOffset>
            </wp:positionV>
            <wp:extent cx="12045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145" w:lineRule="exact"/>
        <w:rPr>
          <w:sz w:val="20"/>
          <w:szCs w:val="20"/>
          <w:color w:val="auto"/>
        </w:rPr>
      </w:pPr>
    </w:p>
    <w:p>
      <w:pPr>
        <w:ind w:left="680" w:right="820" w:firstLine="499"/>
        <w:spacing w:after="0" w:line="242" w:lineRule="auto"/>
        <w:rPr>
          <w:sz w:val="20"/>
          <w:szCs w:val="20"/>
          <w:color w:val="auto"/>
        </w:rPr>
      </w:pPr>
      <w:r>
        <w:rPr>
          <w:rFonts w:ascii="Arial" w:cs="Arial" w:eastAsia="Arial" w:hAnsi="Arial"/>
          <w:sz w:val="13"/>
          <w:szCs w:val="13"/>
          <w:color w:val="auto"/>
        </w:rPr>
        <w:t>This is the initial public offering of common stock of MagnaChip Semiconductor Corporation. MagnaChip Semiconductor Corporation is offering 1,500,000 shares of common stock. The selling stockholders identified in this prospectus are offering 6,000,000 shares of common stock. We will not receive any of the proceeds from the sale of the shares by the selling stockholders.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w:t>
      </w:r>
    </w:p>
    <w:p>
      <w:pPr>
        <w:ind w:left="680" w:right="900"/>
        <w:spacing w:after="0" w:line="236" w:lineRule="auto"/>
        <w:rPr>
          <w:sz w:val="20"/>
          <w:szCs w:val="20"/>
          <w:color w:val="auto"/>
        </w:rPr>
      </w:pPr>
      <w:r>
        <w:rPr>
          <w:rFonts w:ascii="Arial" w:cs="Arial" w:eastAsia="Arial" w:hAnsi="Arial"/>
          <w:sz w:val="13"/>
          <w:szCs w:val="13"/>
          <w:color w:val="auto"/>
        </w:rPr>
        <w:t>share of common stock. On , 2010 (45 days after the date of this prospectus), each holder of depositary shares will be credited with a number of shares of common stock equal to the number of depositary shares held by such holder on that date, and the depositary shares will be canceled. Until the cancellation of the depositary shares</w:t>
      </w:r>
    </w:p>
    <w:p>
      <w:pPr>
        <w:spacing w:after="0" w:line="1"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3"/>
          <w:szCs w:val="13"/>
          <w:color w:val="auto"/>
        </w:rPr>
        <w:t>on</w:t>
      </w:r>
      <w:r>
        <w:rPr>
          <w:sz w:val="20"/>
          <w:szCs w:val="20"/>
          <w:color w:val="auto"/>
        </w:rPr>
        <w:tab/>
      </w:r>
      <w:r>
        <w:rPr>
          <w:rFonts w:ascii="Arial" w:cs="Arial" w:eastAsia="Arial" w:hAnsi="Arial"/>
          <w:sz w:val="13"/>
          <w:szCs w:val="13"/>
          <w:color w:val="auto"/>
        </w:rPr>
        <w:t>, 2010, holders of depositary shares will be entitled to all proportional rights and preferences of the shares of common stock.</w:t>
      </w:r>
    </w:p>
    <w:p>
      <w:pPr>
        <w:spacing w:after="0" w:line="37" w:lineRule="exact"/>
        <w:rPr>
          <w:sz w:val="20"/>
          <w:szCs w:val="20"/>
          <w:color w:val="auto"/>
        </w:rPr>
      </w:pPr>
    </w:p>
    <w:p>
      <w:pPr>
        <w:ind w:left="680" w:right="880" w:firstLine="499"/>
        <w:spacing w:after="0"/>
        <w:rPr>
          <w:sz w:val="20"/>
          <w:szCs w:val="20"/>
          <w:color w:val="auto"/>
        </w:rPr>
      </w:pPr>
      <w:r>
        <w:rPr>
          <w:rFonts w:ascii="Arial" w:cs="Arial" w:eastAsia="Arial" w:hAnsi="Arial"/>
          <w:sz w:val="13"/>
          <w:szCs w:val="13"/>
          <w:color w:val="auto"/>
        </w:rPr>
        <w:t>Prior to this offering, there has been no public market for our depositary shares or our common stock. We currently estimate that the initial public offering price per depositary share will be between $15.50 and $17.50. The depositary shares and the common stock have been approved for listing on the New York Stock Exchange under the symbol “MX” with the listing being only for the depositary shares upon the completion of this offering and only for the common stock following the cancellation of the depositary shares.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See “Risk Factors” beginning on page 16 to read about factors you should consider before buying the depositary shares and shares of the common</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11430</wp:posOffset>
            </wp:positionV>
            <wp:extent cx="120459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21" w:lineRule="exact"/>
        <w:rPr>
          <w:sz w:val="20"/>
          <w:szCs w:val="20"/>
          <w:color w:val="auto"/>
        </w:rPr>
      </w:pPr>
    </w:p>
    <w:p>
      <w:pPr>
        <w:ind w:left="680" w:right="980" w:firstLine="499"/>
        <w:spacing w:after="0" w:line="273" w:lineRule="auto"/>
        <w:rPr>
          <w:sz w:val="20"/>
          <w:szCs w:val="20"/>
          <w:color w:val="auto"/>
        </w:rPr>
      </w:pPr>
      <w:r>
        <w:rPr>
          <w:rFonts w:ascii="Arial" w:cs="Arial" w:eastAsia="Arial" w:hAnsi="Arial"/>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-5080</wp:posOffset>
            </wp:positionV>
            <wp:extent cx="120459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18"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3320" w:type="dxa"/>
            <w:vAlign w:val="bottom"/>
          </w:tcPr>
          <w:p>
            <w:pPr>
              <w:jc w:val="right"/>
              <w:ind w:right="894"/>
              <w:spacing w:after="0"/>
              <w:rPr>
                <w:sz w:val="20"/>
                <w:szCs w:val="20"/>
                <w:color w:val="auto"/>
              </w:rPr>
            </w:pPr>
            <w:r>
              <w:rPr>
                <w:rFonts w:ascii="Arial" w:cs="Arial" w:eastAsia="Arial" w:hAnsi="Arial"/>
                <w:sz w:val="13"/>
                <w:szCs w:val="13"/>
                <w:color w:val="auto"/>
              </w:rPr>
              <w:t>Per</w:t>
            </w:r>
          </w:p>
        </w:tc>
        <w:tc>
          <w:tcPr>
            <w:tcW w:w="560" w:type="dxa"/>
            <w:vAlign w:val="bottom"/>
          </w:tcPr>
          <w:p>
            <w:pPr>
              <w:spacing w:after="0"/>
              <w:rPr>
                <w:sz w:val="13"/>
                <w:szCs w:val="13"/>
                <w:color w:val="auto"/>
              </w:rPr>
            </w:pPr>
          </w:p>
        </w:tc>
      </w:tr>
      <w:tr>
        <w:trPr>
          <w:trHeight w:val="157"/>
        </w:trPr>
        <w:tc>
          <w:tcPr>
            <w:tcW w:w="5620" w:type="dxa"/>
            <w:vAlign w:val="bottom"/>
          </w:tcPr>
          <w:p>
            <w:pPr>
              <w:spacing w:after="0"/>
              <w:rPr>
                <w:sz w:val="13"/>
                <w:szCs w:val="13"/>
                <w:color w:val="auto"/>
              </w:rPr>
            </w:pPr>
          </w:p>
        </w:tc>
        <w:tc>
          <w:tcPr>
            <w:tcW w:w="3320" w:type="dxa"/>
            <w:vAlign w:val="bottom"/>
          </w:tcPr>
          <w:p>
            <w:pPr>
              <w:jc w:val="right"/>
              <w:ind w:right="34"/>
              <w:spacing w:after="0"/>
              <w:rPr>
                <w:sz w:val="20"/>
                <w:szCs w:val="20"/>
                <w:color w:val="auto"/>
              </w:rPr>
            </w:pPr>
            <w:r>
              <w:rPr>
                <w:rFonts w:ascii="Arial" w:cs="Arial" w:eastAsia="Arial" w:hAnsi="Arial"/>
                <w:sz w:val="13"/>
                <w:szCs w:val="13"/>
                <w:color w:val="auto"/>
              </w:rPr>
              <w:t>depositary share</w:t>
            </w:r>
          </w:p>
        </w:tc>
        <w:tc>
          <w:tcPr>
            <w:tcW w:w="560" w:type="dxa"/>
            <w:vAlign w:val="bottom"/>
          </w:tcPr>
          <w:p>
            <w:pPr>
              <w:jc w:val="right"/>
              <w:spacing w:after="0"/>
              <w:rPr>
                <w:sz w:val="20"/>
                <w:szCs w:val="20"/>
                <w:color w:val="auto"/>
              </w:rPr>
            </w:pPr>
            <w:r>
              <w:rPr>
                <w:rFonts w:ascii="Arial" w:cs="Arial" w:eastAsia="Arial" w:hAnsi="Arial"/>
                <w:sz w:val="13"/>
                <w:szCs w:val="13"/>
                <w:color w:val="auto"/>
              </w:rPr>
              <w:t>Total</w:t>
            </w:r>
          </w:p>
        </w:tc>
      </w:tr>
      <w:tr>
        <w:trPr>
          <w:trHeight w:val="197"/>
        </w:trPr>
        <w:tc>
          <w:tcPr>
            <w:tcW w:w="5620" w:type="dxa"/>
            <w:vAlign w:val="bottom"/>
          </w:tcPr>
          <w:p>
            <w:pPr>
              <w:spacing w:after="0"/>
              <w:rPr>
                <w:sz w:val="20"/>
                <w:szCs w:val="20"/>
                <w:color w:val="auto"/>
              </w:rPr>
            </w:pPr>
            <w:r>
              <w:rPr>
                <w:rFonts w:ascii="Arial" w:cs="Arial" w:eastAsia="Arial" w:hAnsi="Arial"/>
                <w:sz w:val="13"/>
                <w:szCs w:val="13"/>
                <w:color w:val="auto"/>
              </w:rPr>
              <w:t>Initial public offering price</w:t>
            </w:r>
          </w:p>
        </w:tc>
        <w:tc>
          <w:tcPr>
            <w:tcW w:w="3320" w:type="dxa"/>
            <w:vAlign w:val="bottom"/>
          </w:tcPr>
          <w:p>
            <w:pPr>
              <w:jc w:val="right"/>
              <w:ind w:right="167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rPr>
                <w:sz w:val="20"/>
                <w:szCs w:val="20"/>
                <w:color w:val="auto"/>
              </w:rPr>
            </w:pPr>
            <w:r>
              <w:rPr>
                <w:rFonts w:ascii="Arial" w:cs="Arial" w:eastAsia="Arial" w:hAnsi="Arial"/>
                <w:sz w:val="13"/>
                <w:szCs w:val="13"/>
                <w:color w:val="auto"/>
              </w:rPr>
              <w:t>$</w:t>
            </w:r>
          </w:p>
        </w:tc>
      </w:tr>
      <w:tr>
        <w:trPr>
          <w:trHeight w:val="147"/>
        </w:trPr>
        <w:tc>
          <w:tcPr>
            <w:tcW w:w="5620" w:type="dxa"/>
            <w:vAlign w:val="bottom"/>
          </w:tcPr>
          <w:p>
            <w:pPr>
              <w:spacing w:after="0" w:line="148" w:lineRule="exact"/>
              <w:rPr>
                <w:sz w:val="20"/>
                <w:szCs w:val="20"/>
                <w:color w:val="auto"/>
              </w:rPr>
            </w:pPr>
            <w:r>
              <w:rPr>
                <w:rFonts w:ascii="Arial" w:cs="Arial" w:eastAsia="Arial" w:hAnsi="Arial"/>
                <w:sz w:val="13"/>
                <w:szCs w:val="13"/>
                <w:color w:val="auto"/>
              </w:rPr>
              <w:t>Underwriting discounts and commissions</w:t>
            </w:r>
          </w:p>
        </w:tc>
        <w:tc>
          <w:tcPr>
            <w:tcW w:w="3320" w:type="dxa"/>
            <w:vAlign w:val="bottom"/>
          </w:tcPr>
          <w:p>
            <w:pPr>
              <w:jc w:val="right"/>
              <w:ind w:right="1674"/>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47"/>
        </w:trPr>
        <w:tc>
          <w:tcPr>
            <w:tcW w:w="5620" w:type="dxa"/>
            <w:vAlign w:val="bottom"/>
          </w:tcPr>
          <w:p>
            <w:pPr>
              <w:spacing w:after="0" w:line="148" w:lineRule="exact"/>
              <w:rPr>
                <w:sz w:val="20"/>
                <w:szCs w:val="20"/>
                <w:color w:val="auto"/>
              </w:rPr>
            </w:pPr>
            <w:r>
              <w:rPr>
                <w:rFonts w:ascii="Arial" w:cs="Arial" w:eastAsia="Arial" w:hAnsi="Arial"/>
                <w:sz w:val="13"/>
                <w:szCs w:val="13"/>
                <w:color w:val="auto"/>
              </w:rPr>
              <w:t>Proceeds, before expenses to MagnaChip Semiconductor Corporation</w:t>
            </w:r>
          </w:p>
        </w:tc>
        <w:tc>
          <w:tcPr>
            <w:tcW w:w="3320" w:type="dxa"/>
            <w:vAlign w:val="bottom"/>
          </w:tcPr>
          <w:p>
            <w:pPr>
              <w:jc w:val="right"/>
              <w:ind w:right="1674"/>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Proceeds, before expenses to Selling Stockholders</w:t>
            </w:r>
          </w:p>
        </w:tc>
        <w:tc>
          <w:tcPr>
            <w:tcW w:w="3320" w:type="dxa"/>
            <w:vAlign w:val="bottom"/>
          </w:tcPr>
          <w:p>
            <w:pPr>
              <w:jc w:val="right"/>
              <w:ind w:right="167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-410210</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59" w:lineRule="exact"/>
        <w:rPr>
          <w:sz w:val="20"/>
          <w:szCs w:val="20"/>
          <w:color w:val="auto"/>
        </w:rPr>
      </w:pPr>
    </w:p>
    <w:p>
      <w:pPr>
        <w:ind w:left="680" w:right="820" w:firstLine="499"/>
        <w:spacing w:after="0" w:line="248" w:lineRule="auto"/>
        <w:rPr>
          <w:sz w:val="20"/>
          <w:szCs w:val="20"/>
          <w:color w:val="auto"/>
        </w:rPr>
      </w:pPr>
      <w:r>
        <w:rPr>
          <w:rFonts w:ascii="Arial" w:cs="Arial" w:eastAsia="Arial" w:hAnsi="Arial"/>
          <w:sz w:val="13"/>
          <w:szCs w:val="13"/>
          <w:color w:val="auto"/>
        </w:rPr>
        <w:t>To the extent that the underwriters sell more than 7,500,000 depositary shares, the underwriters have the option to purchase up to an additional 225,000 depositary shares from us and up to an additional 900,000 depositary shares from the selling stockholders at the initial public offering price less the underwriting discount.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6480" w:type="dxa"/>
            <w:vAlign w:val="bottom"/>
            <w:gridSpan w:val="3"/>
          </w:tcPr>
          <w:p>
            <w:pPr>
              <w:jc w:val="right"/>
              <w:ind w:right="114"/>
              <w:spacing w:after="0"/>
              <w:rPr>
                <w:sz w:val="20"/>
                <w:szCs w:val="20"/>
                <w:color w:val="auto"/>
              </w:rPr>
            </w:pPr>
            <w:r>
              <w:rPr>
                <w:rFonts w:ascii="Arial" w:cs="Arial" w:eastAsia="Arial" w:hAnsi="Arial"/>
                <w:sz w:val="13"/>
                <w:szCs w:val="13"/>
                <w:color w:val="auto"/>
              </w:rPr>
              <w:t>The underwriters expect to deliver the depositary shares against payment in New York, New York on</w:t>
            </w:r>
          </w:p>
        </w:tc>
        <w:tc>
          <w:tcPr>
            <w:tcW w:w="4300" w:type="dxa"/>
            <w:vAlign w:val="bottom"/>
          </w:tcPr>
          <w:p>
            <w:pPr>
              <w:ind w:left="200"/>
              <w:spacing w:after="0"/>
              <w:rPr>
                <w:sz w:val="20"/>
                <w:szCs w:val="20"/>
                <w:color w:val="auto"/>
              </w:rPr>
            </w:pPr>
            <w:r>
              <w:rPr>
                <w:rFonts w:ascii="Arial" w:cs="Arial" w:eastAsia="Arial" w:hAnsi="Arial"/>
                <w:sz w:val="13"/>
                <w:szCs w:val="13"/>
                <w:color w:val="auto"/>
              </w:rPr>
              <w:t>, 2010.</w:t>
            </w:r>
          </w:p>
        </w:tc>
        <w:tc>
          <w:tcPr>
            <w:tcW w:w="0" w:type="dxa"/>
            <w:vAlign w:val="bottom"/>
          </w:tcPr>
          <w:p>
            <w:pPr>
              <w:spacing w:after="0"/>
              <w:rPr>
                <w:sz w:val="1"/>
                <w:szCs w:val="1"/>
                <w:color w:val="auto"/>
              </w:rPr>
            </w:pPr>
          </w:p>
        </w:tc>
      </w:tr>
      <w:tr>
        <w:trPr>
          <w:trHeight w:val="336"/>
        </w:trPr>
        <w:tc>
          <w:tcPr>
            <w:tcW w:w="68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7"/>
                <w:szCs w:val="17"/>
                <w:b w:val="1"/>
                <w:bCs w:val="1"/>
                <w:color w:val="auto"/>
              </w:rPr>
              <w:t>Goldman, Sachs &amp; Co.</w:t>
            </w:r>
          </w:p>
        </w:tc>
        <w:tc>
          <w:tcPr>
            <w:tcW w:w="4580" w:type="dxa"/>
            <w:vAlign w:val="bottom"/>
            <w:gridSpan w:val="2"/>
          </w:tcPr>
          <w:p>
            <w:pPr>
              <w:jc w:val="right"/>
              <w:ind w:right="754"/>
              <w:spacing w:after="0"/>
              <w:rPr>
                <w:sz w:val="20"/>
                <w:szCs w:val="20"/>
                <w:color w:val="auto"/>
              </w:rPr>
            </w:pPr>
            <w:r>
              <w:rPr>
                <w:rFonts w:ascii="Arial" w:cs="Arial" w:eastAsia="Arial" w:hAnsi="Arial"/>
                <w:sz w:val="17"/>
                <w:szCs w:val="17"/>
                <w:b w:val="1"/>
                <w:bCs w:val="1"/>
                <w:color w:val="auto"/>
              </w:rPr>
              <w:t>Barclays Capital</w:t>
            </w:r>
          </w:p>
        </w:tc>
        <w:tc>
          <w:tcPr>
            <w:tcW w:w="4300" w:type="dxa"/>
            <w:vAlign w:val="bottom"/>
          </w:tcPr>
          <w:p>
            <w:pPr>
              <w:ind w:left="1420"/>
              <w:spacing w:after="0"/>
              <w:rPr>
                <w:sz w:val="20"/>
                <w:szCs w:val="20"/>
                <w:color w:val="auto"/>
              </w:rPr>
            </w:pPr>
            <w:r>
              <w:rPr>
                <w:rFonts w:ascii="Arial" w:cs="Arial" w:eastAsia="Arial" w:hAnsi="Arial"/>
                <w:sz w:val="17"/>
                <w:szCs w:val="17"/>
                <w:b w:val="1"/>
                <w:bCs w:val="1"/>
                <w:color w:val="auto"/>
              </w:rPr>
              <w:t>Deutsche Bank Securities</w:t>
            </w:r>
          </w:p>
        </w:tc>
        <w:tc>
          <w:tcPr>
            <w:tcW w:w="0" w:type="dxa"/>
            <w:vAlign w:val="bottom"/>
          </w:tcPr>
          <w:p>
            <w:pPr>
              <w:spacing w:after="0"/>
              <w:rPr>
                <w:sz w:val="1"/>
                <w:szCs w:val="1"/>
                <w:color w:val="auto"/>
              </w:rPr>
            </w:pPr>
          </w:p>
        </w:tc>
      </w:tr>
      <w:tr>
        <w:trPr>
          <w:trHeight w:val="383"/>
        </w:trPr>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20" w:type="dxa"/>
            <w:vAlign w:val="bottom"/>
          </w:tcPr>
          <w:p>
            <w:pPr>
              <w:ind w:left="460"/>
              <w:spacing w:after="0"/>
              <w:rPr>
                <w:sz w:val="20"/>
                <w:szCs w:val="20"/>
                <w:color w:val="auto"/>
              </w:rPr>
            </w:pPr>
            <w:r>
              <w:rPr>
                <w:rFonts w:ascii="Arial" w:cs="Arial" w:eastAsia="Arial" w:hAnsi="Arial"/>
                <w:sz w:val="17"/>
                <w:szCs w:val="17"/>
                <w:b w:val="1"/>
                <w:bCs w:val="1"/>
                <w:color w:val="auto"/>
              </w:rPr>
              <w:t>Citi</w:t>
            </w:r>
          </w:p>
        </w:tc>
        <w:tc>
          <w:tcPr>
            <w:tcW w:w="1160" w:type="dxa"/>
            <w:vAlign w:val="bottom"/>
          </w:tcPr>
          <w:p>
            <w:pPr>
              <w:spacing w:after="0"/>
              <w:rPr>
                <w:sz w:val="24"/>
                <w:szCs w:val="24"/>
                <w:color w:val="auto"/>
              </w:rPr>
            </w:pPr>
          </w:p>
        </w:tc>
        <w:tc>
          <w:tcPr>
            <w:tcW w:w="4300" w:type="dxa"/>
            <w:vAlign w:val="bottom"/>
          </w:tcPr>
          <w:p>
            <w:pPr>
              <w:ind w:left="180"/>
              <w:spacing w:after="0"/>
              <w:rPr>
                <w:sz w:val="20"/>
                <w:szCs w:val="20"/>
                <w:color w:val="auto"/>
              </w:rPr>
            </w:pPr>
            <w:r>
              <w:rPr>
                <w:rFonts w:ascii="Arial" w:cs="Arial" w:eastAsia="Arial" w:hAnsi="Arial"/>
                <w:sz w:val="17"/>
                <w:szCs w:val="17"/>
                <w:b w:val="1"/>
                <w:bCs w:val="1"/>
                <w:color w:val="auto"/>
              </w:rPr>
              <w:t>UBS Investment Bank</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3420" w:type="dxa"/>
            <w:vAlign w:val="bottom"/>
            <w:vMerge w:val="restart"/>
          </w:tcPr>
          <w:p>
            <w:pPr>
              <w:ind w:left="2220"/>
              <w:spacing w:after="0"/>
              <w:rPr>
                <w:sz w:val="20"/>
                <w:szCs w:val="20"/>
                <w:color w:val="auto"/>
              </w:rPr>
            </w:pPr>
            <w:r>
              <w:rPr>
                <w:rFonts w:ascii="Arial" w:cs="Arial" w:eastAsia="Arial" w:hAnsi="Arial"/>
                <w:sz w:val="13"/>
                <w:szCs w:val="13"/>
                <w:color w:val="auto"/>
              </w:rPr>
              <w:t>Prospectus dated</w:t>
            </w:r>
          </w:p>
        </w:tc>
        <w:tc>
          <w:tcPr>
            <w:tcW w:w="1160" w:type="dxa"/>
            <w:vAlign w:val="bottom"/>
            <w:vMerge w:val="restart"/>
          </w:tcPr>
          <w:p>
            <w:pPr>
              <w:jc w:val="right"/>
              <w:ind w:right="534"/>
              <w:spacing w:after="0"/>
              <w:rPr>
                <w:sz w:val="20"/>
                <w:szCs w:val="20"/>
                <w:color w:val="auto"/>
              </w:rPr>
            </w:pPr>
            <w:r>
              <w:rPr>
                <w:rFonts w:ascii="Arial" w:cs="Arial" w:eastAsia="Arial" w:hAnsi="Arial"/>
                <w:sz w:val="13"/>
                <w:szCs w:val="13"/>
                <w:color w:val="auto"/>
              </w:rPr>
              <w:t>, 2010</w:t>
            </w: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3420" w:type="dxa"/>
            <w:vAlign w:val="bottom"/>
            <w:tcBorders>
              <w:bottom w:val="single" w:sz="8" w:color="808080"/>
            </w:tcBorders>
          </w:tcPr>
          <w:p>
            <w:pPr>
              <w:spacing w:after="0"/>
              <w:rPr>
                <w:sz w:val="13"/>
                <w:szCs w:val="13"/>
                <w:color w:val="auto"/>
              </w:rPr>
            </w:pPr>
          </w:p>
        </w:tc>
        <w:tc>
          <w:tcPr>
            <w:tcW w:w="1160" w:type="dxa"/>
            <w:vAlign w:val="bottom"/>
            <w:tcBorders>
              <w:bottom w:val="single" w:sz="8" w:color="808080"/>
            </w:tcBorders>
          </w:tcPr>
          <w:p>
            <w:pPr>
              <w:spacing w:after="0"/>
              <w:rPr>
                <w:sz w:val="13"/>
                <w:szCs w:val="13"/>
                <w:color w:val="auto"/>
              </w:rPr>
            </w:pPr>
          </w:p>
        </w:tc>
        <w:tc>
          <w:tcPr>
            <w:tcW w:w="43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541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541464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20" w:type="dxa"/>
            <w:vAlign w:val="bottom"/>
            <w:gridSpan w:val="2"/>
          </w:tcPr>
          <w:p>
            <w:pPr>
              <w:ind w:left="14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5"/>
                <w:szCs w:val="15"/>
                <w:color w:val="auto"/>
              </w:rPr>
            </w:pPr>
          </w:p>
        </w:tc>
      </w:tr>
      <w:tr>
        <w:trPr>
          <w:trHeight w:val="296"/>
        </w:trPr>
        <w:tc>
          <w:tcPr>
            <w:tcW w:w="7680" w:type="dxa"/>
            <w:vAlign w:val="bottom"/>
            <w:gridSpan w:val="26"/>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Prospectus Summary</w:t>
              </w:r>
            </w:hyperlink>
          </w:p>
        </w:tc>
        <w:tc>
          <w:tcPr>
            <w:tcW w:w="22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27"/>
        </w:trPr>
        <w:tc>
          <w:tcPr>
            <w:tcW w:w="740" w:type="dxa"/>
            <w:vAlign w:val="bottom"/>
            <w:tcBorders>
              <w:top w:val="single" w:sz="8" w:color="0000EE"/>
              <w:bottom w:val="single" w:sz="8" w:color="0000EE"/>
            </w:tcBorders>
            <w:gridSpan w:val="6"/>
          </w:tcPr>
          <w:p>
            <w:pPr>
              <w:spacing w:after="0" w:line="128" w:lineRule="exact"/>
              <w:rPr>
                <w:rFonts w:ascii="Arial" w:cs="Arial" w:eastAsia="Arial" w:hAnsi="Arial"/>
                <w:sz w:val="13"/>
                <w:szCs w:val="13"/>
                <w:color w:val="0000EE"/>
                <w:w w:val="99"/>
              </w:rPr>
            </w:pPr>
            <w:hyperlink w:anchor="page21">
              <w:r>
                <w:rPr>
                  <w:rFonts w:ascii="Arial" w:cs="Arial" w:eastAsia="Arial" w:hAnsi="Arial"/>
                  <w:sz w:val="13"/>
                  <w:szCs w:val="13"/>
                  <w:color w:val="0000EE"/>
                  <w:w w:val="99"/>
                </w:rPr>
                <w:t>Risk Factors</w:t>
              </w:r>
            </w:hyperlink>
          </w:p>
        </w:tc>
        <w:tc>
          <w:tcPr>
            <w:tcW w:w="520" w:type="dxa"/>
            <w:vAlign w:val="bottom"/>
            <w:tcBorders>
              <w:top w:val="single" w:sz="8" w:color="0000EE"/>
            </w:tcBorders>
            <w:gridSpan w:val="5"/>
          </w:tcPr>
          <w:p>
            <w:pPr>
              <w:spacing w:after="0"/>
              <w:rPr>
                <w:sz w:val="11"/>
                <w:szCs w:val="11"/>
                <w:color w:val="auto"/>
              </w:rPr>
            </w:pPr>
          </w:p>
        </w:tc>
        <w:tc>
          <w:tcPr>
            <w:tcW w:w="6420" w:type="dxa"/>
            <w:vAlign w:val="bottom"/>
            <w:gridSpan w:val="1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w:t>
            </w:r>
          </w:p>
        </w:tc>
      </w:tr>
      <w:tr>
        <w:trPr>
          <w:trHeight w:val="127"/>
        </w:trPr>
        <w:tc>
          <w:tcPr>
            <w:tcW w:w="1480" w:type="dxa"/>
            <w:vAlign w:val="bottom"/>
            <w:tcBorders>
              <w:bottom w:val="single" w:sz="8" w:color="0000EE"/>
            </w:tcBorders>
            <w:gridSpan w:val="13"/>
          </w:tcPr>
          <w:p>
            <w:pPr>
              <w:spacing w:after="0" w:line="128" w:lineRule="exact"/>
              <w:rPr>
                <w:rFonts w:ascii="Arial" w:cs="Arial" w:eastAsia="Arial" w:hAnsi="Arial"/>
                <w:sz w:val="13"/>
                <w:szCs w:val="13"/>
                <w:color w:val="0000EE"/>
              </w:rPr>
            </w:pPr>
            <w:hyperlink w:anchor="page40">
              <w:r>
                <w:rPr>
                  <w:rFonts w:ascii="Arial" w:cs="Arial" w:eastAsia="Arial" w:hAnsi="Arial"/>
                  <w:sz w:val="13"/>
                  <w:szCs w:val="13"/>
                  <w:color w:val="0000EE"/>
                </w:rPr>
                <w:t>Industry and Market Data</w:t>
              </w:r>
            </w:hyperlink>
          </w:p>
        </w:tc>
        <w:tc>
          <w:tcPr>
            <w:tcW w:w="6200" w:type="dxa"/>
            <w:vAlign w:val="bottom"/>
            <w:gridSpan w:val="13"/>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40">
              <w:r>
                <w:rPr>
                  <w:rFonts w:ascii="Arial" w:cs="Arial" w:eastAsia="Arial" w:hAnsi="Arial"/>
                  <w:sz w:val="13"/>
                  <w:szCs w:val="13"/>
                  <w:color w:val="0000EE"/>
                </w:rPr>
                <w:t>Special Cautionary Statement Concerning Forward-Looking Statements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7"/>
        </w:trPr>
        <w:tc>
          <w:tcPr>
            <w:tcW w:w="980" w:type="dxa"/>
            <w:vAlign w:val="bottom"/>
            <w:tcBorders>
              <w:top w:val="single" w:sz="8" w:color="0000EE"/>
              <w:bottom w:val="single" w:sz="8" w:color="0000EE"/>
            </w:tcBorders>
            <w:gridSpan w:val="10"/>
          </w:tcPr>
          <w:p>
            <w:pPr>
              <w:spacing w:after="0" w:line="128" w:lineRule="exact"/>
              <w:rPr>
                <w:rFonts w:ascii="Arial" w:cs="Arial" w:eastAsia="Arial" w:hAnsi="Arial"/>
                <w:sz w:val="13"/>
                <w:szCs w:val="13"/>
                <w:color w:val="0000EE"/>
                <w:w w:val="99"/>
              </w:rPr>
            </w:pPr>
            <w:hyperlink w:anchor="page41">
              <w:r>
                <w:rPr>
                  <w:rFonts w:ascii="Arial" w:cs="Arial" w:eastAsia="Arial" w:hAnsi="Arial"/>
                  <w:sz w:val="13"/>
                  <w:szCs w:val="13"/>
                  <w:color w:val="0000EE"/>
                  <w:w w:val="99"/>
                </w:rPr>
                <w:t>Use of Proceeds</w:t>
              </w:r>
            </w:hyperlink>
          </w:p>
        </w:tc>
        <w:tc>
          <w:tcPr>
            <w:tcW w:w="3180" w:type="dxa"/>
            <w:vAlign w:val="bottom"/>
            <w:tcBorders>
              <w:top w:val="single" w:sz="8" w:color="0000EE"/>
            </w:tcBorders>
            <w:gridSpan w:val="14"/>
          </w:tcPr>
          <w:p>
            <w:pPr>
              <w:spacing w:after="0"/>
              <w:rPr>
                <w:sz w:val="11"/>
                <w:szCs w:val="11"/>
                <w:color w:val="auto"/>
              </w:rPr>
            </w:pPr>
          </w:p>
        </w:tc>
        <w:tc>
          <w:tcPr>
            <w:tcW w:w="3520" w:type="dxa"/>
            <w:vAlign w:val="bottom"/>
            <w:gridSpan w:val="2"/>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41">
              <w:r>
                <w:rPr>
                  <w:rFonts w:ascii="Arial" w:cs="Arial" w:eastAsia="Arial" w:hAnsi="Arial"/>
                  <w:sz w:val="13"/>
                  <w:szCs w:val="13"/>
                  <w:color w:val="0000EE"/>
                </w:rPr>
                <w:t>Dividend Policy</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41">
              <w:r>
                <w:rPr>
                  <w:rFonts w:ascii="Arial" w:cs="Arial" w:eastAsia="Arial" w:hAnsi="Arial"/>
                  <w:sz w:val="13"/>
                  <w:szCs w:val="13"/>
                  <w:color w:val="0000EE"/>
                </w:rPr>
                <w:t>Corporate Conversion</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7"/>
        </w:trPr>
        <w:tc>
          <w:tcPr>
            <w:tcW w:w="800" w:type="dxa"/>
            <w:vAlign w:val="bottom"/>
            <w:tcBorders>
              <w:top w:val="single" w:sz="8" w:color="0000EE"/>
              <w:bottom w:val="single" w:sz="8" w:color="0000EE"/>
            </w:tcBorders>
            <w:gridSpan w:val="8"/>
          </w:tcPr>
          <w:p>
            <w:pPr>
              <w:spacing w:after="0" w:line="128" w:lineRule="exact"/>
              <w:rPr>
                <w:rFonts w:ascii="Arial" w:cs="Arial" w:eastAsia="Arial" w:hAnsi="Arial"/>
                <w:sz w:val="13"/>
                <w:szCs w:val="13"/>
                <w:color w:val="0000EE"/>
                <w:w w:val="99"/>
              </w:rPr>
            </w:pPr>
            <w:hyperlink w:anchor="page42">
              <w:r>
                <w:rPr>
                  <w:rFonts w:ascii="Arial" w:cs="Arial" w:eastAsia="Arial" w:hAnsi="Arial"/>
                  <w:sz w:val="13"/>
                  <w:szCs w:val="13"/>
                  <w:color w:val="0000EE"/>
                  <w:w w:val="99"/>
                </w:rPr>
                <w:t>Capitalization</w:t>
              </w:r>
            </w:hyperlink>
          </w:p>
        </w:tc>
        <w:tc>
          <w:tcPr>
            <w:tcW w:w="480" w:type="dxa"/>
            <w:vAlign w:val="bottom"/>
            <w:tcBorders>
              <w:top w:val="single" w:sz="8" w:color="0000EE"/>
            </w:tcBorders>
            <w:gridSpan w:val="4"/>
          </w:tcPr>
          <w:p>
            <w:pPr>
              <w:spacing w:after="0"/>
              <w:rPr>
                <w:sz w:val="11"/>
                <w:szCs w:val="11"/>
                <w:color w:val="auto"/>
              </w:rPr>
            </w:pPr>
          </w:p>
        </w:tc>
        <w:tc>
          <w:tcPr>
            <w:tcW w:w="6400" w:type="dxa"/>
            <w:vAlign w:val="bottom"/>
            <w:gridSpan w:val="14"/>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37</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43">
              <w:r>
                <w:rPr>
                  <w:rFonts w:ascii="Arial" w:cs="Arial" w:eastAsia="Arial" w:hAnsi="Arial"/>
                  <w:sz w:val="13"/>
                  <w:szCs w:val="13"/>
                  <w:color w:val="0000EE"/>
                </w:rPr>
                <w:t>Dilution</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38</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3640" w:type="dxa"/>
            <w:vAlign w:val="bottom"/>
            <w:tcBorders>
              <w:bottom w:val="single" w:sz="8" w:color="0000EE"/>
            </w:tcBorders>
            <w:gridSpan w:val="23"/>
          </w:tcPr>
          <w:p>
            <w:pPr>
              <w:spacing w:after="0" w:line="128" w:lineRule="exact"/>
              <w:rPr>
                <w:rFonts w:ascii="Arial" w:cs="Arial" w:eastAsia="Arial" w:hAnsi="Arial"/>
                <w:sz w:val="13"/>
                <w:szCs w:val="13"/>
                <w:color w:val="0000EE"/>
              </w:rPr>
            </w:pPr>
            <w:hyperlink w:anchor="page45">
              <w:r>
                <w:rPr>
                  <w:rFonts w:ascii="Arial" w:cs="Arial" w:eastAsia="Arial" w:hAnsi="Arial"/>
                  <w:sz w:val="13"/>
                  <w:szCs w:val="13"/>
                  <w:color w:val="0000EE"/>
                </w:rPr>
                <w:t>Selected Historical Consolidated Financial and Operating Data</w:t>
              </w:r>
            </w:hyperlink>
          </w:p>
        </w:tc>
        <w:tc>
          <w:tcPr>
            <w:tcW w:w="4040" w:type="dxa"/>
            <w:vAlign w:val="bottom"/>
            <w:gridSpan w:val="3"/>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40</w:t>
            </w:r>
          </w:p>
        </w:tc>
      </w:tr>
      <w:tr>
        <w:trPr>
          <w:trHeight w:val="127"/>
        </w:trPr>
        <w:tc>
          <w:tcPr>
            <w:tcW w:w="3320" w:type="dxa"/>
            <w:vAlign w:val="bottom"/>
            <w:tcBorders>
              <w:bottom w:val="single" w:sz="8" w:color="0000EE"/>
            </w:tcBorders>
            <w:gridSpan w:val="22"/>
          </w:tcPr>
          <w:p>
            <w:pPr>
              <w:spacing w:after="0" w:line="128" w:lineRule="exact"/>
              <w:rPr>
                <w:rFonts w:ascii="Arial" w:cs="Arial" w:eastAsia="Arial" w:hAnsi="Arial"/>
                <w:sz w:val="13"/>
                <w:szCs w:val="13"/>
                <w:color w:val="0000EE"/>
              </w:rPr>
            </w:pPr>
            <w:hyperlink w:anchor="page53">
              <w:r>
                <w:rPr>
                  <w:rFonts w:ascii="Arial" w:cs="Arial" w:eastAsia="Arial" w:hAnsi="Arial"/>
                  <w:sz w:val="13"/>
                  <w:szCs w:val="13"/>
                  <w:color w:val="0000EE"/>
                </w:rPr>
                <w:t>Unaudited Pro Forma Consolidated Financial Information</w:t>
              </w:r>
            </w:hyperlink>
          </w:p>
        </w:tc>
        <w:tc>
          <w:tcPr>
            <w:tcW w:w="4360" w:type="dxa"/>
            <w:vAlign w:val="bottom"/>
            <w:gridSpan w:val="4"/>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48</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62">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57</w:t>
            </w:r>
          </w:p>
        </w:tc>
      </w:tr>
      <w:tr>
        <w:trPr>
          <w:trHeight w:val="127"/>
        </w:trPr>
        <w:tc>
          <w:tcPr>
            <w:tcW w:w="540" w:type="dxa"/>
            <w:vAlign w:val="bottom"/>
            <w:tcBorders>
              <w:top w:val="single" w:sz="8" w:color="0000EE"/>
              <w:bottom w:val="single" w:sz="8" w:color="0000EE"/>
            </w:tcBorders>
            <w:gridSpan w:val="5"/>
          </w:tcPr>
          <w:p>
            <w:pPr>
              <w:spacing w:after="0" w:line="128" w:lineRule="exact"/>
              <w:rPr>
                <w:rFonts w:ascii="Arial" w:cs="Arial" w:eastAsia="Arial" w:hAnsi="Arial"/>
                <w:sz w:val="13"/>
                <w:szCs w:val="13"/>
                <w:color w:val="0000EE"/>
                <w:w w:val="98"/>
              </w:rPr>
            </w:pPr>
            <w:hyperlink w:anchor="page103">
              <w:r>
                <w:rPr>
                  <w:rFonts w:ascii="Arial" w:cs="Arial" w:eastAsia="Arial" w:hAnsi="Arial"/>
                  <w:sz w:val="13"/>
                  <w:szCs w:val="13"/>
                  <w:color w:val="0000EE"/>
                  <w:w w:val="98"/>
                </w:rPr>
                <w:t>Business</w:t>
              </w:r>
            </w:hyperlink>
          </w:p>
        </w:tc>
        <w:tc>
          <w:tcPr>
            <w:tcW w:w="4620" w:type="dxa"/>
            <w:vAlign w:val="bottom"/>
            <w:tcBorders>
              <w:top w:val="single" w:sz="8" w:color="0000EE"/>
            </w:tcBorders>
            <w:gridSpan w:val="20"/>
          </w:tcPr>
          <w:p>
            <w:pPr>
              <w:spacing w:after="0"/>
              <w:rPr>
                <w:sz w:val="11"/>
                <w:szCs w:val="11"/>
                <w:color w:val="auto"/>
              </w:rPr>
            </w:pPr>
          </w:p>
        </w:tc>
        <w:tc>
          <w:tcPr>
            <w:tcW w:w="2520" w:type="dxa"/>
            <w:vAlign w:val="bottom"/>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98</w:t>
            </w:r>
          </w:p>
        </w:tc>
      </w:tr>
      <w:tr>
        <w:trPr>
          <w:trHeight w:val="127"/>
        </w:trPr>
        <w:tc>
          <w:tcPr>
            <w:tcW w:w="780" w:type="dxa"/>
            <w:vAlign w:val="bottom"/>
            <w:tcBorders>
              <w:bottom w:val="single" w:sz="8" w:color="0000EE"/>
            </w:tcBorders>
            <w:gridSpan w:val="7"/>
          </w:tcPr>
          <w:p>
            <w:pPr>
              <w:spacing w:after="0" w:line="128" w:lineRule="exact"/>
              <w:rPr>
                <w:rFonts w:ascii="Arial" w:cs="Arial" w:eastAsia="Arial" w:hAnsi="Arial"/>
                <w:sz w:val="13"/>
                <w:szCs w:val="13"/>
                <w:color w:val="0000EE"/>
              </w:rPr>
            </w:pPr>
            <w:hyperlink w:anchor="page119">
              <w:r>
                <w:rPr>
                  <w:rFonts w:ascii="Arial" w:cs="Arial" w:eastAsia="Arial" w:hAnsi="Arial"/>
                  <w:sz w:val="13"/>
                  <w:szCs w:val="13"/>
                  <w:color w:val="0000EE"/>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114</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45">
              <w:r>
                <w:rPr>
                  <w:rFonts w:ascii="Arial" w:cs="Arial" w:eastAsia="Arial" w:hAnsi="Arial"/>
                  <w:sz w:val="13"/>
                  <w:szCs w:val="13"/>
                  <w:color w:val="0000EE"/>
                </w:rPr>
                <w:t>Principal and Selling Stockholders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140</w:t>
            </w:r>
          </w:p>
        </w:tc>
      </w:tr>
      <w:tr>
        <w:trPr>
          <w:trHeight w:val="20"/>
        </w:trPr>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2780" w:type="dxa"/>
            <w:vAlign w:val="bottom"/>
            <w:tcBorders>
              <w:bottom w:val="single" w:sz="8" w:color="0000EE"/>
            </w:tcBorders>
            <w:gridSpan w:val="20"/>
          </w:tcPr>
          <w:p>
            <w:pPr>
              <w:spacing w:after="0" w:line="128" w:lineRule="exact"/>
              <w:rPr>
                <w:rFonts w:ascii="Arial" w:cs="Arial" w:eastAsia="Arial" w:hAnsi="Arial"/>
                <w:sz w:val="13"/>
                <w:szCs w:val="13"/>
                <w:color w:val="0000EE"/>
              </w:rPr>
            </w:pPr>
            <w:hyperlink w:anchor="page156">
              <w:r>
                <w:rPr>
                  <w:rFonts w:ascii="Arial" w:cs="Arial" w:eastAsia="Arial" w:hAnsi="Arial"/>
                  <w:sz w:val="13"/>
                  <w:szCs w:val="13"/>
                  <w:color w:val="0000EE"/>
                </w:rPr>
                <w:t>Certain Relationships and Related Transactions</w:t>
              </w:r>
            </w:hyperlink>
          </w:p>
        </w:tc>
        <w:tc>
          <w:tcPr>
            <w:tcW w:w="4900" w:type="dxa"/>
            <w:vAlign w:val="bottom"/>
            <w:gridSpan w:val="6"/>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151</w:t>
            </w:r>
          </w:p>
        </w:tc>
      </w:tr>
      <w:tr>
        <w:trPr>
          <w:trHeight w:val="127"/>
        </w:trPr>
        <w:tc>
          <w:tcPr>
            <w:tcW w:w="1620" w:type="dxa"/>
            <w:vAlign w:val="bottom"/>
            <w:tcBorders>
              <w:bottom w:val="single" w:sz="8" w:color="0000EE"/>
            </w:tcBorders>
            <w:gridSpan w:val="14"/>
          </w:tcPr>
          <w:p>
            <w:pPr>
              <w:spacing w:after="0" w:line="128" w:lineRule="exact"/>
              <w:rPr>
                <w:rFonts w:ascii="Arial" w:cs="Arial" w:eastAsia="Arial" w:hAnsi="Arial"/>
                <w:sz w:val="13"/>
                <w:szCs w:val="13"/>
                <w:color w:val="0000EE"/>
              </w:rPr>
            </w:pPr>
            <w:hyperlink w:anchor="page158">
              <w:r>
                <w:rPr>
                  <w:rFonts w:ascii="Arial" w:cs="Arial" w:eastAsia="Arial" w:hAnsi="Arial"/>
                  <w:sz w:val="13"/>
                  <w:szCs w:val="13"/>
                  <w:color w:val="0000EE"/>
                </w:rPr>
                <w:t>Description of Capital Stock</w:t>
              </w:r>
            </w:hyperlink>
          </w:p>
        </w:tc>
        <w:tc>
          <w:tcPr>
            <w:tcW w:w="6060" w:type="dxa"/>
            <w:vAlign w:val="bottom"/>
            <w:gridSpan w:val="12"/>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153</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64">
              <w:r>
                <w:rPr>
                  <w:rFonts w:ascii="Arial" w:cs="Arial" w:eastAsia="Arial" w:hAnsi="Arial"/>
                  <w:sz w:val="13"/>
                  <w:szCs w:val="13"/>
                  <w:color w:val="0000EE"/>
                </w:rPr>
                <w:t>Description of Depositary Shares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159</w:t>
            </w:r>
          </w:p>
        </w:tc>
      </w:tr>
      <w:tr>
        <w:trPr>
          <w:trHeight w:val="20"/>
        </w:trPr>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2100" w:type="dxa"/>
            <w:vAlign w:val="bottom"/>
            <w:tcBorders>
              <w:bottom w:val="single" w:sz="8" w:color="0000EE"/>
            </w:tcBorders>
            <w:gridSpan w:val="17"/>
          </w:tcPr>
          <w:p>
            <w:pPr>
              <w:spacing w:after="0" w:line="128" w:lineRule="exact"/>
              <w:rPr>
                <w:rFonts w:ascii="Arial" w:cs="Arial" w:eastAsia="Arial" w:hAnsi="Arial"/>
                <w:sz w:val="13"/>
                <w:szCs w:val="13"/>
                <w:color w:val="0000EE"/>
              </w:rPr>
            </w:pPr>
            <w:hyperlink w:anchor="page167">
              <w:r>
                <w:rPr>
                  <w:rFonts w:ascii="Arial" w:cs="Arial" w:eastAsia="Arial" w:hAnsi="Arial"/>
                  <w:sz w:val="13"/>
                  <w:szCs w:val="13"/>
                  <w:color w:val="0000EE"/>
                </w:rPr>
                <w:t>Description of Certain Indebtedness</w:t>
              </w:r>
            </w:hyperlink>
          </w:p>
        </w:tc>
        <w:tc>
          <w:tcPr>
            <w:tcW w:w="5580" w:type="dxa"/>
            <w:vAlign w:val="bottom"/>
            <w:gridSpan w:val="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162</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70">
              <w:r>
                <w:rPr>
                  <w:rFonts w:ascii="Arial" w:cs="Arial" w:eastAsia="Arial" w:hAnsi="Arial"/>
                  <w:sz w:val="13"/>
                  <w:szCs w:val="13"/>
                  <w:color w:val="0000EE"/>
                </w:rPr>
                <w:t>Shares Eligible for Future Sale</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165</w:t>
            </w:r>
          </w:p>
        </w:tc>
      </w:tr>
      <w:tr>
        <w:trPr>
          <w:trHeight w:val="20"/>
        </w:trPr>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72">
              <w:r>
                <w:rPr>
                  <w:rFonts w:ascii="Arial" w:cs="Arial" w:eastAsia="Arial" w:hAnsi="Arial"/>
                  <w:sz w:val="13"/>
                  <w:szCs w:val="13"/>
                  <w:color w:val="0000EE"/>
                </w:rPr>
                <w:t>Material U.S. Federal Income Tax Consequences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167</w:t>
            </w:r>
          </w:p>
        </w:tc>
      </w:tr>
      <w:tr>
        <w:trPr>
          <w:trHeight w:val="127"/>
        </w:trPr>
        <w:tc>
          <w:tcPr>
            <w:tcW w:w="2860" w:type="dxa"/>
            <w:vAlign w:val="bottom"/>
            <w:tcBorders>
              <w:top w:val="single" w:sz="8" w:color="0000EE"/>
            </w:tcBorders>
            <w:gridSpan w:val="21"/>
          </w:tcPr>
          <w:p>
            <w:pPr>
              <w:spacing w:after="0" w:line="128" w:lineRule="exact"/>
              <w:rPr>
                <w:rFonts w:ascii="Arial" w:cs="Arial" w:eastAsia="Arial" w:hAnsi="Arial"/>
                <w:sz w:val="13"/>
                <w:szCs w:val="13"/>
                <w:color w:val="0000EE"/>
              </w:rPr>
            </w:pPr>
            <w:hyperlink w:anchor="page176">
              <w:r>
                <w:rPr>
                  <w:rFonts w:ascii="Arial" w:cs="Arial" w:eastAsia="Arial" w:hAnsi="Arial"/>
                  <w:sz w:val="13"/>
                  <w:szCs w:val="13"/>
                  <w:color w:val="0000EE"/>
                </w:rPr>
                <w:t>Underwriting</w:t>
              </w:r>
            </w:hyperlink>
          </w:p>
        </w:tc>
        <w:tc>
          <w:tcPr>
            <w:tcW w:w="4820" w:type="dxa"/>
            <w:vAlign w:val="bottom"/>
            <w:gridSpan w:val="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171</w:t>
            </w:r>
          </w:p>
        </w:tc>
      </w:tr>
      <w:tr>
        <w:trPr>
          <w:trHeight w:val="20"/>
        </w:trPr>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81">
              <w:r>
                <w:rPr>
                  <w:rFonts w:ascii="Arial" w:cs="Arial" w:eastAsia="Arial" w:hAnsi="Arial"/>
                  <w:sz w:val="13"/>
                  <w:szCs w:val="13"/>
                  <w:color w:val="0000EE"/>
                </w:rPr>
                <w:t>Legal Matters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176</w:t>
            </w:r>
          </w:p>
        </w:tc>
      </w:tr>
      <w:tr>
        <w:trPr>
          <w:trHeight w:val="127"/>
        </w:trPr>
        <w:tc>
          <w:tcPr>
            <w:tcW w:w="460" w:type="dxa"/>
            <w:vAlign w:val="bottom"/>
            <w:tcBorders>
              <w:top w:val="single" w:sz="8" w:color="0000EE"/>
              <w:bottom w:val="single" w:sz="8" w:color="0000EE"/>
            </w:tcBorders>
            <w:gridSpan w:val="3"/>
          </w:tcPr>
          <w:p>
            <w:pPr>
              <w:spacing w:after="0" w:line="128" w:lineRule="exact"/>
              <w:rPr>
                <w:rFonts w:ascii="Arial" w:cs="Arial" w:eastAsia="Arial" w:hAnsi="Arial"/>
                <w:sz w:val="13"/>
                <w:szCs w:val="13"/>
                <w:color w:val="0000EE"/>
                <w:w w:val="99"/>
              </w:rPr>
            </w:pPr>
            <w:hyperlink w:anchor="page181">
              <w:r>
                <w:rPr>
                  <w:rFonts w:ascii="Arial" w:cs="Arial" w:eastAsia="Arial" w:hAnsi="Arial"/>
                  <w:sz w:val="13"/>
                  <w:szCs w:val="13"/>
                  <w:color w:val="0000EE"/>
                  <w:w w:val="99"/>
                </w:rPr>
                <w:t>Experts</w:t>
              </w:r>
            </w:hyperlink>
          </w:p>
        </w:tc>
        <w:tc>
          <w:tcPr>
            <w:tcW w:w="340" w:type="dxa"/>
            <w:vAlign w:val="bottom"/>
            <w:tcBorders>
              <w:top w:val="single" w:sz="8" w:color="0000EE"/>
            </w:tcBorders>
            <w:gridSpan w:val="5"/>
          </w:tcPr>
          <w:p>
            <w:pPr>
              <w:spacing w:after="0"/>
              <w:rPr>
                <w:sz w:val="11"/>
                <w:szCs w:val="11"/>
                <w:color w:val="auto"/>
              </w:rPr>
            </w:pPr>
          </w:p>
        </w:tc>
        <w:tc>
          <w:tcPr>
            <w:tcW w:w="6880" w:type="dxa"/>
            <w:vAlign w:val="bottom"/>
            <w:gridSpan w:val="18"/>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176</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81">
              <w:r>
                <w:rPr>
                  <w:rFonts w:ascii="Arial" w:cs="Arial" w:eastAsia="Arial" w:hAnsi="Arial"/>
                  <w:sz w:val="13"/>
                  <w:szCs w:val="13"/>
                  <w:color w:val="0000EE"/>
                </w:rPr>
                <w:t>Where You Can Find More Information</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176</w:t>
            </w:r>
          </w:p>
        </w:tc>
      </w:tr>
      <w:tr>
        <w:trPr>
          <w:trHeight w:val="20"/>
        </w:trPr>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1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2540" w:type="dxa"/>
            <w:vAlign w:val="bottom"/>
            <w:tcBorders>
              <w:bottom w:val="single" w:sz="8" w:color="0000EE"/>
            </w:tcBorders>
            <w:gridSpan w:val="19"/>
          </w:tcPr>
          <w:p>
            <w:pPr>
              <w:spacing w:after="0" w:line="128" w:lineRule="exact"/>
              <w:rPr>
                <w:rFonts w:ascii="Arial" w:cs="Arial" w:eastAsia="Arial" w:hAnsi="Arial"/>
                <w:sz w:val="13"/>
                <w:szCs w:val="13"/>
                <w:color w:val="0000EE"/>
              </w:rPr>
            </w:pPr>
            <w:hyperlink w:anchor="page182">
              <w:r>
                <w:rPr>
                  <w:rFonts w:ascii="Arial" w:cs="Arial" w:eastAsia="Arial" w:hAnsi="Arial"/>
                  <w:sz w:val="13"/>
                  <w:szCs w:val="13"/>
                  <w:color w:val="0000EE"/>
                </w:rPr>
                <w:t>Index to Consolidated Financial Statements</w:t>
              </w:r>
            </w:hyperlink>
          </w:p>
        </w:tc>
        <w:tc>
          <w:tcPr>
            <w:tcW w:w="5140" w:type="dxa"/>
            <w:vAlign w:val="bottom"/>
            <w:gridSpan w:val="7"/>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F-1</w:t>
            </w:r>
          </w:p>
        </w:tc>
      </w:tr>
      <w:tr>
        <w:trPr>
          <w:trHeight w:val="127"/>
        </w:trPr>
        <w:tc>
          <w:tcPr>
            <w:tcW w:w="40" w:type="dxa"/>
            <w:vAlign w:val="bottom"/>
          </w:tcPr>
          <w:p>
            <w:pPr>
              <w:spacing w:after="0"/>
              <w:rPr>
                <w:sz w:val="11"/>
                <w:szCs w:val="11"/>
                <w:color w:val="auto"/>
              </w:rPr>
            </w:pPr>
          </w:p>
        </w:tc>
        <w:tc>
          <w:tcPr>
            <w:tcW w:w="7640" w:type="dxa"/>
            <w:vAlign w:val="bottom"/>
            <w:gridSpan w:val="25"/>
          </w:tcPr>
          <w:p>
            <w:pPr>
              <w:spacing w:after="0" w:line="128" w:lineRule="exact"/>
              <w:rPr>
                <w:sz w:val="20"/>
                <w:szCs w:val="20"/>
                <w:color w:val="auto"/>
              </w:rPr>
            </w:pPr>
            <w:r>
              <w:rPr>
                <w:rFonts w:ascii="Arial" w:cs="Arial" w:eastAsia="Arial" w:hAnsi="Arial"/>
                <w:sz w:val="13"/>
                <w:szCs w:val="13"/>
                <w:color w:val="0000EE"/>
              </w:rPr>
              <w:t>EX-23.1</w:t>
            </w:r>
          </w:p>
        </w:tc>
        <w:tc>
          <w:tcPr>
            <w:tcW w:w="2200" w:type="dxa"/>
            <w:vAlign w:val="bottom"/>
          </w:tcPr>
          <w:p>
            <w:pPr>
              <w:spacing w:after="0"/>
              <w:rPr>
                <w:sz w:val="11"/>
                <w:szCs w:val="11"/>
                <w:color w:val="auto"/>
              </w:rPr>
            </w:pPr>
          </w:p>
        </w:tc>
      </w:tr>
      <w:tr>
        <w:trPr>
          <w:trHeight w:val="177"/>
        </w:trPr>
        <w:tc>
          <w:tcPr>
            <w:tcW w:w="40" w:type="dxa"/>
            <w:vAlign w:val="bottom"/>
            <w:tcBorders>
              <w:bottom w:val="single" w:sz="8" w:color="auto"/>
            </w:tcBorders>
          </w:tcPr>
          <w:p>
            <w:pPr>
              <w:spacing w:after="0"/>
              <w:rPr>
                <w:sz w:val="15"/>
                <w:szCs w:val="15"/>
                <w:color w:val="auto"/>
              </w:rPr>
            </w:pPr>
          </w:p>
        </w:tc>
        <w:tc>
          <w:tcPr>
            <w:tcW w:w="40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pacing w:after="0" w:line="166" w:lineRule="exact"/>
        <w:rPr>
          <w:sz w:val="20"/>
          <w:szCs w:val="20"/>
          <w:color w:val="auto"/>
        </w:rPr>
      </w:pPr>
    </w:p>
    <w:p>
      <w:pPr>
        <w:ind w:firstLine="499"/>
        <w:spacing w:after="0" w:line="242" w:lineRule="auto"/>
        <w:rPr>
          <w:sz w:val="20"/>
          <w:szCs w:val="20"/>
          <w:color w:val="auto"/>
        </w:rPr>
      </w:pPr>
      <w:r>
        <w:rPr>
          <w:rFonts w:ascii="Arial" w:cs="Arial" w:eastAsia="Arial" w:hAnsi="Arial"/>
          <w:sz w:val="13"/>
          <w:szCs w:val="13"/>
          <w:color w:val="auto"/>
        </w:rPr>
        <w:t>No dealer, salesperson or other person has been authorized to give any information or to represent anything not contained in this prospectus.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w:t>
      </w:r>
    </w:p>
    <w:p>
      <w:pPr>
        <w:spacing w:after="0" w:line="79" w:lineRule="exact"/>
        <w:rPr>
          <w:sz w:val="20"/>
          <w:szCs w:val="20"/>
          <w:color w:val="auto"/>
        </w:rPr>
      </w:pPr>
    </w:p>
    <w:p>
      <w:pPr>
        <w:ind w:right="180" w:firstLine="499"/>
        <w:spacing w:after="0" w:line="242" w:lineRule="auto"/>
        <w:rPr>
          <w:sz w:val="20"/>
          <w:szCs w:val="20"/>
          <w:color w:val="auto"/>
        </w:rPr>
      </w:pPr>
      <w:r>
        <w:rPr>
          <w:rFonts w:ascii="Arial" w:cs="Arial" w:eastAsia="Arial" w:hAnsi="Arial"/>
          <w:sz w:val="13"/>
          <w:szCs w:val="13"/>
          <w:color w:val="auto"/>
        </w:rPr>
        <w:t>“MagnaChip” is a registered trademark of us and our subsidiaries and “MagnaChip Everywhere” is our registered service mark. An application for United States trademark registration of “MagnaChip Everywhere” is pending. All other product, service and company names mentioned in this prospectus are the service marks or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90805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42" w:right="109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PROSPECTUS SUMMARY</w:t>
      </w:r>
    </w:p>
    <w:p>
      <w:pPr>
        <w:spacing w:after="0" w:line="147" w:lineRule="exact"/>
        <w:rPr>
          <w:sz w:val="20"/>
          <w:szCs w:val="20"/>
          <w:color w:val="auto"/>
        </w:rPr>
      </w:pPr>
    </w:p>
    <w:p>
      <w:pPr>
        <w:ind w:left="860" w:right="80" w:firstLine="499"/>
        <w:spacing w:after="0" w:line="241"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and “Management’s Discussion and Analysis of Financial Condition and Results of Operations” sections contained in this prospectus and our consolidated financial statements before making an investment decision. In this prospectus, unless the context otherwise requires, the terms “we,” “us,” “our” and “MagnaChip” refer to MagnaChip Semiconductor LLC and its consolidated subsidiaries for the periods prior to the consummation of the corporate conversion (as described below), and such terms refer to MagnaChip Semiconductor Corporation and its consolidated subsidiaries for the periods after the consummation of the corporate conversion. The term “Korea” refers to the Republic of Korea or South Korea. All references to shares of common stock being sold in this offering include shares held in the form of depositary shares, as described under “Description of Depositary Shares.”</w:t>
      </w:r>
    </w:p>
    <w:p>
      <w:pPr>
        <w:spacing w:after="0" w:line="116" w:lineRule="exact"/>
        <w:rPr>
          <w:sz w:val="20"/>
          <w:szCs w:val="20"/>
          <w:color w:val="auto"/>
        </w:rPr>
      </w:pPr>
    </w:p>
    <w:p>
      <w:pPr>
        <w:ind w:left="860" w:right="140" w:firstLine="499"/>
        <w:spacing w:after="0" w:line="253" w:lineRule="auto"/>
        <w:rPr>
          <w:sz w:val="20"/>
          <w:szCs w:val="20"/>
          <w:color w:val="auto"/>
        </w:rPr>
      </w:pPr>
      <w:r>
        <w:rPr>
          <w:rFonts w:ascii="Arial" w:cs="Arial" w:eastAsia="Arial" w:hAnsi="Arial"/>
          <w:sz w:val="13"/>
          <w:szCs w:val="13"/>
          <w:i w:val="1"/>
          <w:iCs w:val="1"/>
          <w:color w:val="auto"/>
        </w:rPr>
        <w:t>Prior to the effectiveness of the registration statement of which this prospectus is a part, we will complete a number of transactions pursuant to which MagnaChip Semiconductor Corporation will succeed to the business of MagnaChip Semiconductor LLC and its consolidated subsidiaries and the members of MagnaChip Semiconductor LLC will become stockholders of MagnaChip Semiconductor Corporation. In this prospectus, we refer to such transactions as the corporate conversion.</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52"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MagnaChip is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32"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39" w:lineRule="exact"/>
        <w:rPr>
          <w:sz w:val="20"/>
          <w:szCs w:val="20"/>
          <w:color w:val="auto"/>
        </w:rPr>
      </w:pPr>
    </w:p>
    <w:p>
      <w:pPr>
        <w:ind w:left="860" w:firstLine="499"/>
        <w:spacing w:after="0" w:line="239" w:lineRule="auto"/>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combined twelve-month period ended December 31, 2009, respectively,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3"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available rich media content, such as high definition audio and video, mobile television and games on advanced consumer electronic devices. According to Gartner, production of liquid crystal display, or LCD televisions, smartphones, mobile personal computers, or PCs, and mini-notebooks is expected to grow from 2009 to 2013 by a compound annual growth rate of 12%, 36%, 24%, and 20%, respectively.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According to iSuppli Corporation, in 2009, the display driver semiconductor market was $6.0 billion and the power management semiconductor market was $21.9 billion.</w:t>
      </w:r>
    </w:p>
    <w:p>
      <w:pPr>
        <w:spacing w:after="0" w:line="141" w:lineRule="exact"/>
        <w:rPr>
          <w:sz w:val="20"/>
          <w:szCs w:val="20"/>
          <w:color w:val="auto"/>
        </w:rPr>
      </w:pPr>
    </w:p>
    <w:p>
      <w:pPr>
        <w:ind w:left="860" w:right="140" w:firstLine="499"/>
        <w:spacing w:after="0" w:line="238"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$ 15.0 million. For 2009 on a combined pro forma basis, we generated net sales of $560.1 million, income from continuing operations of $46.6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2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Products and Services</w:t>
      </w:r>
    </w:p>
    <w:p>
      <w:pPr>
        <w:spacing w:after="0" w:line="161" w:lineRule="exact"/>
        <w:rPr>
          <w:sz w:val="20"/>
          <w:szCs w:val="20"/>
          <w:color w:val="auto"/>
        </w:rPr>
      </w:pPr>
    </w:p>
    <w:p>
      <w:pPr>
        <w:ind w:left="860" w:right="40" w:firstLine="499"/>
        <w:spacing w:after="0" w:line="239" w:lineRule="auto"/>
        <w:rPr>
          <w:sz w:val="20"/>
          <w:szCs w:val="20"/>
          <w:color w:val="auto"/>
        </w:rPr>
      </w:pPr>
      <w:r>
        <w:rPr>
          <w:rFonts w:ascii="Arial" w:cs="Arial" w:eastAsia="Arial" w:hAnsi="Arial"/>
          <w:sz w:val="13"/>
          <w:szCs w:val="13"/>
          <w:color w:val="auto"/>
        </w:rPr>
        <w:t>Our Display Solutions products include source and gate drivers and timing controllers that cover a wide range of flat panel displays used in LCD televisions and light emitting diode, or LED, televisions and displays, mobile PCs and mobile communications and entertainment devices. Our display solutions support the industry’s most advanced display technologies, such as low temperature polysilicon, or LTPS, and active matrix organic light emitting diode, or AMOLED, as well as high-volume display technologies such as thin film transistor, or TFT. Our Display Solutions business represented 50.5%, 50.5% and 46.7% of our net sales for the fiscal years ended December 31, 2009 (on a combined basis), 2008 and 2007, respectively, and 42.8% and 58.8% of our net sales for the three months ended March 31, 2010 and March 31, 2009, respectively.</w:t>
      </w:r>
    </w:p>
    <w:p>
      <w:pPr>
        <w:spacing w:after="0" w:line="129" w:lineRule="exact"/>
        <w:rPr>
          <w:sz w:val="20"/>
          <w:szCs w:val="20"/>
          <w:color w:val="auto"/>
        </w:rPr>
      </w:pPr>
    </w:p>
    <w:p>
      <w:pPr>
        <w:ind w:left="860" w:right="60" w:firstLine="499"/>
        <w:spacing w:after="0" w:line="239" w:lineRule="auto"/>
        <w:rPr>
          <w:sz w:val="20"/>
          <w:szCs w:val="20"/>
          <w:color w:val="auto"/>
        </w:rPr>
      </w:pPr>
      <w:r>
        <w:rPr>
          <w:rFonts w:ascii="Arial" w:cs="Arial" w:eastAsia="Arial" w:hAnsi="Arial"/>
          <w:sz w:val="13"/>
          <w:szCs w:val="13"/>
          <w:color w:val="auto"/>
        </w:rPr>
        <w:t>We expanded our business and market opportunity by establishing our Power Solutions business in late 2007. We have introduced a number of products for power management applications, including metal oxide semiconductor field effect transistors, or MOSFETs, analog switches, LED drivers, DC-DC converters and linear regulators for a range of devices, including LCD and LED digital televisions, mobile phones, computers and other consumer electronics products. Our Power Solutions business represented 2.2% and 0.9% of our net sales for the fiscal years ended December 31, 2009 (on a combined basis) and 2008, respectively, and 5.0% and 0.9% of our net sales for the three months ended March 31, 2010 and March 31, 2009, respectively.</w:t>
      </w:r>
    </w:p>
    <w:p>
      <w:pPr>
        <w:spacing w:after="0" w:line="130" w:lineRule="exact"/>
        <w:rPr>
          <w:sz w:val="20"/>
          <w:szCs w:val="20"/>
          <w:color w:val="auto"/>
        </w:rPr>
      </w:pPr>
    </w:p>
    <w:p>
      <w:pPr>
        <w:jc w:val="both"/>
        <w:ind w:left="860" w:right="360" w:firstLine="499"/>
        <w:spacing w:after="0" w:line="242" w:lineRule="auto"/>
        <w:rPr>
          <w:sz w:val="20"/>
          <w:szCs w:val="20"/>
          <w:color w:val="auto"/>
        </w:rPr>
      </w:pPr>
      <w:r>
        <w:rPr>
          <w:rFonts w:ascii="Arial" w:cs="Arial" w:eastAsia="Arial" w:hAnsi="Arial"/>
          <w:sz w:val="13"/>
          <w:szCs w:val="13"/>
          <w:color w:val="auto"/>
        </w:rPr>
        <w:t>We offer semiconductor manufacturing services to fabless analog and mixed-signal semiconductor companies that require differentiated, specialty analog and mixed-signal process technologies. We believe the majority of our top twenty semiconductor manufacturing services customers use us as their primary manufacturing source for the products that we manufacture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3" w:lineRule="exact"/>
        <w:rPr>
          <w:sz w:val="20"/>
          <w:szCs w:val="20"/>
          <w:color w:val="auto"/>
        </w:rPr>
      </w:pPr>
    </w:p>
    <w:p>
      <w:pPr>
        <w:ind w:left="860"/>
        <w:spacing w:after="0" w:line="239" w:lineRule="auto"/>
        <w:rPr>
          <w:sz w:val="20"/>
          <w:szCs w:val="20"/>
          <w:color w:val="auto"/>
        </w:rPr>
      </w:pPr>
      <w:r>
        <w:rPr>
          <w:rFonts w:ascii="Arial" w:cs="Arial" w:eastAsia="Arial" w:hAnsi="Arial"/>
          <w:sz w:val="13"/>
          <w:szCs w:val="13"/>
          <w:color w:val="auto"/>
        </w:rPr>
        <w:t>them. Our process technologies are optimized for analog and mixed-signal devices and include standard complementary metal-oxide semiconductor, or CMOS, high voltage CMOS, ultra-low leakage high voltage CMOS and bipolar complementary double-diffused metal oxide semiconductor, or BCDMOS. Our semiconductor manufacturing services customers use us to manufacture a wide range of products, including display drivers, LED drivers, audio encoding and decoding devices, microcontrollers, electronic tags and power management semiconductors. Our Semiconductor Manufacturing Services business represented 46.7%, 47.7% and 45.2% of our net sales for the fiscal years ended December 31, 2009 (on a combined basis), 2008 and 2007, respectively, and 51.9% and 39.6% of our net sales for the three months ended March 31, 2010 and March 31, 2009, respectively.</w:t>
      </w:r>
    </w:p>
    <w:p>
      <w:pPr>
        <w:spacing w:after="0" w:line="139" w:lineRule="exact"/>
        <w:rPr>
          <w:sz w:val="20"/>
          <w:szCs w:val="20"/>
          <w:color w:val="auto"/>
        </w:rPr>
      </w:pPr>
    </w:p>
    <w:p>
      <w:pPr>
        <w:ind w:left="860" w:right="20" w:firstLine="499"/>
        <w:spacing w:after="0" w:line="238" w:lineRule="auto"/>
        <w:rPr>
          <w:sz w:val="20"/>
          <w:szCs w:val="20"/>
          <w:color w:val="auto"/>
        </w:rPr>
      </w:pPr>
      <w:r>
        <w:rPr>
          <w:rFonts w:ascii="Arial" w:cs="Arial" w:eastAsia="Arial" w:hAnsi="Arial"/>
          <w:sz w:val="13"/>
          <w:szCs w:val="13"/>
          <w:color w:val="auto"/>
        </w:rPr>
        <w:t>We manufacture all of our products at our three fabrication facilities located in Korea. We have approximately 200 proprietary process flows we can utilize for our products and offer to our semiconductor manufacturing services customers. Our manufacturing base serves both our display driver and power management businesses and semiconductor manufacturing services customers, allowing us to optimize our asset utilization and leverage our investments across our product and service offerings. Analog and mixed-signal manufacturing facilities and processes are typically distinguished by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does not require substantial investment in leading edge process equipment, allowing us to utilize our facilities and equipment over an extended period of time with moderate required capital investments.</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Competitive Strengths</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believe our strengths include:</w:t>
      </w:r>
    </w:p>
    <w:p>
      <w:pPr>
        <w:spacing w:after="0" w:line="136" w:lineRule="exact"/>
        <w:rPr>
          <w:sz w:val="20"/>
          <w:szCs w:val="20"/>
          <w:color w:val="auto"/>
        </w:rPr>
      </w:pPr>
    </w:p>
    <w:p>
      <w:pPr>
        <w:ind w:left="1560" w:right="24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Broad and advanced analog and mixed-signal semiconductor technology and intellectual property platform that allows us to develop new products and meet market demands quickly;</w:t>
      </w:r>
    </w:p>
    <w:p>
      <w:pPr>
        <w:spacing w:after="0" w:line="113" w:lineRule="exact"/>
        <w:rPr>
          <w:rFonts w:ascii="Arial" w:cs="Arial" w:eastAsia="Arial" w:hAnsi="Arial"/>
          <w:sz w:val="13"/>
          <w:szCs w:val="13"/>
          <w:color w:val="auto"/>
        </w:rPr>
      </w:pPr>
    </w:p>
    <w:p>
      <w:pPr>
        <w:ind w:left="1560" w:right="74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Established relationships and close collaboration with leading global consumer electronics companies, which enhance our visibility into new product opportunities, markets and technology trends;</w:t>
      </w:r>
    </w:p>
    <w:p>
      <w:pPr>
        <w:spacing w:after="0" w:line="113" w:lineRule="exact"/>
        <w:rPr>
          <w:rFonts w:ascii="Arial" w:cs="Arial" w:eastAsia="Arial" w:hAnsi="Arial"/>
          <w:sz w:val="13"/>
          <w:szCs w:val="13"/>
          <w:color w:val="auto"/>
        </w:rPr>
      </w:pPr>
    </w:p>
    <w:p>
      <w:pPr>
        <w:ind w:left="1560" w:right="30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Longstanding presence of our management, personnel and manufacturing base in Asia and proximity to our largest customers and to the core of the global consumer electronics supply chain, which allows us to respond rapidly and efficiently to our customers’ needs;</w:t>
      </w:r>
    </w:p>
    <w:p>
      <w:pPr>
        <w:spacing w:after="0" w:line="113" w:lineRule="exact"/>
        <w:rPr>
          <w:rFonts w:ascii="Arial" w:cs="Arial" w:eastAsia="Arial" w:hAnsi="Arial"/>
          <w:sz w:val="13"/>
          <w:szCs w:val="13"/>
          <w:color w:val="auto"/>
        </w:rPr>
      </w:pPr>
    </w:p>
    <w:p>
      <w:pPr>
        <w:ind w:left="1560" w:hanging="205"/>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Flexible, service-oriented culture and approach to customers;</w:t>
      </w:r>
    </w:p>
    <w:p>
      <w:pPr>
        <w:spacing w:after="0" w:line="125" w:lineRule="exact"/>
        <w:rPr>
          <w:rFonts w:ascii="Arial" w:cs="Arial" w:eastAsia="Arial" w:hAnsi="Arial"/>
          <w:sz w:val="13"/>
          <w:szCs w:val="13"/>
          <w:color w:val="auto"/>
        </w:rPr>
      </w:pPr>
    </w:p>
    <w:p>
      <w:pPr>
        <w:ind w:left="1560" w:hanging="205"/>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Distinctive analog and mixed-signal process technology and manufacturing expertise; and</w:t>
      </w:r>
    </w:p>
    <w:p>
      <w:pPr>
        <w:spacing w:after="0" w:line="125" w:lineRule="exact"/>
        <w:rPr>
          <w:rFonts w:ascii="Arial" w:cs="Arial" w:eastAsia="Arial" w:hAnsi="Arial"/>
          <w:sz w:val="13"/>
          <w:szCs w:val="13"/>
          <w:color w:val="auto"/>
        </w:rPr>
      </w:pPr>
    </w:p>
    <w:p>
      <w:pPr>
        <w:ind w:left="1560" w:right="22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Manufacturing facilities with specialty processes and a low-cost operating structure, which allow us to maintain price competitiveness across our product and service offerings.</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Strategy</w:t>
      </w:r>
    </w:p>
    <w:p>
      <w:pPr>
        <w:spacing w:after="0" w:line="152" w:lineRule="exact"/>
        <w:rPr>
          <w:sz w:val="20"/>
          <w:szCs w:val="20"/>
          <w:color w:val="auto"/>
        </w:rPr>
      </w:pPr>
    </w:p>
    <w:p>
      <w:pPr>
        <w:ind w:left="860" w:right="160" w:firstLine="499"/>
        <w:spacing w:after="0" w:line="248"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133" w:lineRule="exact"/>
        <w:rPr>
          <w:sz w:val="20"/>
          <w:szCs w:val="20"/>
          <w:color w:val="auto"/>
        </w:rPr>
      </w:pPr>
    </w:p>
    <w:p>
      <w:pPr>
        <w:ind w:left="1560" w:right="520" w:hanging="205"/>
        <w:spacing w:after="0" w:line="248" w:lineRule="auto"/>
        <w:tabs>
          <w:tab w:leader="none" w:pos="1560" w:val="left"/>
        </w:tabs>
        <w:numPr>
          <w:ilvl w:val="0"/>
          <w:numId w:val="2"/>
        </w:numPr>
        <w:rPr>
          <w:rFonts w:ascii="Arial" w:cs="Arial" w:eastAsia="Arial" w:hAnsi="Arial"/>
          <w:sz w:val="13"/>
          <w:szCs w:val="13"/>
          <w:color w:val="auto"/>
        </w:rPr>
      </w:pPr>
      <w:r>
        <w:rPr>
          <w:rFonts w:ascii="Arial" w:cs="Arial" w:eastAsia="Arial" w:hAnsi="Arial"/>
          <w:sz w:val="13"/>
          <w:szCs w:val="13"/>
          <w:color w:val="auto"/>
        </w:rPr>
        <w:t>Leverage our advanced analog and mixed-signal technology platform to continuously innovate and deliver products with high levels of performance and integration, as well as to expand our technology offerings within our target markets, such as our power management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560" w:right="380" w:hanging="205"/>
        <w:spacing w:after="0" w:line="248"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 business with our global customer base of leading consumer electronics original equipment manufacturers, or OEMs, and fabless companies by collaborating on critical design, product and manufacturing process development and leveraging our deep knowledge of customer needs;</w:t>
      </w:r>
    </w:p>
    <w:p>
      <w:pPr>
        <w:spacing w:after="0" w:line="113" w:lineRule="exact"/>
        <w:rPr>
          <w:rFonts w:ascii="Arial" w:cs="Arial" w:eastAsia="Arial" w:hAnsi="Arial"/>
          <w:sz w:val="13"/>
          <w:szCs w:val="13"/>
          <w:color w:val="auto"/>
        </w:rPr>
      </w:pPr>
    </w:p>
    <w:p>
      <w:pPr>
        <w:ind w:left="1560" w:right="260" w:hanging="205"/>
        <w:spacing w:after="0" w:line="248"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Broaden our customer base by expanding our global design centers and local application engineering support and sales presence, particularly in China and other high-growth regions;</w:t>
      </w:r>
    </w:p>
    <w:p>
      <w:pPr>
        <w:spacing w:after="0" w:line="113" w:lineRule="exact"/>
        <w:rPr>
          <w:rFonts w:ascii="Arial" w:cs="Arial" w:eastAsia="Arial" w:hAnsi="Arial"/>
          <w:sz w:val="13"/>
          <w:szCs w:val="13"/>
          <w:color w:val="auto"/>
        </w:rPr>
      </w:pPr>
    </w:p>
    <w:p>
      <w:pPr>
        <w:ind w:left="1560" w:right="300" w:hanging="205"/>
        <w:spacing w:after="0" w:line="248"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Aggressively grow our power management product portfolio business by introducing new products, expanding distribution and cross-selling products to our existing customers;</w:t>
      </w:r>
    </w:p>
    <w:p>
      <w:pPr>
        <w:spacing w:after="0" w:line="113" w:lineRule="exact"/>
        <w:rPr>
          <w:rFonts w:ascii="Arial" w:cs="Arial" w:eastAsia="Arial" w:hAnsi="Arial"/>
          <w:sz w:val="13"/>
          <w:szCs w:val="13"/>
          <w:color w:val="auto"/>
        </w:rPr>
      </w:pPr>
    </w:p>
    <w:p>
      <w:pPr>
        <w:ind w:left="1560" w:hanging="205"/>
        <w:spacing w:after="0"/>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Drive execution excellence in new product development, manufacturing efficiency and quality, customer service and personnel development; and</w:t>
      </w:r>
    </w:p>
    <w:p>
      <w:pPr>
        <w:spacing w:after="0" w:line="125" w:lineRule="exact"/>
        <w:rPr>
          <w:rFonts w:ascii="Arial" w:cs="Arial" w:eastAsia="Arial" w:hAnsi="Arial"/>
          <w:sz w:val="13"/>
          <w:szCs w:val="13"/>
          <w:color w:val="auto"/>
        </w:rPr>
      </w:pPr>
    </w:p>
    <w:p>
      <w:pPr>
        <w:ind w:left="1560" w:right="140" w:hanging="205"/>
        <w:spacing w:after="0" w:line="242"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Optimize asset utilization and return on capital investments by maintaining our focus on specialty process technologies that do not require substantial investment in leading edge process equipment and by utilizing our manufacturing facilities for both our display driver and power management businesses and manufacturing services customers.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Recent Changes To Our Business</w:t>
      </w:r>
    </w:p>
    <w:p>
      <w:pPr>
        <w:spacing w:after="0" w:line="161"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We have executed a significant restructuring over the last 18 months that refocused our business strategy, enhanced our operating efficiency and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our business through fluctuations in the economy and our markets.</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Specifically, our business optimization initiatives included:</w:t>
      </w:r>
    </w:p>
    <w:p>
      <w:pPr>
        <w:spacing w:after="0" w:line="136" w:lineRule="exact"/>
        <w:rPr>
          <w:sz w:val="20"/>
          <w:szCs w:val="20"/>
          <w:color w:val="auto"/>
        </w:rPr>
      </w:pPr>
    </w:p>
    <w:p>
      <w:pPr>
        <w:ind w:left="1560" w:right="80" w:hanging="205"/>
        <w:spacing w:after="0" w:line="248"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Closing our Imaging Solutions business, which had been a source of substantial ongoing operating losses amounting to $91.5 million and $51.7 million in 2008 and 2007, respectively, and which required substantial ongoing capital investment;</w:t>
      </w:r>
    </w:p>
    <w:p>
      <w:pPr>
        <w:spacing w:after="0" w:line="113" w:lineRule="exact"/>
        <w:rPr>
          <w:rFonts w:ascii="Arial" w:cs="Arial" w:eastAsia="Arial" w:hAnsi="Arial"/>
          <w:sz w:val="13"/>
          <w:szCs w:val="13"/>
          <w:color w:val="auto"/>
        </w:rPr>
      </w:pPr>
    </w:p>
    <w:p>
      <w:pPr>
        <w:ind w:left="1560" w:right="260" w:hanging="205"/>
        <w:spacing w:after="0" w:line="248"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Through our reorganization proceedings, reducing our indebtedness from $845 million immediately prior to the effectiveness of our plan of reorganization to $61.8 million as of December 31, 2009 and retiring $149 million of redeemable convertible preferred units;</w:t>
      </w:r>
    </w:p>
    <w:p>
      <w:pPr>
        <w:spacing w:after="0" w:line="113" w:lineRule="exact"/>
        <w:rPr>
          <w:rFonts w:ascii="Arial" w:cs="Arial" w:eastAsia="Arial" w:hAnsi="Arial"/>
          <w:sz w:val="13"/>
          <w:szCs w:val="13"/>
          <w:color w:val="auto"/>
        </w:rPr>
      </w:pPr>
    </w:p>
    <w:p>
      <w:pPr>
        <w:ind w:left="1560" w:hanging="205"/>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Streamlining our cost structure to reduce ongoing fixed and variable expenses;</w:t>
      </w:r>
    </w:p>
    <w:p>
      <w:pPr>
        <w:spacing w:after="0" w:line="125" w:lineRule="exact"/>
        <w:rPr>
          <w:rFonts w:ascii="Arial" w:cs="Arial" w:eastAsia="Arial" w:hAnsi="Arial"/>
          <w:sz w:val="13"/>
          <w:szCs w:val="13"/>
          <w:color w:val="auto"/>
        </w:rPr>
      </w:pPr>
    </w:p>
    <w:p>
      <w:pPr>
        <w:ind w:left="1560" w:hanging="205"/>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Entering into a hedging program to mitigate the impact of currency fluctuation on our financial results; and</w:t>
      </w:r>
    </w:p>
    <w:p>
      <w:pPr>
        <w:spacing w:after="0" w:line="125" w:lineRule="exact"/>
        <w:rPr>
          <w:rFonts w:ascii="Arial" w:cs="Arial" w:eastAsia="Arial" w:hAnsi="Arial"/>
          <w:sz w:val="13"/>
          <w:szCs w:val="13"/>
          <w:color w:val="auto"/>
        </w:rPr>
      </w:pPr>
    </w:p>
    <w:p>
      <w:pPr>
        <w:ind w:left="1560" w:hanging="205"/>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Focusing on major customers, key product lines, growth segments and areas of competitive differentiation.</w:t>
      </w:r>
    </w:p>
    <w:p>
      <w:pPr>
        <w:spacing w:after="0" w:line="145" w:lineRule="exact"/>
        <w:rPr>
          <w:sz w:val="20"/>
          <w:szCs w:val="20"/>
          <w:color w:val="auto"/>
        </w:rPr>
      </w:pPr>
    </w:p>
    <w:p>
      <w:pPr>
        <w:ind w:left="860" w:right="40" w:firstLine="499"/>
        <w:spacing w:after="0" w:line="239" w:lineRule="auto"/>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which we refer to as our senior notes. Of the $238.4 million of net proceeds, which represents $250 million of principal amount net of $3.3 million of original issue discount and $ 8.3 million of debt issuance costs, $130.7 million was used to make a distribution to our unitholders and $61.6 million was used to repay all outstanding borrowings under our term loan. The remaining proceeds were retained to fund working capital and for general corporate purposes. As a result of our higher level of indebtedness from our senior notes offering, our quarterly interest expense will increase above that which was reported for the two-month period ended December 31, 2009 and the three months ended March 31, 2010 to approximately $6.8 million per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6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Related to Our Company</w:t>
      </w:r>
    </w:p>
    <w:p>
      <w:pPr>
        <w:spacing w:after="0" w:line="102" w:lineRule="exact"/>
        <w:rPr>
          <w:sz w:val="20"/>
          <w:szCs w:val="20"/>
          <w:color w:val="auto"/>
        </w:rPr>
      </w:pPr>
    </w:p>
    <w:p>
      <w:pPr>
        <w:ind w:left="860" w:right="20" w:firstLine="499"/>
        <w:spacing w:after="0" w:line="248" w:lineRule="auto"/>
        <w:rPr>
          <w:sz w:val="20"/>
          <w:szCs w:val="20"/>
          <w:color w:val="auto"/>
        </w:rPr>
      </w:pPr>
      <w:r>
        <w:rPr>
          <w:rFonts w:ascii="Arial" w:cs="Arial" w:eastAsia="Arial" w:hAnsi="Arial"/>
          <w:sz w:val="13"/>
          <w:szCs w:val="13"/>
          <w:color w:val="auto"/>
        </w:rPr>
        <w:t>Investing in our company entails a high degree of risk, including those summarized below and those more fully described in the “Risk Factors” section beginning on page 16 of this prospectus. You should consider carefully these risks before deciding to invest in our common stock.</w:t>
      </w:r>
    </w:p>
    <w:p>
      <w:pPr>
        <w:spacing w:after="0" w:line="74" w:lineRule="exact"/>
        <w:rPr>
          <w:sz w:val="20"/>
          <w:szCs w:val="20"/>
          <w:color w:val="auto"/>
        </w:rPr>
      </w:pPr>
    </w:p>
    <w:p>
      <w:pPr>
        <w:ind w:left="1560" w:hanging="205"/>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a history of losses and may not be profitable in the future;</w:t>
      </w:r>
    </w:p>
    <w:p>
      <w:pPr>
        <w:spacing w:after="0" w:line="76" w:lineRule="exact"/>
        <w:rPr>
          <w:rFonts w:ascii="Arial" w:cs="Arial" w:eastAsia="Arial" w:hAnsi="Arial"/>
          <w:sz w:val="13"/>
          <w:szCs w:val="13"/>
          <w:color w:val="auto"/>
        </w:rPr>
      </w:pPr>
    </w:p>
    <w:p>
      <w:pPr>
        <w:ind w:left="1560" w:right="50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June 12, 2009, we filed a voluntary petition for relief under Chapter 11 of the United States Bankruptcy Code and our plan of reorganization became effective on November 9, 2009;</w:t>
      </w:r>
    </w:p>
    <w:p>
      <w:pPr>
        <w:spacing w:after="0" w:line="64" w:lineRule="exact"/>
        <w:rPr>
          <w:rFonts w:ascii="Arial" w:cs="Arial" w:eastAsia="Arial" w:hAnsi="Arial"/>
          <w:sz w:val="13"/>
          <w:szCs w:val="13"/>
          <w:color w:val="auto"/>
        </w:rPr>
      </w:pPr>
    </w:p>
    <w:p>
      <w:pPr>
        <w:ind w:left="1560" w:right="100" w:hanging="205"/>
        <w:spacing w:after="0" w:line="242"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connection with our audit for the ten-month period ended October 25, 2009 and the two-month period ended December 31, 2009, our auditors identified two control deficiencies which represent a material weakness in our internal control over financial reporting; if we fail to effectively remediate this weakness, the accuracy and timing of our financial reporting may be adversely affected;</w:t>
      </w:r>
    </w:p>
    <w:p>
      <w:pPr>
        <w:spacing w:after="0" w:line="68" w:lineRule="exact"/>
        <w:rPr>
          <w:rFonts w:ascii="Arial" w:cs="Arial" w:eastAsia="Arial" w:hAnsi="Arial"/>
          <w:sz w:val="13"/>
          <w:szCs w:val="13"/>
          <w:color w:val="auto"/>
        </w:rPr>
      </w:pPr>
    </w:p>
    <w:p>
      <w:pPr>
        <w:ind w:left="1560" w:hanging="205"/>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cyclical nature of the semiconductor industry may limit our ability to maintain or increase net sales and profit levels during industry downturns;</w:t>
      </w:r>
    </w:p>
    <w:p>
      <w:pPr>
        <w:spacing w:after="0" w:line="76" w:lineRule="exact"/>
        <w:rPr>
          <w:rFonts w:ascii="Arial" w:cs="Arial" w:eastAsia="Arial" w:hAnsi="Arial"/>
          <w:sz w:val="13"/>
          <w:szCs w:val="13"/>
          <w:color w:val="auto"/>
        </w:rPr>
      </w:pPr>
    </w:p>
    <w:p>
      <w:pPr>
        <w:ind w:left="1560" w:right="14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fail to develop new products and process technologies or enhance our existing products and services in order to react to rapid technological change and market demands, our business will suffer;</w:t>
      </w:r>
    </w:p>
    <w:p>
      <w:pPr>
        <w:spacing w:after="0" w:line="64" w:lineRule="exact"/>
        <w:rPr>
          <w:rFonts w:ascii="Arial" w:cs="Arial" w:eastAsia="Arial" w:hAnsi="Arial"/>
          <w:sz w:val="13"/>
          <w:szCs w:val="13"/>
          <w:color w:val="auto"/>
        </w:rPr>
      </w:pPr>
    </w:p>
    <w:p>
      <w:pPr>
        <w:ind w:left="1560" w:right="2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significant portion of our sales comes from a relatively limited number of customers and the loss of any of such customers or a significant decrease in sales to any of such customers would harm our revenue and gross profit;</w:t>
      </w:r>
    </w:p>
    <w:p>
      <w:pPr>
        <w:spacing w:after="0" w:line="64" w:lineRule="exact"/>
        <w:rPr>
          <w:rFonts w:ascii="Arial" w:cs="Arial" w:eastAsia="Arial" w:hAnsi="Arial"/>
          <w:sz w:val="13"/>
          <w:szCs w:val="13"/>
          <w:color w:val="auto"/>
        </w:rPr>
      </w:pPr>
    </w:p>
    <w:p>
      <w:pPr>
        <w:ind w:left="1560" w:right="20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average selling prices of our semiconductor products have at times declined rapidly and will likely do so in the future, which could harm our revenue and gross profit; and</w:t>
      </w:r>
    </w:p>
    <w:p>
      <w:pPr>
        <w:spacing w:after="0" w:line="74" w:lineRule="exact"/>
        <w:rPr>
          <w:rFonts w:ascii="Arial" w:cs="Arial" w:eastAsia="Arial" w:hAnsi="Arial"/>
          <w:sz w:val="13"/>
          <w:szCs w:val="13"/>
          <w:color w:val="auto"/>
        </w:rPr>
      </w:pPr>
    </w:p>
    <w:p>
      <w:pPr>
        <w:ind w:left="156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Upon completion of this offering, our largest stockholder, consisting of affiliated funds of Avenue Capital Management II, L.P., will control approximately 56.5% of our outstanding common stock, assuming no exercise by the underwriters of their option to purchase additional shares.</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2" w:lineRule="exact"/>
        <w:rPr>
          <w:sz w:val="20"/>
          <w:szCs w:val="20"/>
          <w:color w:val="auto"/>
        </w:rPr>
      </w:pPr>
    </w:p>
    <w:p>
      <w:pPr>
        <w:ind w:left="860" w:right="160" w:firstLine="499"/>
        <w:spacing w:after="0" w:line="239" w:lineRule="auto"/>
        <w:rPr>
          <w:sz w:val="20"/>
          <w:szCs w:val="20"/>
          <w:color w:val="auto"/>
        </w:rPr>
      </w:pPr>
      <w:r>
        <w:rPr>
          <w:rFonts w:ascii="Arial" w:cs="Arial" w:eastAsia="Arial" w:hAnsi="Arial"/>
          <w:sz w:val="13"/>
          <w:szCs w:val="13"/>
          <w:color w:val="auto"/>
        </w:rPr>
        <w:t>Prior to the effectiveness of the registration statement of which this prospectus is a part, MagnaChip Semiconductor LLC will convert from a Delaware limited liability company to a Delaware corporation. We refer to this as the corporate conversion. In connection with the corporate conversion, each common unit of MagnaChip Semiconductor LLC will be converted into 0.125 shares of common stock of MagnaChip Semiconductor Corporation, the members of MagnaChip Semiconductor LLC will become stockholders of MagnaChip Semiconductor Corporation and MagnaChip Semiconductor Corporation will succeed to the business of MagnaChip Semiconductor LLC and its consolidated subsidiaries. See “Corporate Conversion” for further information regarding the corporate conversion.</w:t>
      </w:r>
    </w:p>
    <w:p>
      <w:pPr>
        <w:spacing w:after="0" w:line="81" w:lineRule="exact"/>
        <w:rPr>
          <w:sz w:val="20"/>
          <w:szCs w:val="20"/>
          <w:color w:val="auto"/>
        </w:rPr>
      </w:pPr>
    </w:p>
    <w:p>
      <w:pPr>
        <w:ind w:left="860" w:right="120" w:firstLine="499"/>
        <w:spacing w:after="0" w:line="242" w:lineRule="auto"/>
        <w:rPr>
          <w:sz w:val="20"/>
          <w:szCs w:val="20"/>
          <w:color w:val="auto"/>
        </w:rPr>
      </w:pPr>
      <w:r>
        <w:rPr>
          <w:rFonts w:ascii="Arial" w:cs="Arial" w:eastAsia="Arial" w:hAnsi="Arial"/>
          <w:sz w:val="13"/>
          <w:szCs w:val="13"/>
          <w:color w:val="auto"/>
        </w:rPr>
        <w:t xml:space="preserve">Our principal executive offices are located at: c/o MagnaChip Semiconductor S.A., 74, rue de Merl, B.P. 709 L-2146 Luxembourg R.C.S., Luxembourg B-97483, and our telephone number is (352) 45-62-62. Our website address is </w:t>
      </w:r>
      <w:r>
        <w:rPr>
          <w:rFonts w:ascii="Arial" w:cs="Arial" w:eastAsia="Arial" w:hAnsi="Arial"/>
          <w:sz w:val="13"/>
          <w:szCs w:val="13"/>
          <w:i w:val="1"/>
          <w:iCs w:val="1"/>
          <w:color w:val="auto"/>
        </w:rPr>
        <w:t>www.magnachip.com</w:t>
      </w:r>
      <w:r>
        <w:rPr>
          <w:rFonts w:ascii="Arial" w:cs="Arial" w:eastAsia="Arial" w:hAnsi="Arial"/>
          <w:sz w:val="13"/>
          <w:szCs w:val="13"/>
          <w:color w:val="auto"/>
        </w:rPr>
        <w:t>. You should not consider the information contained on our website to be part of this prospectus or in deciding whether to purchase shares of our common stock.</w:t>
      </w:r>
    </w:p>
    <w:p>
      <w:pPr>
        <w:spacing w:after="0" w:line="79" w:lineRule="exact"/>
        <w:rPr>
          <w:sz w:val="20"/>
          <w:szCs w:val="20"/>
          <w:color w:val="auto"/>
        </w:rPr>
      </w:pPr>
    </w:p>
    <w:p>
      <w:pPr>
        <w:ind w:left="860" w:right="100" w:firstLine="499"/>
        <w:spacing w:after="0" w:line="248" w:lineRule="auto"/>
        <w:rPr>
          <w:sz w:val="20"/>
          <w:szCs w:val="20"/>
          <w:color w:val="auto"/>
        </w:rPr>
      </w:pPr>
      <w:r>
        <w:rPr>
          <w:rFonts w:ascii="Arial" w:cs="Arial" w:eastAsia="Arial" w:hAnsi="Arial"/>
          <w:sz w:val="13"/>
          <w:szCs w:val="13"/>
          <w:color w:val="auto"/>
        </w:rPr>
        <w:t>Our business was named MagnaChip Semiconductor when it was acquired from Hynix Semiconductor, Inc., or Hynix, in October 2004. We refer to this acquisition as the Original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3"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 for the District of Delaware under Chapter 11 of the United States Bankruptcy Code, which we refer to as the reorganization proceedings. On November 9, 2009, our plan of reorganization became effective and we emerged from the reorganization proceedings with our management team remaining in place. Our Chapter 11 plan of reorganization implemented a comprehensive financial reorganization that significantly reduced our outstanding indebtedness. Additionally, on that date, a new board of directors of MagnaChip Semiconductor LLC was appointed, MagnaChip Semiconductor LLC’s previously outstanding common and preferred units, and options were cancelled, MagnaChip Semiconductor LLC issued approximately 300 million common units (approximately 37.5 million shares of common stock following the corporate conversion) and warrants to purchase 15 million common units (approximately 1.9 million shares of common stock following the corporate conversion) to two classes of creditors and affiliated funds of Avenue Capital Management II, L.P. became the majority unitholder of MagnaChip Semiconductor LLC.</w:t>
      </w:r>
    </w:p>
    <w:p>
      <w:pPr>
        <w:spacing w:after="0" w:line="141"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Avenue Capital Management II, L.P. is a global investment management firm, and it and its affiliated funds specialize in investing in high yield debt, debt of insolvent or financially distressed companies and equity of companies undergoing financial or operational turnarounds or reorganizations. In this prospectus, we refer to funds affiliated with Avenue Capital Management II, L.P. collectively as Avenue. Avenue generally does not manage or operate the companies in which it invests; however, in connection with some of its equity investments, Avenue will appoint one or more representatives to serve on the board of directors. Avenue was a holder of a significant portion of our indebtedness which was outstanding prior to our reorganization proceedings. In connection with our emergence from our reorganization proceedings, Avenue became our majority unitholder as a result of its participation in our rights offering and continued as a lender under our new term loan. In connection with our April 2010 senior notes offering, Avenue purchased notes in the aggregate principal amount of $35.0 million, was repaid $42.8 million in connection with the repayment of our new term loan and received $91.2 million in connection with our distribution to unitholders. Avenue has the right to appoint a majority of our board pursuant to our Fifth Amended and Restated Limited Liability Company Operating Agreement which will terminate upon the completion of the corporate conversion. Following the offering Avenue will continue to be able to elect a majority of our board as long as Avenue continues to hold or control a majority of our outstanding shares. See “Certain Relationships and Related Transactions”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5260" w:type="dxa"/>
            <w:vAlign w:val="bottom"/>
          </w:tcPr>
          <w:p>
            <w:pPr>
              <w:ind w:left="1000"/>
              <w:spacing w:after="0"/>
              <w:rPr>
                <w:sz w:val="20"/>
                <w:szCs w:val="20"/>
                <w:color w:val="auto"/>
              </w:rPr>
            </w:pPr>
            <w:r>
              <w:rPr>
                <w:rFonts w:ascii="Arial" w:cs="Arial" w:eastAsia="Arial" w:hAnsi="Arial"/>
                <w:sz w:val="13"/>
                <w:szCs w:val="13"/>
                <w:b w:val="1"/>
                <w:bCs w:val="1"/>
                <w:color w:val="auto"/>
              </w:rPr>
              <w:t>The Offering</w:t>
            </w:r>
          </w:p>
        </w:tc>
        <w:tc>
          <w:tcPr>
            <w:tcW w:w="1100" w:type="dxa"/>
            <w:vAlign w:val="bottom"/>
          </w:tcPr>
          <w:p>
            <w:pPr>
              <w:spacing w:after="0"/>
              <w:rPr>
                <w:sz w:val="15"/>
                <w:szCs w:val="15"/>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3"/>
                <w:szCs w:val="13"/>
                <w:color w:val="auto"/>
              </w:rPr>
              <w:t>Shares offered by us</w:t>
            </w:r>
          </w:p>
        </w:tc>
        <w:tc>
          <w:tcPr>
            <w:tcW w:w="5260" w:type="dxa"/>
            <w:vAlign w:val="bottom"/>
          </w:tcPr>
          <w:p>
            <w:pPr>
              <w:ind w:left="80"/>
              <w:spacing w:after="0"/>
              <w:rPr>
                <w:sz w:val="20"/>
                <w:szCs w:val="20"/>
                <w:color w:val="auto"/>
              </w:rPr>
            </w:pPr>
            <w:r>
              <w:rPr>
                <w:rFonts w:ascii="Arial" w:cs="Arial" w:eastAsia="Arial" w:hAnsi="Arial"/>
                <w:sz w:val="13"/>
                <w:szCs w:val="13"/>
                <w:color w:val="auto"/>
              </w:rPr>
              <w:t>1,500,000 shares in the form of depositary shares</w:t>
            </w:r>
          </w:p>
        </w:tc>
        <w:tc>
          <w:tcPr>
            <w:tcW w:w="1100" w:type="dxa"/>
            <w:vAlign w:val="bottom"/>
          </w:tcPr>
          <w:p>
            <w:pPr>
              <w:spacing w:after="0"/>
              <w:rPr>
                <w:sz w:val="18"/>
                <w:szCs w:val="18"/>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3"/>
                <w:szCs w:val="13"/>
                <w:color w:val="auto"/>
              </w:rPr>
              <w:t>Shares offered by selling stockholders</w:t>
            </w:r>
          </w:p>
        </w:tc>
        <w:tc>
          <w:tcPr>
            <w:tcW w:w="5260" w:type="dxa"/>
            <w:vAlign w:val="bottom"/>
          </w:tcPr>
          <w:p>
            <w:pPr>
              <w:ind w:left="80"/>
              <w:spacing w:after="0"/>
              <w:rPr>
                <w:sz w:val="20"/>
                <w:szCs w:val="20"/>
                <w:color w:val="auto"/>
              </w:rPr>
            </w:pPr>
            <w:r>
              <w:rPr>
                <w:rFonts w:ascii="Arial" w:cs="Arial" w:eastAsia="Arial" w:hAnsi="Arial"/>
                <w:sz w:val="13"/>
                <w:szCs w:val="13"/>
                <w:color w:val="auto"/>
              </w:rPr>
              <w:t>6,000,000 shares in the form of depositary shares</w:t>
            </w:r>
          </w:p>
        </w:tc>
        <w:tc>
          <w:tcPr>
            <w:tcW w:w="1100" w:type="dxa"/>
            <w:vAlign w:val="bottom"/>
          </w:tcPr>
          <w:p>
            <w:pPr>
              <w:spacing w:after="0"/>
              <w:rPr>
                <w:sz w:val="17"/>
                <w:szCs w:val="17"/>
                <w:color w:val="auto"/>
              </w:rPr>
            </w:pPr>
          </w:p>
        </w:tc>
      </w:tr>
      <w:tr>
        <w:trPr>
          <w:trHeight w:val="197"/>
        </w:trPr>
        <w:tc>
          <w:tcPr>
            <w:tcW w:w="3600" w:type="dxa"/>
            <w:vAlign w:val="bottom"/>
          </w:tcPr>
          <w:p>
            <w:pPr>
              <w:spacing w:after="0"/>
              <w:rPr>
                <w:sz w:val="20"/>
                <w:szCs w:val="20"/>
                <w:color w:val="auto"/>
              </w:rPr>
            </w:pPr>
            <w:r>
              <w:rPr>
                <w:rFonts w:ascii="Arial" w:cs="Arial" w:eastAsia="Arial" w:hAnsi="Arial"/>
                <w:sz w:val="13"/>
                <w:szCs w:val="13"/>
                <w:color w:val="auto"/>
              </w:rPr>
              <w:t>Shares offered by us pursuant to the underwriters’ option to</w:t>
            </w:r>
          </w:p>
        </w:tc>
        <w:tc>
          <w:tcPr>
            <w:tcW w:w="5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57"/>
        </w:trPr>
        <w:tc>
          <w:tcPr>
            <w:tcW w:w="3600" w:type="dxa"/>
            <w:vAlign w:val="bottom"/>
          </w:tcPr>
          <w:p>
            <w:pPr>
              <w:ind w:left="180"/>
              <w:spacing w:after="0"/>
              <w:rPr>
                <w:sz w:val="20"/>
                <w:szCs w:val="20"/>
                <w:color w:val="auto"/>
              </w:rPr>
            </w:pPr>
            <w:r>
              <w:rPr>
                <w:rFonts w:ascii="Arial" w:cs="Arial" w:eastAsia="Arial" w:hAnsi="Arial"/>
                <w:sz w:val="13"/>
                <w:szCs w:val="13"/>
                <w:color w:val="auto"/>
              </w:rPr>
              <w:t>purchase additional shares</w:t>
            </w:r>
          </w:p>
        </w:tc>
        <w:tc>
          <w:tcPr>
            <w:tcW w:w="5260" w:type="dxa"/>
            <w:vAlign w:val="bottom"/>
          </w:tcPr>
          <w:p>
            <w:pPr>
              <w:ind w:left="80"/>
              <w:spacing w:after="0"/>
              <w:rPr>
                <w:sz w:val="20"/>
                <w:szCs w:val="20"/>
                <w:color w:val="auto"/>
              </w:rPr>
            </w:pPr>
            <w:r>
              <w:rPr>
                <w:rFonts w:ascii="Arial" w:cs="Arial" w:eastAsia="Arial" w:hAnsi="Arial"/>
                <w:sz w:val="13"/>
                <w:szCs w:val="13"/>
                <w:color w:val="auto"/>
              </w:rPr>
              <w:t>225,000 shares in the form of depositary shares(1)</w:t>
            </w:r>
          </w:p>
        </w:tc>
        <w:tc>
          <w:tcPr>
            <w:tcW w:w="1100" w:type="dxa"/>
            <w:vAlign w:val="bottom"/>
          </w:tcPr>
          <w:p>
            <w:pPr>
              <w:spacing w:after="0"/>
              <w:rPr>
                <w:sz w:val="13"/>
                <w:szCs w:val="13"/>
                <w:color w:val="auto"/>
              </w:rPr>
            </w:pPr>
          </w:p>
        </w:tc>
      </w:tr>
      <w:tr>
        <w:trPr>
          <w:trHeight w:val="207"/>
        </w:trPr>
        <w:tc>
          <w:tcPr>
            <w:tcW w:w="3600" w:type="dxa"/>
            <w:vAlign w:val="bottom"/>
          </w:tcPr>
          <w:p>
            <w:pPr>
              <w:spacing w:after="0"/>
              <w:rPr>
                <w:sz w:val="20"/>
                <w:szCs w:val="20"/>
                <w:color w:val="auto"/>
              </w:rPr>
            </w:pPr>
            <w:r>
              <w:rPr>
                <w:rFonts w:ascii="Arial" w:cs="Arial" w:eastAsia="Arial" w:hAnsi="Arial"/>
                <w:sz w:val="13"/>
                <w:szCs w:val="13"/>
                <w:color w:val="auto"/>
              </w:rPr>
              <w:t>Shares offered by the selling stockholders pursuant to the</w:t>
            </w:r>
          </w:p>
        </w:tc>
        <w:tc>
          <w:tcPr>
            <w:tcW w:w="5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7"/>
        </w:trPr>
        <w:tc>
          <w:tcPr>
            <w:tcW w:w="3600" w:type="dxa"/>
            <w:vAlign w:val="bottom"/>
          </w:tcPr>
          <w:p>
            <w:pPr>
              <w:ind w:left="180"/>
              <w:spacing w:after="0"/>
              <w:rPr>
                <w:sz w:val="20"/>
                <w:szCs w:val="20"/>
                <w:color w:val="auto"/>
              </w:rPr>
            </w:pPr>
            <w:r>
              <w:rPr>
                <w:rFonts w:ascii="Arial" w:cs="Arial" w:eastAsia="Arial" w:hAnsi="Arial"/>
                <w:sz w:val="13"/>
                <w:szCs w:val="13"/>
                <w:color w:val="auto"/>
              </w:rPr>
              <w:t>underwriters’ option to purchase additional shares</w:t>
            </w:r>
          </w:p>
        </w:tc>
        <w:tc>
          <w:tcPr>
            <w:tcW w:w="5260" w:type="dxa"/>
            <w:vAlign w:val="bottom"/>
          </w:tcPr>
          <w:p>
            <w:pPr>
              <w:ind w:left="80"/>
              <w:spacing w:after="0"/>
              <w:rPr>
                <w:sz w:val="20"/>
                <w:szCs w:val="20"/>
                <w:color w:val="auto"/>
              </w:rPr>
            </w:pPr>
            <w:r>
              <w:rPr>
                <w:rFonts w:ascii="Arial" w:cs="Arial" w:eastAsia="Arial" w:hAnsi="Arial"/>
                <w:sz w:val="13"/>
                <w:szCs w:val="13"/>
                <w:color w:val="auto"/>
              </w:rPr>
              <w:t>900,000 shares in the form of depositary shares(1)</w:t>
            </w:r>
          </w:p>
        </w:tc>
        <w:tc>
          <w:tcPr>
            <w:tcW w:w="1100" w:type="dxa"/>
            <w:vAlign w:val="bottom"/>
          </w:tcPr>
          <w:p>
            <w:pPr>
              <w:spacing w:after="0"/>
              <w:rPr>
                <w:sz w:val="13"/>
                <w:szCs w:val="13"/>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3"/>
                <w:szCs w:val="13"/>
                <w:color w:val="auto"/>
              </w:rPr>
              <w:t>Shares of common stock to be outstanding after this offering</w:t>
            </w:r>
          </w:p>
        </w:tc>
        <w:tc>
          <w:tcPr>
            <w:tcW w:w="5260" w:type="dxa"/>
            <w:vAlign w:val="bottom"/>
          </w:tcPr>
          <w:p>
            <w:pPr>
              <w:ind w:left="80"/>
              <w:spacing w:after="0"/>
              <w:rPr>
                <w:sz w:val="20"/>
                <w:szCs w:val="20"/>
                <w:color w:val="auto"/>
              </w:rPr>
            </w:pPr>
            <w:r>
              <w:rPr>
                <w:rFonts w:ascii="Arial" w:cs="Arial" w:eastAsia="Arial" w:hAnsi="Arial"/>
                <w:sz w:val="13"/>
                <w:szCs w:val="13"/>
                <w:color w:val="auto"/>
              </w:rPr>
              <w:t>39,904,294 shares</w:t>
            </w:r>
          </w:p>
        </w:tc>
        <w:tc>
          <w:tcPr>
            <w:tcW w:w="1100" w:type="dxa"/>
            <w:vAlign w:val="bottom"/>
          </w:tcPr>
          <w:p>
            <w:pPr>
              <w:spacing w:after="0"/>
              <w:rPr>
                <w:sz w:val="17"/>
                <w:szCs w:val="17"/>
                <w:color w:val="auto"/>
              </w:rPr>
            </w:pPr>
          </w:p>
        </w:tc>
      </w:tr>
      <w:tr>
        <w:trPr>
          <w:trHeight w:val="197"/>
        </w:trPr>
        <w:tc>
          <w:tcPr>
            <w:tcW w:w="3600" w:type="dxa"/>
            <w:vAlign w:val="bottom"/>
          </w:tcPr>
          <w:p>
            <w:pPr>
              <w:spacing w:after="0"/>
              <w:rPr>
                <w:sz w:val="20"/>
                <w:szCs w:val="20"/>
                <w:color w:val="auto"/>
              </w:rPr>
            </w:pPr>
            <w:r>
              <w:rPr>
                <w:rFonts w:ascii="Arial" w:cs="Arial" w:eastAsia="Arial" w:hAnsi="Arial"/>
                <w:sz w:val="13"/>
                <w:szCs w:val="13"/>
                <w:color w:val="auto"/>
              </w:rPr>
              <w:t>Use of proceeds</w:t>
            </w:r>
          </w:p>
        </w:tc>
        <w:tc>
          <w:tcPr>
            <w:tcW w:w="6360" w:type="dxa"/>
            <w:vAlign w:val="bottom"/>
            <w:gridSpan w:val="2"/>
          </w:tcPr>
          <w:p>
            <w:pPr>
              <w:ind w:left="80"/>
              <w:spacing w:after="0"/>
              <w:rPr>
                <w:sz w:val="20"/>
                <w:szCs w:val="20"/>
                <w:color w:val="auto"/>
              </w:rPr>
            </w:pPr>
            <w:r>
              <w:rPr>
                <w:rFonts w:ascii="Arial" w:cs="Arial" w:eastAsia="Arial" w:hAnsi="Arial"/>
                <w:sz w:val="13"/>
                <w:szCs w:val="13"/>
                <w:color w:val="auto"/>
              </w:rPr>
              <w:t>We intend to use the net proceeds received by us in connection with this offering, including any net</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proceeds received by us in connection with the underwriters’ option to purchase additional shares, to make</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employee incentive payments, to fund working capital and for general corporate purposes. We will not</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receive any proceeds from the sale of shares of common stock offered by the selling stockholders, including</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upon the sale of shares if the underwriters exercise their option to purchase additional shares from the</w:t>
            </w:r>
          </w:p>
        </w:tc>
      </w:tr>
      <w:tr>
        <w:trPr>
          <w:trHeight w:val="157"/>
        </w:trPr>
        <w:tc>
          <w:tcPr>
            <w:tcW w:w="3600" w:type="dxa"/>
            <w:vAlign w:val="bottom"/>
          </w:tcPr>
          <w:p>
            <w:pPr>
              <w:spacing w:after="0"/>
              <w:rPr>
                <w:sz w:val="13"/>
                <w:szCs w:val="13"/>
                <w:color w:val="auto"/>
              </w:rPr>
            </w:pPr>
          </w:p>
        </w:tc>
        <w:tc>
          <w:tcPr>
            <w:tcW w:w="5260" w:type="dxa"/>
            <w:vAlign w:val="bottom"/>
          </w:tcPr>
          <w:p>
            <w:pPr>
              <w:ind w:left="80"/>
              <w:spacing w:after="0"/>
              <w:rPr>
                <w:sz w:val="20"/>
                <w:szCs w:val="20"/>
                <w:color w:val="auto"/>
              </w:rPr>
            </w:pPr>
            <w:r>
              <w:rPr>
                <w:rFonts w:ascii="Arial" w:cs="Arial" w:eastAsia="Arial" w:hAnsi="Arial"/>
                <w:sz w:val="13"/>
                <w:szCs w:val="13"/>
                <w:color w:val="auto"/>
              </w:rPr>
              <w:t>selling stockholder in this offering.</w:t>
            </w:r>
          </w:p>
        </w:tc>
        <w:tc>
          <w:tcPr>
            <w:tcW w:w="1100" w:type="dxa"/>
            <w:vAlign w:val="bottom"/>
          </w:tcPr>
          <w:p>
            <w:pPr>
              <w:spacing w:after="0"/>
              <w:rPr>
                <w:sz w:val="13"/>
                <w:szCs w:val="13"/>
                <w:color w:val="auto"/>
              </w:rPr>
            </w:pPr>
          </w:p>
        </w:tc>
      </w:tr>
      <w:tr>
        <w:trPr>
          <w:trHeight w:val="187"/>
        </w:trPr>
        <w:tc>
          <w:tcPr>
            <w:tcW w:w="3600" w:type="dxa"/>
            <w:vAlign w:val="bottom"/>
          </w:tcPr>
          <w:p>
            <w:pPr>
              <w:spacing w:after="0"/>
              <w:rPr>
                <w:sz w:val="20"/>
                <w:szCs w:val="20"/>
                <w:color w:val="auto"/>
              </w:rPr>
            </w:pPr>
            <w:r>
              <w:rPr>
                <w:rFonts w:ascii="Arial" w:cs="Arial" w:eastAsia="Arial" w:hAnsi="Arial"/>
                <w:sz w:val="13"/>
                <w:szCs w:val="13"/>
                <w:color w:val="auto"/>
              </w:rPr>
              <w:t>Risk factors</w:t>
            </w:r>
          </w:p>
        </w:tc>
        <w:tc>
          <w:tcPr>
            <w:tcW w:w="6360" w:type="dxa"/>
            <w:vAlign w:val="bottom"/>
            <w:gridSpan w:val="2"/>
          </w:tcPr>
          <w:p>
            <w:pPr>
              <w:ind w:left="80"/>
              <w:spacing w:after="0"/>
              <w:rPr>
                <w:sz w:val="20"/>
                <w:szCs w:val="20"/>
                <w:color w:val="auto"/>
              </w:rPr>
            </w:pPr>
            <w:r>
              <w:rPr>
                <w:rFonts w:ascii="Arial" w:cs="Arial" w:eastAsia="Arial" w:hAnsi="Arial"/>
                <w:sz w:val="13"/>
                <w:szCs w:val="13"/>
                <w:color w:val="auto"/>
              </w:rPr>
              <w:t>See “Risk Factors” beginning on page 16 and the other information included in this prospectus for a</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discussion of the factors you should consider carefully before deciding to invest in shares of our common</w:t>
            </w:r>
          </w:p>
        </w:tc>
      </w:tr>
      <w:tr>
        <w:trPr>
          <w:trHeight w:val="157"/>
        </w:trPr>
        <w:tc>
          <w:tcPr>
            <w:tcW w:w="3600" w:type="dxa"/>
            <w:vAlign w:val="bottom"/>
          </w:tcPr>
          <w:p>
            <w:pPr>
              <w:spacing w:after="0"/>
              <w:rPr>
                <w:sz w:val="13"/>
                <w:szCs w:val="13"/>
                <w:color w:val="auto"/>
              </w:rPr>
            </w:pPr>
          </w:p>
        </w:tc>
        <w:tc>
          <w:tcPr>
            <w:tcW w:w="5260" w:type="dxa"/>
            <w:vAlign w:val="bottom"/>
          </w:tcPr>
          <w:p>
            <w:pPr>
              <w:ind w:left="80"/>
              <w:spacing w:after="0"/>
              <w:rPr>
                <w:sz w:val="20"/>
                <w:szCs w:val="20"/>
                <w:color w:val="auto"/>
              </w:rPr>
            </w:pPr>
            <w:r>
              <w:rPr>
                <w:rFonts w:ascii="Arial" w:cs="Arial" w:eastAsia="Arial" w:hAnsi="Arial"/>
                <w:sz w:val="13"/>
                <w:szCs w:val="13"/>
                <w:color w:val="auto"/>
              </w:rPr>
              <w:t>stock.</w:t>
            </w:r>
          </w:p>
        </w:tc>
        <w:tc>
          <w:tcPr>
            <w:tcW w:w="1100" w:type="dxa"/>
            <w:vAlign w:val="bottom"/>
          </w:tcPr>
          <w:p>
            <w:pPr>
              <w:spacing w:after="0"/>
              <w:rPr>
                <w:sz w:val="13"/>
                <w:szCs w:val="13"/>
                <w:color w:val="auto"/>
              </w:rPr>
            </w:pPr>
          </w:p>
        </w:tc>
      </w:tr>
      <w:tr>
        <w:trPr>
          <w:trHeight w:val="197"/>
        </w:trPr>
        <w:tc>
          <w:tcPr>
            <w:tcW w:w="3600" w:type="dxa"/>
            <w:vAlign w:val="bottom"/>
          </w:tcPr>
          <w:p>
            <w:pPr>
              <w:spacing w:after="0"/>
              <w:rPr>
                <w:sz w:val="20"/>
                <w:szCs w:val="20"/>
                <w:color w:val="auto"/>
              </w:rPr>
            </w:pPr>
            <w:r>
              <w:rPr>
                <w:rFonts w:ascii="Arial" w:cs="Arial" w:eastAsia="Arial" w:hAnsi="Arial"/>
                <w:sz w:val="13"/>
                <w:szCs w:val="13"/>
                <w:color w:val="auto"/>
              </w:rPr>
              <w:t>Dividend policy</w:t>
            </w:r>
          </w:p>
        </w:tc>
        <w:tc>
          <w:tcPr>
            <w:tcW w:w="5260" w:type="dxa"/>
            <w:vAlign w:val="bottom"/>
          </w:tcPr>
          <w:p>
            <w:pPr>
              <w:ind w:left="80"/>
              <w:spacing w:after="0"/>
              <w:rPr>
                <w:sz w:val="20"/>
                <w:szCs w:val="20"/>
                <w:color w:val="auto"/>
              </w:rPr>
            </w:pPr>
            <w:r>
              <w:rPr>
                <w:rFonts w:ascii="Arial" w:cs="Arial" w:eastAsia="Arial" w:hAnsi="Arial"/>
                <w:sz w:val="13"/>
                <w:szCs w:val="13"/>
                <w:color w:val="auto"/>
              </w:rPr>
              <w:t>We do not anticipate paying any cash dividends on our common stock after this offering.</w:t>
            </w:r>
          </w:p>
        </w:tc>
        <w:tc>
          <w:tcPr>
            <w:tcW w:w="1100" w:type="dxa"/>
            <w:vAlign w:val="bottom"/>
          </w:tcPr>
          <w:p>
            <w:pPr>
              <w:spacing w:after="0"/>
              <w:rPr>
                <w:sz w:val="17"/>
                <w:szCs w:val="17"/>
                <w:color w:val="auto"/>
              </w:rPr>
            </w:pPr>
          </w:p>
        </w:tc>
      </w:tr>
      <w:tr>
        <w:trPr>
          <w:trHeight w:val="207"/>
        </w:trPr>
        <w:tc>
          <w:tcPr>
            <w:tcW w:w="3600" w:type="dxa"/>
            <w:vAlign w:val="bottom"/>
          </w:tcPr>
          <w:p>
            <w:pPr>
              <w:spacing w:after="0"/>
              <w:rPr>
                <w:sz w:val="20"/>
                <w:szCs w:val="20"/>
                <w:color w:val="auto"/>
              </w:rPr>
            </w:pPr>
            <w:r>
              <w:rPr>
                <w:rFonts w:ascii="Arial" w:cs="Arial" w:eastAsia="Arial" w:hAnsi="Arial"/>
                <w:sz w:val="13"/>
                <w:szCs w:val="13"/>
                <w:color w:val="auto"/>
              </w:rPr>
              <w:t>Depositary shares</w:t>
            </w:r>
          </w:p>
        </w:tc>
        <w:tc>
          <w:tcPr>
            <w:tcW w:w="6360" w:type="dxa"/>
            <w:vAlign w:val="bottom"/>
            <w:gridSpan w:val="2"/>
          </w:tcPr>
          <w:p>
            <w:pPr>
              <w:ind w:left="8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w:t>
            </w:r>
          </w:p>
        </w:tc>
      </w:tr>
      <w:tr>
        <w:trPr>
          <w:trHeight w:val="147"/>
        </w:trPr>
        <w:tc>
          <w:tcPr>
            <w:tcW w:w="3600" w:type="dxa"/>
            <w:vAlign w:val="bottom"/>
          </w:tcPr>
          <w:p>
            <w:pPr>
              <w:spacing w:after="0"/>
              <w:rPr>
                <w:sz w:val="12"/>
                <w:szCs w:val="12"/>
                <w:color w:val="auto"/>
              </w:rPr>
            </w:pPr>
          </w:p>
        </w:tc>
        <w:tc>
          <w:tcPr>
            <w:tcW w:w="5260" w:type="dxa"/>
            <w:vAlign w:val="bottom"/>
          </w:tcPr>
          <w:p>
            <w:pPr>
              <w:ind w:left="80"/>
              <w:spacing w:after="0" w:line="148" w:lineRule="exact"/>
              <w:rPr>
                <w:sz w:val="20"/>
                <w:szCs w:val="20"/>
                <w:color w:val="auto"/>
              </w:rPr>
            </w:pPr>
            <w:r>
              <w:rPr>
                <w:rFonts w:ascii="Arial" w:cs="Arial" w:eastAsia="Arial" w:hAnsi="Arial"/>
                <w:sz w:val="13"/>
                <w:szCs w:val="13"/>
                <w:color w:val="auto"/>
              </w:rPr>
              <w:t>depositary share represents an ownership interest in one share of common stock. On</w:t>
            </w:r>
          </w:p>
        </w:tc>
        <w:tc>
          <w:tcPr>
            <w:tcW w:w="1100" w:type="dxa"/>
            <w:vAlign w:val="bottom"/>
          </w:tcPr>
          <w:p>
            <w:pPr>
              <w:jc w:val="center"/>
              <w:ind w:left="14"/>
              <w:spacing w:after="0" w:line="148" w:lineRule="exact"/>
              <w:rPr>
                <w:sz w:val="20"/>
                <w:szCs w:val="20"/>
                <w:color w:val="auto"/>
              </w:rPr>
            </w:pPr>
            <w:r>
              <w:rPr>
                <w:rFonts w:ascii="Arial" w:cs="Arial" w:eastAsia="Arial" w:hAnsi="Arial"/>
                <w:sz w:val="13"/>
                <w:szCs w:val="13"/>
                <w:color w:val="auto"/>
              </w:rPr>
              <w:t>, 2010 (45 days</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after the date of this prospectus), each holder of depositary shares will be credited with a number of shares</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of common stock equal to the number of depositary shares held by such holder on that date, and the</w:t>
            </w:r>
          </w:p>
        </w:tc>
      </w:tr>
      <w:tr>
        <w:trPr>
          <w:trHeight w:val="147"/>
        </w:trPr>
        <w:tc>
          <w:tcPr>
            <w:tcW w:w="3600" w:type="dxa"/>
            <w:vAlign w:val="bottom"/>
          </w:tcPr>
          <w:p>
            <w:pPr>
              <w:spacing w:after="0"/>
              <w:rPr>
                <w:sz w:val="12"/>
                <w:szCs w:val="12"/>
                <w:color w:val="auto"/>
              </w:rPr>
            </w:pPr>
          </w:p>
        </w:tc>
        <w:tc>
          <w:tcPr>
            <w:tcW w:w="5260" w:type="dxa"/>
            <w:vAlign w:val="bottom"/>
          </w:tcPr>
          <w:p>
            <w:pPr>
              <w:ind w:left="80"/>
              <w:spacing w:after="0" w:line="148" w:lineRule="exact"/>
              <w:rPr>
                <w:sz w:val="20"/>
                <w:szCs w:val="20"/>
                <w:color w:val="auto"/>
              </w:rPr>
            </w:pPr>
            <w:r>
              <w:rPr>
                <w:rFonts w:ascii="Arial" w:cs="Arial" w:eastAsia="Arial" w:hAnsi="Arial"/>
                <w:sz w:val="13"/>
                <w:szCs w:val="13"/>
                <w:color w:val="auto"/>
              </w:rPr>
              <w:t>depositary shares will be canceled. Until the cancellation of the depositary shares on</w:t>
            </w:r>
          </w:p>
        </w:tc>
        <w:tc>
          <w:tcPr>
            <w:tcW w:w="1100" w:type="dxa"/>
            <w:vAlign w:val="bottom"/>
          </w:tcPr>
          <w:p>
            <w:pPr>
              <w:jc w:val="center"/>
              <w:ind w:left="14"/>
              <w:spacing w:after="0" w:line="148" w:lineRule="exact"/>
              <w:rPr>
                <w:sz w:val="20"/>
                <w:szCs w:val="20"/>
                <w:color w:val="auto"/>
              </w:rPr>
            </w:pPr>
            <w:r>
              <w:rPr>
                <w:rFonts w:ascii="Arial" w:cs="Arial" w:eastAsia="Arial" w:hAnsi="Arial"/>
                <w:sz w:val="13"/>
                <w:szCs w:val="13"/>
                <w:color w:val="auto"/>
              </w:rPr>
              <w:t>, 2010, holders of</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depositary shares will be entitled to all proportional rights and preferences of the shares of common stock.</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This offering has been structured using depositary shares to enable our unitholders to obtain the preferred</w:t>
            </w:r>
          </w:p>
        </w:tc>
      </w:tr>
      <w:tr>
        <w:trPr>
          <w:trHeight w:val="147"/>
        </w:trPr>
        <w:tc>
          <w:tcPr>
            <w:tcW w:w="3600" w:type="dxa"/>
            <w:vAlign w:val="bottom"/>
          </w:tcPr>
          <w:p>
            <w:pPr>
              <w:spacing w:after="0"/>
              <w:rPr>
                <w:sz w:val="12"/>
                <w:szCs w:val="12"/>
                <w:color w:val="auto"/>
              </w:rPr>
            </w:pPr>
          </w:p>
        </w:tc>
        <w:tc>
          <w:tcPr>
            <w:tcW w:w="63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income tax treatment for the corporate conversion. For more information regarding the depositary shares,</w:t>
            </w:r>
          </w:p>
        </w:tc>
      </w:tr>
      <w:tr>
        <w:trPr>
          <w:trHeight w:val="157"/>
        </w:trPr>
        <w:tc>
          <w:tcPr>
            <w:tcW w:w="3600" w:type="dxa"/>
            <w:vAlign w:val="bottom"/>
          </w:tcPr>
          <w:p>
            <w:pPr>
              <w:spacing w:after="0"/>
              <w:rPr>
                <w:sz w:val="13"/>
                <w:szCs w:val="13"/>
                <w:color w:val="auto"/>
              </w:rPr>
            </w:pPr>
          </w:p>
        </w:tc>
        <w:tc>
          <w:tcPr>
            <w:tcW w:w="5260" w:type="dxa"/>
            <w:vAlign w:val="bottom"/>
          </w:tcPr>
          <w:p>
            <w:pPr>
              <w:ind w:left="80"/>
              <w:spacing w:after="0"/>
              <w:rPr>
                <w:sz w:val="20"/>
                <w:szCs w:val="20"/>
                <w:color w:val="auto"/>
              </w:rPr>
            </w:pPr>
            <w:r>
              <w:rPr>
                <w:rFonts w:ascii="Arial" w:cs="Arial" w:eastAsia="Arial" w:hAnsi="Arial"/>
                <w:sz w:val="13"/>
                <w:szCs w:val="13"/>
                <w:color w:val="auto"/>
              </w:rPr>
              <w:t>see “Description of Depositary Shares.”</w:t>
            </w:r>
          </w:p>
        </w:tc>
        <w:tc>
          <w:tcPr>
            <w:tcW w:w="1100" w:type="dxa"/>
            <w:vAlign w:val="bottom"/>
          </w:tcPr>
          <w:p>
            <w:pPr>
              <w:spacing w:after="0"/>
              <w:rPr>
                <w:sz w:val="13"/>
                <w:szCs w:val="13"/>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3"/>
                <w:szCs w:val="13"/>
                <w:color w:val="auto"/>
              </w:rPr>
              <w:t>Depositary</w:t>
            </w:r>
          </w:p>
        </w:tc>
        <w:tc>
          <w:tcPr>
            <w:tcW w:w="5260" w:type="dxa"/>
            <w:vAlign w:val="bottom"/>
          </w:tcPr>
          <w:p>
            <w:pPr>
              <w:ind w:left="80"/>
              <w:spacing w:after="0"/>
              <w:rPr>
                <w:sz w:val="20"/>
                <w:szCs w:val="20"/>
                <w:color w:val="auto"/>
              </w:rPr>
            </w:pPr>
            <w:r>
              <w:rPr>
                <w:rFonts w:ascii="Arial" w:cs="Arial" w:eastAsia="Arial" w:hAnsi="Arial"/>
                <w:sz w:val="13"/>
                <w:szCs w:val="13"/>
                <w:color w:val="auto"/>
              </w:rPr>
              <w:t>American Stock Transfer &amp; Trust Company, LLC</w:t>
            </w:r>
          </w:p>
        </w:tc>
        <w:tc>
          <w:tcPr>
            <w:tcW w:w="1100" w:type="dxa"/>
            <w:vAlign w:val="bottom"/>
          </w:tcPr>
          <w:p>
            <w:pPr>
              <w:spacing w:after="0"/>
              <w:rPr>
                <w:sz w:val="17"/>
                <w:szCs w:val="17"/>
                <w:color w:val="auto"/>
              </w:rPr>
            </w:pPr>
          </w:p>
        </w:tc>
      </w:tr>
      <w:tr>
        <w:trPr>
          <w:trHeight w:val="187"/>
        </w:trPr>
        <w:tc>
          <w:tcPr>
            <w:tcW w:w="3600" w:type="dxa"/>
            <w:vAlign w:val="bottom"/>
          </w:tcPr>
          <w:p>
            <w:pPr>
              <w:spacing w:after="0"/>
              <w:rPr>
                <w:sz w:val="20"/>
                <w:szCs w:val="20"/>
                <w:color w:val="auto"/>
              </w:rPr>
            </w:pPr>
            <w:r>
              <w:rPr>
                <w:rFonts w:ascii="Arial" w:cs="Arial" w:eastAsia="Arial" w:hAnsi="Arial"/>
                <w:sz w:val="13"/>
                <w:szCs w:val="13"/>
                <w:color w:val="auto"/>
              </w:rPr>
              <w:t>Proposed New York Stock Exchange symbol</w:t>
            </w:r>
          </w:p>
        </w:tc>
        <w:tc>
          <w:tcPr>
            <w:tcW w:w="6360" w:type="dxa"/>
            <w:vAlign w:val="bottom"/>
            <w:gridSpan w:val="2"/>
          </w:tcPr>
          <w:p>
            <w:pPr>
              <w:ind w:left="80"/>
              <w:spacing w:after="0"/>
              <w:rPr>
                <w:sz w:val="20"/>
                <w:szCs w:val="20"/>
                <w:color w:val="auto"/>
              </w:rPr>
            </w:pPr>
            <w:r>
              <w:rPr>
                <w:rFonts w:ascii="Arial" w:cs="Arial" w:eastAsia="Arial" w:hAnsi="Arial"/>
                <w:sz w:val="13"/>
                <w:szCs w:val="13"/>
                <w:color w:val="auto"/>
              </w:rPr>
              <w:t>MX with the listing being only for the depositary shares upon the completion of this offering and only for the</w:t>
            </w:r>
          </w:p>
        </w:tc>
      </w:tr>
      <w:tr>
        <w:trPr>
          <w:trHeight w:val="157"/>
        </w:trPr>
        <w:tc>
          <w:tcPr>
            <w:tcW w:w="3600" w:type="dxa"/>
            <w:vAlign w:val="bottom"/>
          </w:tcPr>
          <w:p>
            <w:pPr>
              <w:spacing w:after="0"/>
              <w:rPr>
                <w:sz w:val="13"/>
                <w:szCs w:val="13"/>
                <w:color w:val="auto"/>
              </w:rPr>
            </w:pPr>
          </w:p>
        </w:tc>
        <w:tc>
          <w:tcPr>
            <w:tcW w:w="5260" w:type="dxa"/>
            <w:vAlign w:val="bottom"/>
          </w:tcPr>
          <w:p>
            <w:pPr>
              <w:ind w:left="80"/>
              <w:spacing w:after="0"/>
              <w:rPr>
                <w:sz w:val="20"/>
                <w:szCs w:val="20"/>
                <w:color w:val="auto"/>
              </w:rPr>
            </w:pPr>
            <w:r>
              <w:rPr>
                <w:rFonts w:ascii="Arial" w:cs="Arial" w:eastAsia="Arial" w:hAnsi="Arial"/>
                <w:sz w:val="13"/>
                <w:szCs w:val="13"/>
                <w:color w:val="auto"/>
              </w:rPr>
              <w:t>common stock following the cancellation of the depositary shares.</w:t>
            </w:r>
          </w:p>
        </w:tc>
        <w:tc>
          <w:tcPr>
            <w:tcW w:w="11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60" w:right="140" w:hanging="306"/>
        <w:spacing w:after="0" w:line="242"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have provided the underwriters an option to purchase up to 225,000 additional depositary shares and the selling stockholders have provided the underwriters an option to purchase up to 900,000 additional depositary shares. If the underwriters exercise their option to purchase additional shares, we will not receive any of the proceeds from the additional sale of depositary shares by the selling stockholders.</w:t>
      </w:r>
    </w:p>
    <w:p>
      <w:pPr>
        <w:spacing w:after="0" w:line="49" w:lineRule="exact"/>
        <w:rPr>
          <w:sz w:val="20"/>
          <w:szCs w:val="20"/>
          <w:color w:val="auto"/>
        </w:rPr>
      </w:pPr>
    </w:p>
    <w:p>
      <w:pPr>
        <w:ind w:left="860" w:right="40" w:firstLine="499"/>
        <w:spacing w:after="0" w:line="248" w:lineRule="auto"/>
        <w:rPr>
          <w:sz w:val="20"/>
          <w:szCs w:val="20"/>
          <w:color w:val="auto"/>
        </w:rPr>
      </w:pPr>
      <w:r>
        <w:rPr>
          <w:rFonts w:ascii="Arial" w:cs="Arial" w:eastAsia="Arial" w:hAnsi="Arial"/>
          <w:sz w:val="13"/>
          <w:szCs w:val="13"/>
          <w:color w:val="auto"/>
        </w:rPr>
        <w:t>The number of shares of our common stock outstanding after this offering is based on common units of MagnaChip Semiconductor LLC outstanding as of the date of this prospectus and:</w:t>
      </w:r>
    </w:p>
    <w:p>
      <w:pPr>
        <w:spacing w:after="0" w:line="55" w:lineRule="exact"/>
        <w:rPr>
          <w:sz w:val="20"/>
          <w:szCs w:val="20"/>
          <w:color w:val="auto"/>
        </w:rPr>
      </w:pPr>
    </w:p>
    <w:p>
      <w:pPr>
        <w:ind w:left="1560" w:hanging="205"/>
        <w:spacing w:after="0" w:line="242" w:lineRule="auto"/>
        <w:tabs>
          <w:tab w:leader="none" w:pos="1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reflects the consummation of the corporate conversion, pursuant to which all of the outstanding common units of MagnaChip Semiconductor LLC will be automatically converted into shares of our common stock at a ratio of eight-for-one and all of the outstanding options and warrants to purchase common units of MagnaChip Semiconductor LLC will be automatically converted into options and warrants to purchase shares of our common stock;</w:t>
      </w:r>
    </w:p>
    <w:p>
      <w:pPr>
        <w:spacing w:after="0" w:line="39" w:lineRule="exact"/>
        <w:rPr>
          <w:rFonts w:ascii="Arial" w:cs="Arial" w:eastAsia="Arial" w:hAnsi="Arial"/>
          <w:sz w:val="13"/>
          <w:szCs w:val="13"/>
          <w:color w:val="auto"/>
        </w:rPr>
      </w:pPr>
    </w:p>
    <w:p>
      <w:pPr>
        <w:ind w:left="1560" w:right="120" w:hanging="205"/>
        <w:spacing w:after="0" w:line="242" w:lineRule="auto"/>
        <w:tabs>
          <w:tab w:leader="none" w:pos="1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excludes 1,875,015 shares of our common stock reserved for issuance upon exercise of warrants outstanding as of April 30, 2010 at a weighted average exercise price of $15.76 per share, assuming the conversion of all such warrants into warrants to purchase shares of our common stock at a ratio of eight-for-one;</w:t>
      </w:r>
    </w:p>
    <w:p>
      <w:pPr>
        <w:spacing w:after="0" w:line="39" w:lineRule="exact"/>
        <w:rPr>
          <w:rFonts w:ascii="Arial" w:cs="Arial" w:eastAsia="Arial" w:hAnsi="Arial"/>
          <w:sz w:val="13"/>
          <w:szCs w:val="13"/>
          <w:color w:val="auto"/>
        </w:rPr>
      </w:pPr>
    </w:p>
    <w:p>
      <w:pPr>
        <w:ind w:left="1560" w:right="360" w:hanging="205"/>
        <w:spacing w:after="0" w:line="242" w:lineRule="auto"/>
        <w:tabs>
          <w:tab w:leader="none" w:pos="1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excludes 1,995,375 shares of our common stock reserved for issuance upon exercise of options outstanding as of April 30, 2010 at a weighted average exercise price of $6.32 per share, assuming the conversion of all such options into options to purchase shares of our common stock at a ratio of eight-for-one; and</w:t>
      </w:r>
    </w:p>
    <w:p>
      <w:pPr>
        <w:spacing w:after="0" w:line="49" w:lineRule="exact"/>
        <w:rPr>
          <w:rFonts w:ascii="Arial" w:cs="Arial" w:eastAsia="Arial" w:hAnsi="Arial"/>
          <w:sz w:val="13"/>
          <w:szCs w:val="13"/>
          <w:color w:val="auto"/>
        </w:rPr>
      </w:pPr>
    </w:p>
    <w:p>
      <w:pPr>
        <w:ind w:left="1560" w:hanging="205"/>
        <w:spacing w:after="0" w:line="242" w:lineRule="auto"/>
        <w:tabs>
          <w:tab w:leader="none" w:pos="1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excludes 1,652,961 shares of our common stock reserved for issuance following the offering pursuant to future grants under our 2010 Equity Incentive Plan and 2010 Employee Stock Purchase Plan, which does not include the additional shares which may become available for issuance pursuant to the automatic share reserve increase provisions of such plans described below.</w:t>
      </w:r>
    </w:p>
    <w:p>
      <w:pPr>
        <w:spacing w:after="0" w:line="49" w:lineRule="exact"/>
        <w:rPr>
          <w:sz w:val="20"/>
          <w:szCs w:val="20"/>
          <w:color w:val="auto"/>
        </w:rPr>
      </w:pPr>
    </w:p>
    <w:p>
      <w:pPr>
        <w:ind w:left="860" w:right="40" w:firstLine="499"/>
        <w:spacing w:after="0" w:line="239" w:lineRule="auto"/>
        <w:rPr>
          <w:sz w:val="20"/>
          <w:szCs w:val="20"/>
          <w:color w:val="auto"/>
        </w:rPr>
      </w:pPr>
      <w:r>
        <w:rPr>
          <w:rFonts w:ascii="Arial" w:cs="Arial" w:eastAsia="Arial" w:hAnsi="Arial"/>
          <w:sz w:val="13"/>
          <w:szCs w:val="13"/>
          <w:color w:val="auto"/>
        </w:rPr>
        <w:t>The number of shares authorized for future issuance under our 2010 Equity Incentive Plan and our 2010 Employee Stock Purchase Plan reflected above does not include additional shares that may become available for future issuance pursuant to the automatic share reserve increase provisions of these plans. On January 1 of each year from 2011 through 2020, up to 2% and 1%, respectively, of the shares of our common stock issued and outstanding on the immediately preceding December 31 or, in each case, a lesser amount determined by our board of directors, will be added automatically to the number of shares remaining available for future grants under the 2010 Equity Incentive Plan and the 2010 Employee Stock Purchase Plan.</w:t>
      </w:r>
    </w:p>
    <w:p>
      <w:pPr>
        <w:spacing w:after="0" w:line="6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Unless specifically stated otherwise, the information in this prospectus:</w:t>
      </w:r>
    </w:p>
    <w:p>
      <w:pPr>
        <w:spacing w:after="0" w:line="57" w:lineRule="exact"/>
        <w:rPr>
          <w:sz w:val="20"/>
          <w:szCs w:val="20"/>
          <w:color w:val="auto"/>
        </w:rPr>
      </w:pPr>
    </w:p>
    <w:p>
      <w:pPr>
        <w:ind w:left="1560" w:hanging="205"/>
        <w:spacing w:after="0"/>
        <w:tabs>
          <w:tab w:leader="none" w:pos="1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assumes completion of the corporate conversion;</w:t>
      </w:r>
    </w:p>
    <w:p>
      <w:pPr>
        <w:spacing w:after="0" w:line="56" w:lineRule="exact"/>
        <w:rPr>
          <w:rFonts w:ascii="Arial" w:cs="Arial" w:eastAsia="Arial" w:hAnsi="Arial"/>
          <w:sz w:val="13"/>
          <w:szCs w:val="13"/>
          <w:color w:val="auto"/>
        </w:rPr>
      </w:pPr>
    </w:p>
    <w:p>
      <w:pPr>
        <w:ind w:left="1560" w:hanging="205"/>
        <w:spacing w:after="0" w:line="248" w:lineRule="auto"/>
        <w:tabs>
          <w:tab w:leader="none" w:pos="1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assumes no exercise of the underwriters’ option to purchase up to 225,000 additional depositary shares from us and up to 900,000 additional depositary shares from our selling stockholders; and</w:t>
      </w:r>
    </w:p>
    <w:p>
      <w:pPr>
        <w:spacing w:after="0" w:line="54" w:lineRule="exact"/>
        <w:rPr>
          <w:rFonts w:ascii="Arial" w:cs="Arial" w:eastAsia="Arial" w:hAnsi="Arial"/>
          <w:sz w:val="13"/>
          <w:szCs w:val="13"/>
          <w:color w:val="auto"/>
        </w:rPr>
      </w:pPr>
    </w:p>
    <w:p>
      <w:pPr>
        <w:ind w:left="1560" w:hanging="205"/>
        <w:spacing w:after="0"/>
        <w:tabs>
          <w:tab w:leader="none" w:pos="1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assumes an initial public offering price of $16.50 per depositary share, which is the midpoint of the range set forth on the front cover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67" w:lineRule="exact"/>
        <w:rPr>
          <w:sz w:val="20"/>
          <w:szCs w:val="20"/>
          <w:color w:val="auto"/>
        </w:rPr>
      </w:pPr>
    </w:p>
    <w:p>
      <w:pPr>
        <w:jc w:val="center"/>
        <w:ind w:left="320"/>
        <w:spacing w:after="0"/>
        <w:rPr>
          <w:sz w:val="20"/>
          <w:szCs w:val="20"/>
          <w:color w:val="auto"/>
        </w:rPr>
      </w:pPr>
      <w:r>
        <w:rPr>
          <w:rFonts w:ascii="Arial" w:cs="Arial" w:eastAsia="Arial" w:hAnsi="Arial"/>
          <w:sz w:val="13"/>
          <w:szCs w:val="13"/>
          <w:b w:val="1"/>
          <w:bCs w:val="1"/>
          <w:color w:val="auto"/>
        </w:rPr>
        <w:t>Summary Historical and Unaudited Pro Forma Consolidated Financial Data</w:t>
      </w:r>
    </w:p>
    <w:p>
      <w:pPr>
        <w:spacing w:after="0" w:line="83" w:lineRule="exact"/>
        <w:rPr>
          <w:sz w:val="20"/>
          <w:szCs w:val="20"/>
          <w:color w:val="auto"/>
        </w:rPr>
      </w:pPr>
    </w:p>
    <w:p>
      <w:pPr>
        <w:ind w:left="960" w:right="120" w:firstLine="494"/>
        <w:spacing w:after="0" w:line="239" w:lineRule="auto"/>
        <w:rPr>
          <w:sz w:val="20"/>
          <w:szCs w:val="20"/>
          <w:color w:val="auto"/>
        </w:rPr>
      </w:pPr>
      <w:r>
        <w:rPr>
          <w:rFonts w:ascii="Arial" w:cs="Arial" w:eastAsia="Arial" w:hAnsi="Arial"/>
          <w:sz w:val="13"/>
          <w:szCs w:val="13"/>
          <w:color w:val="auto"/>
        </w:rPr>
        <w:t>The following tables set forth summary historical and unaudited pro forma consolidated financial data of MagnaChip Semiconductor LLC (to be converted into MagnaChip Semiconductor Corporation prior to consummation of this offering) on or as of the dates and for the periods indicated. The summary historical and unaudited pro forma consolidated financial data presented below should be read together with “Selected Historical Consolidated Financial and Operating Data,” “Unaudited Pro Forma Consolidated Financial Information,” “Management’s Discussion and Analysis of Financial Condition and Results of Operations” and our audited and unaudited consolidated financial statements, including the notes to those consolidated financial statements, appearing elsewhere in this prospectus.</w:t>
      </w:r>
    </w:p>
    <w:p>
      <w:pPr>
        <w:spacing w:after="0" w:line="52" w:lineRule="exact"/>
        <w:rPr>
          <w:sz w:val="20"/>
          <w:szCs w:val="20"/>
          <w:color w:val="auto"/>
        </w:rPr>
      </w:pPr>
    </w:p>
    <w:p>
      <w:pPr>
        <w:ind w:left="960" w:firstLine="494"/>
        <w:spacing w:after="0" w:line="238" w:lineRule="auto"/>
        <w:rPr>
          <w:sz w:val="20"/>
          <w:szCs w:val="20"/>
          <w:color w:val="auto"/>
        </w:rPr>
      </w:pPr>
      <w:r>
        <w:rPr>
          <w:rFonts w:ascii="Arial" w:cs="Arial" w:eastAsia="Arial" w:hAnsi="Arial"/>
          <w:sz w:val="13"/>
          <w:szCs w:val="13"/>
          <w:color w:val="auto"/>
        </w:rPr>
        <w:t>We have derived the summary historical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prepared in accordance with generally accepted accounting principles in the United States, or GAAP, included elsewhere in this prospectus. We have derived the summary historical consolidated financial data as of December 31, 2007 from the historical audited financial statements of MagnaChip Semiconductor LLC not included in this prospectus. We derived the unaudited consolidated statement of operations data for the three months ended March 31, 2010 and March 29, 2009, as well as unaudited consolidated balance sheet data as of March 31, 2010, from our unaudited interim consolidated financial statements included elsewhere in this prospectus. We derived the unaudited consolidated balance sheet data as of March 29, 2009 from our unaudited interim consolidated financial statements not included in this prospectus. The summary historical financial data for the three months ended March 31, 2010 and the two-month period ended December 31, 2009 give retroactive effect to the corporate conversion.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51" w:lineRule="exact"/>
        <w:rPr>
          <w:sz w:val="20"/>
          <w:szCs w:val="20"/>
          <w:color w:val="auto"/>
        </w:rPr>
      </w:pPr>
    </w:p>
    <w:p>
      <w:pPr>
        <w:ind w:left="960" w:right="20" w:firstLine="494"/>
        <w:spacing w:after="0" w:line="238" w:lineRule="auto"/>
        <w:rPr>
          <w:sz w:val="20"/>
          <w:szCs w:val="20"/>
          <w:color w:val="auto"/>
        </w:rPr>
      </w:pPr>
      <w:r>
        <w:rPr>
          <w:rFonts w:ascii="Arial" w:cs="Arial" w:eastAsia="Arial" w:hAnsi="Arial"/>
          <w:sz w:val="13"/>
          <w:szCs w:val="13"/>
          <w:color w:val="auto"/>
        </w:rPr>
        <w:t>In connection with our emergence from reorganization proceedings, we implemented fresh-start reporting, or fresh-start accounting, in accordance with applicable Accounting Standards Codification, or ASC 852 governing reorganizations. We elected to adopt a convenience date of October 25, 2009 (a month end for our financial reporting purposes) for application of fresh-start accounting. In accordance with the ASC 852 rules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26, 2009.</w:t>
      </w:r>
    </w:p>
    <w:p>
      <w:pPr>
        <w:spacing w:after="0" w:line="62" w:lineRule="exact"/>
        <w:rPr>
          <w:sz w:val="20"/>
          <w:szCs w:val="20"/>
          <w:color w:val="auto"/>
        </w:rPr>
      </w:pPr>
    </w:p>
    <w:p>
      <w:pPr>
        <w:ind w:left="960" w:right="20" w:firstLine="494"/>
        <w:spacing w:after="0" w:line="238" w:lineRule="auto"/>
        <w:rPr>
          <w:sz w:val="20"/>
          <w:szCs w:val="20"/>
          <w:color w:val="auto"/>
        </w:rPr>
      </w:pPr>
      <w:r>
        <w:rPr>
          <w:rFonts w:ascii="Arial" w:cs="Arial" w:eastAsia="Arial" w:hAnsi="Arial"/>
          <w:sz w:val="13"/>
          <w:szCs w:val="13"/>
          <w:color w:val="auto"/>
        </w:rPr>
        <w:t>We have prepared the summarized unaudited pro forma financial data as of and for the three months ended March 31, 2010 and the combined twelve-month period ended December 31, 2009 to give pro forma effect to the reorganization proceedings and related events, the corporate conversion and the issuance of $250 million senior notes and the application of the net proceeds therefrom, in each case as if they had occurred at January 1, 2009 with respect to consolidated statement of operations data and as of March 31, 2010 with respect to balance sheet data. The summary unaudited pro forma financial data set forth below are presented for informational purposes only, should not be considered indicative of actual results of operations that would have been achieved had the reorganization proceedings and related events, the corporate conversion and the issuance of $250 million senior notes and the application of the net proceeds therefrom been consummated on the dates indicated, and do not purport to be indicative of balance sheet data or our results of operations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860" w:type="dxa"/>
        <w:tblCellMar>
          <w:top w:w="0" w:type="dxa"/>
          <w:left w:w="0" w:type="dxa"/>
          <w:bottom w:w="0" w:type="dxa"/>
          <w:right w:w="0" w:type="dxa"/>
        </w:tblCellMar>
      </w:tblPr>
      <w:tr>
        <w:trPr>
          <w:trHeight w:val="113"/>
        </w:trPr>
        <w:tc>
          <w:tcPr>
            <w:tcW w:w="2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gridSpan w:val="5"/>
          </w:tcPr>
          <w:p>
            <w:pPr>
              <w:jc w:val="right"/>
              <w:ind w:right="840"/>
              <w:spacing w:after="0"/>
              <w:rPr>
                <w:sz w:val="20"/>
                <w:szCs w:val="20"/>
                <w:color w:val="auto"/>
              </w:rPr>
            </w:pPr>
            <w:r>
              <w:rPr>
                <w:rFonts w:ascii="Arial" w:cs="Arial" w:eastAsia="Arial" w:hAnsi="Arial"/>
                <w:sz w:val="9"/>
                <w:szCs w:val="9"/>
                <w:b w:val="1"/>
                <w:bCs w:val="1"/>
                <w:color w:val="auto"/>
              </w:rPr>
              <w:t>Pro Forma(1)</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Historical</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1100" w:type="dxa"/>
            <w:vAlign w:val="bottom"/>
            <w:tcBorders>
              <w:top w:val="single" w:sz="8" w:color="auto"/>
              <w:bottom w:val="single" w:sz="8" w:color="auto"/>
            </w:tcBorders>
            <w:gridSpan w:val="3"/>
            <w:vMerge w:val="restart"/>
          </w:tcPr>
          <w:p>
            <w:pPr>
              <w:jc w:val="center"/>
              <w:ind w:right="180"/>
              <w:spacing w:after="0"/>
              <w:rPr>
                <w:sz w:val="20"/>
                <w:szCs w:val="20"/>
                <w:color w:val="auto"/>
              </w:rPr>
            </w:pPr>
            <w:r>
              <w:rPr>
                <w:rFonts w:ascii="Arial" w:cs="Arial" w:eastAsia="Arial" w:hAnsi="Arial"/>
                <w:sz w:val="9"/>
                <w:szCs w:val="9"/>
                <w:b w:val="1"/>
                <w:bCs w:val="1"/>
                <w:color w:val="auto"/>
              </w:rPr>
              <w:t>Three Months</w:t>
            </w: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1100" w:type="dxa"/>
            <w:vAlign w:val="bottom"/>
            <w:tcBorders>
              <w:top w:val="single" w:sz="8" w:color="auto"/>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rPr>
              <w:t>Successor</w:t>
            </w:r>
          </w:p>
        </w:tc>
        <w:tc>
          <w:tcPr>
            <w:tcW w:w="70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80" w:type="dxa"/>
            <w:vAlign w:val="bottom"/>
            <w:tcBorders>
              <w:top w:val="single" w:sz="8" w:color="auto"/>
              <w:bottom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Predecessor</w:t>
            </w:r>
          </w:p>
        </w:tc>
        <w:tc>
          <w:tcPr>
            <w:tcW w:w="8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jc w:val="center"/>
              <w:ind w:right="234"/>
              <w:spacing w:after="0" w:line="74" w:lineRule="exact"/>
              <w:rPr>
                <w:sz w:val="20"/>
                <w:szCs w:val="20"/>
                <w:color w:val="auto"/>
              </w:rPr>
            </w:pPr>
            <w:r>
              <w:rPr>
                <w:rFonts w:ascii="Arial" w:cs="Arial" w:eastAsia="Arial" w:hAnsi="Arial"/>
                <w:sz w:val="8"/>
                <w:szCs w:val="8"/>
                <w:b w:val="1"/>
                <w:bCs w:val="1"/>
                <w:color w:val="auto"/>
              </w:rPr>
              <w:t>Three Months</w:t>
            </w:r>
          </w:p>
        </w:tc>
        <w:tc>
          <w:tcPr>
            <w:tcW w:w="100" w:type="dxa"/>
            <w:vAlign w:val="bottom"/>
          </w:tcPr>
          <w:p>
            <w:pPr>
              <w:spacing w:after="0"/>
              <w:rPr>
                <w:sz w:val="6"/>
                <w:szCs w:val="6"/>
                <w:color w:val="auto"/>
              </w:rPr>
            </w:pPr>
          </w:p>
        </w:tc>
        <w:tc>
          <w:tcPr>
            <w:tcW w:w="700" w:type="dxa"/>
            <w:vAlign w:val="bottom"/>
          </w:tcPr>
          <w:p>
            <w:pPr>
              <w:jc w:val="center"/>
              <w:ind w:right="60"/>
              <w:spacing w:after="0" w:line="74" w:lineRule="exact"/>
              <w:rPr>
                <w:sz w:val="20"/>
                <w:szCs w:val="20"/>
                <w:color w:val="auto"/>
              </w:rPr>
            </w:pPr>
            <w:r>
              <w:rPr>
                <w:rFonts w:ascii="Arial" w:cs="Arial" w:eastAsia="Arial" w:hAnsi="Arial"/>
                <w:sz w:val="8"/>
                <w:szCs w:val="8"/>
                <w:b w:val="1"/>
                <w:bCs w:val="1"/>
                <w:color w:val="auto"/>
              </w:rPr>
              <w:t>Two- Month</w:t>
            </w:r>
          </w:p>
        </w:tc>
        <w:tc>
          <w:tcPr>
            <w:tcW w:w="2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tcPr>
          <w:p>
            <w:pPr>
              <w:jc w:val="center"/>
              <w:ind w:right="240"/>
              <w:spacing w:after="0" w:line="74" w:lineRule="exact"/>
              <w:rPr>
                <w:sz w:val="20"/>
                <w:szCs w:val="20"/>
                <w:color w:val="auto"/>
              </w:rPr>
            </w:pPr>
            <w:r>
              <w:rPr>
                <w:rFonts w:ascii="Arial" w:cs="Arial" w:eastAsia="Arial" w:hAnsi="Arial"/>
                <w:sz w:val="8"/>
                <w:szCs w:val="8"/>
                <w:b w:val="1"/>
                <w:bCs w:val="1"/>
                <w:color w:val="auto"/>
              </w:rPr>
              <w:t>Ten- Month</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Three Months</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740" w:type="dxa"/>
            <w:vAlign w:val="bottom"/>
          </w:tcPr>
          <w:p>
            <w:pPr>
              <w:spacing w:after="0"/>
              <w:rPr>
                <w:sz w:val="8"/>
                <w:szCs w:val="8"/>
                <w:color w:val="auto"/>
              </w:rPr>
            </w:pPr>
          </w:p>
        </w:tc>
        <w:tc>
          <w:tcPr>
            <w:tcW w:w="620" w:type="dxa"/>
            <w:vAlign w:val="bottom"/>
          </w:tcPr>
          <w:p>
            <w:pPr>
              <w:jc w:val="center"/>
              <w:ind w:left="258"/>
              <w:spacing w:after="0" w:line="98" w:lineRule="exact"/>
              <w:rPr>
                <w:sz w:val="20"/>
                <w:szCs w:val="20"/>
                <w:color w:val="auto"/>
              </w:rPr>
            </w:pPr>
            <w:r>
              <w:rPr>
                <w:rFonts w:ascii="Arial" w:cs="Arial" w:eastAsia="Arial" w:hAnsi="Arial"/>
                <w:sz w:val="9"/>
                <w:szCs w:val="9"/>
                <w:b w:val="1"/>
                <w:bCs w:val="1"/>
                <w:color w:val="auto"/>
              </w:rPr>
              <w:t>Ended</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8"/>
                <w:szCs w:val="8"/>
                <w:color w:val="auto"/>
              </w:rPr>
            </w:pPr>
          </w:p>
        </w:tc>
        <w:tc>
          <w:tcPr>
            <w:tcW w:w="1000" w:type="dxa"/>
            <w:vAlign w:val="bottom"/>
            <w:gridSpan w:val="2"/>
          </w:tcPr>
          <w:p>
            <w:pPr>
              <w:jc w:val="center"/>
              <w:ind w:right="234"/>
              <w:spacing w:after="0" w:line="98" w:lineRule="exact"/>
              <w:rPr>
                <w:sz w:val="20"/>
                <w:szCs w:val="20"/>
                <w:color w:val="auto"/>
              </w:rPr>
            </w:pPr>
            <w:r>
              <w:rPr>
                <w:rFonts w:ascii="Arial" w:cs="Arial" w:eastAsia="Arial" w:hAnsi="Arial"/>
                <w:sz w:val="9"/>
                <w:szCs w:val="9"/>
                <w:b w:val="1"/>
                <w:bCs w:val="1"/>
                <w:color w:val="auto"/>
              </w:rPr>
              <w:t>Ended</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center"/>
              <w:ind w:right="254"/>
              <w:spacing w:after="0" w:line="98"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20" w:type="dxa"/>
            <w:vAlign w:val="bottom"/>
            <w:gridSpan w:val="5"/>
          </w:tcPr>
          <w:p>
            <w:pPr>
              <w:jc w:val="right"/>
              <w:ind w:right="280"/>
              <w:spacing w:after="0" w:line="98" w:lineRule="exact"/>
              <w:rPr>
                <w:sz w:val="20"/>
                <w:szCs w:val="20"/>
                <w:color w:val="auto"/>
              </w:rPr>
            </w:pPr>
            <w:r>
              <w:rPr>
                <w:rFonts w:ascii="Arial" w:cs="Arial" w:eastAsia="Arial" w:hAnsi="Arial"/>
                <w:sz w:val="9"/>
                <w:szCs w:val="9"/>
                <w:b w:val="1"/>
                <w:bCs w:val="1"/>
                <w:color w:val="auto"/>
              </w:rPr>
              <w:t>Years Ended</w:t>
            </w:r>
          </w:p>
        </w:tc>
        <w:tc>
          <w:tcPr>
            <w:tcW w:w="0" w:type="dxa"/>
            <w:vAlign w:val="bottom"/>
          </w:tcPr>
          <w:p>
            <w:pPr>
              <w:spacing w:after="0"/>
              <w:rPr>
                <w:sz w:val="1"/>
                <w:szCs w:val="1"/>
                <w:color w:val="auto"/>
              </w:rPr>
            </w:pPr>
          </w:p>
        </w:tc>
      </w:tr>
      <w:tr>
        <w:trPr>
          <w:trHeight w:val="113"/>
        </w:trPr>
        <w:tc>
          <w:tcPr>
            <w:tcW w:w="2740" w:type="dxa"/>
            <w:vAlign w:val="bottom"/>
          </w:tcPr>
          <w:p>
            <w:pPr>
              <w:spacing w:after="0"/>
              <w:rPr>
                <w:sz w:val="9"/>
                <w:szCs w:val="9"/>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9"/>
                <w:szCs w:val="9"/>
                <w:color w:val="auto"/>
              </w:rPr>
            </w:pPr>
          </w:p>
        </w:tc>
        <w:tc>
          <w:tcPr>
            <w:tcW w:w="1000" w:type="dxa"/>
            <w:vAlign w:val="bottom"/>
            <w:gridSpan w:val="2"/>
          </w:tcPr>
          <w:p>
            <w:pPr>
              <w:jc w:val="center"/>
              <w:ind w:right="234"/>
              <w:spacing w:after="0"/>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54"/>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October 25,</w:t>
            </w: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9"/>
                <w:szCs w:val="9"/>
                <w:color w:val="auto"/>
              </w:rPr>
            </w:pPr>
          </w:p>
        </w:tc>
        <w:tc>
          <w:tcPr>
            <w:tcW w:w="920" w:type="dxa"/>
            <w:vAlign w:val="bottom"/>
            <w:gridSpan w:val="5"/>
          </w:tcPr>
          <w:p>
            <w:pPr>
              <w:jc w:val="right"/>
              <w:ind w:right="260"/>
              <w:spacing w:after="0"/>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620" w:type="dxa"/>
            <w:vAlign w:val="bottom"/>
            <w:tcBorders>
              <w:bottom w:val="single" w:sz="8" w:color="auto"/>
            </w:tcBorders>
          </w:tcPr>
          <w:p>
            <w:pPr>
              <w:jc w:val="center"/>
              <w:ind w:left="258"/>
              <w:spacing w:after="0" w:line="88" w:lineRule="exact"/>
              <w:rPr>
                <w:sz w:val="20"/>
                <w:szCs w:val="20"/>
                <w:color w:val="auto"/>
              </w:rPr>
            </w:pPr>
            <w:r>
              <w:rPr>
                <w:rFonts w:ascii="Arial" w:cs="Arial" w:eastAsia="Arial" w:hAnsi="Arial"/>
                <w:sz w:val="9"/>
                <w:szCs w:val="9"/>
                <w:b w:val="1"/>
                <w:bCs w:val="1"/>
                <w:color w:val="auto"/>
                <w:w w:val="99"/>
              </w:rPr>
              <w:t>2010</w:t>
            </w:r>
          </w:p>
        </w:tc>
        <w:tc>
          <w:tcPr>
            <w:tcW w:w="2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40"/>
              <w:spacing w:after="0" w:line="88" w:lineRule="exact"/>
              <w:rPr>
                <w:sz w:val="20"/>
                <w:szCs w:val="20"/>
                <w:color w:val="auto"/>
              </w:rPr>
            </w:pPr>
            <w:r>
              <w:rPr>
                <w:rFonts w:ascii="Arial" w:cs="Arial" w:eastAsia="Arial" w:hAnsi="Arial"/>
                <w:sz w:val="9"/>
                <w:szCs w:val="9"/>
                <w:b w:val="1"/>
                <w:bCs w:val="1"/>
                <w:color w:val="auto"/>
                <w:w w:val="99"/>
              </w:rPr>
              <w:t>2009</w:t>
            </w: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40"/>
              <w:spacing w:after="0" w:line="88" w:lineRule="exact"/>
              <w:rPr>
                <w:sz w:val="20"/>
                <w:szCs w:val="20"/>
                <w:color w:val="auto"/>
              </w:rPr>
            </w:pPr>
            <w:r>
              <w:rPr>
                <w:rFonts w:ascii="Arial" w:cs="Arial" w:eastAsia="Arial" w:hAnsi="Arial"/>
                <w:sz w:val="9"/>
                <w:szCs w:val="9"/>
                <w:b w:val="1"/>
                <w:bCs w:val="1"/>
                <w:color w:val="auto"/>
              </w:rPr>
              <w:t>2010*</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60"/>
              <w:spacing w:after="0" w:line="88" w:lineRule="exact"/>
              <w:rPr>
                <w:sz w:val="20"/>
                <w:szCs w:val="20"/>
                <w:color w:val="auto"/>
              </w:rPr>
            </w:pPr>
            <w:r>
              <w:rPr>
                <w:rFonts w:ascii="Arial" w:cs="Arial" w:eastAsia="Arial" w:hAnsi="Arial"/>
                <w:sz w:val="9"/>
                <w:szCs w:val="9"/>
                <w:b w:val="1"/>
                <w:bCs w:val="1"/>
                <w:color w:val="auto"/>
              </w:rPr>
              <w:t>2009**</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80"/>
              <w:spacing w:after="0" w:line="88" w:lineRule="exact"/>
              <w:rPr>
                <w:sz w:val="20"/>
                <w:szCs w:val="20"/>
                <w:color w:val="auto"/>
              </w:rPr>
            </w:pPr>
            <w:r>
              <w:rPr>
                <w:rFonts w:ascii="Arial" w:cs="Arial" w:eastAsia="Arial" w:hAnsi="Arial"/>
                <w:sz w:val="9"/>
                <w:szCs w:val="9"/>
                <w:b w:val="1"/>
                <w:bCs w:val="1"/>
                <w:color w:val="auto"/>
              </w:rPr>
              <w:t>2009*</w:t>
            </w:r>
          </w:p>
        </w:tc>
        <w:tc>
          <w:tcPr>
            <w:tcW w:w="180" w:type="dxa"/>
            <w:vAlign w:val="bottom"/>
          </w:tcPr>
          <w:p>
            <w:pPr>
              <w:spacing w:after="0"/>
              <w:rPr>
                <w:sz w:val="7"/>
                <w:szCs w:val="7"/>
                <w:color w:val="auto"/>
              </w:rPr>
            </w:pPr>
          </w:p>
        </w:tc>
        <w:tc>
          <w:tcPr>
            <w:tcW w:w="36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rPr>
              <w:t>2008**</w:t>
            </w:r>
          </w:p>
        </w:tc>
        <w:tc>
          <w:tcPr>
            <w:tcW w:w="180" w:type="dxa"/>
            <w:vAlign w:val="bottom"/>
            <w:tcBorders>
              <w:top w:val="single" w:sz="8" w:color="auto"/>
            </w:tcBorders>
          </w:tcPr>
          <w:p>
            <w:pPr>
              <w:spacing w:after="0"/>
              <w:rPr>
                <w:sz w:val="7"/>
                <w:szCs w:val="7"/>
                <w:color w:val="auto"/>
              </w:rPr>
            </w:pPr>
          </w:p>
        </w:tc>
        <w:tc>
          <w:tcPr>
            <w:tcW w:w="360" w:type="dxa"/>
            <w:vAlign w:val="bottom"/>
            <w:tcBorders>
              <w:top w:val="single" w:sz="8" w:color="auto"/>
              <w:bottom w:val="single" w:sz="8" w:color="auto"/>
            </w:tcBorders>
            <w:gridSpan w:val="2"/>
          </w:tcPr>
          <w:p>
            <w:pPr>
              <w:jc w:val="right"/>
              <w:ind w:right="1"/>
              <w:spacing w:after="0" w:line="88" w:lineRule="exact"/>
              <w:rPr>
                <w:sz w:val="20"/>
                <w:szCs w:val="20"/>
                <w:color w:val="auto"/>
              </w:rPr>
            </w:pPr>
            <w:r>
              <w:rPr>
                <w:rFonts w:ascii="Arial" w:cs="Arial" w:eastAsia="Arial" w:hAnsi="Arial"/>
                <w:sz w:val="9"/>
                <w:szCs w:val="9"/>
                <w:b w:val="1"/>
                <w:bCs w:val="1"/>
                <w:color w:val="auto"/>
              </w:rPr>
              <w:t>2007**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ind w:left="340"/>
              <w:spacing w:after="0" w:line="88" w:lineRule="exact"/>
              <w:rPr>
                <w:sz w:val="20"/>
                <w:szCs w:val="20"/>
                <w:color w:val="auto"/>
              </w:rPr>
            </w:pPr>
            <w:r>
              <w:rPr>
                <w:rFonts w:ascii="Arial" w:cs="Arial" w:eastAsia="Arial" w:hAnsi="Arial"/>
                <w:sz w:val="9"/>
                <w:szCs w:val="9"/>
                <w:b w:val="1"/>
                <w:bCs w:val="1"/>
                <w:color w:val="auto"/>
                <w:w w:val="87"/>
              </w:rPr>
              <w:t>(In millions,</w:t>
            </w:r>
          </w:p>
        </w:tc>
        <w:tc>
          <w:tcPr>
            <w:tcW w:w="1000" w:type="dxa"/>
            <w:vAlign w:val="bottom"/>
            <w:gridSpan w:val="3"/>
          </w:tcPr>
          <w:p>
            <w:pPr>
              <w:jc w:val="right"/>
              <w:ind w:right="20"/>
              <w:spacing w:after="0" w:line="88" w:lineRule="exact"/>
              <w:rPr>
                <w:sz w:val="20"/>
                <w:szCs w:val="20"/>
                <w:color w:val="auto"/>
              </w:rPr>
            </w:pPr>
            <w:r>
              <w:rPr>
                <w:rFonts w:ascii="Arial" w:cs="Arial" w:eastAsia="Arial" w:hAnsi="Arial"/>
                <w:sz w:val="9"/>
                <w:szCs w:val="9"/>
                <w:b w:val="1"/>
                <w:bCs w:val="1"/>
                <w:color w:val="auto"/>
              </w:rPr>
              <w:t>except per common</w:t>
            </w:r>
          </w:p>
        </w:tc>
        <w:tc>
          <w:tcPr>
            <w:tcW w:w="1180" w:type="dxa"/>
            <w:vAlign w:val="bottom"/>
            <w:gridSpan w:val="5"/>
          </w:tcPr>
          <w:p>
            <w:pPr>
              <w:jc w:val="center"/>
              <w:ind w:right="540"/>
              <w:spacing w:after="0" w:line="88" w:lineRule="exact"/>
              <w:rPr>
                <w:sz w:val="20"/>
                <w:szCs w:val="20"/>
                <w:color w:val="auto"/>
              </w:rPr>
            </w:pPr>
            <w:r>
              <w:rPr>
                <w:rFonts w:ascii="Arial" w:cs="Arial" w:eastAsia="Arial" w:hAnsi="Arial"/>
                <w:sz w:val="9"/>
                <w:szCs w:val="9"/>
                <w:b w:val="1"/>
                <w:bCs w:val="1"/>
                <w:color w:val="auto"/>
                <w:w w:val="95"/>
              </w:rPr>
              <w:t>unit/share data)</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Statements of Operations Data:</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Net sales</w:t>
            </w:r>
          </w:p>
        </w:tc>
        <w:tc>
          <w:tcPr>
            <w:tcW w:w="620" w:type="dxa"/>
            <w:vAlign w:val="bottom"/>
          </w:tcPr>
          <w:p>
            <w:pPr>
              <w:jc w:val="right"/>
              <w:ind w:right="518"/>
              <w:spacing w:after="0" w:line="89" w:lineRule="exact"/>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179.5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560.1</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179.5</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111.1</w:t>
            </w:r>
          </w:p>
        </w:tc>
        <w:tc>
          <w:tcPr>
            <w:tcW w:w="100" w:type="dxa"/>
            <w:vAlign w:val="bottom"/>
          </w:tcPr>
          <w:p>
            <w:pPr>
              <w:spacing w:after="0"/>
              <w:rPr>
                <w:sz w:val="7"/>
                <w:szCs w:val="7"/>
                <w:color w:val="auto"/>
              </w:rPr>
            </w:pPr>
          </w:p>
        </w:tc>
        <w:tc>
          <w:tcPr>
            <w:tcW w:w="40" w:type="dxa"/>
            <w:vAlign w:val="bottom"/>
          </w:tcPr>
          <w:p>
            <w:pPr>
              <w:jc w:val="center"/>
              <w:spacing w:after="0" w:line="89" w:lineRule="exact"/>
              <w:rPr>
                <w:sz w:val="20"/>
                <w:szCs w:val="20"/>
                <w:color w:val="auto"/>
              </w:rPr>
            </w:pPr>
            <w:r>
              <w:rPr>
                <w:rFonts w:ascii="Arial" w:cs="Arial" w:eastAsia="Arial" w:hAnsi="Arial"/>
                <w:sz w:val="8"/>
                <w:szCs w:val="8"/>
                <w:color w:val="auto"/>
                <w:w w:val="88"/>
              </w:rPr>
              <w:t>$</w:t>
            </w: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449.0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101.5</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601.7</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3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709.5</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Cost of sales</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129.3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378.9</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130.1</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90.4</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311.1</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80.6</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445.3</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578.9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740" w:type="dxa"/>
            <w:vAlign w:val="bottom"/>
          </w:tcPr>
          <w:p>
            <w:pPr>
              <w:spacing w:after="0" w:line="88" w:lineRule="exact"/>
              <w:rPr>
                <w:sz w:val="20"/>
                <w:szCs w:val="20"/>
                <w:color w:val="auto"/>
              </w:rPr>
            </w:pPr>
            <w:r>
              <w:rPr>
                <w:rFonts w:ascii="Arial" w:cs="Arial" w:eastAsia="Arial" w:hAnsi="Arial"/>
                <w:sz w:val="8"/>
                <w:szCs w:val="8"/>
                <w:color w:val="auto"/>
              </w:rPr>
              <w:t>Gross profit</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50.2</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181.2</w:t>
            </w: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49.4</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8" w:lineRule="exact"/>
              <w:rPr>
                <w:sz w:val="20"/>
                <w:szCs w:val="20"/>
                <w:color w:val="auto"/>
              </w:rPr>
            </w:pPr>
            <w:r>
              <w:rPr>
                <w:rFonts w:ascii="Arial" w:cs="Arial" w:eastAsia="Arial" w:hAnsi="Arial"/>
                <w:sz w:val="8"/>
                <w:szCs w:val="8"/>
                <w:color w:val="auto"/>
              </w:rPr>
              <w:t>20.7</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137.8</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20.9</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156.4</w:t>
            </w:r>
          </w:p>
        </w:tc>
        <w:tc>
          <w:tcPr>
            <w:tcW w:w="80" w:type="dxa"/>
            <w:vAlign w:val="bottom"/>
          </w:tcPr>
          <w:p>
            <w:pPr>
              <w:spacing w:after="0"/>
              <w:rPr>
                <w:sz w:val="7"/>
                <w:szCs w:val="7"/>
                <w:color w:val="auto"/>
              </w:rPr>
            </w:pPr>
          </w:p>
        </w:tc>
        <w:tc>
          <w:tcPr>
            <w:tcW w:w="38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130.7</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Selling, general and administrative expenses</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17.9</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71.6</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17.9</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14.5</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56.3</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81.3</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82.7</w:t>
            </w: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Research and development expenses</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20.5</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77.3</w:t>
            </w: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20.5</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14.7</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56.1</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17.0</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89.5</w:t>
            </w:r>
          </w:p>
        </w:tc>
        <w:tc>
          <w:tcPr>
            <w:tcW w:w="80" w:type="dxa"/>
            <w:vAlign w:val="bottom"/>
          </w:tcPr>
          <w:p>
            <w:pPr>
              <w:spacing w:after="0"/>
              <w:rPr>
                <w:sz w:val="7"/>
                <w:szCs w:val="7"/>
                <w:color w:val="auto"/>
              </w:rPr>
            </w:pPr>
          </w:p>
        </w:tc>
        <w:tc>
          <w:tcPr>
            <w:tcW w:w="3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90.8</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Restructuring and impairment charges</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0.4</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0.3</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13.4</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740" w:type="dxa"/>
            <w:vAlign w:val="bottom"/>
          </w:tcPr>
          <w:p>
            <w:pPr>
              <w:spacing w:after="0" w:line="88" w:lineRule="exact"/>
              <w:rPr>
                <w:sz w:val="20"/>
                <w:szCs w:val="20"/>
                <w:color w:val="auto"/>
              </w:rPr>
            </w:pPr>
            <w:r>
              <w:rPr>
                <w:rFonts w:ascii="Arial" w:cs="Arial" w:eastAsia="Arial" w:hAnsi="Arial"/>
                <w:sz w:val="8"/>
                <w:szCs w:val="8"/>
                <w:color w:val="auto"/>
              </w:rPr>
              <w:t>Operating income (loss) from continuing operations</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11.5</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31.9</w:t>
            </w: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10.6</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34"/>
              <w:spacing w:after="0" w:line="88" w:lineRule="exact"/>
              <w:rPr>
                <w:sz w:val="20"/>
                <w:szCs w:val="20"/>
                <w:color w:val="auto"/>
              </w:rPr>
            </w:pPr>
            <w:r>
              <w:rPr>
                <w:rFonts w:ascii="Arial" w:cs="Arial" w:eastAsia="Arial" w:hAnsi="Arial"/>
                <w:sz w:val="8"/>
                <w:szCs w:val="8"/>
                <w:color w:val="auto"/>
              </w:rPr>
              <w:t>(8.6)</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25.0</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(11.4)</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(27.7)</w:t>
            </w:r>
          </w:p>
        </w:tc>
        <w:tc>
          <w:tcPr>
            <w:tcW w:w="80" w:type="dxa"/>
            <w:vAlign w:val="bottom"/>
          </w:tcPr>
          <w:p>
            <w:pPr>
              <w:spacing w:after="0"/>
              <w:rPr>
                <w:sz w:val="7"/>
                <w:szCs w:val="7"/>
                <w:color w:val="auto"/>
              </w:rPr>
            </w:pPr>
          </w:p>
        </w:tc>
        <w:tc>
          <w:tcPr>
            <w:tcW w:w="38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(54.9)</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Interest expense, net</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(6.9)</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(28.8)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14"/>
              <w:spacing w:after="0" w:line="89" w:lineRule="exact"/>
              <w:rPr>
                <w:sz w:val="20"/>
                <w:szCs w:val="20"/>
                <w:color w:val="auto"/>
              </w:rPr>
            </w:pPr>
            <w:r>
              <w:rPr>
                <w:rFonts w:ascii="Arial" w:cs="Arial" w:eastAsia="Arial" w:hAnsi="Arial"/>
                <w:sz w:val="8"/>
                <w:szCs w:val="8"/>
                <w:color w:val="auto"/>
              </w:rPr>
              <w:t>(2.0)</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34"/>
              <w:spacing w:after="0" w:line="89" w:lineRule="exact"/>
              <w:rPr>
                <w:sz w:val="20"/>
                <w:szCs w:val="20"/>
                <w:color w:val="auto"/>
              </w:rPr>
            </w:pPr>
            <w:r>
              <w:rPr>
                <w:rFonts w:ascii="Arial" w:cs="Arial" w:eastAsia="Arial" w:hAnsi="Arial"/>
                <w:sz w:val="8"/>
                <w:szCs w:val="8"/>
                <w:color w:val="auto"/>
              </w:rPr>
              <w:t>(1.3)</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(31.2)</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(76.1)</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(60.3)</w:t>
            </w: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Foreign currency gain (loss), net</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21.6</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52.8</w:t>
            </w: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21.6</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9.3</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43.4</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(40.2)</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(210.4)</w:t>
            </w:r>
          </w:p>
        </w:tc>
        <w:tc>
          <w:tcPr>
            <w:tcW w:w="8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Reorganization items, net</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804.6</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Others</w:t>
            </w:r>
          </w:p>
        </w:tc>
        <w:tc>
          <w:tcPr>
            <w:tcW w:w="62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00" w:type="dxa"/>
            <w:vAlign w:val="bottom"/>
            <w:gridSpan w:val="2"/>
          </w:tcPr>
          <w:p>
            <w:pPr>
              <w:jc w:val="right"/>
              <w:ind w:right="114"/>
              <w:spacing w:after="0" w:line="89" w:lineRule="exact"/>
              <w:rPr>
                <w:sz w:val="20"/>
                <w:szCs w:val="20"/>
                <w:color w:val="auto"/>
              </w:rPr>
            </w:pPr>
            <w:r>
              <w:rPr>
                <w:rFonts w:ascii="Arial" w:cs="Arial" w:eastAsia="Arial" w:hAnsi="Arial"/>
                <w:sz w:val="8"/>
                <w:szCs w:val="8"/>
                <w:color w:val="auto"/>
              </w:rPr>
              <w:t>(0.1)</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3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7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14.7</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24.0</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8" w:lineRule="exact"/>
              <w:rPr>
                <w:sz w:val="20"/>
                <w:szCs w:val="20"/>
                <w:color w:val="auto"/>
              </w:rPr>
            </w:pPr>
            <w:r>
              <w:rPr>
                <w:rFonts w:ascii="Arial" w:cs="Arial" w:eastAsia="Arial" w:hAnsi="Arial"/>
                <w:sz w:val="8"/>
                <w:szCs w:val="8"/>
                <w:color w:val="auto"/>
              </w:rPr>
              <w:t>19.5</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8" w:lineRule="exact"/>
              <w:rPr>
                <w:sz w:val="20"/>
                <w:szCs w:val="20"/>
                <w:color w:val="auto"/>
              </w:rPr>
            </w:pPr>
            <w:r>
              <w:rPr>
                <w:rFonts w:ascii="Arial" w:cs="Arial" w:eastAsia="Arial" w:hAnsi="Arial"/>
                <w:sz w:val="8"/>
                <w:szCs w:val="8"/>
                <w:color w:val="auto"/>
              </w:rPr>
              <w:t>8.1</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816.8</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(54.9)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(286.5)</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8"/>
                <w:szCs w:val="8"/>
                <w:color w:val="auto"/>
              </w:rPr>
              <w:t>(65.0)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740" w:type="dxa"/>
            <w:vAlign w:val="bottom"/>
          </w:tcPr>
          <w:p>
            <w:pPr>
              <w:spacing w:after="0" w:line="88" w:lineRule="exact"/>
              <w:rPr>
                <w:sz w:val="20"/>
                <w:szCs w:val="20"/>
                <w:color w:val="auto"/>
              </w:rPr>
            </w:pPr>
            <w:r>
              <w:rPr>
                <w:rFonts w:ascii="Arial" w:cs="Arial" w:eastAsia="Arial" w:hAnsi="Arial"/>
                <w:sz w:val="8"/>
                <w:szCs w:val="8"/>
                <w:color w:val="auto"/>
              </w:rPr>
              <w:t>Income (loss) from continuing operations before income taxes</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26.1</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55.9</w:t>
            </w: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30.1</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34"/>
              <w:spacing w:after="0" w:line="88" w:lineRule="exact"/>
              <w:rPr>
                <w:sz w:val="20"/>
                <w:szCs w:val="20"/>
                <w:color w:val="auto"/>
              </w:rPr>
            </w:pPr>
            <w:r>
              <w:rPr>
                <w:rFonts w:ascii="Arial" w:cs="Arial" w:eastAsia="Arial" w:hAnsi="Arial"/>
                <w:sz w:val="8"/>
                <w:szCs w:val="8"/>
                <w:color w:val="auto"/>
              </w:rPr>
              <w:t>(0.5)</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841.8</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(66.3)</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(314.3)</w:t>
            </w:r>
          </w:p>
        </w:tc>
        <w:tc>
          <w:tcPr>
            <w:tcW w:w="80" w:type="dxa"/>
            <w:vAlign w:val="bottom"/>
          </w:tcPr>
          <w:p>
            <w:pPr>
              <w:spacing w:after="0"/>
              <w:rPr>
                <w:sz w:val="7"/>
                <w:szCs w:val="7"/>
                <w:color w:val="auto"/>
              </w:rPr>
            </w:pPr>
          </w:p>
        </w:tc>
        <w:tc>
          <w:tcPr>
            <w:tcW w:w="38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(120.0)</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tax expenses (benefits)</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9.2</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14"/>
              <w:spacing w:after="0" w:line="89" w:lineRule="exact"/>
              <w:rPr>
                <w:sz w:val="20"/>
                <w:szCs w:val="20"/>
                <w:color w:val="auto"/>
              </w:rPr>
            </w:pPr>
            <w:r>
              <w:rPr>
                <w:rFonts w:ascii="Arial" w:cs="Arial" w:eastAsia="Arial" w:hAnsi="Arial"/>
                <w:sz w:val="8"/>
                <w:szCs w:val="8"/>
                <w:color w:val="auto"/>
              </w:rPr>
              <w:t>(1.0)</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1.9</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740" w:type="dxa"/>
            <w:vAlign w:val="bottom"/>
          </w:tcPr>
          <w:p>
            <w:pPr>
              <w:spacing w:after="0" w:line="88" w:lineRule="exact"/>
              <w:rPr>
                <w:sz w:val="20"/>
                <w:szCs w:val="20"/>
                <w:color w:val="auto"/>
              </w:rPr>
            </w:pPr>
            <w:r>
              <w:rPr>
                <w:rFonts w:ascii="Arial" w:cs="Arial" w:eastAsia="Arial" w:hAnsi="Arial"/>
                <w:sz w:val="8"/>
                <w:szCs w:val="8"/>
                <w:color w:val="auto"/>
              </w:rPr>
              <w:t>Income (loss) from continuing operations</w:t>
            </w:r>
          </w:p>
        </w:tc>
        <w:tc>
          <w:tcPr>
            <w:tcW w:w="620" w:type="dxa"/>
            <w:vAlign w:val="bottom"/>
          </w:tcPr>
          <w:p>
            <w:pPr>
              <w:jc w:val="right"/>
              <w:ind w:right="518"/>
              <w:spacing w:after="0" w:line="88" w:lineRule="exact"/>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27.1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46.6</w:t>
            </w: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31.1</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34"/>
              <w:spacing w:after="0" w:line="88" w:lineRule="exact"/>
              <w:rPr>
                <w:sz w:val="20"/>
                <w:szCs w:val="20"/>
                <w:color w:val="auto"/>
              </w:rPr>
            </w:pPr>
            <w:r>
              <w:rPr>
                <w:rFonts w:ascii="Arial" w:cs="Arial" w:eastAsia="Arial" w:hAnsi="Arial"/>
                <w:sz w:val="8"/>
                <w:szCs w:val="8"/>
                <w:color w:val="auto"/>
              </w:rPr>
              <w:t>(2.5)</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834.5</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(68.9)</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(325.8)</w:t>
            </w:r>
          </w:p>
        </w:tc>
        <w:tc>
          <w:tcPr>
            <w:tcW w:w="80" w:type="dxa"/>
            <w:vAlign w:val="bottom"/>
          </w:tcPr>
          <w:p>
            <w:pPr>
              <w:spacing w:after="0"/>
              <w:rPr>
                <w:sz w:val="7"/>
                <w:szCs w:val="7"/>
                <w:color w:val="auto"/>
              </w:rPr>
            </w:pPr>
          </w:p>
        </w:tc>
        <w:tc>
          <w:tcPr>
            <w:tcW w:w="38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(128.8)</w:t>
            </w: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740" w:type="dxa"/>
            <w:vAlign w:val="bottom"/>
            <w:shd w:val="clear" w:color="auto" w:fill="CCEEFF"/>
          </w:tcPr>
          <w:p>
            <w:pPr>
              <w:spacing w:after="0"/>
              <w:rPr>
                <w:sz w:val="20"/>
                <w:szCs w:val="20"/>
                <w:color w:val="auto"/>
              </w:rPr>
            </w:pPr>
            <w:r>
              <w:rPr>
                <w:rFonts w:ascii="Arial" w:cs="Arial" w:eastAsia="Arial" w:hAnsi="Arial"/>
                <w:sz w:val="8"/>
                <w:szCs w:val="8"/>
                <w:color w:val="auto"/>
              </w:rPr>
              <w:t>Income (loss) from discontinued operations, net of taxes</w:t>
            </w:r>
          </w:p>
        </w:tc>
        <w:tc>
          <w:tcPr>
            <w:tcW w:w="6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54"/>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rPr>
                <w:sz w:val="20"/>
                <w:szCs w:val="20"/>
                <w:color w:val="auto"/>
              </w:rPr>
            </w:pPr>
            <w:r>
              <w:rPr>
                <w:rFonts w:ascii="Arial" w:cs="Arial" w:eastAsia="Arial" w:hAnsi="Arial"/>
                <w:sz w:val="8"/>
                <w:szCs w:val="8"/>
                <w:color w:val="auto"/>
              </w:rPr>
              <w:t>0.5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(91.5)</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(51.7)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740" w:type="dxa"/>
            <w:vAlign w:val="bottom"/>
          </w:tcPr>
          <w:p>
            <w:pPr>
              <w:spacing w:after="0" w:line="88" w:lineRule="exact"/>
              <w:rPr>
                <w:sz w:val="20"/>
                <w:szCs w:val="20"/>
                <w:color w:val="auto"/>
              </w:rPr>
            </w:pPr>
            <w:r>
              <w:rPr>
                <w:rFonts w:ascii="Arial" w:cs="Arial" w:eastAsia="Arial" w:hAnsi="Arial"/>
                <w:sz w:val="8"/>
                <w:szCs w:val="8"/>
                <w:color w:val="auto"/>
              </w:rPr>
              <w:t>Net income (loss)</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154"/>
              <w:spacing w:after="0" w:line="88" w:lineRule="exact"/>
              <w:rPr>
                <w:sz w:val="20"/>
                <w:szCs w:val="20"/>
                <w:color w:val="auto"/>
              </w:rPr>
            </w:pPr>
            <w:r>
              <w:rPr>
                <w:rFonts w:ascii="Arial" w:cs="Arial" w:eastAsia="Arial" w:hAnsi="Arial"/>
                <w:sz w:val="8"/>
                <w:szCs w:val="8"/>
                <w:color w:val="auto"/>
              </w:rPr>
              <w:t>31.1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line="88" w:lineRule="exact"/>
              <w:rPr>
                <w:sz w:val="20"/>
                <w:szCs w:val="20"/>
                <w:color w:val="auto"/>
              </w:rPr>
            </w:pPr>
            <w:r>
              <w:rPr>
                <w:rFonts w:ascii="Arial" w:cs="Arial" w:eastAsia="Arial" w:hAnsi="Arial"/>
                <w:sz w:val="8"/>
                <w:szCs w:val="8"/>
                <w:color w:val="auto"/>
              </w:rPr>
              <w:t>(2.0)</w:t>
            </w:r>
          </w:p>
        </w:tc>
        <w:tc>
          <w:tcPr>
            <w:tcW w:w="100" w:type="dxa"/>
            <w:vAlign w:val="bottom"/>
          </w:tcPr>
          <w:p>
            <w:pPr>
              <w:spacing w:after="0"/>
              <w:rPr>
                <w:sz w:val="7"/>
                <w:szCs w:val="7"/>
                <w:color w:val="auto"/>
              </w:rPr>
            </w:pPr>
          </w:p>
        </w:tc>
        <w:tc>
          <w:tcPr>
            <w:tcW w:w="40" w:type="dxa"/>
            <w:vAlign w:val="bottom"/>
          </w:tcPr>
          <w:p>
            <w:pPr>
              <w:jc w:val="center"/>
              <w:spacing w:after="0" w:line="88" w:lineRule="exact"/>
              <w:rPr>
                <w:sz w:val="20"/>
                <w:szCs w:val="20"/>
                <w:color w:val="auto"/>
              </w:rPr>
            </w:pPr>
            <w:r>
              <w:rPr>
                <w:rFonts w:ascii="Arial" w:cs="Arial" w:eastAsia="Arial" w:hAnsi="Arial"/>
                <w:sz w:val="8"/>
                <w:szCs w:val="8"/>
                <w:color w:val="auto"/>
                <w:w w:val="88"/>
              </w:rPr>
              <w:t>$</w:t>
            </w:r>
          </w:p>
        </w:tc>
        <w:tc>
          <w:tcPr>
            <w:tcW w:w="8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841.1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(69.7)</w:t>
            </w: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(417.3)</w:t>
            </w: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38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(180.6)</w:t>
            </w: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740" w:type="dxa"/>
            <w:vAlign w:val="bottom"/>
            <w:shd w:val="clear" w:color="auto" w:fill="CCEEFF"/>
          </w:tcPr>
          <w:p>
            <w:pPr>
              <w:spacing w:after="0"/>
              <w:rPr>
                <w:sz w:val="20"/>
                <w:szCs w:val="20"/>
                <w:color w:val="auto"/>
              </w:rPr>
            </w:pPr>
            <w:r>
              <w:rPr>
                <w:rFonts w:ascii="Arial" w:cs="Arial" w:eastAsia="Arial" w:hAnsi="Arial"/>
                <w:sz w:val="8"/>
                <w:szCs w:val="8"/>
                <w:color w:val="auto"/>
              </w:rPr>
              <w:t>Dividends accrued on preferred units</w:t>
            </w:r>
          </w:p>
        </w:tc>
        <w:tc>
          <w:tcPr>
            <w:tcW w:w="6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54"/>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3.4</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12.0</w:t>
            </w:r>
          </w:p>
        </w:tc>
        <w:tc>
          <w:tcPr>
            <w:tcW w:w="0" w:type="dxa"/>
            <w:vAlign w:val="bottom"/>
          </w:tcPr>
          <w:p>
            <w:pPr>
              <w:spacing w:after="0"/>
              <w:rPr>
                <w:sz w:val="1"/>
                <w:szCs w:val="1"/>
                <w:color w:val="auto"/>
              </w:rPr>
            </w:pPr>
          </w:p>
        </w:tc>
      </w:tr>
      <w:tr>
        <w:trPr>
          <w:trHeight w:val="86"/>
        </w:trPr>
        <w:tc>
          <w:tcPr>
            <w:tcW w:w="2740" w:type="dxa"/>
            <w:vAlign w:val="bottom"/>
          </w:tcPr>
          <w:p>
            <w:pPr>
              <w:spacing w:after="0" w:line="86" w:lineRule="exact"/>
              <w:rPr>
                <w:sz w:val="20"/>
                <w:szCs w:val="20"/>
                <w:color w:val="auto"/>
              </w:rPr>
            </w:pPr>
            <w:r>
              <w:rPr>
                <w:rFonts w:ascii="Arial" w:cs="Arial" w:eastAsia="Arial" w:hAnsi="Arial"/>
                <w:sz w:val="8"/>
                <w:szCs w:val="8"/>
                <w:color w:val="auto"/>
              </w:rPr>
              <w:t>Income (loss) from continuing operations attributable to common</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740" w:type="dxa"/>
            <w:vAlign w:val="bottom"/>
          </w:tcPr>
          <w:p>
            <w:pPr>
              <w:ind w:left="80"/>
              <w:spacing w:after="0" w:line="91" w:lineRule="exact"/>
              <w:rPr>
                <w:sz w:val="20"/>
                <w:szCs w:val="20"/>
                <w:color w:val="auto"/>
              </w:rPr>
            </w:pPr>
            <w:r>
              <w:rPr>
                <w:rFonts w:ascii="Arial" w:cs="Arial" w:eastAsia="Arial" w:hAnsi="Arial"/>
                <w:sz w:val="8"/>
                <w:szCs w:val="8"/>
                <w:color w:val="auto"/>
              </w:rPr>
              <w:t>units/shares</w:t>
            </w: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46.6</w:t>
            </w:r>
          </w:p>
        </w:tc>
        <w:tc>
          <w:tcPr>
            <w:tcW w:w="100" w:type="dxa"/>
            <w:vAlign w:val="bottom"/>
          </w:tcPr>
          <w:p>
            <w:pPr>
              <w:jc w:val="right"/>
              <w:ind w:right="1"/>
              <w:spacing w:after="0" w:line="91"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154"/>
              <w:spacing w:after="0" w:line="91" w:lineRule="exact"/>
              <w:rPr>
                <w:sz w:val="20"/>
                <w:szCs w:val="20"/>
                <w:color w:val="auto"/>
              </w:rPr>
            </w:pPr>
            <w:r>
              <w:rPr>
                <w:rFonts w:ascii="Arial" w:cs="Arial" w:eastAsia="Arial" w:hAnsi="Arial"/>
                <w:sz w:val="8"/>
                <w:szCs w:val="8"/>
                <w:color w:val="auto"/>
              </w:rPr>
              <w:t>31.1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line="91" w:lineRule="exact"/>
              <w:rPr>
                <w:sz w:val="20"/>
                <w:szCs w:val="20"/>
                <w:color w:val="auto"/>
              </w:rPr>
            </w:pPr>
            <w:r>
              <w:rPr>
                <w:rFonts w:ascii="Arial" w:cs="Arial" w:eastAsia="Arial" w:hAnsi="Arial"/>
                <w:sz w:val="8"/>
                <w:szCs w:val="8"/>
                <w:color w:val="auto"/>
              </w:rPr>
              <w:t>(2.5)</w:t>
            </w:r>
          </w:p>
        </w:tc>
        <w:tc>
          <w:tcPr>
            <w:tcW w:w="100" w:type="dxa"/>
            <w:vAlign w:val="bottom"/>
          </w:tcPr>
          <w:p>
            <w:pPr>
              <w:spacing w:after="0"/>
              <w:rPr>
                <w:sz w:val="9"/>
                <w:szCs w:val="9"/>
                <w:color w:val="auto"/>
              </w:rPr>
            </w:pPr>
          </w:p>
        </w:tc>
        <w:tc>
          <w:tcPr>
            <w:tcW w:w="40" w:type="dxa"/>
            <w:vAlign w:val="bottom"/>
          </w:tcPr>
          <w:p>
            <w:pPr>
              <w:jc w:val="center"/>
              <w:spacing w:after="0" w:line="91" w:lineRule="exact"/>
              <w:rPr>
                <w:sz w:val="20"/>
                <w:szCs w:val="20"/>
                <w:color w:val="auto"/>
              </w:rPr>
            </w:pPr>
            <w:r>
              <w:rPr>
                <w:rFonts w:ascii="Arial" w:cs="Arial" w:eastAsia="Arial" w:hAnsi="Arial"/>
                <w:sz w:val="8"/>
                <w:szCs w:val="8"/>
                <w:color w:val="auto"/>
                <w:w w:val="88"/>
              </w:rPr>
              <w:t>$</w:t>
            </w:r>
          </w:p>
        </w:tc>
        <w:tc>
          <w:tcPr>
            <w:tcW w:w="8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828.2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(72.3)</w:t>
            </w:r>
          </w:p>
        </w:tc>
        <w:tc>
          <w:tcPr>
            <w:tcW w:w="80" w:type="dxa"/>
            <w:vAlign w:val="bottom"/>
          </w:tcPr>
          <w:p>
            <w:pPr>
              <w:jc w:val="right"/>
              <w:spacing w:after="0" w:line="91" w:lineRule="exact"/>
              <w:rPr>
                <w:sz w:val="20"/>
                <w:szCs w:val="20"/>
                <w:color w:val="auto"/>
              </w:rPr>
            </w:pPr>
            <w:r>
              <w:rPr>
                <w:rFonts w:ascii="Arial" w:cs="Arial" w:eastAsia="Arial" w:hAnsi="Arial"/>
                <w:sz w:val="8"/>
                <w:szCs w:val="8"/>
                <w:color w:val="auto"/>
                <w:w w:val="88"/>
              </w:rPr>
              <w:t>$</w:t>
            </w:r>
          </w:p>
        </w:tc>
        <w:tc>
          <w:tcPr>
            <w:tcW w:w="46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(339.1)</w:t>
            </w:r>
          </w:p>
        </w:tc>
        <w:tc>
          <w:tcPr>
            <w:tcW w:w="80" w:type="dxa"/>
            <w:vAlign w:val="bottom"/>
          </w:tcPr>
          <w:p>
            <w:pPr>
              <w:jc w:val="right"/>
              <w:spacing w:after="0" w:line="91" w:lineRule="exact"/>
              <w:rPr>
                <w:sz w:val="20"/>
                <w:szCs w:val="20"/>
                <w:color w:val="auto"/>
              </w:rPr>
            </w:pPr>
            <w:r>
              <w:rPr>
                <w:rFonts w:ascii="Arial" w:cs="Arial" w:eastAsia="Arial" w:hAnsi="Arial"/>
                <w:sz w:val="8"/>
                <w:szCs w:val="8"/>
                <w:color w:val="auto"/>
                <w:w w:val="88"/>
              </w:rPr>
              <w:t>$</w:t>
            </w:r>
          </w:p>
        </w:tc>
        <w:tc>
          <w:tcPr>
            <w:tcW w:w="38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(140.9)</w:t>
            </w:r>
          </w:p>
        </w:tc>
        <w:tc>
          <w:tcPr>
            <w:tcW w:w="0" w:type="dxa"/>
            <w:vAlign w:val="bottom"/>
          </w:tcPr>
          <w:p>
            <w:pPr>
              <w:spacing w:after="0"/>
              <w:rPr>
                <w:sz w:val="1"/>
                <w:szCs w:val="1"/>
                <w:color w:val="auto"/>
              </w:rPr>
            </w:pPr>
          </w:p>
        </w:tc>
      </w:tr>
      <w:tr>
        <w:trPr>
          <w:trHeight w:val="93"/>
        </w:trPr>
        <w:tc>
          <w:tcPr>
            <w:tcW w:w="2740" w:type="dxa"/>
            <w:vAlign w:val="bottom"/>
            <w:shd w:val="clear" w:color="auto" w:fill="CCEEFF"/>
          </w:tcPr>
          <w:p>
            <w:pPr>
              <w:spacing w:after="0"/>
              <w:rPr>
                <w:sz w:val="20"/>
                <w:szCs w:val="20"/>
                <w:color w:val="auto"/>
              </w:rPr>
            </w:pPr>
            <w:r>
              <w:rPr>
                <w:rFonts w:ascii="Arial" w:cs="Arial" w:eastAsia="Arial" w:hAnsi="Arial"/>
                <w:sz w:val="8"/>
                <w:szCs w:val="8"/>
                <w:color w:val="auto"/>
              </w:rPr>
              <w:t>Per common unit/share data:</w:t>
            </w:r>
          </w:p>
        </w:tc>
        <w:tc>
          <w:tcPr>
            <w:tcW w:w="6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Earnings (loss) from continuing operations per common unit/share —</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Basic</w:t>
            </w:r>
          </w:p>
        </w:tc>
        <w:tc>
          <w:tcPr>
            <w:tcW w:w="620" w:type="dxa"/>
            <w:vAlign w:val="bottom"/>
            <w:shd w:val="clear" w:color="auto" w:fill="CCEEFF"/>
          </w:tcPr>
          <w:p>
            <w:pPr>
              <w:jc w:val="right"/>
              <w:ind w:right="518"/>
              <w:spacing w:after="0" w:line="89" w:lineRule="exact"/>
              <w:rPr>
                <w:sz w:val="20"/>
                <w:szCs w:val="20"/>
                <w:color w:val="auto"/>
              </w:rPr>
            </w:pPr>
            <w:r>
              <w:rPr>
                <w:rFonts w:ascii="Arial" w:cs="Arial" w:eastAsia="Arial" w:hAnsi="Arial"/>
                <w:sz w:val="8"/>
                <w:szCs w:val="8"/>
                <w:color w:val="auto"/>
                <w:w w:val="88"/>
              </w:rPr>
              <w:t>$</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0.72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1.24</w:t>
            </w: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0.82</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34"/>
              <w:spacing w:after="0" w:line="89" w:lineRule="exact"/>
              <w:rPr>
                <w:sz w:val="20"/>
                <w:szCs w:val="20"/>
                <w:color w:val="auto"/>
              </w:rPr>
            </w:pPr>
            <w:r>
              <w:rPr>
                <w:rFonts w:ascii="Arial" w:cs="Arial" w:eastAsia="Arial" w:hAnsi="Arial"/>
                <w:sz w:val="8"/>
                <w:szCs w:val="8"/>
                <w:color w:val="auto"/>
              </w:rPr>
              <w:t>(0.07)</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jc w:val="center"/>
              <w:spacing w:after="0" w:line="89" w:lineRule="exact"/>
              <w:rPr>
                <w:sz w:val="20"/>
                <w:szCs w:val="20"/>
                <w:color w:val="auto"/>
              </w:rPr>
            </w:pPr>
            <w:r>
              <w:rPr>
                <w:rFonts w:ascii="Arial" w:cs="Arial" w:eastAsia="Arial" w:hAnsi="Arial"/>
                <w:sz w:val="8"/>
                <w:szCs w:val="8"/>
                <w:color w:val="auto"/>
                <w:w w:val="88"/>
              </w:rPr>
              <w:t>$</w:t>
            </w: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15.65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(1.37)</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(6.43)</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(2.69)</w:t>
            </w:r>
          </w:p>
        </w:tc>
        <w:tc>
          <w:tcPr>
            <w:tcW w:w="0" w:type="dxa"/>
            <w:vAlign w:val="bottom"/>
          </w:tcPr>
          <w:p>
            <w:pPr>
              <w:spacing w:after="0"/>
              <w:rPr>
                <w:sz w:val="1"/>
                <w:szCs w:val="1"/>
                <w:color w:val="auto"/>
              </w:rPr>
            </w:pPr>
          </w:p>
        </w:tc>
      </w:tr>
      <w:tr>
        <w:trPr>
          <w:trHeight w:val="88"/>
        </w:trPr>
        <w:tc>
          <w:tcPr>
            <w:tcW w:w="2740" w:type="dxa"/>
            <w:vAlign w:val="bottom"/>
          </w:tcPr>
          <w:p>
            <w:pPr>
              <w:ind w:left="160"/>
              <w:spacing w:after="0" w:line="89" w:lineRule="exact"/>
              <w:rPr>
                <w:sz w:val="20"/>
                <w:szCs w:val="20"/>
                <w:color w:val="auto"/>
              </w:rPr>
            </w:pPr>
            <w:r>
              <w:rPr>
                <w:rFonts w:ascii="Arial" w:cs="Arial" w:eastAsia="Arial" w:hAnsi="Arial"/>
                <w:sz w:val="8"/>
                <w:szCs w:val="8"/>
                <w:color w:val="auto"/>
              </w:rPr>
              <w:t>Diluted</w:t>
            </w:r>
          </w:p>
        </w:tc>
        <w:tc>
          <w:tcPr>
            <w:tcW w:w="620" w:type="dxa"/>
            <w:vAlign w:val="bottom"/>
          </w:tcPr>
          <w:p>
            <w:pPr>
              <w:jc w:val="right"/>
              <w:ind w:right="518"/>
              <w:spacing w:after="0" w:line="89" w:lineRule="exact"/>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0.71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1.24</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0.81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(0.07)</w:t>
            </w:r>
          </w:p>
        </w:tc>
        <w:tc>
          <w:tcPr>
            <w:tcW w:w="100" w:type="dxa"/>
            <w:vAlign w:val="bottom"/>
          </w:tcPr>
          <w:p>
            <w:pPr>
              <w:spacing w:after="0"/>
              <w:rPr>
                <w:sz w:val="7"/>
                <w:szCs w:val="7"/>
                <w:color w:val="auto"/>
              </w:rPr>
            </w:pPr>
          </w:p>
        </w:tc>
        <w:tc>
          <w:tcPr>
            <w:tcW w:w="40" w:type="dxa"/>
            <w:vAlign w:val="bottom"/>
          </w:tcPr>
          <w:p>
            <w:pPr>
              <w:jc w:val="center"/>
              <w:spacing w:after="0" w:line="89" w:lineRule="exact"/>
              <w:rPr>
                <w:sz w:val="20"/>
                <w:szCs w:val="20"/>
                <w:color w:val="auto"/>
              </w:rPr>
            </w:pPr>
            <w:r>
              <w:rPr>
                <w:rFonts w:ascii="Arial" w:cs="Arial" w:eastAsia="Arial" w:hAnsi="Arial"/>
                <w:sz w:val="8"/>
                <w:szCs w:val="8"/>
                <w:color w:val="auto"/>
                <w:w w:val="88"/>
              </w:rPr>
              <w:t>$</w:t>
            </w: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15.65</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(1.37)</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(6.43)</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(2.69)</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Weighted average number of common units/stock —</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ind w:left="160"/>
              <w:spacing w:after="0" w:line="89" w:lineRule="exact"/>
              <w:rPr>
                <w:sz w:val="20"/>
                <w:szCs w:val="20"/>
                <w:color w:val="auto"/>
              </w:rPr>
            </w:pPr>
            <w:r>
              <w:rPr>
                <w:rFonts w:ascii="Arial" w:cs="Arial" w:eastAsia="Arial" w:hAnsi="Arial"/>
                <w:sz w:val="8"/>
                <w:szCs w:val="8"/>
                <w:color w:val="auto"/>
              </w:rPr>
              <w:t>Basic</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37.805</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37.520</w:t>
            </w: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37.805</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37.608</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52.923</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52.769</w:t>
            </w:r>
          </w:p>
        </w:tc>
        <w:tc>
          <w:tcPr>
            <w:tcW w:w="80" w:type="dxa"/>
            <w:vAlign w:val="bottom"/>
          </w:tcPr>
          <w:p>
            <w:pPr>
              <w:spacing w:after="0"/>
              <w:rPr>
                <w:sz w:val="7"/>
                <w:szCs w:val="7"/>
                <w:color w:val="auto"/>
              </w:rPr>
            </w:pPr>
          </w:p>
        </w:tc>
        <w:tc>
          <w:tcPr>
            <w:tcW w:w="3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52.297</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Diluted</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38.442</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37.521</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38.442</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37.608</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52.923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52.769</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52.297</w:t>
            </w:r>
          </w:p>
        </w:tc>
        <w:tc>
          <w:tcPr>
            <w:tcW w:w="0" w:type="dxa"/>
            <w:vAlign w:val="bottom"/>
          </w:tcPr>
          <w:p>
            <w:pPr>
              <w:spacing w:after="0"/>
              <w:rPr>
                <w:sz w:val="1"/>
                <w:szCs w:val="1"/>
                <w:color w:val="auto"/>
              </w:rPr>
            </w:pPr>
          </w:p>
        </w:tc>
      </w:tr>
      <w:tr>
        <w:trPr>
          <w:trHeight w:val="86"/>
        </w:trPr>
        <w:tc>
          <w:tcPr>
            <w:tcW w:w="2740" w:type="dxa"/>
            <w:vAlign w:val="bottom"/>
          </w:tcPr>
          <w:p>
            <w:pPr>
              <w:spacing w:after="0" w:line="86" w:lineRule="exact"/>
              <w:rPr>
                <w:sz w:val="20"/>
                <w:szCs w:val="20"/>
                <w:color w:val="auto"/>
              </w:rPr>
            </w:pPr>
            <w:r>
              <w:rPr>
                <w:rFonts w:ascii="Arial" w:cs="Arial" w:eastAsia="Arial" w:hAnsi="Arial"/>
                <w:sz w:val="8"/>
                <w:szCs w:val="8"/>
                <w:color w:val="auto"/>
              </w:rPr>
              <w:t>Unaudited pro forma — earnings (loss) from continuing operations per</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740" w:type="dxa"/>
            <w:vAlign w:val="bottom"/>
          </w:tcPr>
          <w:p>
            <w:pPr>
              <w:ind w:left="80"/>
              <w:spacing w:after="0" w:line="91" w:lineRule="exact"/>
              <w:rPr>
                <w:sz w:val="20"/>
                <w:szCs w:val="20"/>
                <w:color w:val="auto"/>
              </w:rPr>
            </w:pPr>
            <w:r>
              <w:rPr>
                <w:rFonts w:ascii="Arial" w:cs="Arial" w:eastAsia="Arial" w:hAnsi="Arial"/>
                <w:sz w:val="8"/>
                <w:szCs w:val="8"/>
                <w:color w:val="auto"/>
              </w:rPr>
              <w:t>common share(2) —</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Basic</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34"/>
              <w:spacing w:after="0" w:line="89" w:lineRule="exact"/>
              <w:rPr>
                <w:sz w:val="20"/>
                <w:szCs w:val="20"/>
                <w:color w:val="auto"/>
              </w:rPr>
            </w:pPr>
            <w:r>
              <w:rPr>
                <w:rFonts w:ascii="Arial" w:cs="Arial" w:eastAsia="Arial" w:hAnsi="Arial"/>
                <w:sz w:val="8"/>
                <w:szCs w:val="8"/>
                <w:color w:val="auto"/>
              </w:rPr>
              <w:t>(0.06)</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ind w:left="160"/>
              <w:spacing w:after="0" w:line="89" w:lineRule="exact"/>
              <w:rPr>
                <w:sz w:val="20"/>
                <w:szCs w:val="20"/>
                <w:color w:val="auto"/>
              </w:rPr>
            </w:pPr>
            <w:r>
              <w:rPr>
                <w:rFonts w:ascii="Arial" w:cs="Arial" w:eastAsia="Arial" w:hAnsi="Arial"/>
                <w:sz w:val="8"/>
                <w:szCs w:val="8"/>
                <w:color w:val="auto"/>
              </w:rPr>
              <w:t>Diluted</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(0.06)</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Unaudited pro forma — earnings (loss) per share(2) —</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ind w:left="160"/>
              <w:spacing w:after="0" w:line="89" w:lineRule="exact"/>
              <w:rPr>
                <w:sz w:val="20"/>
                <w:szCs w:val="20"/>
                <w:color w:val="auto"/>
              </w:rPr>
            </w:pPr>
            <w:r>
              <w:rPr>
                <w:rFonts w:ascii="Arial" w:cs="Arial" w:eastAsia="Arial" w:hAnsi="Arial"/>
                <w:sz w:val="8"/>
                <w:szCs w:val="8"/>
                <w:color w:val="auto"/>
              </w:rPr>
              <w:t>Basic</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0.79</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(0.05)</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Diluted</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0.78</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34"/>
              <w:spacing w:after="0" w:line="89" w:lineRule="exact"/>
              <w:rPr>
                <w:sz w:val="20"/>
                <w:szCs w:val="20"/>
                <w:color w:val="auto"/>
              </w:rPr>
            </w:pPr>
            <w:r>
              <w:rPr>
                <w:rFonts w:ascii="Arial" w:cs="Arial" w:eastAsia="Arial" w:hAnsi="Arial"/>
                <w:sz w:val="8"/>
                <w:szCs w:val="8"/>
                <w:color w:val="auto"/>
              </w:rPr>
              <w:t>(0.05)</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Unaudited pro forma — weighted average number of common stock(2) —</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Basic</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39.305</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39.108</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ind w:left="160"/>
              <w:spacing w:after="0" w:line="89" w:lineRule="exact"/>
              <w:rPr>
                <w:sz w:val="20"/>
                <w:szCs w:val="20"/>
                <w:color w:val="auto"/>
              </w:rPr>
            </w:pPr>
            <w:r>
              <w:rPr>
                <w:rFonts w:ascii="Arial" w:cs="Arial" w:eastAsia="Arial" w:hAnsi="Arial"/>
                <w:sz w:val="8"/>
                <w:szCs w:val="8"/>
                <w:color w:val="auto"/>
              </w:rPr>
              <w:t>Diluted</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39.942</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39.108</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Consolidated Balance Sheet Data (at period end):</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Cash and cash equivalents</w:t>
            </w:r>
          </w:p>
        </w:tc>
        <w:tc>
          <w:tcPr>
            <w:tcW w:w="620" w:type="dxa"/>
            <w:vAlign w:val="bottom"/>
          </w:tcPr>
          <w:p>
            <w:pPr>
              <w:jc w:val="right"/>
              <w:ind w:right="518"/>
              <w:spacing w:after="0" w:line="89" w:lineRule="exact"/>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128.8</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82.7</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64.9</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7.1</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4.0</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3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64.3</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Total assets</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546.2</w:t>
            </w: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492.0</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453.3</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357.7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399.2</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707.9</w:t>
            </w: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Total indebtedness(3)</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246.7</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61.6</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61.8</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845.0</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845.0</w:t>
            </w:r>
          </w:p>
        </w:tc>
        <w:tc>
          <w:tcPr>
            <w:tcW w:w="80" w:type="dxa"/>
            <w:vAlign w:val="bottom"/>
          </w:tcPr>
          <w:p>
            <w:pPr>
              <w:spacing w:after="0"/>
              <w:rPr>
                <w:sz w:val="7"/>
                <w:szCs w:val="7"/>
                <w:color w:val="auto"/>
              </w:rPr>
            </w:pPr>
          </w:p>
        </w:tc>
        <w:tc>
          <w:tcPr>
            <w:tcW w:w="3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830.0</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Long-term obligations(4)</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247.0</w:t>
            </w: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61.3</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61.5</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146.5</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143.2</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879.4</w:t>
            </w: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Total unitholders’/stockholders’ equity (deficit)</w:t>
            </w:r>
          </w:p>
        </w:tc>
        <w:tc>
          <w:tcPr>
            <w:tcW w:w="62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100.5</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231.4</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215.7</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(835.1)</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(787.8)</w:t>
            </w:r>
          </w:p>
        </w:tc>
        <w:tc>
          <w:tcPr>
            <w:tcW w:w="80" w:type="dxa"/>
            <w:vAlign w:val="bottom"/>
          </w:tcPr>
          <w:p>
            <w:pPr>
              <w:spacing w:after="0"/>
              <w:rPr>
                <w:sz w:val="7"/>
                <w:szCs w:val="7"/>
                <w:color w:val="auto"/>
              </w:rPr>
            </w:pPr>
          </w:p>
        </w:tc>
        <w:tc>
          <w:tcPr>
            <w:tcW w:w="38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(477.5)</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Supplemental Data (unaudited):</w:t>
            </w: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line="89" w:lineRule="exact"/>
              <w:rPr>
                <w:sz w:val="20"/>
                <w:szCs w:val="20"/>
                <w:color w:val="auto"/>
              </w:rPr>
            </w:pPr>
            <w:r>
              <w:rPr>
                <w:rFonts w:ascii="Arial" w:cs="Arial" w:eastAsia="Arial" w:hAnsi="Arial"/>
                <w:sz w:val="8"/>
                <w:szCs w:val="8"/>
                <w:color w:val="auto"/>
              </w:rPr>
              <w:t>Adjusted EBITDA(5)</w:t>
            </w:r>
          </w:p>
        </w:tc>
        <w:tc>
          <w:tcPr>
            <w:tcW w:w="620" w:type="dxa"/>
            <w:vAlign w:val="bottom"/>
          </w:tcPr>
          <w:p>
            <w:pPr>
              <w:jc w:val="right"/>
              <w:ind w:right="518"/>
              <w:spacing w:after="0" w:line="89" w:lineRule="exact"/>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98.7</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28.7</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22.1</w:t>
            </w:r>
          </w:p>
        </w:tc>
        <w:tc>
          <w:tcPr>
            <w:tcW w:w="100" w:type="dxa"/>
            <w:vAlign w:val="bottom"/>
          </w:tcPr>
          <w:p>
            <w:pPr>
              <w:spacing w:after="0"/>
              <w:rPr>
                <w:sz w:val="7"/>
                <w:szCs w:val="7"/>
                <w:color w:val="auto"/>
              </w:rPr>
            </w:pPr>
          </w:p>
        </w:tc>
        <w:tc>
          <w:tcPr>
            <w:tcW w:w="40" w:type="dxa"/>
            <w:vAlign w:val="bottom"/>
          </w:tcPr>
          <w:p>
            <w:pPr>
              <w:jc w:val="center"/>
              <w:spacing w:after="0" w:line="89" w:lineRule="exact"/>
              <w:rPr>
                <w:sz w:val="20"/>
                <w:szCs w:val="20"/>
                <w:color w:val="auto"/>
              </w:rPr>
            </w:pPr>
            <w:r>
              <w:rPr>
                <w:rFonts w:ascii="Arial" w:cs="Arial" w:eastAsia="Arial" w:hAnsi="Arial"/>
                <w:sz w:val="8"/>
                <w:szCs w:val="8"/>
                <w:color w:val="auto"/>
                <w:w w:val="88"/>
              </w:rPr>
              <w:t>$</w:t>
            </w: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76.6</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2.3</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59.8</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38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111.2</w:t>
            </w:r>
          </w:p>
        </w:tc>
        <w:tc>
          <w:tcPr>
            <w:tcW w:w="0" w:type="dxa"/>
            <w:vAlign w:val="bottom"/>
          </w:tcPr>
          <w:p>
            <w:pPr>
              <w:spacing w:after="0"/>
              <w:rPr>
                <w:sz w:val="1"/>
                <w:szCs w:val="1"/>
                <w:color w:val="auto"/>
              </w:rPr>
            </w:pPr>
          </w:p>
        </w:tc>
      </w:tr>
      <w:tr>
        <w:trPr>
          <w:trHeight w:val="88"/>
        </w:trPr>
        <w:tc>
          <w:tcPr>
            <w:tcW w:w="27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Adjusted Net Income (Loss)(6)</w:t>
            </w:r>
          </w:p>
        </w:tc>
        <w:tc>
          <w:tcPr>
            <w:tcW w:w="6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15.0</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33.7</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19.9</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13.3</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9.3</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(22.9)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(71.7)</w:t>
            </w:r>
          </w:p>
        </w:tc>
        <w:tc>
          <w:tcPr>
            <w:tcW w:w="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(82.6)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60" w:hanging="228"/>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160" w:hanging="254"/>
        <w:spacing w:after="0"/>
        <w:tabs>
          <w:tab w:leader="none" w:pos="11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Derived from our audited consolidated financial statements.</w:t>
      </w:r>
    </w:p>
    <w:p>
      <w:pPr>
        <w:spacing w:after="0" w:line="37" w:lineRule="exact"/>
        <w:rPr>
          <w:sz w:val="20"/>
          <w:szCs w:val="20"/>
          <w:color w:val="auto"/>
        </w:rPr>
      </w:pPr>
    </w:p>
    <w:p>
      <w:pPr>
        <w:ind w:left="1160" w:right="60" w:hanging="306"/>
        <w:spacing w:after="0" w:line="242" w:lineRule="auto"/>
        <w:tabs>
          <w:tab w:leader="none" w:pos="11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Gives effect to the reorganization proceedings and related events, the corporate conversion and the issuance of $250 million senior notes and the application of the net proceeds therefrom. For details regarding these pro forma adjustments, see the notes to the unaudited pro forma condensed consolidated financial information in “Unaudited Pro Forma Consolidated Financial Information.”</w:t>
      </w:r>
    </w:p>
    <w:p>
      <w:pPr>
        <w:spacing w:after="0" w:line="39" w:lineRule="exact"/>
        <w:rPr>
          <w:rFonts w:ascii="Arial" w:cs="Arial" w:eastAsia="Arial" w:hAnsi="Arial"/>
          <w:sz w:val="13"/>
          <w:szCs w:val="13"/>
          <w:color w:val="auto"/>
        </w:rPr>
      </w:pPr>
    </w:p>
    <w:p>
      <w:pPr>
        <w:ind w:left="1160" w:hanging="306"/>
        <w:spacing w:after="0" w:line="248" w:lineRule="auto"/>
        <w:tabs>
          <w:tab w:leader="none" w:pos="11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unaudited pro forma earnings (loss) per share have been calculated in accordance with Staff Accounting Bulletin Topic 1.B.3 in relation to our distribution made to shareholders in April 2010. See note 20 in the unaudited interim consolidated financial statements and note 27(D) in the audited consolidated financial statements.</w:t>
      </w:r>
    </w:p>
    <w:p>
      <w:pPr>
        <w:spacing w:after="0" w:line="35" w:lineRule="exact"/>
        <w:rPr>
          <w:rFonts w:ascii="Arial" w:cs="Arial" w:eastAsia="Arial" w:hAnsi="Arial"/>
          <w:sz w:val="13"/>
          <w:szCs w:val="13"/>
          <w:color w:val="auto"/>
        </w:rPr>
      </w:pPr>
    </w:p>
    <w:p>
      <w:pPr>
        <w:ind w:left="1160" w:hanging="306"/>
        <w:spacing w:after="0"/>
        <w:tabs>
          <w:tab w:leader="none" w:pos="11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47" w:lineRule="exact"/>
        <w:rPr>
          <w:rFonts w:ascii="Arial" w:cs="Arial" w:eastAsia="Arial" w:hAnsi="Arial"/>
          <w:sz w:val="13"/>
          <w:szCs w:val="13"/>
          <w:color w:val="auto"/>
        </w:rPr>
      </w:pPr>
    </w:p>
    <w:p>
      <w:pPr>
        <w:ind w:left="1160" w:hanging="306"/>
        <w:spacing w:after="0"/>
        <w:tabs>
          <w:tab w:leader="none" w:pos="11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45" w:lineRule="exact"/>
        <w:rPr>
          <w:rFonts w:ascii="Arial" w:cs="Arial" w:eastAsia="Arial" w:hAnsi="Arial"/>
          <w:sz w:val="13"/>
          <w:szCs w:val="13"/>
          <w:color w:val="auto"/>
        </w:rPr>
      </w:pPr>
    </w:p>
    <w:p>
      <w:pPr>
        <w:ind w:left="1160" w:hanging="306"/>
        <w:spacing w:after="0"/>
        <w:tabs>
          <w:tab w:leader="none" w:pos="11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w:t>
      </w:r>
    </w:p>
    <w:p>
      <w:pPr>
        <w:ind w:left="1160"/>
        <w:spacing w:after="0" w:line="236" w:lineRule="auto"/>
        <w:rPr>
          <w:sz w:val="20"/>
          <w:szCs w:val="20"/>
          <w:color w:val="auto"/>
        </w:rPr>
      </w:pPr>
      <w:r>
        <w:rPr>
          <w:rFonts w:ascii="Arial" w:cs="Arial" w:eastAsia="Arial" w:hAnsi="Arial"/>
          <w:sz w:val="13"/>
          <w:szCs w:val="13"/>
          <w:color w:val="auto"/>
        </w:rPr>
        <w:t>associated with continuing operations, (ii) interest expense, net, (iii) income tax expense, (iv) restructuring and impairment charges, (v) other restructuring charges,</w:t>
      </w:r>
    </w:p>
    <w:p>
      <w:pPr>
        <w:ind w:left="1380" w:hanging="221"/>
        <w:spacing w:after="0" w:line="237" w:lineRule="auto"/>
        <w:tabs>
          <w:tab w:leader="none" w:pos="1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abandoned IPO expenses, (vii) subcontractor claim settlement, (viii) the increase in cost of sales resulting from the fresh-start accounting inventory step-up,</w:t>
      </w:r>
    </w:p>
    <w:p>
      <w:pPr>
        <w:ind w:left="1160" w:right="20" w:hanging="1"/>
        <w:spacing w:after="0" w:line="242" w:lineRule="auto"/>
        <w:tabs>
          <w:tab w:leader="none" w:pos="1378" w:val="left"/>
        </w:tabs>
        <w:numPr>
          <w:ilvl w:val="0"/>
          <w:numId w:val="13"/>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In the case of pro forma Adjusted EBITDA, we exclude the items above from income (loss) from continuing operations. We present Adjusted EBITDA as a supplemental measure of our performance because:</w:t>
      </w:r>
    </w:p>
    <w:p>
      <w:pPr>
        <w:spacing w:after="0" w:line="78" w:lineRule="exact"/>
        <w:rPr>
          <w:rFonts w:ascii="Arial" w:cs="Arial" w:eastAsia="Arial" w:hAnsi="Arial"/>
          <w:sz w:val="13"/>
          <w:szCs w:val="13"/>
          <w:color w:val="auto"/>
        </w:rPr>
      </w:pPr>
    </w:p>
    <w:p>
      <w:pPr>
        <w:ind w:left="1560" w:right="380" w:hanging="205"/>
        <w:spacing w:after="0" w:line="248" w:lineRule="auto"/>
        <w:tabs>
          <w:tab w:leader="none" w:pos="15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64" w:lineRule="exact"/>
        <w:rPr>
          <w:rFonts w:ascii="Arial" w:cs="Arial" w:eastAsia="Arial" w:hAnsi="Arial"/>
          <w:sz w:val="13"/>
          <w:szCs w:val="13"/>
          <w:color w:val="auto"/>
        </w:rPr>
      </w:pPr>
    </w:p>
    <w:p>
      <w:pPr>
        <w:ind w:left="1560" w:hanging="205"/>
        <w:spacing w:after="0"/>
        <w:tabs>
          <w:tab w:leader="none" w:pos="15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6" w:lineRule="exact"/>
        <w:rPr>
          <w:rFonts w:ascii="Arial" w:cs="Arial" w:eastAsia="Arial" w:hAnsi="Arial"/>
          <w:sz w:val="13"/>
          <w:szCs w:val="13"/>
          <w:color w:val="auto"/>
        </w:rPr>
      </w:pPr>
    </w:p>
    <w:p>
      <w:pPr>
        <w:ind w:left="1560" w:right="60" w:hanging="205"/>
        <w:spacing w:after="0" w:line="248" w:lineRule="auto"/>
        <w:tabs>
          <w:tab w:leader="none" w:pos="15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use Adjusted EBITDA in a number of ways, including:</w:t>
      </w:r>
    </w:p>
    <w:p>
      <w:pPr>
        <w:spacing w:after="0" w:line="86" w:lineRule="exact"/>
        <w:rPr>
          <w:sz w:val="20"/>
          <w:szCs w:val="20"/>
          <w:color w:val="auto"/>
        </w:rPr>
      </w:pPr>
    </w:p>
    <w:p>
      <w:pPr>
        <w:ind w:left="1560" w:hanging="205"/>
        <w:spacing w:after="0"/>
        <w:tabs>
          <w:tab w:leader="none" w:pos="1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343" w:right="9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60" w:right="100"/>
        <w:spacing w:after="0"/>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78"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8"/>
                <w:szCs w:val="8"/>
                <w:b w:val="1"/>
                <w:bCs w:val="1"/>
                <w:color w:val="auto"/>
              </w:rPr>
              <w:t>Historical</w:t>
            </w: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9"/>
              </w:rPr>
              <w:t>Three Months</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tcPr>
          <w:p>
            <w:pPr>
              <w:jc w:val="right"/>
              <w:spacing w:after="0" w:line="79" w:lineRule="exact"/>
              <w:rPr>
                <w:sz w:val="20"/>
                <w:szCs w:val="20"/>
                <w:color w:val="auto"/>
              </w:rPr>
            </w:pPr>
            <w:r>
              <w:rPr>
                <w:rFonts w:ascii="Arial" w:cs="Arial" w:eastAsia="Arial" w:hAnsi="Arial"/>
                <w:sz w:val="8"/>
                <w:szCs w:val="8"/>
                <w:b w:val="1"/>
                <w:bCs w:val="1"/>
                <w:color w:val="auto"/>
              </w:rPr>
              <w:t>Successor</w:t>
            </w:r>
          </w:p>
        </w:tc>
        <w:tc>
          <w:tcPr>
            <w:tcW w:w="68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Predecessor</w:t>
            </w: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jc w:val="center"/>
              <w:ind w:right="300"/>
              <w:spacing w:after="0" w:line="66" w:lineRule="exact"/>
              <w:rPr>
                <w:sz w:val="20"/>
                <w:szCs w:val="20"/>
                <w:color w:val="auto"/>
              </w:rPr>
            </w:pPr>
            <w:r>
              <w:rPr>
                <w:rFonts w:ascii="Arial" w:cs="Arial" w:eastAsia="Arial" w:hAnsi="Arial"/>
                <w:sz w:val="7"/>
                <w:szCs w:val="7"/>
                <w:b w:val="1"/>
                <w:bCs w:val="1"/>
                <w:color w:val="auto"/>
              </w:rPr>
              <w:t>Three Months</w:t>
            </w:r>
          </w:p>
        </w:tc>
        <w:tc>
          <w:tcPr>
            <w:tcW w:w="120" w:type="dxa"/>
            <w:vAlign w:val="bottom"/>
          </w:tcPr>
          <w:p>
            <w:pPr>
              <w:spacing w:after="0"/>
              <w:rPr>
                <w:sz w:val="5"/>
                <w:szCs w:val="5"/>
                <w:color w:val="auto"/>
              </w:rPr>
            </w:pPr>
          </w:p>
        </w:tc>
        <w:tc>
          <w:tcPr>
            <w:tcW w:w="680" w:type="dxa"/>
            <w:vAlign w:val="bottom"/>
          </w:tcPr>
          <w:p>
            <w:pPr>
              <w:jc w:val="right"/>
              <w:ind w:right="141"/>
              <w:spacing w:after="0" w:line="66" w:lineRule="exact"/>
              <w:rPr>
                <w:sz w:val="20"/>
                <w:szCs w:val="20"/>
                <w:color w:val="auto"/>
              </w:rPr>
            </w:pPr>
            <w:r>
              <w:rPr>
                <w:rFonts w:ascii="Arial" w:cs="Arial" w:eastAsia="Arial" w:hAnsi="Arial"/>
                <w:sz w:val="7"/>
                <w:szCs w:val="7"/>
                <w:b w:val="1"/>
                <w:bCs w:val="1"/>
                <w:color w:val="auto"/>
              </w:rPr>
              <w:t>Two- Month</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tcPr>
          <w:p>
            <w:pPr>
              <w:jc w:val="center"/>
              <w:ind w:right="280"/>
              <w:spacing w:after="0" w:line="66" w:lineRule="exact"/>
              <w:rPr>
                <w:sz w:val="20"/>
                <w:szCs w:val="20"/>
                <w:color w:val="auto"/>
              </w:rPr>
            </w:pPr>
            <w:r>
              <w:rPr>
                <w:rFonts w:ascii="Arial" w:cs="Arial" w:eastAsia="Arial" w:hAnsi="Arial"/>
                <w:sz w:val="7"/>
                <w:szCs w:val="7"/>
                <w:b w:val="1"/>
                <w:bCs w:val="1"/>
                <w:color w:val="auto"/>
              </w:rPr>
              <w:t>Ten- Month</w:t>
            </w:r>
          </w:p>
        </w:tc>
        <w:tc>
          <w:tcPr>
            <w:tcW w:w="80" w:type="dxa"/>
            <w:vAlign w:val="bottom"/>
          </w:tcPr>
          <w:p>
            <w:pPr>
              <w:spacing w:after="0"/>
              <w:rPr>
                <w:sz w:val="5"/>
                <w:szCs w:val="5"/>
                <w:color w:val="auto"/>
              </w:rPr>
            </w:pPr>
          </w:p>
        </w:tc>
        <w:tc>
          <w:tcPr>
            <w:tcW w:w="900" w:type="dxa"/>
            <w:vAlign w:val="bottom"/>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60" w:type="dxa"/>
            <w:vAlign w:val="bottom"/>
            <w:gridSpan w:val="2"/>
          </w:tcPr>
          <w:p>
            <w:pPr>
              <w:jc w:val="right"/>
              <w:ind w:right="380"/>
              <w:spacing w:after="0" w:line="89" w:lineRule="exact"/>
              <w:rPr>
                <w:sz w:val="20"/>
                <w:szCs w:val="20"/>
                <w:color w:val="auto"/>
              </w:rPr>
            </w:pPr>
            <w:r>
              <w:rPr>
                <w:rFonts w:ascii="Arial" w:cs="Arial" w:eastAsia="Arial" w:hAnsi="Arial"/>
                <w:sz w:val="8"/>
                <w:szCs w:val="8"/>
                <w:b w:val="1"/>
                <w:bCs w:val="1"/>
                <w:color w:val="auto"/>
              </w:rPr>
              <w:t>Year Ended</w:t>
            </w: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340"/>
              <w:spacing w:after="0" w:line="89" w:lineRule="exact"/>
              <w:rPr>
                <w:sz w:val="20"/>
                <w:szCs w:val="20"/>
                <w:color w:val="auto"/>
              </w:rPr>
            </w:pPr>
            <w:r>
              <w:rPr>
                <w:rFonts w:ascii="Arial" w:cs="Arial" w:eastAsia="Arial" w:hAnsi="Arial"/>
                <w:sz w:val="8"/>
                <w:szCs w:val="8"/>
                <w:b w:val="1"/>
                <w:bCs w:val="1"/>
                <w:color w:val="auto"/>
              </w:rPr>
              <w:t>Period Ended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90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880" w:type="dxa"/>
            <w:vAlign w:val="bottom"/>
            <w:gridSpan w:val="5"/>
          </w:tcPr>
          <w:p>
            <w:pPr>
              <w:jc w:val="right"/>
              <w:ind w:right="30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March 31,</w:t>
            </w:r>
          </w:p>
        </w:tc>
        <w:tc>
          <w:tcPr>
            <w:tcW w:w="120" w:type="dxa"/>
            <w:vAlign w:val="bottom"/>
          </w:tcPr>
          <w:p>
            <w:pPr>
              <w:spacing w:after="0"/>
              <w:rPr>
                <w:sz w:val="8"/>
                <w:szCs w:val="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8"/>
                <w:szCs w:val="8"/>
                <w:b w:val="1"/>
                <w:bCs w:val="1"/>
                <w:color w:val="auto"/>
                <w:w w:val="96"/>
              </w:rPr>
              <w:t>December 31,</w:t>
            </w:r>
          </w:p>
        </w:tc>
        <w:tc>
          <w:tcPr>
            <w:tcW w:w="100" w:type="dxa"/>
            <w:vAlign w:val="bottom"/>
          </w:tcPr>
          <w:p>
            <w:pPr>
              <w:spacing w:after="0"/>
              <w:rPr>
                <w:sz w:val="8"/>
                <w:szCs w:val="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March 31,</w:t>
            </w:r>
          </w:p>
        </w:tc>
        <w:tc>
          <w:tcPr>
            <w:tcW w:w="120" w:type="dxa"/>
            <w:vAlign w:val="bottom"/>
          </w:tcPr>
          <w:p>
            <w:pPr>
              <w:spacing w:after="0"/>
              <w:rPr>
                <w:sz w:val="8"/>
                <w:szCs w:val="8"/>
                <w:color w:val="auto"/>
              </w:rPr>
            </w:pPr>
          </w:p>
        </w:tc>
        <w:tc>
          <w:tcPr>
            <w:tcW w:w="8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9"/>
              </w:rPr>
              <w:t>October 25,</w:t>
            </w:r>
          </w:p>
        </w:tc>
        <w:tc>
          <w:tcPr>
            <w:tcW w:w="80" w:type="dxa"/>
            <w:vAlign w:val="bottom"/>
          </w:tcPr>
          <w:p>
            <w:pPr>
              <w:spacing w:after="0"/>
              <w:rPr>
                <w:sz w:val="8"/>
                <w:szCs w:val="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Pr>
          <w:p>
            <w:pPr>
              <w:spacing w:after="0"/>
              <w:rPr>
                <w:sz w:val="8"/>
                <w:szCs w:val="8"/>
                <w:color w:val="auto"/>
              </w:rPr>
            </w:pPr>
          </w:p>
        </w:tc>
        <w:tc>
          <w:tcPr>
            <w:tcW w:w="880" w:type="dxa"/>
            <w:vAlign w:val="bottom"/>
            <w:gridSpan w:val="5"/>
          </w:tcPr>
          <w:p>
            <w:pPr>
              <w:jc w:val="right"/>
              <w:ind w:right="28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181"/>
              <w:spacing w:after="0" w:line="83"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ind w:right="181"/>
              <w:spacing w:after="0" w:line="83"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181"/>
              <w:spacing w:after="0" w:line="83"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201"/>
              <w:spacing w:after="0" w:line="83" w:lineRule="exact"/>
              <w:rPr>
                <w:sz w:val="20"/>
                <w:szCs w:val="20"/>
                <w:color w:val="auto"/>
              </w:rPr>
            </w:pPr>
            <w:r>
              <w:rPr>
                <w:rFonts w:ascii="Arial" w:cs="Arial" w:eastAsia="Arial" w:hAnsi="Arial"/>
                <w:sz w:val="8"/>
                <w:szCs w:val="8"/>
                <w:b w:val="1"/>
                <w:bCs w:val="1"/>
                <w:color w:val="auto"/>
              </w:rPr>
              <w:t>2009</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141"/>
              <w:spacing w:after="0" w:line="83"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201"/>
              <w:spacing w:after="0" w:line="83" w:lineRule="exact"/>
              <w:rPr>
                <w:sz w:val="20"/>
                <w:szCs w:val="20"/>
                <w:color w:val="auto"/>
              </w:rPr>
            </w:pPr>
            <w:r>
              <w:rPr>
                <w:rFonts w:ascii="Arial" w:cs="Arial" w:eastAsia="Arial" w:hAnsi="Arial"/>
                <w:sz w:val="8"/>
                <w:szCs w:val="8"/>
                <w:b w:val="1"/>
                <w:bCs w:val="1"/>
                <w:color w:val="auto"/>
              </w:rPr>
              <w:t>2009</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8"/>
                <w:szCs w:val="8"/>
                <w:b w:val="1"/>
                <w:bCs w:val="1"/>
                <w:color w:val="auto"/>
              </w:rPr>
              <w:t>2008</w:t>
            </w: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360"/>
              <w:spacing w:after="0" w:line="89" w:lineRule="exact"/>
              <w:rPr>
                <w:sz w:val="20"/>
                <w:szCs w:val="20"/>
                <w:color w:val="auto"/>
              </w:rPr>
            </w:pPr>
            <w:r>
              <w:rPr>
                <w:rFonts w:ascii="Arial" w:cs="Arial" w:eastAsia="Arial" w:hAnsi="Arial"/>
                <w:sz w:val="8"/>
                <w:szCs w:val="8"/>
                <w:b w:val="1"/>
                <w:bCs w:val="1"/>
                <w:color w:val="auto"/>
              </w:rPr>
              <w:t>(In millions)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 (loss)</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841.1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(69.7)</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(417.3)</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(180.6)</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Less: Income (loss) from discontinued operations, net of taxes</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6.6</w:t>
            </w:r>
          </w:p>
        </w:tc>
        <w:tc>
          <w:tcPr>
            <w:tcW w:w="80" w:type="dxa"/>
            <w:vAlign w:val="bottom"/>
          </w:tcPr>
          <w:p>
            <w:pPr>
              <w:spacing w:after="0"/>
              <w:rPr>
                <w:sz w:val="7"/>
                <w:szCs w:val="7"/>
                <w:color w:val="auto"/>
              </w:rPr>
            </w:pPr>
          </w:p>
        </w:tc>
        <w:tc>
          <w:tcPr>
            <w:tcW w:w="9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(91.5)</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(51.7)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80" w:type="dxa"/>
            <w:vAlign w:val="bottom"/>
            <w:shd w:val="clear" w:color="auto" w:fill="CCEEFF"/>
          </w:tcPr>
          <w:p>
            <w:pPr>
              <w:ind w:left="80"/>
              <w:spacing w:after="0" w:line="88" w:lineRule="exact"/>
              <w:rPr>
                <w:sz w:val="20"/>
                <w:szCs w:val="20"/>
                <w:color w:val="auto"/>
              </w:rPr>
            </w:pPr>
            <w:r>
              <w:rPr>
                <w:rFonts w:ascii="Arial" w:cs="Arial" w:eastAsia="Arial" w:hAnsi="Arial"/>
                <w:sz w:val="8"/>
                <w:szCs w:val="8"/>
                <w:color w:val="auto"/>
              </w:rPr>
              <w:t>Income (loss) from continuing operations</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27.1</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46.6</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(2.5)</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834.5</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(68.9)</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(325.8)</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8"/>
                <w:szCs w:val="8"/>
                <w:color w:val="auto"/>
              </w:rPr>
              <w:t>(128.8)</w:t>
            </w:r>
          </w:p>
        </w:tc>
        <w:tc>
          <w:tcPr>
            <w:tcW w:w="0" w:type="dxa"/>
            <w:vAlign w:val="bottom"/>
          </w:tcPr>
          <w:p>
            <w:pPr>
              <w:spacing w:after="0"/>
              <w:rPr>
                <w:sz w:val="1"/>
                <w:szCs w:val="1"/>
                <w:color w:val="auto"/>
              </w:rPr>
            </w:pPr>
          </w:p>
        </w:tc>
      </w:tr>
      <w:tr>
        <w:trPr>
          <w:trHeight w:val="88"/>
        </w:trPr>
        <w:tc>
          <w:tcPr>
            <w:tcW w:w="3080" w:type="dxa"/>
            <w:vAlign w:val="bottom"/>
          </w:tcPr>
          <w:p>
            <w:pPr>
              <w:spacing w:after="0" w:line="89" w:lineRule="exact"/>
              <w:rPr>
                <w:sz w:val="20"/>
                <w:szCs w:val="20"/>
                <w:color w:val="auto"/>
              </w:rPr>
            </w:pPr>
            <w:r>
              <w:rPr>
                <w:rFonts w:ascii="Arial" w:cs="Arial" w:eastAsia="Arial" w:hAnsi="Arial"/>
                <w:sz w:val="8"/>
                <w:szCs w:val="8"/>
                <w:color w:val="auto"/>
              </w:rPr>
              <w:t>Adjustments:</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Depreciation and amortization associated with continuing operations</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15.5</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50.6</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15.5</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37.7</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10.4</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63.8</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152.2</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Interest expense, net</w:t>
            </w:r>
          </w:p>
        </w:tc>
        <w:tc>
          <w:tcPr>
            <w:tcW w:w="10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6.9</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28.8</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1.3</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31.2</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14.7</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76.1</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60.3</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Income tax expenses (benefits)</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9.2</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Restructuring and impairment charges(a)</w:t>
            </w:r>
          </w:p>
        </w:tc>
        <w:tc>
          <w:tcPr>
            <w:tcW w:w="10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0.3</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0.4</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0.3</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13.4</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12.1</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 restructuring charges(b)</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13.3</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3.1</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6.2</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Abandoned IPO expenses(c)</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3.7</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Subcontractor claim settlement(d)</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Reorganization items, net(e)</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(804.6)</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Inventory step-up(f)</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Equity-based compensation expense(g)</w:t>
            </w:r>
          </w:p>
        </w:tc>
        <w:tc>
          <w:tcPr>
            <w:tcW w:w="10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1.5</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2.4</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0.2</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Foreign currency loss (gain), net(h)</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(52.8)</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(9.3)</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(43.4)</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40.2</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210.4</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80" w:type="dxa"/>
            <w:vAlign w:val="bottom"/>
          </w:tcPr>
          <w:p>
            <w:pPr>
              <w:spacing w:after="0" w:line="88" w:lineRule="exact"/>
              <w:rPr>
                <w:sz w:val="20"/>
                <w:szCs w:val="20"/>
                <w:color w:val="auto"/>
              </w:rPr>
            </w:pPr>
            <w:r>
              <w:rPr>
                <w:rFonts w:ascii="Arial" w:cs="Arial" w:eastAsia="Arial" w:hAnsi="Arial"/>
                <w:sz w:val="8"/>
                <w:szCs w:val="8"/>
                <w:color w:val="auto"/>
              </w:rPr>
              <w:t>Adjusted EBITDA</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88" w:lineRule="exact"/>
              <w:rPr>
                <w:sz w:val="20"/>
                <w:szCs w:val="20"/>
                <w:color w:val="auto"/>
              </w:rPr>
            </w:pPr>
            <w:r>
              <w:rPr>
                <w:rFonts w:ascii="Arial" w:cs="Arial" w:eastAsia="Arial" w:hAnsi="Arial"/>
                <w:sz w:val="8"/>
                <w:szCs w:val="8"/>
                <w:color w:val="auto"/>
              </w:rPr>
              <w:t>28.7</w:t>
            </w:r>
          </w:p>
        </w:tc>
        <w:tc>
          <w:tcPr>
            <w:tcW w:w="200" w:type="dxa"/>
            <w:vAlign w:val="bottom"/>
          </w:tcPr>
          <w:p>
            <w:pPr>
              <w:spacing w:after="0"/>
              <w:rPr>
                <w:sz w:val="7"/>
                <w:szCs w:val="7"/>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98.7</w:t>
            </w:r>
          </w:p>
        </w:tc>
        <w:tc>
          <w:tcPr>
            <w:tcW w:w="100" w:type="dxa"/>
            <w:vAlign w:val="bottom"/>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9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28.7</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tcPr>
          <w:p>
            <w:pPr>
              <w:jc w:val="right"/>
              <w:ind w:right="200"/>
              <w:spacing w:after="0" w:line="88" w:lineRule="exact"/>
              <w:rPr>
                <w:sz w:val="20"/>
                <w:szCs w:val="20"/>
                <w:color w:val="auto"/>
              </w:rPr>
            </w:pPr>
            <w:r>
              <w:rPr>
                <w:rFonts w:ascii="Arial" w:cs="Arial" w:eastAsia="Arial" w:hAnsi="Arial"/>
                <w:sz w:val="8"/>
                <w:szCs w:val="8"/>
                <w:color w:val="auto"/>
              </w:rPr>
              <w:t>22.1</w:t>
            </w:r>
          </w:p>
        </w:tc>
        <w:tc>
          <w:tcPr>
            <w:tcW w:w="80" w:type="dxa"/>
            <w:vAlign w:val="bottom"/>
          </w:tcPr>
          <w:p>
            <w:pPr>
              <w:spacing w:after="0"/>
              <w:rPr>
                <w:sz w:val="7"/>
                <w:szCs w:val="7"/>
                <w:color w:val="auto"/>
              </w:rPr>
            </w:pP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8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76.6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2.3</w:t>
            </w: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4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59.8</w:t>
            </w: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36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111.2</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360" w:right="40" w:hanging="215"/>
        <w:spacing w:after="0" w:line="231" w:lineRule="auto"/>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30" w:lineRule="exact"/>
        <w:rPr>
          <w:rFonts w:ascii="Arial" w:cs="Arial" w:eastAsia="Arial" w:hAnsi="Arial"/>
          <w:sz w:val="9"/>
          <w:szCs w:val="9"/>
          <w:color w:val="auto"/>
        </w:rPr>
      </w:pPr>
    </w:p>
    <w:p>
      <w:pPr>
        <w:ind w:left="1360" w:right="140" w:hanging="215"/>
        <w:spacing w:after="0" w:line="232" w:lineRule="auto"/>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30" w:lineRule="exact"/>
        <w:rPr>
          <w:rFonts w:ascii="Arial" w:cs="Arial" w:eastAsia="Arial" w:hAnsi="Arial"/>
          <w:sz w:val="9"/>
          <w:szCs w:val="9"/>
          <w:color w:val="auto"/>
        </w:rPr>
      </w:pPr>
    </w:p>
    <w:p>
      <w:pPr>
        <w:ind w:left="1360" w:right="460" w:hanging="210"/>
        <w:spacing w:after="0"/>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8" w:lineRule="exact"/>
        <w:rPr>
          <w:rFonts w:ascii="Arial" w:cs="Arial" w:eastAsia="Arial" w:hAnsi="Arial"/>
          <w:sz w:val="9"/>
          <w:szCs w:val="9"/>
          <w:color w:val="auto"/>
        </w:rPr>
      </w:pPr>
    </w:p>
    <w:p>
      <w:pPr>
        <w:ind w:left="1360" w:hanging="215"/>
        <w:spacing w:after="0"/>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34" w:lineRule="exact"/>
        <w:rPr>
          <w:rFonts w:ascii="Arial" w:cs="Arial" w:eastAsia="Arial" w:hAnsi="Arial"/>
          <w:sz w:val="9"/>
          <w:szCs w:val="9"/>
          <w:color w:val="auto"/>
        </w:rPr>
      </w:pPr>
    </w:p>
    <w:p>
      <w:pPr>
        <w:ind w:left="1360" w:right="80" w:hanging="215"/>
        <w:spacing w:after="0" w:line="234" w:lineRule="auto"/>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period from January 1 to October 25, 2009 was our predecessor’s gain recognized from the effects of our reorganization proceedings. The gain results from the difference between our predecessor’s carrying value of remaining pre-petition liabilities subject to compromise and the amounts to be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9" w:lineRule="exact"/>
        <w:rPr>
          <w:sz w:val="20"/>
          <w:szCs w:val="20"/>
          <w:color w:val="auto"/>
        </w:rPr>
      </w:pPr>
    </w:p>
    <w:p>
      <w:pPr>
        <w:ind w:left="1360" w:right="120"/>
        <w:spacing w:after="0" w:line="234" w:lineRule="auto"/>
        <w:rPr>
          <w:sz w:val="20"/>
          <w:szCs w:val="20"/>
          <w:color w:val="auto"/>
        </w:rPr>
      </w:pPr>
      <w:r>
        <w:rPr>
          <w:rFonts w:ascii="Arial" w:cs="Arial" w:eastAsia="Arial" w:hAnsi="Arial"/>
          <w:sz w:val="9"/>
          <w:szCs w:val="9"/>
          <w:color w:val="auto"/>
        </w:rPr>
        <w:t>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29" w:lineRule="exact"/>
        <w:rPr>
          <w:sz w:val="20"/>
          <w:szCs w:val="20"/>
          <w:color w:val="auto"/>
        </w:rPr>
      </w:pPr>
    </w:p>
    <w:p>
      <w:pPr>
        <w:ind w:left="1360" w:hanging="190"/>
        <w:spacing w:after="0"/>
        <w:tabs>
          <w:tab w:leader="none" w:pos="1360" w:val="left"/>
        </w:tabs>
        <w:numPr>
          <w:ilvl w:val="0"/>
          <w:numId w:val="16"/>
        </w:numPr>
        <w:rPr>
          <w:rFonts w:ascii="Arial" w:cs="Arial" w:eastAsia="Arial" w:hAnsi="Arial"/>
          <w:sz w:val="9"/>
          <w:szCs w:val="9"/>
          <w:color w:val="auto"/>
        </w:rPr>
      </w:pPr>
      <w:r>
        <w:rPr>
          <w:rFonts w:ascii="Arial" w:cs="Arial" w:eastAsia="Arial" w:hAnsi="Arial"/>
          <w:sz w:val="9"/>
          <w:szCs w:val="9"/>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4" w:lineRule="exact"/>
        <w:rPr>
          <w:rFonts w:ascii="Arial" w:cs="Arial" w:eastAsia="Arial" w:hAnsi="Arial"/>
          <w:sz w:val="9"/>
          <w:szCs w:val="9"/>
          <w:color w:val="auto"/>
        </w:rPr>
      </w:pPr>
    </w:p>
    <w:p>
      <w:pPr>
        <w:ind w:left="1360" w:right="200" w:hanging="215"/>
        <w:spacing w:after="0"/>
        <w:tabs>
          <w:tab w:leader="none" w:pos="1360" w:val="left"/>
        </w:tabs>
        <w:numPr>
          <w:ilvl w:val="0"/>
          <w:numId w:val="16"/>
        </w:numPr>
        <w:rPr>
          <w:rFonts w:ascii="Arial" w:cs="Arial" w:eastAsia="Arial" w:hAnsi="Arial"/>
          <w:sz w:val="9"/>
          <w:szCs w:val="9"/>
          <w:color w:val="auto"/>
        </w:rPr>
      </w:pPr>
      <w:r>
        <w:rPr>
          <w:rFonts w:ascii="Arial" w:cs="Arial" w:eastAsia="Arial" w:hAnsi="Arial"/>
          <w:sz w:val="9"/>
          <w:szCs w:val="9"/>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8" w:lineRule="exact"/>
        <w:rPr>
          <w:rFonts w:ascii="Arial" w:cs="Arial" w:eastAsia="Arial" w:hAnsi="Arial"/>
          <w:sz w:val="9"/>
          <w:szCs w:val="9"/>
          <w:color w:val="auto"/>
        </w:rPr>
      </w:pPr>
    </w:p>
    <w:p>
      <w:pPr>
        <w:jc w:val="both"/>
        <w:ind w:left="1360" w:hanging="215"/>
        <w:spacing w:after="0" w:line="236" w:lineRule="auto"/>
        <w:tabs>
          <w:tab w:leader="none" w:pos="1360" w:val="left"/>
        </w:tabs>
        <w:numPr>
          <w:ilvl w:val="0"/>
          <w:numId w:val="16"/>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6" w:lineRule="exact"/>
        <w:rPr>
          <w:sz w:val="20"/>
          <w:szCs w:val="20"/>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6" w:lineRule="exact"/>
        <w:rPr>
          <w:rFonts w:ascii="Arial" w:cs="Arial" w:eastAsia="Arial" w:hAnsi="Arial"/>
          <w:sz w:val="13"/>
          <w:szCs w:val="13"/>
          <w:color w:val="auto"/>
        </w:rPr>
      </w:pPr>
    </w:p>
    <w:p>
      <w:pPr>
        <w:ind w:left="1560" w:right="300" w:hanging="205"/>
        <w:spacing w:after="0" w:line="248" w:lineRule="auto"/>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w:t>
      </w:r>
    </w:p>
    <w:p>
      <w:pPr>
        <w:ind w:left="136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EBITDA only supplementally.</w:t>
      </w:r>
    </w:p>
    <w:p>
      <w:pPr>
        <w:spacing w:after="0" w:line="86" w:lineRule="exact"/>
        <w:rPr>
          <w:sz w:val="20"/>
          <w:szCs w:val="20"/>
          <w:color w:val="auto"/>
        </w:rPr>
      </w:pPr>
    </w:p>
    <w:p>
      <w:pPr>
        <w:ind w:left="1160" w:right="40" w:hanging="306"/>
        <w:spacing w:after="0"/>
        <w:tabs>
          <w:tab w:leader="none" w:pos="11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present Adjusted Net Income for a number of reasons, including:</w:t>
      </w:r>
    </w:p>
    <w:p>
      <w:pPr>
        <w:spacing w:after="0" w:line="86" w:lineRule="exact"/>
        <w:rPr>
          <w:sz w:val="20"/>
          <w:szCs w:val="20"/>
          <w:color w:val="auto"/>
        </w:rPr>
      </w:pPr>
    </w:p>
    <w:p>
      <w:pPr>
        <w:ind w:left="1560" w:hanging="205"/>
        <w:spacing w:after="0"/>
        <w:tabs>
          <w:tab w:leader="none" w:pos="1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6" w:lineRule="exact"/>
        <w:rPr>
          <w:rFonts w:ascii="Arial" w:cs="Arial" w:eastAsia="Arial" w:hAnsi="Arial"/>
          <w:sz w:val="13"/>
          <w:szCs w:val="13"/>
          <w:color w:val="auto"/>
        </w:rPr>
      </w:pPr>
    </w:p>
    <w:p>
      <w:pPr>
        <w:ind w:left="1560" w:right="560" w:hanging="205"/>
        <w:spacing w:after="0" w:line="248" w:lineRule="auto"/>
        <w:tabs>
          <w:tab w:leader="none" w:pos="1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560" w:hanging="205"/>
        <w:spacing w:after="0"/>
        <w:tabs>
          <w:tab w:leader="none" w:pos="1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60" w:right="60"/>
        <w:spacing w:after="0" w:line="238"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 (ii) 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8"/>
                <w:szCs w:val="8"/>
                <w:b w:val="1"/>
                <w:bCs w:val="1"/>
                <w:color w:val="auto"/>
              </w:rPr>
              <w:t>Historical</w:t>
            </w: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8"/>
                <w:szCs w:val="8"/>
                <w:b w:val="1"/>
                <w:bCs w:val="1"/>
                <w:color w:val="auto"/>
                <w:w w:val="99"/>
              </w:rPr>
              <w:t>Three Months</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20" w:type="dxa"/>
            <w:vAlign w:val="bottom"/>
            <w:tcBorders>
              <w:right w:val="single" w:sz="8" w:color="auto"/>
            </w:tcBorders>
            <w:gridSpan w:val="5"/>
          </w:tcPr>
          <w:p>
            <w:pPr>
              <w:jc w:val="right"/>
              <w:ind w:right="800"/>
              <w:spacing w:after="0" w:line="79" w:lineRule="exact"/>
              <w:rPr>
                <w:sz w:val="20"/>
                <w:szCs w:val="20"/>
                <w:color w:val="auto"/>
              </w:rPr>
            </w:pPr>
            <w:r>
              <w:rPr>
                <w:rFonts w:ascii="Arial" w:cs="Arial" w:eastAsia="Arial" w:hAnsi="Arial"/>
                <w:sz w:val="8"/>
                <w:szCs w:val="8"/>
                <w:b w:val="1"/>
                <w:bCs w:val="1"/>
                <w:color w:val="auto"/>
              </w:rPr>
              <w:t>Successor</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tcPr>
          <w:p>
            <w:pPr>
              <w:jc w:val="right"/>
              <w:ind w:right="100"/>
              <w:spacing w:after="0" w:line="79" w:lineRule="exact"/>
              <w:rPr>
                <w:sz w:val="20"/>
                <w:szCs w:val="20"/>
                <w:color w:val="auto"/>
              </w:rPr>
            </w:pPr>
            <w:r>
              <w:rPr>
                <w:rFonts w:ascii="Arial" w:cs="Arial" w:eastAsia="Arial" w:hAnsi="Arial"/>
                <w:sz w:val="8"/>
                <w:szCs w:val="8"/>
                <w:b w:val="1"/>
                <w:bCs w:val="1"/>
                <w:color w:val="auto"/>
              </w:rPr>
              <w:t>Predecessor</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jc w:val="center"/>
              <w:ind w:right="16"/>
              <w:spacing w:after="0" w:line="66" w:lineRule="exact"/>
              <w:rPr>
                <w:sz w:val="20"/>
                <w:szCs w:val="20"/>
                <w:color w:val="auto"/>
              </w:rPr>
            </w:pPr>
            <w:r>
              <w:rPr>
                <w:rFonts w:ascii="Arial" w:cs="Arial" w:eastAsia="Arial" w:hAnsi="Arial"/>
                <w:sz w:val="7"/>
                <w:szCs w:val="7"/>
                <w:b w:val="1"/>
                <w:bCs w:val="1"/>
                <w:color w:val="auto"/>
              </w:rPr>
              <w:t>Two- Month</w:t>
            </w: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Ten- Month</w:t>
            </w: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7"/>
                <w:szCs w:val="7"/>
                <w:color w:val="auto"/>
              </w:rPr>
            </w:pPr>
          </w:p>
        </w:tc>
        <w:tc>
          <w:tcPr>
            <w:tcW w:w="840" w:type="dxa"/>
            <w:vAlign w:val="bottom"/>
            <w:gridSpan w:val="2"/>
          </w:tcPr>
          <w:p>
            <w:pPr>
              <w:jc w:val="center"/>
              <w:ind w:right="320"/>
              <w:spacing w:after="0" w:line="89" w:lineRule="exact"/>
              <w:rPr>
                <w:sz w:val="20"/>
                <w:szCs w:val="20"/>
                <w:color w:val="auto"/>
              </w:rPr>
            </w:pPr>
            <w:r>
              <w:rPr>
                <w:rFonts w:ascii="Arial" w:cs="Arial" w:eastAsia="Arial" w:hAnsi="Arial"/>
                <w:sz w:val="8"/>
                <w:szCs w:val="8"/>
                <w:b w:val="1"/>
                <w:bCs w:val="1"/>
                <w:color w:val="auto"/>
                <w:w w:val="99"/>
              </w:rPr>
              <w:t>Year Ended</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60" w:type="dxa"/>
            <w:vAlign w:val="bottom"/>
          </w:tcPr>
          <w:p>
            <w:pPr>
              <w:spacing w:after="0"/>
              <w:rPr>
                <w:sz w:val="7"/>
                <w:szCs w:val="7"/>
                <w:color w:val="auto"/>
              </w:rPr>
            </w:pPr>
          </w:p>
        </w:tc>
        <w:tc>
          <w:tcPr>
            <w:tcW w:w="840" w:type="dxa"/>
            <w:vAlign w:val="bottom"/>
            <w:tcBorders>
              <w:right w:val="single" w:sz="8" w:color="auto"/>
            </w:tcBorders>
            <w:gridSpan w:val="2"/>
          </w:tcPr>
          <w:p>
            <w:pPr>
              <w:jc w:val="center"/>
              <w:ind w:right="280"/>
              <w:spacing w:after="0" w:line="89" w:lineRule="exact"/>
              <w:rPr>
                <w:sz w:val="20"/>
                <w:szCs w:val="20"/>
                <w:color w:val="auto"/>
              </w:rPr>
            </w:pPr>
            <w:r>
              <w:rPr>
                <w:rFonts w:ascii="Arial" w:cs="Arial" w:eastAsia="Arial" w:hAnsi="Arial"/>
                <w:sz w:val="8"/>
                <w:szCs w:val="8"/>
                <w:b w:val="1"/>
                <w:bCs w:val="1"/>
                <w:color w:val="auto"/>
              </w:rPr>
              <w:t>Period Ended</w:t>
            </w:r>
          </w:p>
        </w:tc>
        <w:tc>
          <w:tcPr>
            <w:tcW w:w="80" w:type="dxa"/>
            <w:vAlign w:val="bottom"/>
          </w:tcPr>
          <w:p>
            <w:pPr>
              <w:spacing w:after="0"/>
              <w:rPr>
                <w:sz w:val="7"/>
                <w:szCs w:val="7"/>
                <w:color w:val="auto"/>
              </w:rPr>
            </w:pPr>
          </w:p>
        </w:tc>
        <w:tc>
          <w:tcPr>
            <w:tcW w:w="78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80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7"/>
                <w:szCs w:val="7"/>
                <w:color w:val="auto"/>
              </w:rPr>
            </w:pPr>
          </w:p>
        </w:tc>
        <w:tc>
          <w:tcPr>
            <w:tcW w:w="1000" w:type="dxa"/>
            <w:vAlign w:val="bottom"/>
            <w:gridSpan w:val="5"/>
          </w:tcPr>
          <w:p>
            <w:pPr>
              <w:jc w:val="right"/>
              <w:ind w:right="36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March 31,</w:t>
            </w:r>
          </w:p>
        </w:tc>
        <w:tc>
          <w:tcPr>
            <w:tcW w:w="100" w:type="dxa"/>
            <w:vAlign w:val="bottom"/>
          </w:tcPr>
          <w:p>
            <w:pPr>
              <w:spacing w:after="0"/>
              <w:rPr>
                <w:sz w:val="8"/>
                <w:szCs w:val="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9"/>
              </w:rPr>
              <w:t>December 31,</w:t>
            </w: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31,</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9"/>
              </w:rPr>
              <w:t>October 25,</w:t>
            </w:r>
          </w:p>
        </w:tc>
        <w:tc>
          <w:tcPr>
            <w:tcW w:w="80" w:type="dxa"/>
            <w:vAlign w:val="bottom"/>
          </w:tcPr>
          <w:p>
            <w:pPr>
              <w:spacing w:after="0"/>
              <w:rPr>
                <w:sz w:val="8"/>
                <w:szCs w:val="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8"/>
                <w:szCs w:val="8"/>
                <w:color w:val="auto"/>
              </w:rPr>
            </w:pPr>
          </w:p>
        </w:tc>
        <w:tc>
          <w:tcPr>
            <w:tcW w:w="1000" w:type="dxa"/>
            <w:vAlign w:val="bottom"/>
            <w:gridSpan w:val="5"/>
          </w:tcPr>
          <w:p>
            <w:pPr>
              <w:jc w:val="right"/>
              <w:ind w:right="34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w w:val="89"/>
              </w:rPr>
              <w:t>2010</w:t>
            </w: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56"/>
              <w:spacing w:after="0" w:line="79" w:lineRule="exact"/>
              <w:rPr>
                <w:sz w:val="20"/>
                <w:szCs w:val="20"/>
                <w:color w:val="auto"/>
              </w:rPr>
            </w:pPr>
            <w:r>
              <w:rPr>
                <w:rFonts w:ascii="Arial" w:cs="Arial" w:eastAsia="Arial" w:hAnsi="Arial"/>
                <w:sz w:val="8"/>
                <w:szCs w:val="8"/>
                <w:b w:val="1"/>
                <w:bCs w:val="1"/>
                <w:color w:val="auto"/>
                <w:w w:val="89"/>
              </w:rPr>
              <w:t>2009</w:t>
            </w:r>
          </w:p>
        </w:tc>
        <w:tc>
          <w:tcPr>
            <w:tcW w:w="2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6"/>
              <w:spacing w:after="0" w:line="79" w:lineRule="exact"/>
              <w:rPr>
                <w:sz w:val="20"/>
                <w:szCs w:val="20"/>
                <w:color w:val="auto"/>
              </w:rPr>
            </w:pPr>
            <w:r>
              <w:rPr>
                <w:rFonts w:ascii="Arial" w:cs="Arial" w:eastAsia="Arial" w:hAnsi="Arial"/>
                <w:sz w:val="8"/>
                <w:szCs w:val="8"/>
                <w:b w:val="1"/>
                <w:bCs w:val="1"/>
                <w:color w:val="auto"/>
                <w:w w:val="89"/>
              </w:rPr>
              <w:t>2009</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center"/>
              <w:ind w:right="16"/>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rPr>
              <w:t>2009</w:t>
            </w:r>
          </w:p>
        </w:tc>
        <w:tc>
          <w:tcPr>
            <w:tcW w:w="180" w:type="dxa"/>
            <w:vAlign w:val="bottom"/>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55"/>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75"/>
              <w:spacing w:after="0" w:line="79" w:lineRule="exact"/>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(In millions)</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(loss)</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841.1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(69.7)</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(417.3)</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(180.6)</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Less: Income (loss) from discontinued operations, net of taxes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6.6</w:t>
            </w:r>
          </w:p>
        </w:tc>
        <w:tc>
          <w:tcPr>
            <w:tcW w:w="80" w:type="dxa"/>
            <w:vAlign w:val="bottom"/>
          </w:tcPr>
          <w:p>
            <w:pPr>
              <w:spacing w:after="0"/>
              <w:rPr>
                <w:sz w:val="8"/>
                <w:szCs w:val="8"/>
                <w:color w:val="auto"/>
              </w:rPr>
            </w:pPr>
          </w:p>
        </w:tc>
        <w:tc>
          <w:tcPr>
            <w:tcW w:w="8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(0.8)</w:t>
            </w: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(91.5)</w:t>
            </w:r>
          </w:p>
        </w:tc>
        <w:tc>
          <w:tcPr>
            <w:tcW w:w="80" w:type="dxa"/>
            <w:vAlign w:val="bottom"/>
          </w:tcPr>
          <w:p>
            <w:pPr>
              <w:spacing w:after="0"/>
              <w:rPr>
                <w:sz w:val="8"/>
                <w:szCs w:val="8"/>
                <w:color w:val="auto"/>
              </w:rPr>
            </w:pPr>
          </w:p>
        </w:tc>
        <w:tc>
          <w:tcPr>
            <w:tcW w:w="4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Income (loss) from continuing operations</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27.1</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46.6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834.5</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(68.9)</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(325.8)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(128.8)</w:t>
            </w:r>
          </w:p>
        </w:tc>
        <w:tc>
          <w:tcPr>
            <w:tcW w:w="0" w:type="dxa"/>
            <w:vAlign w:val="bottom"/>
          </w:tcPr>
          <w:p>
            <w:pPr>
              <w:spacing w:after="0"/>
              <w:rPr>
                <w:sz w:val="1"/>
                <w:szCs w:val="1"/>
                <w:color w:val="auto"/>
              </w:rPr>
            </w:pP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Adjustments: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Restructuring and impairment charges(a)</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0.3</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0.4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0.4</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Other restructuring charges(b)</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13.3</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3.1</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6.2</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Abandoned IPO expenses(c)</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Subcontractor claim settlement(d)</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Reorganization items, net(e)</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(804.6)</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Inventory step-up(f)</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0.9</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17.2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Equity based compensation expense(g)</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0.2</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0.6</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Amortization of intangibles associated with continuing operations(h)</w:t>
            </w:r>
          </w:p>
        </w:tc>
        <w:tc>
          <w:tcPr>
            <w:tcW w:w="8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7.7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23.6</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5.6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8.8</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2.4</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27.5</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Foreign currency loss (gain), net(i)</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(21.6)</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(21.6)</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(43.4)</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40.2</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210.4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Adjusted Net income (loss)</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15.0</w:t>
            </w:r>
          </w:p>
        </w:tc>
        <w:tc>
          <w:tcPr>
            <w:tcW w:w="200" w:type="dxa"/>
            <w:vAlign w:val="bottom"/>
          </w:tcPr>
          <w:p>
            <w:pPr>
              <w:spacing w:after="0"/>
              <w:rPr>
                <w:sz w:val="8"/>
                <w:szCs w:val="8"/>
                <w:color w:val="auto"/>
              </w:rPr>
            </w:pP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33.7</w:t>
            </w:r>
          </w:p>
        </w:tc>
        <w:tc>
          <w:tcPr>
            <w:tcW w:w="2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9.3</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(22.9)</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(71.7)</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(82.6)</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460" w:right="40" w:hanging="233"/>
        <w:spacing w:after="0" w:line="249" w:lineRule="auto"/>
        <w:tabs>
          <w:tab w:leader="none" w:pos="1460"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226" w:lineRule="exact"/>
        <w:rPr>
          <w:rFonts w:ascii="Arial" w:cs="Arial" w:eastAsia="Arial" w:hAnsi="Arial"/>
          <w:sz w:val="10"/>
          <w:szCs w:val="10"/>
          <w:color w:val="auto"/>
        </w:rPr>
      </w:pPr>
    </w:p>
    <w:p>
      <w:pPr>
        <w:ind w:left="1460" w:right="40" w:hanging="233"/>
        <w:spacing w:after="0" w:line="256" w:lineRule="auto"/>
        <w:tabs>
          <w:tab w:leader="none" w:pos="1460"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7" w:lineRule="exact"/>
        <w:rPr>
          <w:sz w:val="20"/>
          <w:szCs w:val="20"/>
          <w:color w:val="auto"/>
        </w:rPr>
      </w:pPr>
    </w:p>
    <w:p>
      <w:pPr>
        <w:ind w:left="1460" w:right="100"/>
        <w:spacing w:after="0" w:line="256" w:lineRule="auto"/>
        <w:rPr>
          <w:sz w:val="20"/>
          <w:szCs w:val="20"/>
          <w:color w:val="auto"/>
        </w:rPr>
      </w:pPr>
      <w:r>
        <w:rPr>
          <w:rFonts w:ascii="Arial" w:cs="Arial" w:eastAsia="Arial" w:hAnsi="Arial"/>
          <w:sz w:val="10"/>
          <w:szCs w:val="10"/>
          <w:color w:val="auto"/>
        </w:rPr>
        <w:t>$13.3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104" w:lineRule="exact"/>
        <w:rPr>
          <w:sz w:val="20"/>
          <w:szCs w:val="20"/>
          <w:color w:val="auto"/>
        </w:rPr>
      </w:pPr>
    </w:p>
    <w:p>
      <w:pPr>
        <w:ind w:left="1460" w:right="60" w:hanging="227"/>
        <w:spacing w:after="0" w:line="266" w:lineRule="auto"/>
        <w:tabs>
          <w:tab w:leader="none" w:pos="146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98" w:lineRule="exact"/>
        <w:rPr>
          <w:rFonts w:ascii="Arial" w:cs="Arial" w:eastAsia="Arial" w:hAnsi="Arial"/>
          <w:sz w:val="10"/>
          <w:szCs w:val="10"/>
          <w:color w:val="auto"/>
        </w:rPr>
      </w:pPr>
    </w:p>
    <w:p>
      <w:pPr>
        <w:ind w:left="1460" w:right="300" w:hanging="233"/>
        <w:spacing w:after="0" w:line="266" w:lineRule="auto"/>
        <w:tabs>
          <w:tab w:leader="none" w:pos="146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98" w:lineRule="exact"/>
        <w:rPr>
          <w:rFonts w:ascii="Arial" w:cs="Arial" w:eastAsia="Arial" w:hAnsi="Arial"/>
          <w:sz w:val="10"/>
          <w:szCs w:val="10"/>
          <w:color w:val="auto"/>
        </w:rPr>
      </w:pPr>
    </w:p>
    <w:p>
      <w:pPr>
        <w:ind w:left="1460" w:hanging="233"/>
        <w:spacing w:after="0" w:line="249" w:lineRule="auto"/>
        <w:tabs>
          <w:tab w:leader="none" w:pos="146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 months ended October 25, 2009 and the two months ended December 31, 2009 included elsewhere in this prospectus. We do not believe these items are indicative of our core ongoing operating performance because they were incurred as a result of our reorganization proceedings.</w:t>
      </w:r>
    </w:p>
    <w:p>
      <w:pPr>
        <w:spacing w:after="0" w:line="28" w:lineRule="exact"/>
        <w:rPr>
          <w:rFonts w:ascii="Arial" w:cs="Arial" w:eastAsia="Arial" w:hAnsi="Arial"/>
          <w:sz w:val="10"/>
          <w:szCs w:val="10"/>
          <w:color w:val="auto"/>
        </w:rPr>
      </w:pPr>
    </w:p>
    <w:p>
      <w:pPr>
        <w:ind w:left="1460" w:right="380" w:hanging="204"/>
        <w:spacing w:after="0" w:line="266" w:lineRule="auto"/>
        <w:tabs>
          <w:tab w:leader="none" w:pos="146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0" w:lineRule="exact"/>
        <w:rPr>
          <w:rFonts w:ascii="Arial" w:cs="Arial" w:eastAsia="Arial" w:hAnsi="Arial"/>
          <w:sz w:val="10"/>
          <w:szCs w:val="10"/>
          <w:color w:val="auto"/>
        </w:rPr>
      </w:pPr>
    </w:p>
    <w:p>
      <w:pPr>
        <w:ind w:left="1460" w:right="320" w:hanging="233"/>
        <w:spacing w:after="0" w:line="266" w:lineRule="auto"/>
        <w:tabs>
          <w:tab w:leader="none" w:pos="146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0" w:lineRule="exact"/>
        <w:rPr>
          <w:rFonts w:ascii="Arial" w:cs="Arial" w:eastAsia="Arial" w:hAnsi="Arial"/>
          <w:sz w:val="10"/>
          <w:szCs w:val="10"/>
          <w:color w:val="auto"/>
        </w:rPr>
      </w:pPr>
    </w:p>
    <w:p>
      <w:pPr>
        <w:ind w:left="1460" w:hanging="233"/>
        <w:spacing w:after="0" w:line="256" w:lineRule="auto"/>
        <w:tabs>
          <w:tab w:leader="none" w:pos="146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25" w:lineRule="exact"/>
        <w:rPr>
          <w:rFonts w:ascii="Arial" w:cs="Arial" w:eastAsia="Arial" w:hAnsi="Arial"/>
          <w:sz w:val="10"/>
          <w:szCs w:val="10"/>
          <w:color w:val="auto"/>
        </w:rPr>
      </w:pPr>
    </w:p>
    <w:p>
      <w:pPr>
        <w:ind w:left="1460" w:hanging="198"/>
        <w:spacing w:after="0" w:line="256" w:lineRule="auto"/>
        <w:tabs>
          <w:tab w:leader="none" w:pos="146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68"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6" w:lineRule="exact"/>
        <w:rPr>
          <w:sz w:val="20"/>
          <w:szCs w:val="20"/>
          <w:color w:val="auto"/>
        </w:rPr>
      </w:pPr>
    </w:p>
    <w:p>
      <w:pPr>
        <w:ind w:left="1560" w:hanging="205"/>
        <w:spacing w:after="0"/>
        <w:tabs>
          <w:tab w:leader="none" w:pos="15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6" w:lineRule="exact"/>
        <w:rPr>
          <w:sz w:val="20"/>
          <w:szCs w:val="20"/>
          <w:color w:val="auto"/>
        </w:rPr>
      </w:pPr>
    </w:p>
    <w:p>
      <w:pPr>
        <w:ind w:left="1360" w:right="420"/>
        <w:spacing w:after="0" w:line="248" w:lineRule="auto"/>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 We compensate for these limitations by relying primarily on our GAAP results and using Adjusted Net Income only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8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i w:val="1"/>
          <w:iCs w:val="1"/>
          <w:color w:val="auto"/>
        </w:rPr>
        <w:t>You should carefully consider the risk factors set forth below as well as the other information contained in this prospectus before investing in our common stock.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have a history of losses and may not achieve or sustain profitability in the future.</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Since we began operations as a separate entity in 2004, we have not generated a profit for a full fiscal year and have generated significant net losses. As of October 25, 2009, prior to our emergence from reorganization proceedings, we had an accumulated deficit of $964.8 million and negative unitholders’ equity. We may increase spending and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w:t>
      </w:r>
    </w:p>
    <w:p>
      <w:pPr>
        <w:spacing w:after="0" w:line="144"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b w:val="1"/>
          <w:bCs w:val="1"/>
          <w:i w:val="1"/>
          <w:iCs w:val="1"/>
          <w:color w:val="auto"/>
        </w:rPr>
        <w:t>We recently emerged from Chapter 11 reorganization proceedings; because our consolidated financial statements reflect fresh-start accounting adjustments, our future financial statements will not be comparable in many respects to our financial information from prior periods.</w:t>
      </w:r>
    </w:p>
    <w:p>
      <w:pPr>
        <w:spacing w:after="0" w:line="59"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obtain relief from our debt, which was $845 million as of December 31, 2008. Our plan of reorganization became effective on November 9, 2009. In connection with our emergence from the reorganization proceedings, we implemented fresh-start accounting in accordance with ASC 852 effective from October 25, 2009, which had a material effect on our consolidated financial statements. Thus, our future consolidated financial statements will not be comparable in many respects to our consolidated financial statements for periods prior to our adoption of fresh-start accounting and prior to accounting for the effects of the reorganization proceedings. Our past financial difficulties and bankruptcy filing may have harmed, and may continue to have a negative effect on, our relationships with investors, customers and suppliers.</w:t>
      </w:r>
    </w:p>
    <w:p>
      <w:pPr>
        <w:spacing w:after="0" w:line="143"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b w:val="1"/>
          <w:bCs w:val="1"/>
          <w:i w:val="1"/>
          <w:iCs w:val="1"/>
          <w:color w:val="auto"/>
        </w:rPr>
        <w:t>Our independent registered public accounting firm identified two control deficiencies which represent a material weakness in our internal control over financial reporting in connection with our audits for the ten-month period ended October 25, 2009 and the two-month period ended December 31, 2009. If we fail to effectively remediate this weakness and maintain effective internal control over financial reporting in the future, the accuracy and timing of our financial reporting may be adversely affected.</w:t>
      </w:r>
    </w:p>
    <w:p>
      <w:pPr>
        <w:spacing w:after="0" w:line="74"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In connection with the audit of our consolidated financial statements for the ten-month period ended October 25, 2009 and the two-month period ended December 31, 2009, our independent registered public accounting firm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that our internal controls over non-routine transactions are not effective to ensure that accounting considerations are identified and appropriately recorded.</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As we prepare for the completion of this offering, we have identified and taken steps intended to remediate this material weakness. Upon being notified of the material weakness, we retained the services of an international accounting firm to temporarily supplement our internal resources. We are also in the process of recruiting a director of financial reporting. Any inability to recruit, train and retain adequate finance personnel with requisite technical and public company experience could have an adverse impact on our ability to accurately and timely prepare our consolidated financial statements. If our finance and accounting organization is unable for any reason to respond adequately to the increased demands that will result from being a public company, the quality and timeliness of our financial reporting may suffer, which could result in the identification of additional material weaknesses in our internal controls. Any consequences resulting from inaccuracies or delays in our reported financial statements could have an adverse effect on our business, operating results and financial condition, our ability to run our business effectively and our ability to meet our financial reporting requirements, and could cause investors to lose confidence in our financial reporting. See “Management’s Discussion and Analysis of Financial Condition and Results of Operations — Controls and Procedures.”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operate in the highly cyclical semiconductor industry, which is subject to significant downturns that may negatively impact our results of operations.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including the recent economic downturn,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w:t>
      </w:r>
    </w:p>
    <w:p>
      <w:pPr>
        <w:spacing w:after="0" w:line="83"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41"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b w:val="1"/>
          <w:bCs w:val="1"/>
          <w:i w:val="1"/>
          <w:iCs w:val="1"/>
          <w:color w:val="auto"/>
        </w:rPr>
        <w:t>If we fail to develop new products and process technologies or enhance our existing products and services in order to react to rapid technological change and market demands, our business will suffer.</w:t>
      </w:r>
    </w:p>
    <w:p>
      <w:pPr>
        <w:spacing w:after="0" w:line="59"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79"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Any new products, such as our new line of power management solutions, which we began marketing in 2008,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44" w:lineRule="exact"/>
        <w:rPr>
          <w:sz w:val="20"/>
          <w:szCs w:val="20"/>
          <w:color w:val="auto"/>
        </w:rPr>
      </w:pPr>
    </w:p>
    <w:p>
      <w:pPr>
        <w:ind w:left="680" w:right="600"/>
        <w:spacing w:after="0" w:line="273" w:lineRule="auto"/>
        <w:rPr>
          <w:sz w:val="20"/>
          <w:szCs w:val="20"/>
          <w:color w:val="auto"/>
        </w:rPr>
      </w:pPr>
      <w:r>
        <w:rPr>
          <w:rFonts w:ascii="Arial" w:cs="Arial" w:eastAsia="Arial" w:hAnsi="Arial"/>
          <w:sz w:val="13"/>
          <w:szCs w:val="13"/>
          <w:b w:val="1"/>
          <w:bCs w:val="1"/>
          <w:i w:val="1"/>
          <w:iCs w:val="1"/>
          <w:color w:val="auto"/>
        </w:rPr>
        <w:t>We manufacture our products based on our estimates of customer demand, and if our estimates are incorrect our financial results could be negatively impacted.</w:t>
      </w:r>
    </w:p>
    <w:p>
      <w:pPr>
        <w:spacing w:after="0" w:line="5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We make significant decisions, including determining the levels of business that we will seek and accept, production schedules, component procurement commitments, personnel needs and other resource requirements –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customers may cancel their orders, reduce quantities or delay production, which would adversely affect our margins and results of operations.</w:t>
      </w:r>
    </w:p>
    <w:p>
      <w:pPr>
        <w:spacing w:after="0" w:line="102"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143" w:lineRule="exact"/>
        <w:rPr>
          <w:sz w:val="20"/>
          <w:szCs w:val="20"/>
          <w:color w:val="auto"/>
        </w:rPr>
      </w:pPr>
    </w:p>
    <w:p>
      <w:pPr>
        <w:ind w:left="680" w:right="20"/>
        <w:spacing w:after="0" w:line="273" w:lineRule="auto"/>
        <w:rPr>
          <w:sz w:val="20"/>
          <w:szCs w:val="20"/>
          <w:color w:val="auto"/>
        </w:rPr>
      </w:pPr>
      <w:r>
        <w:rPr>
          <w:rFonts w:ascii="Arial" w:cs="Arial" w:eastAsia="Arial" w:hAnsi="Arial"/>
          <w:sz w:val="13"/>
          <w:szCs w:val="13"/>
          <w:b w:val="1"/>
          <w:bCs w:val="1"/>
          <w:i w:val="1"/>
          <w:iCs w:val="1"/>
          <w:color w:val="auto"/>
        </w:rPr>
        <w:t>We depend on high utilization of our manufacturing capacity, a reduction of which could have a material adverse effect on our business, financial condition and the results of our operations.</w:t>
      </w:r>
    </w:p>
    <w:p>
      <w:pPr>
        <w:spacing w:after="0" w:line="59"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and fire, flood or other natural disasters or calamities. The potential delays and costs resulting from these steps could have a material adverse effect on our business, financial condition and results of operations.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A significant portion of our sales comes from a relatively limited number of customers, the loss of which would adversely affect our financial results.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Historically, we have relied on a limited number of customers for a substantial portion of our total revenue. If we were to lose key customers or if customers cease to place orders for our high-volume products or services, our financial results would be adversely affected. Net sales to our ten largest customers represented 64%, 66%, 69% and 63% of our net sales for the three months ended March 31, 2010, the two-month period ended December 31, 2009, the ten-month period ended October 25, 2009 and the year ended December 31, 2008, respectively. LG Display represented 20% and 26% of our net sales and a substantial portion of the net sales generated by our top ten customers for the three months ended March 31, 2010 and the combined twelve-month period ended December 31, 2009. Significant reductions in sales to any of these customers, especially our few largest customers, the loss of other major customers or a general curtailment in orders for our high-volume products or services within a short period of time would adversely affect our business.</w:t>
      </w:r>
    </w:p>
    <w:p>
      <w:pPr>
        <w:spacing w:after="0" w:line="145"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b w:val="1"/>
          <w:bCs w:val="1"/>
          <w:i w:val="1"/>
          <w:iCs w:val="1"/>
          <w:color w:val="auto"/>
        </w:rPr>
        <w:t>The average selling prices of our semiconductor products have at times declined rapidly and will likely do so in the future, which could harm our revenue and gross profit.</w:t>
      </w:r>
    </w:p>
    <w:p>
      <w:pPr>
        <w:spacing w:after="0" w:line="59"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industry is highly competitive and our ability to compete could be negatively impacted by a variety of factors.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80"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4" w:lineRule="exact"/>
        <w:rPr>
          <w:sz w:val="20"/>
          <w:szCs w:val="20"/>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offer cost-effective and high quality products and services on a timely basis using our technologies;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accurately identify and respond to emerging technological trends and demand for product features and performance characteristics;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continue to rapidly introduce new products that are accepted by the market;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adopt or adapt to emerging industry standards;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number and nature of our competitors and competitiveness of their products and services in a given market;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entrance of new competitors into our markets;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enter the highly competitive power management market; and</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00" w:hanging="212"/>
        <w:spacing w:after="0"/>
        <w:tabs>
          <w:tab w:leader="none" w:pos="1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ability to continue to offer in demand semiconductor manufacturing services at competitive prices.</w:t>
      </w:r>
    </w:p>
    <w:p>
      <w:pPr>
        <w:spacing w:after="0" w:line="86" w:lineRule="exact"/>
        <w:rPr>
          <w:sz w:val="20"/>
          <w:szCs w:val="20"/>
          <w:color w:val="auto"/>
        </w:rPr>
      </w:pPr>
    </w:p>
    <w:p>
      <w:pPr>
        <w:ind w:left="680" w:right="140"/>
        <w:spacing w:after="0" w:line="248" w:lineRule="auto"/>
        <w:rPr>
          <w:sz w:val="20"/>
          <w:szCs w:val="20"/>
          <w:color w:val="auto"/>
        </w:rPr>
      </w:pPr>
      <w:r>
        <w:rPr>
          <w:rFonts w:ascii="Arial" w:cs="Arial" w:eastAsia="Arial" w:hAnsi="Arial"/>
          <w:sz w:val="13"/>
          <w:szCs w:val="13"/>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Changes in demand for consumer electronics in our end markets can impact our results of operations.</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44" w:lineRule="exact"/>
        <w:rPr>
          <w:sz w:val="20"/>
          <w:szCs w:val="20"/>
          <w:color w:val="auto"/>
        </w:rPr>
      </w:pPr>
    </w:p>
    <w:p>
      <w:pPr>
        <w:ind w:left="680" w:right="300"/>
        <w:spacing w:after="0" w:line="273" w:lineRule="auto"/>
        <w:rPr>
          <w:sz w:val="20"/>
          <w:szCs w:val="20"/>
          <w:color w:val="auto"/>
        </w:rPr>
      </w:pPr>
      <w:r>
        <w:rPr>
          <w:rFonts w:ascii="Arial" w:cs="Arial" w:eastAsia="Arial" w:hAnsi="Arial"/>
          <w:sz w:val="13"/>
          <w:szCs w:val="13"/>
          <w:b w:val="1"/>
          <w:bCs w:val="1"/>
          <w:i w:val="1"/>
          <w:iCs w:val="1"/>
          <w:color w:val="auto"/>
        </w:rPr>
        <w:t>If we fail to achieve design wins for our semiconductor products, we may lose the opportunity for sales to customers for a significant period of time and be unable to recoup our investments in our products.</w:t>
      </w:r>
    </w:p>
    <w:p>
      <w:pPr>
        <w:spacing w:after="0" w:line="5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We expend considerable resources on winning competitive selection processes, known as design 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45" w:lineRule="exact"/>
        <w:rPr>
          <w:sz w:val="20"/>
          <w:szCs w:val="20"/>
          <w:color w:val="auto"/>
        </w:rPr>
      </w:pPr>
    </w:p>
    <w:p>
      <w:pPr>
        <w:ind w:left="680" w:right="200"/>
        <w:spacing w:after="0" w:line="273" w:lineRule="auto"/>
        <w:rPr>
          <w:sz w:val="20"/>
          <w:szCs w:val="20"/>
          <w:color w:val="auto"/>
        </w:rPr>
      </w:pPr>
      <w:r>
        <w:rPr>
          <w:rFonts w:ascii="Arial" w:cs="Arial" w:eastAsia="Arial" w:hAnsi="Arial"/>
          <w:sz w:val="13"/>
          <w:szCs w:val="13"/>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59"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560"/>
        <w:spacing w:after="0" w:line="248" w:lineRule="auto"/>
        <w:rPr>
          <w:sz w:val="20"/>
          <w:szCs w:val="20"/>
          <w:color w:val="auto"/>
        </w:rPr>
      </w:pPr>
      <w:r>
        <w:rPr>
          <w:rFonts w:ascii="Arial" w:cs="Arial" w:eastAsia="Arial" w:hAnsi="Arial"/>
          <w:sz w:val="13"/>
          <w:szCs w:val="13"/>
          <w:color w:val="auto"/>
        </w:rPr>
        <w:t>their products, we may be unable to recoup our engineering resources commitment and our investment in process technology development, which would harm our business.</w:t>
      </w:r>
    </w:p>
    <w:p>
      <w:pPr>
        <w:spacing w:after="0" w:line="137"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b w:val="1"/>
          <w:bCs w:val="1"/>
          <w:i w:val="1"/>
          <w:iCs w:val="1"/>
          <w:color w:val="auto"/>
        </w:rPr>
        <w:t>Research and development investments may not yield profitable and commercially viable product and service offerings and thus will not necessarily result in increases in revenues for us.</w:t>
      </w:r>
    </w:p>
    <w:p>
      <w:pPr>
        <w:spacing w:after="0" w:line="5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that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44" w:lineRule="exact"/>
        <w:rPr>
          <w:sz w:val="20"/>
          <w:szCs w:val="20"/>
          <w:color w:val="auto"/>
        </w:rPr>
      </w:pPr>
    </w:p>
    <w:p>
      <w:pPr>
        <w:ind w:left="680" w:right="420"/>
        <w:spacing w:after="0" w:line="273" w:lineRule="auto"/>
        <w:rPr>
          <w:sz w:val="20"/>
          <w:szCs w:val="20"/>
          <w:color w:val="auto"/>
        </w:rPr>
      </w:pPr>
      <w:r>
        <w:rPr>
          <w:rFonts w:ascii="Arial" w:cs="Arial" w:eastAsia="Arial" w:hAnsi="Arial"/>
          <w:sz w:val="13"/>
          <w:szCs w:val="13"/>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59"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Our growth strategy is to leverage our advanced analog and mixed-signal technology platform, continue to innovate and deliver new products and services, increase business with existing customers, broaden our customer base, aggressively grow our power business, drive execution excellence and focus on specialty process technologies. As part of our growth strategy, we began marketing a new line of power management semiconductor products in 2008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43" w:lineRule="exact"/>
        <w:rPr>
          <w:sz w:val="20"/>
          <w:szCs w:val="20"/>
          <w:color w:val="auto"/>
        </w:rPr>
      </w:pPr>
    </w:p>
    <w:p>
      <w:pPr>
        <w:ind w:left="680" w:right="660"/>
        <w:spacing w:after="0" w:line="273" w:lineRule="auto"/>
        <w:rPr>
          <w:sz w:val="20"/>
          <w:szCs w:val="20"/>
          <w:color w:val="auto"/>
        </w:rPr>
      </w:pPr>
      <w:r>
        <w:rPr>
          <w:rFonts w:ascii="Arial" w:cs="Arial" w:eastAsia="Arial" w:hAnsi="Arial"/>
          <w:sz w:val="13"/>
          <w:szCs w:val="13"/>
          <w:b w:val="1"/>
          <w:bCs w:val="1"/>
          <w:i w:val="1"/>
          <w:iCs w:val="1"/>
          <w:color w:val="auto"/>
        </w:rPr>
        <w:t>We are subject to risks associated with currency fluctuations, and changes in the exchange rates of applicable currencies could impact our results of operations.</w:t>
      </w:r>
    </w:p>
    <w:p>
      <w:pPr>
        <w:spacing w:after="0" w:line="5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Fluctuations in foreign currency exchange rates also impact the reporting of our receivables and payables in non-U.S. currencies. Foreign currency fluctuations had a materially beneficial impact on our results of operations in the fiscal year ended December 31, 2008 relative to the fiscal year ended December 31, 2007, as well as in the combined twelve-month period ended December 31, 2009 relative to the fiscal year ended December 31, 2008.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following the completion of this offering could be adversely affected.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and May 2010 our Korean subsidiary entered into foreign currency option and forward contracts in order to mitigate a portion of the impact of U.S. dollar-Korean won exchange rate fluctuations on our operating results. The January 2010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The May 2010 option and forward contracts require us to sell specified notional amounts in U.S. dollars and provide us the option to sell specified notional amounts in U.S. dollars during the months of January 2011 through June 2011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$ 30 million at the end of a fiscal quarter. We cannot assure you that any hedging technique we implement will be effective. If our hedging activities are not effective, changes in currency exchange rates may have a more significant impact on our results of operations. See “Management’s Discussion and Analysis of Financial Condition and Results of Operations — Factors Affecting our Results of Operations.”</w:t>
      </w:r>
    </w:p>
    <w:p>
      <w:pPr>
        <w:spacing w:after="0" w:line="142" w:lineRule="exact"/>
        <w:rPr>
          <w:sz w:val="20"/>
          <w:szCs w:val="20"/>
          <w:color w:val="auto"/>
        </w:rPr>
      </w:pPr>
    </w:p>
    <w:p>
      <w:pPr>
        <w:ind w:left="680" w:right="20"/>
        <w:spacing w:after="0" w:line="273" w:lineRule="auto"/>
        <w:rPr>
          <w:sz w:val="20"/>
          <w:szCs w:val="20"/>
          <w:color w:val="auto"/>
        </w:rPr>
      </w:pPr>
      <w:r>
        <w:rPr>
          <w:rFonts w:ascii="Arial" w:cs="Arial" w:eastAsia="Arial" w:hAnsi="Arial"/>
          <w:sz w:val="13"/>
          <w:szCs w:val="13"/>
          <w:b w:val="1"/>
          <w:bCs w:val="1"/>
          <w:i w:val="1"/>
          <w:iCs w:val="1"/>
          <w:color w:val="auto"/>
        </w:rPr>
        <w:t>The global recession and related financial crisis negatively affected our business. Poor economic conditions may negatively affect our future business, results of operations and financial condition.</w:t>
      </w:r>
    </w:p>
    <w:p>
      <w:pPr>
        <w:spacing w:after="0" w:line="5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The global recession and related financial crisis led to slower economic activity, increased unemployment, concerns about inflation and energy costs, decreased business and consumer confidence, reduced corporate profits and capital spending, adverse business conditions and lower levels of liquidity in many financial markets. Consumers and businesses deferred purchases in response to tighter credit and negative financial news, which has in turn negatively affected product demand and other related matters. The global recession led to reduced customer spending in the semiconductor market and in our target markets, made it difficult for our customers, our vendors and us to accurately forecast and plan future business activities, and caused U.S. and foreign businesses to slow spending on our products. Although recently there have been indications of improved economic conditions generally and in the semiconductor industry specifically, we cannot assure you of the extent to which such conditions will continue to improve or whether the improvement will be sustainable. If the global economic recovery is not sustained or the global economy experiences another recession, such adverse economic conditions could lead to the insolvency of key suppliers resulting in product delays, limit the ability of customers to obtain credit to finance purchases of our products, lead to customer insolvencies, and also result in counterparty failures that may negatively impact our treasury operations. As a result, our business, financial condition and result of operations could be materially adversely affected in future periods as a result of economic downturns.</w:t>
      </w:r>
    </w:p>
    <w:p>
      <w:pPr>
        <w:spacing w:after="0" w:line="143" w:lineRule="exact"/>
        <w:rPr>
          <w:sz w:val="20"/>
          <w:szCs w:val="20"/>
          <w:color w:val="auto"/>
        </w:rPr>
      </w:pPr>
    </w:p>
    <w:p>
      <w:pPr>
        <w:ind w:left="680" w:right="520"/>
        <w:spacing w:after="0" w:line="273" w:lineRule="auto"/>
        <w:rPr>
          <w:sz w:val="20"/>
          <w:szCs w:val="20"/>
          <w:color w:val="auto"/>
        </w:rPr>
      </w:pPr>
      <w:r>
        <w:rPr>
          <w:rFonts w:ascii="Arial" w:cs="Arial" w:eastAsia="Arial" w:hAnsi="Arial"/>
          <w:sz w:val="13"/>
          <w:szCs w:val="13"/>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59" w:lineRule="exact"/>
        <w:rPr>
          <w:sz w:val="20"/>
          <w:szCs w:val="20"/>
          <w:color w:val="auto"/>
        </w:rPr>
      </w:pPr>
    </w:p>
    <w:p>
      <w:pPr>
        <w:ind w:left="680" w:right="320" w:firstLine="499"/>
        <w:spacing w:after="0" w:line="239" w:lineRule="auto"/>
        <w:rPr>
          <w:sz w:val="20"/>
          <w:szCs w:val="20"/>
          <w:color w:val="auto"/>
        </w:rPr>
      </w:pPr>
      <w:r>
        <w:rPr>
          <w:rFonts w:ascii="Arial" w:cs="Arial" w:eastAsia="Arial" w:hAnsi="Arial"/>
          <w:sz w:val="13"/>
          <w:szCs w:val="13"/>
          <w:color w:val="auto"/>
        </w:rPr>
        <w:t>Our key executives have substantial experience and have made significant contributions to our business, and our continued success is dependent upon the retention of our key management executives, including our Chief Executive Officer and Chairman, Sang Park.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20"/>
        <w:spacing w:after="0" w:line="248" w:lineRule="auto"/>
        <w:rPr>
          <w:sz w:val="20"/>
          <w:szCs w:val="20"/>
          <w:color w:val="auto"/>
        </w:rPr>
      </w:pPr>
      <w:r>
        <w:rPr>
          <w:rFonts w:ascii="Arial" w:cs="Arial" w:eastAsia="Arial" w:hAnsi="Arial"/>
          <w:sz w:val="13"/>
          <w:szCs w:val="13"/>
          <w:color w:val="auto"/>
        </w:rPr>
        <w:t>could have a material adverse effect on our business, financial condition and results of operations. This could hinder our research and product development programs or otherwise have a material adverse effect on our business.</w:t>
      </w:r>
    </w:p>
    <w:p>
      <w:pPr>
        <w:spacing w:after="0" w:line="137" w:lineRule="exact"/>
        <w:rPr>
          <w:sz w:val="20"/>
          <w:szCs w:val="20"/>
          <w:color w:val="auto"/>
        </w:rPr>
      </w:pPr>
    </w:p>
    <w:p>
      <w:pPr>
        <w:ind w:left="680" w:right="400"/>
        <w:spacing w:after="0" w:line="273" w:lineRule="auto"/>
        <w:rPr>
          <w:sz w:val="20"/>
          <w:szCs w:val="20"/>
          <w:color w:val="auto"/>
        </w:rPr>
      </w:pPr>
      <w:r>
        <w:rPr>
          <w:rFonts w:ascii="Arial" w:cs="Arial" w:eastAsia="Arial" w:hAnsi="Arial"/>
          <w:sz w:val="13"/>
          <w:szCs w:val="13"/>
          <w:b w:val="1"/>
          <w:bCs w:val="1"/>
          <w:i w:val="1"/>
          <w:iCs w:val="1"/>
          <w:color w:val="auto"/>
        </w:rPr>
        <w:t>If we encounter future labor problems, we may fail to deliver our products and services in a timely manner, which could adversely affect our revenues and profitability.</w:t>
      </w:r>
    </w:p>
    <w:p>
      <w:pPr>
        <w:spacing w:after="0" w:line="5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As of April 30, 2010, 2,176 employees, or approximately 66.2%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incur costs to engage in future business combinations or strategic investments, and we may not realize the anticipated benefits of those transactions.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failure to achieve acceptable manufacturing yields could adversely affect our business.</w:t>
      </w:r>
    </w:p>
    <w:p>
      <w:pPr>
        <w:spacing w:after="0" w:line="102" w:lineRule="exact"/>
        <w:rPr>
          <w:sz w:val="20"/>
          <w:szCs w:val="20"/>
          <w:color w:val="auto"/>
        </w:rPr>
      </w:pPr>
    </w:p>
    <w:p>
      <w:pPr>
        <w:ind w:left="680" w:right="120" w:firstLine="499"/>
        <w:spacing w:after="0" w:line="238" w:lineRule="auto"/>
        <w:rPr>
          <w:sz w:val="20"/>
          <w:szCs w:val="20"/>
          <w:color w:val="auto"/>
        </w:rPr>
      </w:pPr>
      <w:r>
        <w:rPr>
          <w:rFonts w:ascii="Arial" w:cs="Arial" w:eastAsia="Arial" w:hAnsi="Arial"/>
          <w:sz w:val="13"/>
          <w:szCs w:val="13"/>
          <w:color w:val="auto"/>
        </w:rPr>
        <w:t>The manufacture of semiconductors involves highly complex processes that require precision, a highly regulated and sterile environment and specialized equipment. Defects or other difficulties in the manufacturing process can prevent us from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145" w:lineRule="exact"/>
        <w:rPr>
          <w:sz w:val="20"/>
          <w:szCs w:val="20"/>
          <w:color w:val="auto"/>
        </w:rPr>
      </w:pPr>
    </w:p>
    <w:p>
      <w:pPr>
        <w:ind w:left="680" w:right="180"/>
        <w:spacing w:after="0" w:line="273" w:lineRule="auto"/>
        <w:rPr>
          <w:sz w:val="20"/>
          <w:szCs w:val="20"/>
          <w:color w:val="auto"/>
        </w:rPr>
      </w:pPr>
      <w:r>
        <w:rPr>
          <w:rFonts w:ascii="Arial" w:cs="Arial" w:eastAsia="Arial" w:hAnsi="Arial"/>
          <w:sz w:val="13"/>
          <w:szCs w:val="13"/>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China, Taiwan, Malaysia and Thailand. We rely on these subcontractors to package and test our devices with acceptable quality and yield levels. We could be adversely affected by political disorders, labor disruptions, and natural disasters where our subcontractors are located.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200"/>
        <w:spacing w:after="0" w:line="273" w:lineRule="auto"/>
        <w:rPr>
          <w:sz w:val="20"/>
          <w:szCs w:val="20"/>
          <w:color w:val="auto"/>
        </w:rPr>
      </w:pPr>
      <w:r>
        <w:rPr>
          <w:rFonts w:ascii="Arial" w:cs="Arial" w:eastAsia="Arial" w:hAnsi="Arial"/>
          <w:sz w:val="13"/>
          <w:szCs w:val="13"/>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5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We do not have long-term agreements providing for all of these materials, thus, if demand increases or supply decreases, the costs of our raw materials could significantly increase. For example, worldwide supplies of silicon wafers, an important raw material for the semiconductors we manufacture, were constrained in recent years due to an increased demand for silicon. Silicon is also a key raw material for solar cells, the demand for which has increased in recent years. Although supplies of silicon have recently improved due to the entrance of additional suppliers and capacity expansion by existing suppliers, we cannot assure you that such supply increases will match demand increases. If we cannot obtain adequate materials in a timely manner or on favorable terms for the manufacture of our products, revenues and results of operations will decline.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face warranty claims, product return, litigation and liability risks and the risk of negative publicity if our products fail.</w:t>
      </w:r>
    </w:p>
    <w:p>
      <w:pPr>
        <w:spacing w:after="0" w:line="102" w:lineRule="exact"/>
        <w:rPr>
          <w:sz w:val="20"/>
          <w:szCs w:val="20"/>
          <w:color w:val="auto"/>
        </w:rPr>
      </w:pPr>
    </w:p>
    <w:p>
      <w:pPr>
        <w:jc w:val="both"/>
        <w:ind w:left="680" w:right="60" w:firstLine="499"/>
        <w:spacing w:after="0"/>
        <w:rPr>
          <w:sz w:val="20"/>
          <w:szCs w:val="20"/>
          <w:color w:val="auto"/>
        </w:rPr>
      </w:pPr>
      <w:r>
        <w:rPr>
          <w:rFonts w:ascii="Arial" w:cs="Arial" w:eastAsia="Arial" w:hAnsi="Arial"/>
          <w:sz w:val="13"/>
          <w:szCs w:val="13"/>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80"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could suffer adverse tax and other financial consequences as a result of changes in, or differences in the interpretation of, applicable tax laws.</w:t>
      </w:r>
    </w:p>
    <w:p>
      <w:pPr>
        <w:spacing w:after="0" w:line="102"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Our company organizational structure was created in part based on certain interpretations and conclusions regarding various tax laws, including withholding tax, and other tax laws of applicable jurisdictions. Our Korean subsidiary, MagnaChip Semiconductor, Ltd., or MagnaChip Korea, was granted a limited tax holiday under Korean law in October 2004. This grant provided for certain tax exemptions for corporate taxes and withholding taxes until December 31, 2008, and for acquisition taxes, property and land use taxes and certain other taxes until December 31, 2013.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b w:val="1"/>
          <w:bCs w:val="1"/>
          <w:i w:val="1"/>
          <w:i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5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We cannot assure you that other countries in which we market our services will protect our intellectual property rights to the same extent as the United States.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United States.</w:t>
      </w:r>
    </w:p>
    <w:p>
      <w:pPr>
        <w:spacing w:after="0" w:line="82" w:lineRule="exact"/>
        <w:rPr>
          <w:sz w:val="20"/>
          <w:szCs w:val="20"/>
          <w:color w:val="auto"/>
        </w:rPr>
      </w:pPr>
    </w:p>
    <w:p>
      <w:pPr>
        <w:jc w:val="both"/>
        <w:ind w:left="680" w:right="20" w:firstLine="499"/>
        <w:spacing w:after="0" w:line="239" w:lineRule="auto"/>
        <w:rPr>
          <w:sz w:val="20"/>
          <w:szCs w:val="20"/>
          <w:color w:val="auto"/>
        </w:rPr>
      </w:pPr>
      <w:r>
        <w:rPr>
          <w:rFonts w:ascii="Arial" w:cs="Arial" w:eastAsia="Arial" w:hAnsi="Arial"/>
          <w:sz w:val="13"/>
          <w:szCs w:val="13"/>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81" w:lineRule="exact"/>
        <w:rPr>
          <w:sz w:val="20"/>
          <w:szCs w:val="20"/>
          <w:color w:val="auto"/>
        </w:rPr>
      </w:pPr>
    </w:p>
    <w:p>
      <w:pPr>
        <w:ind w:left="1400" w:right="40" w:hanging="212"/>
        <w:spacing w:after="0" w:line="248" w:lineRule="auto"/>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pay substantial damages or indemnify customers or licensees for damages they may suffer if the products they purchase from us or the technology they license from us violate the intellectual property rights of others;</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stop our manufacture, use, sale or importation of infringing products; expend significant resources to develop or acquire non-infringing technologies;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discontinue processes; or</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obtain licenses to the intellectual property we are found to have infringed.</w:t>
      </w:r>
    </w:p>
    <w:p>
      <w:pPr>
        <w:spacing w:after="0" w:line="86"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There can be no assurance that we would be successful in such development or acquisition or that such licenses would be available under reasonable terms, or at all. The termination of key third party licenses relating to the use of intellectual property in our products and our design processes, such as our agreements with Silicon Works Co., Ltd. and ARM Limited, would materially and adversely affect our business.</w:t>
      </w:r>
    </w:p>
    <w:p>
      <w:pPr>
        <w:spacing w:after="0" w:line="79"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460"/>
        <w:spacing w:after="0" w:line="273" w:lineRule="auto"/>
        <w:rPr>
          <w:sz w:val="20"/>
          <w:szCs w:val="20"/>
          <w:color w:val="auto"/>
        </w:rPr>
      </w:pPr>
      <w:r>
        <w:rPr>
          <w:rFonts w:ascii="Arial" w:cs="Arial" w:eastAsia="Arial" w:hAnsi="Arial"/>
          <w:sz w:val="13"/>
          <w:szCs w:val="13"/>
          <w:b w:val="1"/>
          <w:bCs w:val="1"/>
          <w:i w:val="1"/>
          <w:iCs w:val="1"/>
          <w:color w:val="auto"/>
        </w:rPr>
        <w:t>Our expenses could increase if Hynix were unwilling or unable to provide certain services related to our shared facilities with Hynix, and if Hynix were to become insolvent, we could lose certain of our leases.</w:t>
      </w:r>
    </w:p>
    <w:p>
      <w:pPr>
        <w:spacing w:after="0" w:line="5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We are party to a land lease and easement agreement with Hynix pursuant to which we lease the land for our facilities in Cheongju, Korea. If this agreement were terminated for any reason, including the insolvency of Hynix, we would have to renegotiate new lease terms with Hynix or the new owner of the land. We cannot assure you that we could negotiate new lease terms on favorable terms or at all.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many environmental laws and regulations that could affect our operations or result in significant expenses.</w:t>
      </w:r>
    </w:p>
    <w:p>
      <w:pPr>
        <w:spacing w:after="0" w:line="102" w:lineRule="exact"/>
        <w:rPr>
          <w:sz w:val="20"/>
          <w:szCs w:val="20"/>
          <w:color w:val="auto"/>
        </w:rPr>
      </w:pPr>
    </w:p>
    <w:p>
      <w:pPr>
        <w:ind w:left="680" w:right="100" w:firstLine="499"/>
        <w:spacing w:after="0" w:line="238" w:lineRule="auto"/>
        <w:rPr>
          <w:sz w:val="20"/>
          <w:szCs w:val="20"/>
          <w:color w:val="auto"/>
        </w:rPr>
      </w:pPr>
      <w:r>
        <w:rPr>
          <w:rFonts w:ascii="Arial" w:cs="Arial" w:eastAsia="Arial" w:hAnsi="Arial"/>
          <w:sz w:val="13"/>
          <w:szCs w:val="13"/>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45"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b w:val="1"/>
          <w:bCs w:val="1"/>
          <w:i w:val="1"/>
          <w:iCs w:val="1"/>
          <w:color w:val="auto"/>
        </w:rPr>
        <w:t>If our Korean subsidiary is designated as a regulated business under Korean environmental law, such designation could have an adverse effect on our financial position and results of operations.</w:t>
      </w:r>
    </w:p>
    <w:p>
      <w:pPr>
        <w:spacing w:after="0" w:line="5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In April 2010, the Korean government’s Enforcement Decree to the Framework Act on Low Carbon Green Growth, or the Enforcement Decree, became effective. Businesses that exceed 25,000 tons of greenhouse gas emissions and 100 terajoules of energy consumption for the prior three years will be subject to regulation and will be required to submit plans to reduce greenhouse emissions and energy consumption as well as performance reports and will be subject to government requirements to take further action. Our Korean subsidiary meets the thresholds under the Enforcement Decree and we expect that that it will be designated as a regulated business by the end of September 2010. Our Korean subsidiary will then have until December 2011 to reach an agreement with Korean governmental authorities to set reduction targets and draft an implementation plan. If the ultimate implementation plan agreed upon with Korean governmental authorities requires us to reduce our emissions or energy consumption, we could be subject to additional and potentially costly compliance or remediation expenses, including potentially the installation of equipment and changes in the type of materials we use in manufacturing, that could adversely affect our financial position and results of operations.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300"/>
        <w:spacing w:after="0" w:line="273" w:lineRule="auto"/>
        <w:rPr>
          <w:sz w:val="20"/>
          <w:szCs w:val="20"/>
          <w:color w:val="auto"/>
        </w:rPr>
      </w:pPr>
      <w:r>
        <w:rPr>
          <w:rFonts w:ascii="Arial" w:cs="Arial" w:eastAsia="Arial" w:hAnsi="Arial"/>
          <w:sz w:val="13"/>
          <w:szCs w:val="13"/>
          <w:b w:val="1"/>
          <w:bCs w:val="1"/>
          <w:i w:val="1"/>
          <w:iCs w:val="1"/>
          <w:color w:val="auto"/>
        </w:rPr>
        <w:t>We will likely need additional capital in the future, and such capital may not be available on acceptable terms or at all, which would have a material adverse effect on our business, financial condition and results of operations.</w:t>
      </w:r>
    </w:p>
    <w:p>
      <w:pPr>
        <w:spacing w:after="0" w:line="59" w:lineRule="exact"/>
        <w:rPr>
          <w:sz w:val="20"/>
          <w:szCs w:val="20"/>
          <w:color w:val="auto"/>
        </w:rPr>
      </w:pPr>
    </w:p>
    <w:p>
      <w:pPr>
        <w:ind w:left="680" w:right="280" w:firstLine="499"/>
        <w:spacing w:after="0" w:line="238" w:lineRule="auto"/>
        <w:rPr>
          <w:sz w:val="20"/>
          <w:szCs w:val="20"/>
          <w:color w:val="auto"/>
        </w:rPr>
      </w:pPr>
      <w:r>
        <w:rPr>
          <w:rFonts w:ascii="Arial" w:cs="Arial" w:eastAsia="Arial" w:hAnsi="Arial"/>
          <w:sz w:val="13"/>
          <w:szCs w:val="13"/>
          <w:color w:val="auto"/>
        </w:rPr>
        <w:t>We will likely require more capital in the future from equity or debt financings to fund operating expenses, such as research and development costs,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including the shares of common stock sold in this offering. In addition, additional capital may not be available when needed or, if available, may not be available on favorable terms. In addition, our indebtedness limits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45" w:lineRule="exact"/>
        <w:rPr>
          <w:sz w:val="20"/>
          <w:szCs w:val="20"/>
          <w:color w:val="auto"/>
        </w:rPr>
      </w:pPr>
    </w:p>
    <w:p>
      <w:pPr>
        <w:ind w:left="680" w:right="320"/>
        <w:spacing w:after="0" w:line="273" w:lineRule="auto"/>
        <w:rPr>
          <w:sz w:val="20"/>
          <w:szCs w:val="20"/>
          <w:color w:val="auto"/>
        </w:rPr>
      </w:pPr>
      <w:r>
        <w:rPr>
          <w:rFonts w:ascii="Arial" w:cs="Arial" w:eastAsia="Arial" w:hAnsi="Arial"/>
          <w:sz w:val="13"/>
          <w:szCs w:val="13"/>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that may occur, such as an outbreak of military hostilities, would adversely affect our business, financial condition and results of operations.</w:t>
      </w:r>
    </w:p>
    <w:p>
      <w:pPr>
        <w:spacing w:after="0" w:line="143" w:lineRule="exact"/>
        <w:rPr>
          <w:sz w:val="20"/>
          <w:szCs w:val="20"/>
          <w:color w:val="auto"/>
        </w:rPr>
      </w:pPr>
    </w:p>
    <w:p>
      <w:pPr>
        <w:ind w:left="680" w:right="100"/>
        <w:spacing w:after="0" w:line="273" w:lineRule="auto"/>
        <w:rPr>
          <w:sz w:val="20"/>
          <w:szCs w:val="20"/>
          <w:color w:val="auto"/>
        </w:rPr>
      </w:pPr>
      <w:r>
        <w:rPr>
          <w:rFonts w:ascii="Arial" w:cs="Arial" w:eastAsia="Arial" w:hAnsi="Arial"/>
          <w:sz w:val="13"/>
          <w:szCs w:val="13"/>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5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Most of our subsidiaries are organized or incorporated outside of the United States and some of our directors and executive officers as well as our independent auditors are organized or reside outside of the United States. Most of our and our subsidiaries’ assets are located outside of the United States and in particular, in Korea. Accordingly, any judgment obtained in the United States against us or our subsidiaries may not be collectible in the United States. As a result, it may not be possible for you to effect service of process within the United States upon these persons or to enforce against them or us court judgments obtained in the United States that are predicated upon the civil liability provisions of the federal securities laws of the United States or of the securities laws of any state of the United States. In particular, there is doubt as to the enforceability in Korea or any other jurisdictions outside the United States, either in original actions or in actions for enforcement of judgments of United States courts, of civil liabilities predicated on the federal securities laws of the United States or the securities laws of any state of the United States.</w:t>
      </w:r>
    </w:p>
    <w:p>
      <w:pPr>
        <w:spacing w:after="0" w:line="145"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b w:val="1"/>
          <w:bCs w:val="1"/>
          <w:i w:val="1"/>
          <w:iCs w:val="1"/>
          <w:color w:val="auto"/>
        </w:rPr>
        <w:t>Investor confidence may be adversely impacted if we are unable to comply with Section 404 of the Sarbanes-Oxley Act of 2002, and as a result, our stock price could decline.</w:t>
      </w:r>
    </w:p>
    <w:p>
      <w:pPr>
        <w:spacing w:after="0" w:line="5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We will be subject to rules adopted by the Securities Exchange Commission, or SEC, pursuant to Section 404 of the Sarbanes-Oxley Act of 2002, or Sarbanes-Oxley Act, which require us to include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7" w:lineRule="auto"/>
        <w:rPr>
          <w:sz w:val="20"/>
          <w:szCs w:val="20"/>
          <w:color w:val="auto"/>
        </w:rPr>
      </w:pPr>
      <w:r>
        <w:rPr>
          <w:rFonts w:ascii="Arial" w:cs="Arial" w:eastAsia="Arial" w:hAnsi="Arial"/>
          <w:sz w:val="13"/>
          <w:szCs w:val="13"/>
          <w:color w:val="auto"/>
        </w:rPr>
        <w:t>in our Annual Report on Form 10-K our management’s report on, and assessment of the effectiveness of, our internal controls over financial reporting. Beginning with our fiscal year ending December 31, 2011, our independent auditors will be required to attest to and report on the effectiveness of our internal control over financial reporting. In connection with audits of our consolidated financial statements for the ten-month period ended October 25, 2009 and two-month period ended December 31, 2009, our independent registered public accounting firm has reported two control deficiencies that existed prior to their review, which represent a material weakness in our internal control over financial reporting. The two control deficiencies which represent a material weakness that our independent registered public accounting firm reported to our board of directors are that we do not have a sufficient number of financial personnel with the requisite financial accounting experience and that our controls over non-routine transactions are not effective to ensure that accounting considerations are identified and appropriately recorded.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consolidated financial statements and could result in investigations or sanctions by the SEC, the New York Stock Exchange, or NYSE, or other regulatory authorities or in stockholder litigation. Any of these factors ultimately could harm our business and could negatively impact the market price of our securities. Ineffective control over financial reporting could also cause investors to lose confidence in our reported financial information, which could adversely affect the trading price of our common stock.</w:t>
      </w:r>
    </w:p>
    <w:p>
      <w:pPr>
        <w:spacing w:after="0" w:line="86"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Our disclosure controls and procedures are designed to provide reasonable assurance of achieving their objectives. However, our management, including our principal executive officer and principal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44" w:lineRule="exact"/>
        <w:rPr>
          <w:sz w:val="20"/>
          <w:szCs w:val="20"/>
          <w:color w:val="auto"/>
        </w:rPr>
      </w:pPr>
    </w:p>
    <w:p>
      <w:pPr>
        <w:ind w:left="680" w:right="100"/>
        <w:spacing w:after="0" w:line="255" w:lineRule="auto"/>
        <w:rPr>
          <w:sz w:val="20"/>
          <w:szCs w:val="20"/>
          <w:color w:val="auto"/>
        </w:rPr>
      </w:pPr>
      <w:r>
        <w:rPr>
          <w:rFonts w:ascii="Arial" w:cs="Arial" w:eastAsia="Arial" w:hAnsi="Arial"/>
          <w:sz w:val="13"/>
          <w:szCs w:val="13"/>
          <w:b w:val="1"/>
          <w:bCs w:val="1"/>
          <w:i w:val="1"/>
          <w:i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70"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As of March 31, 2010, our total indebtedness on a pro forma basis was $246.7 million. See “Capitalization” for additional information. Our substantial debt could have important consequences, including:</w:t>
      </w:r>
    </w:p>
    <w:p>
      <w:pPr>
        <w:spacing w:after="0" w:line="74" w:lineRule="exact"/>
        <w:rPr>
          <w:sz w:val="20"/>
          <w:szCs w:val="20"/>
          <w:color w:val="auto"/>
        </w:rPr>
      </w:pPr>
    </w:p>
    <w:p>
      <w:pPr>
        <w:ind w:left="1400" w:hanging="212"/>
        <w:spacing w:after="0"/>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increasing our vulnerability to general economic and industry conditions;</w:t>
      </w:r>
    </w:p>
    <w:p>
      <w:pPr>
        <w:spacing w:after="0" w:line="37" w:lineRule="exact"/>
        <w:rPr>
          <w:rFonts w:ascii="Arial" w:cs="Arial" w:eastAsia="Arial" w:hAnsi="Arial"/>
          <w:sz w:val="13"/>
          <w:szCs w:val="13"/>
          <w:color w:val="auto"/>
        </w:rPr>
      </w:pPr>
    </w:p>
    <w:p>
      <w:pPr>
        <w:ind w:left="1400" w:right="40" w:hanging="212"/>
        <w:spacing w:after="0" w:line="248" w:lineRule="auto"/>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25" w:lineRule="exact"/>
        <w:rPr>
          <w:rFonts w:ascii="Arial" w:cs="Arial" w:eastAsia="Arial" w:hAnsi="Arial"/>
          <w:sz w:val="13"/>
          <w:szCs w:val="13"/>
          <w:color w:val="auto"/>
        </w:rPr>
      </w:pPr>
    </w:p>
    <w:p>
      <w:pPr>
        <w:ind w:left="1400" w:right="80" w:hanging="212"/>
        <w:spacing w:after="0" w:line="248" w:lineRule="auto"/>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 for working capital, capital expenditures, debt service requirements, acquisitions and general corporate or other purposes; and</w:t>
      </w:r>
    </w:p>
    <w:p>
      <w:pPr>
        <w:spacing w:after="0" w:line="25" w:lineRule="exact"/>
        <w:rPr>
          <w:rFonts w:ascii="Arial" w:cs="Arial" w:eastAsia="Arial" w:hAnsi="Arial"/>
          <w:sz w:val="13"/>
          <w:szCs w:val="13"/>
          <w:color w:val="auto"/>
        </w:rPr>
      </w:pPr>
    </w:p>
    <w:p>
      <w:pPr>
        <w:ind w:left="1400" w:hanging="212"/>
        <w:spacing w:after="0"/>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limiting our ability to adjust to changing market conditions and placing us at a competitive disadvantage compared to our competitors who have less debt.</w:t>
      </w:r>
    </w:p>
    <w:p>
      <w:pPr>
        <w:spacing w:after="0" w:line="86"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Our ability to make scheduled payments on or to refinance our debt obligations depends on our financial condition and operating performance, which is subject to prevailing economic and competitive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conditions and to certain financial, business and other factors beyond our control. We cannot assure you that we will generate a level of cash flows from operating activities sufficient to permit us to pay the principal, premium, if any, and interest on our indebtedness.</w:t>
      </w:r>
    </w:p>
    <w:p>
      <w:pPr>
        <w:spacing w:after="0" w:line="74"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credit ratings assigned to our debt reflect each rating agency’s opinion of our ability to make payments on the debt obligations when such payments are due. The current rating of our senior notes is B2 by Moody’s and B+ by Standard and Poors, both of which are below investment grade. A rating may be subject to revision or withdrawal at any time by the assigning rating agency. We may experience downgrades in our debt ratings in the future. Any lowering of our debt ratings would adversely impact our ability to raise additional debt financing and increase the cost of any such financing that is obtained. In the event any ratings downgrades are significant, we may choose not to incur new debt or refinance existing debt if we are unable to incur or refinance such debt at favorable interest rates or on favorable terms.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03" w:lineRule="exact"/>
        <w:rPr>
          <w:sz w:val="20"/>
          <w:szCs w:val="20"/>
          <w:color w:val="auto"/>
        </w:rPr>
      </w:pPr>
    </w:p>
    <w:p>
      <w:pPr>
        <w:ind w:left="680" w:right="100"/>
        <w:spacing w:after="0" w:line="273" w:lineRule="auto"/>
        <w:rPr>
          <w:sz w:val="20"/>
          <w:szCs w:val="20"/>
          <w:color w:val="auto"/>
        </w:rPr>
      </w:pPr>
      <w:r>
        <w:rPr>
          <w:rFonts w:ascii="Arial" w:cs="Arial" w:eastAsia="Arial" w:hAnsi="Arial"/>
          <w:sz w:val="13"/>
          <w:szCs w:val="13"/>
          <w:b w:val="1"/>
          <w:bCs w:val="1"/>
          <w:i w:val="1"/>
          <w:iCs w:val="1"/>
          <w:color w:val="auto"/>
        </w:rPr>
        <w:t>Restrictions on MagnaChip Korea’s ability to make payments on its intercompany loans from MagnaChip Semiconductor B.V., or on its ability to pay dividends in excess of statutory limitations, could hinder our ability to make payments on our 10.500% senior notes due 2018.</w:t>
      </w:r>
    </w:p>
    <w:p>
      <w:pPr>
        <w:spacing w:after="0" w:line="59" w:lineRule="exact"/>
        <w:rPr>
          <w:sz w:val="20"/>
          <w:szCs w:val="20"/>
          <w:color w:val="auto"/>
        </w:rPr>
      </w:pPr>
    </w:p>
    <w:p>
      <w:pPr>
        <w:ind w:left="680" w:right="60" w:firstLine="499"/>
        <w:spacing w:after="0" w:line="238" w:lineRule="auto"/>
        <w:rPr>
          <w:sz w:val="20"/>
          <w:szCs w:val="20"/>
          <w:color w:val="auto"/>
        </w:rPr>
      </w:pPr>
      <w:r>
        <w:rPr>
          <w:rFonts w:ascii="Arial" w:cs="Arial" w:eastAsia="Arial" w:hAnsi="Arial"/>
          <w:sz w:val="13"/>
          <w:szCs w:val="13"/>
          <w:color w:val="auto"/>
        </w:rPr>
        <w:t>We anticipate that payments under our 10.500% senior notes due 2018 will be funded in part by MagnaChip Korea’s repayment of its existing loans from MagnaChip Semiconductor B.V., with MagnaChip Semiconductor B.V. using such repayments in turn to repay the loans owed to MagnaChip Semiconductor S.A. Under the Korean Foreign Exchange Transaction Act, the minister of the Ministry of Strategy and Finance is authorized to temporarily suspend payments in foreign currencies in the event of natural calamities, wars, conflicts of arms, grave and sudden changes in domestic or foreign economic conditions, or other similar situations. In addition, under the Korean Commercial Code, a Korean company is permitted to make a dividend payment in accordance with the provisions in its articles of incorporation out of retained earnings (as determined in accordance with the Korean Commercial Code and the generally accepted accounting principles in Korea), but no more than twice a year. If MagnaChip Korea is prevented from making payments under its intercompany loans due to restrictions on payments of foreign currency or if it has an insufficient amount of retained earnings under the Korean Commercial Code to make dividend payments to MagnaChip Semiconductor B.V., we may not have sufficient funds to make payments on the notes.</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need to incur impairment and other restructuring charges, which could materially affect our results of operations and financial conditions.</w:t>
      </w:r>
    </w:p>
    <w:p>
      <w:pPr>
        <w:spacing w:after="0" w:line="102"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During industry downturns and for other reasons, we may need to record impairment or restructuring charges. From April 4, 2005 through March 31, 2010, we recognized aggregate restructuring and impairment charges of $64.0 million, which consisted of $58.4 million of impairment charges and $5.6 million of restructuring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litigation risks, which may be costly to defend and the outcome of which is uncertain.</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price of our depositary shares and common stock may be volatile and you may lose all or a part of your investment.</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Prior to this offering, there has not been a public market for our depositary shares or common stock. Even though we anticipate that our shares will be quoted on the New York Stock Exchange, an active trading market for our depositary shares or common stock may not develop following this offering. You may not be able to sell your shares quickly or at the current market price if trading in our depositary shares or common stock is not active. The initial public offering price for the shares will be determined by negotiations between the underwriters, the selling stockholders and us, and may not be indicative of prices that will prevail in the trading market.</w:t>
      </w:r>
    </w:p>
    <w:p>
      <w:pPr>
        <w:spacing w:after="0" w:line="80"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In addition, the trading price of our depositary shares and common stock might be subject to wide fluctuations. Factors, some of which are beyond our control, that could affect the trading price of our depositary shares or common stock may include:</w:t>
      </w:r>
    </w:p>
    <w:p>
      <w:pPr>
        <w:spacing w:after="0" w:line="74" w:lineRule="exact"/>
        <w:rPr>
          <w:sz w:val="20"/>
          <w:szCs w:val="20"/>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actual or anticipated variations in our results of operations from quarter to quarter or year to year;</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agreements, technological innovations or strategic alliances;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recommendations or estimates by any securities analysts who follow our securities;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addition or loss of significant customers;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recruitment or departure of key personnel;</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economic performance or market valuations of competing companies in our industry;</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market conditions in our industry, end markets and the economy as a whole;</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subsequent sales of stock and other financings;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litigation, legislation, regulation or technological developments that adversely affect our business; and</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expiration of contractual lock-up agreements with our executive officers, directors and greater than 1% stockholders.</w:t>
      </w:r>
    </w:p>
    <w:p>
      <w:pPr>
        <w:spacing w:after="0" w:line="86"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 by principal stockholders could adversely affect our other stockholders.</w:t>
      </w:r>
    </w:p>
    <w:p>
      <w:pPr>
        <w:spacing w:after="0" w:line="102"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Based upon the MagnaChip Semiconductor LLC units outstanding as of April 30, 2010, our executive officers, directors and greater than 5% unitholders collectively beneficially owned approximately 86% of the common units of MagnaChip Semiconductor LLC, excluding units issuable upon exercise of outstanding options and warrants, and 86% of the common units, including units issuable upon exercise of outstanding options and warrants that are exercisable within sixty days of April 30, 2010. After giving effect to the corporate conversion and the sale of shares in this offering, our executive officers, directors and greater than 5% stockholders, collectively, would have owned approximately 69.4% of our common stock as of April 30, 2010, assuming no exercise of the underwriters’ option to purchase additional shares from us or the selling stockholders. On the same adjusted basis, and assuming exercise of the underwriters’ option to purchase an additional 225,000 shares from us and 900,000 shares from the selling stockholders, our executive officers, directors and greater than 5% stockholders, collectively, would have owned approximately 67.0% of our common stock as of April 30, 2010. In the event that we sell less than 7,500,000 shares in this offering, the ownership percentage of our executive officers, directors and greater than 5% stockholders will increase. In addition, Avenue has three designees serving as members of our seven -member board of directors. Therefore, Avenue will continue to have significant influence over our affairs for the foreseeable future, including influence over the election of directors and significant corporate transactions, such as a merger or other sale of our company or our assets.</w:t>
      </w:r>
    </w:p>
    <w:p>
      <w:pPr>
        <w:spacing w:after="0" w:line="80"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Our concentration of ownership will limit the ability of other stockholders to influence corporate matters and, as a result, we may take actions that our non-sponsor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a “controlled company” within the meaning of NYSE rules, controlled by Avenue whose interests in our business may conflict with yours.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Upon completion of this offering, Avenue will beneficially own approximately 22,853,513 shares, or 56.5%, of our outstanding common stock assuming no exercise of the underwriters’ option to purchase additional shares. Accordingly, Avenue will be able to control most matters requiring stockholder approval, including the election of directors and approval of significant corporate transactions, including mergers and sales of substantially all of our assets. Because of the equity ownership of Avenue, we will be considered a “controlled company” for purposes of the NYSE listing requirements. As such, we will be exempt from the NYSE corporate governance requirements that our board of directors meet the standards of independence established by those corporate governance requirements and exempt from the requirements that we have separate Compensation and Nominating and Corporate Governance Committees made up entirely of directors who meet such independence standards. Although we do not intend to rely upon the exemption available for controlled companies, we may choose to utilize the exemption at any time that we remain a controlled company. The NYSE independence standards are intended to ensure that directors who meet the independence standards are free of any conflicting interest with management that could influence their actions as directors. It is possible that the interests of Avenue may in some circumstances conflict with our interests and the interests of our other stockholders.</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future sale of significant amounts of our common stock may negatively affect our stock price, even if our business is doing well.</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Sales of substantial amounts of shares of our common stock in the public market, or the prospect of such sales, could adversely affect the market price of our common stock. After giving effect to the corporate conversion and the sale of shares in this offering, we would have had 39,904,294 shares of common stock outstanding as of April 30, 2010, based on the number of MagnaChip Semiconductor LLC units outstanding as of that date. All of the shares outstanding prior to this offering are subject to lock-up agreements under which the holders of such shares have agreed not to sell or otherwise dispose of any of their shares for a period of 180 days after the date of this prospectus without the prior written consent of Goldman, Sachs &amp; Co., and Barclays Capital Inc. (or other agreements which impose similar restrictions), other than any shares such holders may sell to the underwriters in this offering after the date of this prospectus pursuant to the underwriters’ option to purchase up to 225,000 additional shares of our common stock from us and 900,000 shares from the selling stockholders; provided, that these agreements do not restrict the ability of the stockholders party to the registration rights agreement to cause a resale registration statement to be filed in accordance with the demand registration rights described under “Description of Capital Stock — Registration Rights.” After the 180-day period, all currently outstanding shares will be eligible for sale from time to time in the future under Rule 144, Rule 701 or Section 4(1) of the Securities Act with respect to shares covered by Section 1145 of the U.S. Bankruptcy Code.</w:t>
      </w:r>
    </w:p>
    <w:p>
      <w:pPr>
        <w:spacing w:after="0" w:line="80"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Goldman, Sachs &amp; Co. and Barclays Capital Inc. can together waive the restrictions of the lock-up agreements at an earlier time without prior notice or announcement and allow stockholders to sell their shares. As restrictions on resale end, the market price of our common stock could drop significantly if the holders of the restricted shares sell such restricted shares or are perceived by the market as intending to sell such restricted shares.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Provisions in our charter documents and Delaware Law may make it difficult for a third party to acquire us and could depress the price of our common stock.</w:t>
      </w:r>
    </w:p>
    <w:p>
      <w:pPr>
        <w:spacing w:after="0" w:line="102"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Provisions in our certificate of incorporation and bylaws may have the effect of delaying or preventing a change of control or changes in our management. Among other things, our certificate of incorporation and bylaws:</w:t>
      </w:r>
    </w:p>
    <w:p>
      <w:pPr>
        <w:spacing w:after="0" w:line="74" w:lineRule="exact"/>
        <w:rPr>
          <w:sz w:val="20"/>
          <w:szCs w:val="20"/>
          <w:color w:val="auto"/>
        </w:rPr>
      </w:pPr>
    </w:p>
    <w:p>
      <w:pPr>
        <w:ind w:left="1400" w:hanging="212"/>
        <w:spacing w:after="0"/>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stockholder approval, preferred stock with such terms as the board of directors may determine;</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divide our board of directors into three classes so that only approximately one-third of the total number of directors is elected each year;</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permit directors to be removed only for cause by a majority vote;</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prohibit action by written consent of our stockholders;</w:t>
      </w:r>
    </w:p>
    <w:p>
      <w:pPr>
        <w:spacing w:after="0" w:line="37" w:lineRule="exact"/>
        <w:rPr>
          <w:rFonts w:ascii="Arial" w:cs="Arial" w:eastAsia="Arial" w:hAnsi="Arial"/>
          <w:sz w:val="13"/>
          <w:szCs w:val="13"/>
          <w:color w:val="auto"/>
        </w:rPr>
      </w:pPr>
    </w:p>
    <w:p>
      <w:pPr>
        <w:ind w:left="1400" w:right="60" w:hanging="212"/>
        <w:spacing w:after="0" w:line="242" w:lineRule="auto"/>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29" w:lineRule="exact"/>
        <w:rPr>
          <w:rFonts w:ascii="Arial" w:cs="Arial" w:eastAsia="Arial" w:hAnsi="Arial"/>
          <w:sz w:val="13"/>
          <w:szCs w:val="13"/>
          <w:color w:val="auto"/>
        </w:rPr>
      </w:pPr>
    </w:p>
    <w:p>
      <w:pPr>
        <w:ind w:left="1400" w:hanging="212"/>
        <w:spacing w:after="0"/>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specify advance notice requirements for stockholder proposals and director nominations.</w:t>
      </w:r>
    </w:p>
    <w:p>
      <w:pPr>
        <w:spacing w:after="0" w:line="47"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In addition, following this offering, we will be subject to the provisions of Section 203 of the Delaware General Corporation Law, or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20"/>
        <w:spacing w:after="0" w:line="248" w:lineRule="auto"/>
        <w:rPr>
          <w:sz w:val="20"/>
          <w:szCs w:val="20"/>
          <w:color w:val="auto"/>
        </w:rPr>
      </w:pPr>
      <w:r>
        <w:rPr>
          <w:rFonts w:ascii="Arial" w:cs="Arial" w:eastAsia="Arial" w:hAnsi="Arial"/>
          <w:sz w:val="13"/>
          <w:szCs w:val="13"/>
          <w:color w:val="auto"/>
        </w:rPr>
        <w:t>engaging in any business combination with any interested stockholder for a period of three years following the date that the stockholder became an interested stockholder, unless:</w:t>
      </w:r>
    </w:p>
    <w:p>
      <w:pPr>
        <w:spacing w:after="0" w:line="74" w:lineRule="exact"/>
        <w:rPr>
          <w:sz w:val="20"/>
          <w:szCs w:val="20"/>
          <w:color w:val="auto"/>
        </w:rPr>
      </w:pPr>
    </w:p>
    <w:p>
      <w:pPr>
        <w:ind w:left="1400" w:hanging="212"/>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37" w:lineRule="exact"/>
        <w:rPr>
          <w:rFonts w:ascii="Arial" w:cs="Arial" w:eastAsia="Arial" w:hAnsi="Arial"/>
          <w:sz w:val="13"/>
          <w:szCs w:val="13"/>
          <w:color w:val="auto"/>
        </w:rPr>
      </w:pPr>
    </w:p>
    <w:p>
      <w:pPr>
        <w:ind w:left="1400" w:right="120" w:hanging="212"/>
        <w:spacing w:after="0" w:line="248" w:lineRule="auto"/>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25" w:lineRule="exact"/>
        <w:rPr>
          <w:rFonts w:ascii="Arial" w:cs="Arial" w:eastAsia="Arial" w:hAnsi="Arial"/>
          <w:sz w:val="13"/>
          <w:szCs w:val="13"/>
          <w:color w:val="auto"/>
        </w:rPr>
      </w:pPr>
    </w:p>
    <w:p>
      <w:pPr>
        <w:ind w:left="1400" w:right="140" w:hanging="212"/>
        <w:spacing w:after="0" w:line="248" w:lineRule="auto"/>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47" w:lineRule="exact"/>
        <w:rPr>
          <w:sz w:val="20"/>
          <w:szCs w:val="20"/>
          <w:color w:val="auto"/>
        </w:rPr>
      </w:pPr>
    </w:p>
    <w:p>
      <w:pPr>
        <w:ind w:left="1400" w:hanging="212"/>
        <w:spacing w:after="0"/>
        <w:tabs>
          <w:tab w:leader="none" w:pos="1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37" w:lineRule="exact"/>
        <w:rPr>
          <w:rFonts w:ascii="Arial" w:cs="Arial" w:eastAsia="Arial" w:hAnsi="Arial"/>
          <w:sz w:val="13"/>
          <w:szCs w:val="13"/>
          <w:color w:val="auto"/>
        </w:rPr>
      </w:pPr>
    </w:p>
    <w:p>
      <w:pPr>
        <w:ind w:left="1400" w:right="580" w:hanging="212"/>
        <w:spacing w:after="0" w:line="248" w:lineRule="auto"/>
        <w:tabs>
          <w:tab w:leader="none" w:pos="1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5" w:lineRule="exact"/>
        <w:rPr>
          <w:rFonts w:ascii="Arial" w:cs="Arial" w:eastAsia="Arial" w:hAnsi="Arial"/>
          <w:sz w:val="13"/>
          <w:szCs w:val="13"/>
          <w:color w:val="auto"/>
        </w:rPr>
      </w:pPr>
    </w:p>
    <w:p>
      <w:pPr>
        <w:ind w:left="1400" w:right="640" w:hanging="212"/>
        <w:spacing w:after="0" w:line="248" w:lineRule="auto"/>
        <w:tabs>
          <w:tab w:leader="none" w:pos="1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25" w:lineRule="exact"/>
        <w:rPr>
          <w:rFonts w:ascii="Arial" w:cs="Arial" w:eastAsia="Arial" w:hAnsi="Arial"/>
          <w:sz w:val="13"/>
          <w:szCs w:val="13"/>
          <w:color w:val="auto"/>
        </w:rPr>
      </w:pPr>
    </w:p>
    <w:p>
      <w:pPr>
        <w:ind w:left="1400" w:right="440" w:hanging="212"/>
        <w:spacing w:after="0" w:line="248" w:lineRule="auto"/>
        <w:tabs>
          <w:tab w:leader="none" w:pos="1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74"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35"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apply the proceeds of this offering to uses that do not improve our operating results or increase the value of your investment.</w:t>
      </w:r>
    </w:p>
    <w:p>
      <w:pPr>
        <w:spacing w:after="0" w:line="6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intend to use the net proceeds from this offering to pay certain employee incentive payments payable upon the closing of this offering, to pay certain expenses of this offering, and for general corporate purposes, including working capital and capital expenditures. We may also use a portion of the net proceeds to acquire or invest in companies and technologies that we believe will complement our business although we have no specific plans at this time to do so. However, we will have broad discretion in how we use the net proceeds of this offering. These proceeds could be applied in ways that do not improve our operating results or increase the value of your investment. Until the net proceeds are used, they may be placed in investments that do not produce income or that lose value.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You will incur immediate and substantial dilution and may experience further dilution immediately upon the sale of our common stock in this offering.</w:t>
      </w:r>
    </w:p>
    <w:p>
      <w:pPr>
        <w:spacing w:after="0" w:line="6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initial public offering price of our common stock is substantially higher than $1.64, the net tangible book value per share of our common stock as of March 31, 2010, calculated on a pro forma basis as adjusted for the $130.7 million distribution made to our unitholders in April 2010 and the sale of shares in this offering. Therefore, if you purchase our common stock in this offering, you will incur an immediate dilution of $14.86 in net tangible book value per share from the price you paid, based on the assumed initial offering price of $16.50 per share. The exercise of outstanding options and warrants to purchase shares of our common stock at a weighted average exercise price of $6.32 and $15.76 per share, respectively (assuming a conversion ratio of eight-for-one between the common units of MagnaChip Semiconductor LLC and our shares of common stock), will result in further dilution.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U.S. federal income tax consequences of the cancellation of the depositary shares are not specifically addressed by applicable law.</w:t>
      </w:r>
    </w:p>
    <w:p>
      <w:pPr>
        <w:spacing w:after="0" w:line="63"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Applicable law does not specifically address, under circumstances comparable to ours, the U.S. federal income tax consequences of cancellation of the depositary shares, and the issuance of a credit for the number of shares of common stock equal to the number of cancelled depositary shares. Further, we have not, and will not, obtain a ruling from the Internal Revenue Service, or IRS, with respect to the U.S. federal income tax consequences of the cancellation of the depositary shares and issuance of a credit for common stock. If the IRS were to conclude that a holder of our depositary shares did not own the underlying shares, the cancellation of the depositary shares might be a taxable transaction to the holder, causing the holder to recognize gain or loss in an amount equal to the fair market value of the underlying common stock at the time of cancellation of the depositary shares and the holder’s tax basis in the depositary shares.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will incur increased costs as a result of being a publicly listed company, and these additional costs could harm our business and results of operations.</w:t>
      </w:r>
    </w:p>
    <w:p>
      <w:pPr>
        <w:spacing w:after="0" w:line="6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Sarbanes-Oxley Act, as well as rules promulgated by the SEC and the NYSE, require us to adopt corporate governance practices applicable to U.S. public companies. These rules and regulations will increase our legal and financial compliance costs and make certain compliance and reporting activities more time-consuming. We also expect it to be more difficult and more expensive for us to obtain and maintain director and officer liability insurance, which may cause us to accept reduced policy limits and reduced coverage or to incur substantially higher costs to obtain the same or similar coverage. As a result, it may be more difficult for us to attract and retain qualified persons to serve on our board of directors or as executive officers. We cannot predict or estimate the amount of additional costs we may incur, but these additional costs and demands on management time and attention may harm our business and results of operations.</w:t>
      </w:r>
    </w:p>
    <w:p>
      <w:pPr>
        <w:spacing w:after="0" w:line="103" w:lineRule="exact"/>
        <w:rPr>
          <w:sz w:val="20"/>
          <w:szCs w:val="20"/>
          <w:color w:val="auto"/>
        </w:rPr>
      </w:pPr>
    </w:p>
    <w:p>
      <w:pPr>
        <w:ind w:left="680" w:right="60"/>
        <w:spacing w:after="0" w:line="273" w:lineRule="auto"/>
        <w:rPr>
          <w:sz w:val="20"/>
          <w:szCs w:val="20"/>
          <w:color w:val="auto"/>
        </w:rPr>
      </w:pPr>
      <w:r>
        <w:rPr>
          <w:rFonts w:ascii="Arial" w:cs="Arial" w:eastAsia="Arial" w:hAnsi="Arial"/>
          <w:sz w:val="13"/>
          <w:szCs w:val="13"/>
          <w:b w:val="1"/>
          <w:bCs w:val="1"/>
          <w:i w:val="1"/>
          <w:iCs w:val="1"/>
          <w:color w:val="auto"/>
        </w:rPr>
        <w:t>We do not intend to pay dividends for the foreseeable future after this offering, and therefore, investors should rely on sales of their common stock as the only way to realize any future gains on their investments.</w:t>
      </w:r>
    </w:p>
    <w:p>
      <w:pPr>
        <w:spacing w:after="0" w:line="20" w:lineRule="exact"/>
        <w:rPr>
          <w:sz w:val="20"/>
          <w:szCs w:val="20"/>
          <w:color w:val="auto"/>
        </w:rPr>
      </w:pPr>
    </w:p>
    <w:p>
      <w:pPr>
        <w:jc w:val="both"/>
        <w:ind w:left="680" w:right="120" w:firstLine="499"/>
        <w:spacing w:after="0"/>
        <w:rPr>
          <w:sz w:val="20"/>
          <w:szCs w:val="20"/>
          <w:color w:val="auto"/>
        </w:rPr>
      </w:pPr>
      <w:r>
        <w:rPr>
          <w:rFonts w:ascii="Arial" w:cs="Arial" w:eastAsia="Arial" w:hAnsi="Arial"/>
          <w:sz w:val="13"/>
          <w:szCs w:val="13"/>
          <w:color w:val="auto"/>
        </w:rPr>
        <w:t>We do not intend to pay any cash dividends in the foreseeable future after this offering. The payment of cash dividends on common stock is restricted under the terms of the indenture for our senior notes. We anticipate that we will retain all of our future earnings after this offering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INDUSTRY AND MARKET DATA</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this prospectus, we rely on and refer to information regarding the semiconductor market from iSuppli Corporation, or iSuppli, and Gartner, Inc., or Gartner. Market data attributed to iSuppli is from “Display Driver ICs Q4 2009 Market Tracker” and “Power Management Q4 2009 Market Tracker” and market data attributed to Gartner is from “Semiconductor Forecast Worldwide: Forecast Database, 24 Feb 2010.” Although we believe that this information is reliable, we have not independently verified it. We do not have any obligation to announce or otherwise make publicly available updates or revisions to forecasts contained in these documents. In addition, in many cases, we have made statements in this prospectus regarding our industry and our position in the industry based on our experience in the industry and our own investigation of market conditions.</w:t>
      </w:r>
    </w:p>
    <w:p>
      <w:pPr>
        <w:spacing w:after="0" w:line="221" w:lineRule="exact"/>
        <w:rPr>
          <w:sz w:val="20"/>
          <w:szCs w:val="20"/>
          <w:color w:val="auto"/>
        </w:rPr>
      </w:pPr>
    </w:p>
    <w:p>
      <w:pPr>
        <w:ind w:left="2940"/>
        <w:spacing w:after="0"/>
        <w:rPr>
          <w:sz w:val="20"/>
          <w:szCs w:val="20"/>
          <w:color w:val="auto"/>
        </w:rPr>
      </w:pPr>
      <w:r>
        <w:rPr>
          <w:rFonts w:ascii="Arial" w:cs="Arial" w:eastAsia="Arial" w:hAnsi="Arial"/>
          <w:sz w:val="13"/>
          <w:szCs w:val="13"/>
          <w:b w:val="1"/>
          <w:bCs w:val="1"/>
          <w:color w:val="auto"/>
        </w:rPr>
        <w:t>SPECIAL CAUTIONARY STATEMENT CONCERNING FORWARD-LOOKING STATEMENTS</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Information concerning us and this offering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80"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prospectus.</w:t>
      </w:r>
    </w:p>
    <w:p>
      <w:pPr>
        <w:spacing w:after="0" w:line="82" w:lineRule="exact"/>
        <w:rPr>
          <w:sz w:val="20"/>
          <w:szCs w:val="20"/>
          <w:color w:val="auto"/>
        </w:rPr>
      </w:pPr>
    </w:p>
    <w:p>
      <w:pPr>
        <w:jc w:val="both"/>
        <w:ind w:left="680" w:right="20" w:firstLine="499"/>
        <w:spacing w:after="0" w:line="242" w:lineRule="auto"/>
        <w:rPr>
          <w:sz w:val="20"/>
          <w:szCs w:val="20"/>
          <w:color w:val="auto"/>
        </w:rPr>
      </w:pPr>
      <w:r>
        <w:rPr>
          <w:rFonts w:ascii="Arial" w:cs="Arial" w:eastAsia="Arial" w:hAnsi="Arial"/>
          <w:sz w:val="13"/>
          <w:szCs w:val="13"/>
          <w:color w:val="auto"/>
        </w:rPr>
        <w:t>All forward-looking statements speak only as of the date of this prospectus.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2" w:lineRule="exact"/>
        <w:rPr>
          <w:sz w:val="20"/>
          <w:szCs w:val="20"/>
          <w:color w:val="auto"/>
        </w:rPr>
      </w:pPr>
    </w:p>
    <w:p>
      <w:pPr>
        <w:ind w:left="680" w:right="140" w:firstLine="499"/>
        <w:spacing w:after="0" w:line="242" w:lineRule="auto"/>
        <w:rPr>
          <w:sz w:val="20"/>
          <w:szCs w:val="20"/>
          <w:color w:val="auto"/>
        </w:rPr>
      </w:pPr>
      <w:r>
        <w:rPr>
          <w:rFonts w:ascii="Arial" w:cs="Arial" w:eastAsia="Arial" w:hAnsi="Arial"/>
          <w:sz w:val="13"/>
          <w:szCs w:val="13"/>
          <w:color w:val="auto"/>
        </w:rPr>
        <w:t>We estimate that the net proceeds from the sale of the common stock that we are offering will be approximately $16.6 million, after deducting the underwriting discounts and commissions and the estimated offering expenses payable by us (assuming an initial public offering price of $16.50 per share, the midpoint of the range set forth on the cover page of this prospectus). We will not receive any of the proceeds from the sale of our common stock by the selling stockholders.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use the net proceeds to us from this offering as follows:</w:t>
      </w:r>
    </w:p>
    <w:p>
      <w:pPr>
        <w:spacing w:after="0" w:line="86" w:lineRule="exact"/>
        <w:rPr>
          <w:sz w:val="20"/>
          <w:szCs w:val="20"/>
          <w:color w:val="auto"/>
        </w:rPr>
      </w:pPr>
    </w:p>
    <w:p>
      <w:pPr>
        <w:ind w:left="1400" w:hanging="212"/>
        <w:spacing w:after="0"/>
        <w:tabs>
          <w:tab w:leader="none" w:pos="14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approximately $12 million to fund discretionary incentive payments to all of our employees, excluding our executive officers; and</w:t>
      </w:r>
    </w:p>
    <w:p>
      <w:pPr>
        <w:spacing w:after="0" w:line="86" w:lineRule="exact"/>
        <w:rPr>
          <w:rFonts w:ascii="Arial" w:cs="Arial" w:eastAsia="Arial" w:hAnsi="Arial"/>
          <w:sz w:val="13"/>
          <w:szCs w:val="13"/>
          <w:color w:val="auto"/>
        </w:rPr>
      </w:pPr>
    </w:p>
    <w:p>
      <w:pPr>
        <w:ind w:left="1400" w:hanging="212"/>
        <w:spacing w:after="0"/>
        <w:tabs>
          <w:tab w:leader="none" w:pos="14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approximately $4.6 million to fund working capital and for general corporate purposes.</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Pending such uses, we intend to invest the net proceeds of this offering in short-term, investment-grade, interest-bearing securities.</w:t>
      </w:r>
    </w:p>
    <w:p>
      <w:pPr>
        <w:spacing w:after="0" w:line="86"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If we raise more or fewer proceeds from this offering than anticipated, including any additional proceeds raised as a result of the exercise of the underwriters’ option to purchase additional depositary shares, we expect to increase or reduce the amount that we use to fund working capital and for general corporate purposes by a commensurate amount.</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2" w:lineRule="exact"/>
        <w:rPr>
          <w:sz w:val="20"/>
          <w:szCs w:val="20"/>
          <w:color w:val="auto"/>
        </w:rPr>
      </w:pPr>
    </w:p>
    <w:p>
      <w:pPr>
        <w:ind w:left="680" w:right="260" w:firstLine="499"/>
        <w:spacing w:after="0" w:line="242" w:lineRule="auto"/>
        <w:rPr>
          <w:sz w:val="20"/>
          <w:szCs w:val="20"/>
          <w:color w:val="auto"/>
        </w:rPr>
      </w:pPr>
      <w:r>
        <w:rPr>
          <w:rFonts w:ascii="Arial" w:cs="Arial" w:eastAsia="Arial" w:hAnsi="Arial"/>
          <w:sz w:val="13"/>
          <w:szCs w:val="13"/>
          <w:color w:val="auto"/>
        </w:rPr>
        <w:t>We do not intend to pay any cash dividends on our common stock in the foreseeable future after this offering. We anticipate that we will retain all of our future earnings after this offering for use in the development of our business and for general corporate purposes. Any determination to pay dividends in the future will be at the discretion of our board of directors. The payment of cash dividends on our common stock is restricted under the terms of the indenture governing our senior notes.</w:t>
      </w:r>
    </w:p>
    <w:p>
      <w:pPr>
        <w:spacing w:after="0" w:line="79"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On April 19, 2010, we made a $130.7 million cash distribution to our unitholders using proceeds from the sale of our senior notes. The per common unit distribution was $0.4254.</w:t>
      </w:r>
    </w:p>
    <w:p>
      <w:pPr>
        <w:spacing w:after="0" w:line="216"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CORPORATE CONVERSION</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In connection with this offering, our board of directors and the holders of a majority of our outstanding common units will elect to convert MagnaChip Semiconductor LLC from a Delaware limited liability company to a Delaware corporation. In order to consummate such a conversion, a certificate of conversion will be filed with the Secretary of State of the State of Delaware prior to the effectiveness of the registration statement of which this prospectus is a part. In connection with the corporate conversion, outstanding common units of MagnaChip Semiconductor LLC will be automatically converted into shares of common stock of MagnaChip Semiconductor Corporation, outstanding options to purchase common units of MagnaChip Semiconductor LLC will be automatically converted into options to purchase shares of common stock of MagnaChip Semiconductor Corporation and outstanding warrants to purchase common units of MagnaChip Semiconductor LLC will be automatically converted into warrants to purchase shares of common stock of MagnaChip Semiconductor Corporation, all at a ratio of eight-for-one.</w:t>
      </w:r>
    </w:p>
    <w:p>
      <w:pPr>
        <w:spacing w:after="0" w:line="32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CAPITALIZATION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sets forth the following information:</w:t>
      </w:r>
    </w:p>
    <w:p>
      <w:pPr>
        <w:spacing w:after="0" w:line="86" w:lineRule="exact"/>
        <w:rPr>
          <w:sz w:val="20"/>
          <w:szCs w:val="20"/>
          <w:color w:val="auto"/>
        </w:rPr>
      </w:pPr>
    </w:p>
    <w:p>
      <w:pPr>
        <w:ind w:left="1400" w:hanging="212"/>
        <w:spacing w:after="0"/>
        <w:tabs>
          <w:tab w:leader="none" w:pos="14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actual capitalization of MagnaChip Semiconductor LLC as of March 31, 2010; and</w:t>
      </w:r>
    </w:p>
    <w:p>
      <w:pPr>
        <w:spacing w:after="0" w:line="86" w:lineRule="exact"/>
        <w:rPr>
          <w:rFonts w:ascii="Arial" w:cs="Arial" w:eastAsia="Arial" w:hAnsi="Arial"/>
          <w:sz w:val="13"/>
          <w:szCs w:val="13"/>
          <w:color w:val="auto"/>
        </w:rPr>
      </w:pPr>
    </w:p>
    <w:p>
      <w:pPr>
        <w:ind w:left="1400" w:right="60" w:hanging="212"/>
        <w:spacing w:after="0"/>
        <w:tabs>
          <w:tab w:leader="none" w:pos="14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pro forma as adjusted capitalization as of March 31, 2010 after giving effect to (i) the issuance of $250 million senior notes and the application of the net proceeds therefrom and (ii) the sale of 1,500,000 shares of our common stock in this offering at an initial public offering price of $16.50 per share (the midpoint of the range set forth on the front cover of this prospectus), after the deduction of the underwriting discounts and commissions of $1.7 million and the estimated offering expenses of $6.4 million payable by us, and the application of the related proceeds as described under “Use of Proceeds.”</w:t>
      </w:r>
    </w:p>
    <w:p>
      <w:pPr>
        <w:spacing w:after="0" w:line="80"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This table should be read together with “Use of Proceeds,” “Selected Historical Consolidated Financial and Operating Data,” “Unaudited Pro Forma Consolidated Financial Information,” “Management’s Discussion and Analysis of Financial Condition and Results of Operations” and our consolidated financial statements and related notes included elsewhere in this prospectus.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7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3"/>
                <w:szCs w:val="13"/>
                <w:b w:val="1"/>
                <w:bCs w:val="1"/>
                <w:color w:val="auto"/>
                <w:w w:val="99"/>
              </w:rPr>
              <w:t>As of March 31, 2010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1"/>
        </w:trPr>
        <w:tc>
          <w:tcPr>
            <w:tcW w:w="7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434"/>
              <w:spacing w:after="0" w:line="121" w:lineRule="exact"/>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7"/>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Pro Forma</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7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Actual</w:t>
            </w:r>
          </w:p>
        </w:tc>
        <w:tc>
          <w:tcPr>
            <w:tcW w:w="200" w:type="dxa"/>
            <w:vAlign w:val="bottom"/>
          </w:tcPr>
          <w:p>
            <w:pPr>
              <w:spacing w:after="0"/>
              <w:rPr>
                <w:sz w:val="15"/>
                <w:szCs w:val="15"/>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as Adjusted(1)</w:t>
            </w:r>
          </w:p>
        </w:tc>
      </w:tr>
      <w:tr>
        <w:trPr>
          <w:trHeight w:val="50"/>
        </w:trPr>
        <w:tc>
          <w:tcPr>
            <w:tcW w:w="7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47"/>
        </w:trPr>
        <w:tc>
          <w:tcPr>
            <w:tcW w:w="7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Indebtedness (including current maturities)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7"/>
        </w:trPr>
        <w:tc>
          <w:tcPr>
            <w:tcW w:w="7340" w:type="dxa"/>
            <w:vAlign w:val="bottom"/>
          </w:tcPr>
          <w:p>
            <w:pPr>
              <w:ind w:left="140"/>
              <w:spacing w:after="0" w:line="148" w:lineRule="exact"/>
              <w:rPr>
                <w:sz w:val="20"/>
                <w:szCs w:val="20"/>
                <w:color w:val="auto"/>
              </w:rPr>
            </w:pPr>
            <w:r>
              <w:rPr>
                <w:rFonts w:ascii="Arial" w:cs="Arial" w:eastAsia="Arial" w:hAnsi="Arial"/>
                <w:sz w:val="13"/>
                <w:szCs w:val="13"/>
                <w:color w:val="auto"/>
              </w:rPr>
              <w:t>Senior secured credit facility</w:t>
            </w: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61.6</w:t>
            </w:r>
          </w:p>
        </w:tc>
        <w:tc>
          <w:tcPr>
            <w:tcW w:w="1320" w:type="dxa"/>
            <w:vAlign w:val="bottom"/>
            <w:gridSpan w:val="2"/>
          </w:tcPr>
          <w:p>
            <w:pPr>
              <w:jc w:val="right"/>
              <w:ind w:right="974"/>
              <w:spacing w:after="0" w:line="148"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7"/>
        </w:trPr>
        <w:tc>
          <w:tcPr>
            <w:tcW w:w="73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10.500% senior notes due 2018(2)</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246.7</w:t>
            </w:r>
          </w:p>
        </w:tc>
      </w:tr>
      <w:tr>
        <w:trPr>
          <w:trHeight w:val="147"/>
        </w:trPr>
        <w:tc>
          <w:tcPr>
            <w:tcW w:w="7340" w:type="dxa"/>
            <w:vAlign w:val="bottom"/>
          </w:tcPr>
          <w:p>
            <w:pPr>
              <w:spacing w:after="0" w:line="148" w:lineRule="exact"/>
              <w:rPr>
                <w:sz w:val="20"/>
                <w:szCs w:val="20"/>
                <w:color w:val="auto"/>
              </w:rPr>
            </w:pPr>
            <w:r>
              <w:rPr>
                <w:rFonts w:ascii="Arial" w:cs="Arial" w:eastAsia="Arial" w:hAnsi="Arial"/>
                <w:sz w:val="13"/>
                <w:szCs w:val="13"/>
                <w:color w:val="auto"/>
              </w:rPr>
              <w:t>Stockholders’ equity:</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7340" w:type="dxa"/>
            <w:vAlign w:val="bottom"/>
            <w:shd w:val="clear" w:color="auto" w:fill="CCEEFF"/>
          </w:tcPr>
          <w:p>
            <w:pPr>
              <w:ind w:left="140"/>
              <w:spacing w:after="0" w:line="147" w:lineRule="exact"/>
              <w:rPr>
                <w:sz w:val="20"/>
                <w:szCs w:val="20"/>
                <w:color w:val="auto"/>
              </w:rPr>
            </w:pPr>
            <w:r>
              <w:rPr>
                <w:rFonts w:ascii="Arial" w:cs="Arial" w:eastAsia="Arial" w:hAnsi="Arial"/>
                <w:sz w:val="13"/>
                <w:szCs w:val="13"/>
                <w:color w:val="auto"/>
              </w:rPr>
              <w:t>Common stock, $0.01 par value; 150,000,000 shares authorized, 38,404,294 shares issued and outstanding, actual; and</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73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39,904,294 shares issued and outstanding, pro forma as adjusted</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0.4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0.4</w:t>
            </w:r>
          </w:p>
        </w:tc>
      </w:tr>
      <w:tr>
        <w:trPr>
          <w:trHeight w:val="147"/>
        </w:trPr>
        <w:tc>
          <w:tcPr>
            <w:tcW w:w="7340" w:type="dxa"/>
            <w:vAlign w:val="bottom"/>
          </w:tcPr>
          <w:p>
            <w:pPr>
              <w:ind w:left="140"/>
              <w:spacing w:after="0" w:line="147" w:lineRule="exact"/>
              <w:rPr>
                <w:sz w:val="20"/>
                <w:szCs w:val="20"/>
                <w:color w:val="auto"/>
              </w:rPr>
            </w:pPr>
            <w:r>
              <w:rPr>
                <w:rFonts w:ascii="Arial" w:cs="Arial" w:eastAsia="Arial" w:hAnsi="Arial"/>
                <w:sz w:val="13"/>
                <w:szCs w:val="13"/>
                <w:color w:val="auto"/>
              </w:rPr>
              <w:t>Preferred stock, $0.01 par value, no shares authorized, issued and outstanding, actual; 5,000,000 shares authorized, no</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7340" w:type="dxa"/>
            <w:vAlign w:val="bottom"/>
          </w:tcPr>
          <w:p>
            <w:pPr>
              <w:ind w:left="280"/>
              <w:spacing w:after="0" w:line="148" w:lineRule="exact"/>
              <w:rPr>
                <w:sz w:val="20"/>
                <w:szCs w:val="20"/>
                <w:color w:val="auto"/>
              </w:rPr>
            </w:pPr>
            <w:r>
              <w:rPr>
                <w:rFonts w:ascii="Arial" w:cs="Arial" w:eastAsia="Arial" w:hAnsi="Arial"/>
                <w:sz w:val="13"/>
                <w:szCs w:val="13"/>
                <w:color w:val="auto"/>
              </w:rPr>
              <w:t>shares issued and outstanding, pro forma as adjusted.</w:t>
            </w:r>
          </w:p>
        </w:tc>
        <w:tc>
          <w:tcPr>
            <w:tcW w:w="160" w:type="dxa"/>
            <w:vAlign w:val="bottom"/>
          </w:tcPr>
          <w:p>
            <w:pPr>
              <w:spacing w:after="0"/>
              <w:rPr>
                <w:sz w:val="12"/>
                <w:szCs w:val="12"/>
                <w:color w:val="auto"/>
              </w:rPr>
            </w:pPr>
          </w:p>
        </w:tc>
        <w:tc>
          <w:tcPr>
            <w:tcW w:w="62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7"/>
        </w:trPr>
        <w:tc>
          <w:tcPr>
            <w:tcW w:w="7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224.3</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110.2(3)</w:t>
            </w:r>
          </w:p>
        </w:tc>
      </w:tr>
      <w:tr>
        <w:trPr>
          <w:trHeight w:val="147"/>
        </w:trPr>
        <w:tc>
          <w:tcPr>
            <w:tcW w:w="7340" w:type="dxa"/>
            <w:vAlign w:val="bottom"/>
          </w:tcPr>
          <w:p>
            <w:pPr>
              <w:spacing w:after="0" w:line="148" w:lineRule="exact"/>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12"/>
                <w:szCs w:val="12"/>
                <w:color w:val="auto"/>
              </w:rPr>
            </w:pPr>
          </w:p>
        </w:tc>
        <w:tc>
          <w:tcPr>
            <w:tcW w:w="62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29.1</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28.9</w:t>
            </w:r>
          </w:p>
        </w:tc>
      </w:tr>
      <w:tr>
        <w:trPr>
          <w:trHeight w:val="147"/>
        </w:trPr>
        <w:tc>
          <w:tcPr>
            <w:tcW w:w="7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Accumulated other comprehensive loss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rPr>
              <w:t>(22.4)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(22.4)</w:t>
            </w:r>
          </w:p>
        </w:tc>
      </w:tr>
      <w:tr>
        <w:trPr>
          <w:trHeight w:val="20"/>
        </w:trPr>
        <w:tc>
          <w:tcPr>
            <w:tcW w:w="7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7"/>
        </w:trPr>
        <w:tc>
          <w:tcPr>
            <w:tcW w:w="7340" w:type="dxa"/>
            <w:vAlign w:val="bottom"/>
          </w:tcPr>
          <w:p>
            <w:pPr>
              <w:spacing w:after="0" w:line="148" w:lineRule="exact"/>
              <w:rPr>
                <w:sz w:val="20"/>
                <w:szCs w:val="20"/>
                <w:color w:val="auto"/>
              </w:rPr>
            </w:pPr>
            <w:r>
              <w:rPr>
                <w:rFonts w:ascii="Arial" w:cs="Arial" w:eastAsia="Arial" w:hAnsi="Arial"/>
                <w:sz w:val="13"/>
                <w:szCs w:val="13"/>
                <w:color w:val="auto"/>
              </w:rPr>
              <w:t>Total stockholders’ equity</w:t>
            </w:r>
          </w:p>
        </w:tc>
        <w:tc>
          <w:tcPr>
            <w:tcW w:w="160" w:type="dxa"/>
            <w:vAlign w:val="bottom"/>
          </w:tcPr>
          <w:p>
            <w:pPr>
              <w:spacing w:after="0"/>
              <w:rPr>
                <w:sz w:val="12"/>
                <w:szCs w:val="12"/>
                <w:color w:val="auto"/>
              </w:rPr>
            </w:pPr>
          </w:p>
        </w:tc>
        <w:tc>
          <w:tcPr>
            <w:tcW w:w="62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231.4</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117.2</w:t>
            </w:r>
          </w:p>
        </w:tc>
      </w:tr>
      <w:tr>
        <w:trPr>
          <w:trHeight w:val="20"/>
        </w:trPr>
        <w:tc>
          <w:tcPr>
            <w:tcW w:w="7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7"/>
        </w:trPr>
        <w:tc>
          <w:tcPr>
            <w:tcW w:w="7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capitalization</w:t>
            </w: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293.0</w:t>
            </w:r>
          </w:p>
        </w:tc>
        <w:tc>
          <w:tcPr>
            <w:tcW w:w="1320" w:type="dxa"/>
            <w:vAlign w:val="bottom"/>
            <w:gridSpan w:val="2"/>
            <w:shd w:val="clear" w:color="auto" w:fill="CCEEFF"/>
          </w:tcPr>
          <w:p>
            <w:pPr>
              <w:jc w:val="right"/>
              <w:ind w:right="974"/>
              <w:spacing w:after="0" w:line="148"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363.8</w:t>
            </w:r>
          </w:p>
        </w:tc>
      </w:tr>
      <w:tr>
        <w:trPr>
          <w:trHeight w:val="29"/>
        </w:trPr>
        <w:tc>
          <w:tcPr>
            <w:tcW w:w="7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6184265</wp:posOffset>
            </wp:positionH>
            <wp:positionV relativeFrom="paragraph">
              <wp:posOffset>-1291590</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97" w:lineRule="exact"/>
        <w:rPr>
          <w:sz w:val="20"/>
          <w:szCs w:val="20"/>
          <w:color w:val="auto"/>
        </w:rPr>
      </w:pPr>
    </w:p>
    <w:p>
      <w:pPr>
        <w:ind w:left="1000" w:right="280" w:hanging="267"/>
        <w:spacing w:after="0" w:line="242"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$1.00 decrease or increase in the assumed initial public offering price would result in approximately a $1.4 million decrease or increase in each of pro forma as adjusted additional paid-in capital, total stockholders’ equity and total capitalization, assuming the total number of shares offered by us remains the same and after deducting the estimated underwriting discounts and commissions and estimated offering expenses payable by us.</w:t>
      </w:r>
    </w:p>
    <w:p>
      <w:pPr>
        <w:spacing w:after="0" w:line="39" w:lineRule="exact"/>
        <w:rPr>
          <w:rFonts w:ascii="Arial" w:cs="Arial" w:eastAsia="Arial" w:hAnsi="Arial"/>
          <w:sz w:val="13"/>
          <w:szCs w:val="13"/>
          <w:color w:val="auto"/>
        </w:rPr>
      </w:pPr>
    </w:p>
    <w:p>
      <w:pPr>
        <w:ind w:left="1000" w:hanging="267"/>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principal amount of notes net of original issue discount of $3.3 million.</w:t>
      </w:r>
    </w:p>
    <w:p>
      <w:pPr>
        <w:spacing w:after="0" w:line="47" w:lineRule="exact"/>
        <w:rPr>
          <w:rFonts w:ascii="Arial" w:cs="Arial" w:eastAsia="Arial" w:hAnsi="Arial"/>
          <w:sz w:val="13"/>
          <w:szCs w:val="13"/>
          <w:color w:val="auto"/>
        </w:rPr>
      </w:pPr>
    </w:p>
    <w:p>
      <w:pPr>
        <w:ind w:left="1000" w:right="220" w:hanging="267"/>
        <w:spacing w:after="0" w:line="248"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Reflects a $130.7 million distribution to unitholders using a portion of the proceeds from the issuance of our $250 million in aggregate principal amount senior notes and the sale of 1,500,000 shares of common stock by us in this offering.</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DILUTION</w:t>
      </w:r>
    </w:p>
    <w:p>
      <w:pPr>
        <w:spacing w:after="0" w:line="63" w:lineRule="exact"/>
        <w:rPr>
          <w:sz w:val="20"/>
          <w:szCs w:val="20"/>
          <w:color w:val="auto"/>
        </w:rPr>
      </w:pPr>
    </w:p>
    <w:p>
      <w:pPr>
        <w:ind w:left="680" w:right="820" w:firstLine="499"/>
        <w:spacing w:after="0" w:line="239" w:lineRule="auto"/>
        <w:rPr>
          <w:sz w:val="20"/>
          <w:szCs w:val="20"/>
          <w:color w:val="auto"/>
        </w:rPr>
      </w:pPr>
      <w:r>
        <w:rPr>
          <w:rFonts w:ascii="Arial" w:cs="Arial" w:eastAsia="Arial" w:hAnsi="Arial"/>
          <w:sz w:val="13"/>
          <w:szCs w:val="13"/>
          <w:color w:val="auto"/>
        </w:rPr>
        <w:t>Our pro forma net tangible book value as of March 31, 2010 was approximately $48.8 million, or $1.27 per share of our common stock. Pro forma net tangible book value represents our total tangible assets reduced by our total liabilities as of March 31, 2010 after giving effect to the issuance of $250 million principal amount of senior notes and the application of net proceeds therefrom in April 2010. Pro forma net tangible book value per share represents pro forma net tangible book value divided by the number of shares of common stock outstanding as of March 31, 2010. Dilution in pro forma net tangible book value per share represents the difference between the amount per share that you pay in this offering and the pro forma net tangible book value per share immediately after this offering.</w:t>
      </w:r>
    </w:p>
    <w:p>
      <w:pPr>
        <w:spacing w:after="0" w:line="4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After giving effect to the issuance of $250 million principal amount of senior notes and the application of net proceeds therefrom in April 2010 and the receipt of the</w:t>
      </w:r>
    </w:p>
    <w:p>
      <w:pPr>
        <w:ind w:left="680"/>
        <w:spacing w:after="0" w:line="236" w:lineRule="auto"/>
        <w:rPr>
          <w:sz w:val="20"/>
          <w:szCs w:val="20"/>
          <w:color w:val="auto"/>
        </w:rPr>
      </w:pPr>
      <w:r>
        <w:rPr>
          <w:rFonts w:ascii="Arial" w:cs="Arial" w:eastAsia="Arial" w:hAnsi="Arial"/>
          <w:sz w:val="13"/>
          <w:szCs w:val="13"/>
          <w:color w:val="auto"/>
        </w:rPr>
        <w:t>estimated net proceeds from the sale by us of 1,500,000 shares, our net tangible book value as of March 31, 2010 on a pro forma as adjusted basis would have been</w:t>
      </w:r>
    </w:p>
    <w:p>
      <w:pPr>
        <w:ind w:left="680"/>
        <w:spacing w:after="0" w:line="237" w:lineRule="auto"/>
        <w:rPr>
          <w:sz w:val="20"/>
          <w:szCs w:val="20"/>
          <w:color w:val="auto"/>
        </w:rPr>
      </w:pPr>
      <w:r>
        <w:rPr>
          <w:rFonts w:ascii="Arial" w:cs="Arial" w:eastAsia="Arial" w:hAnsi="Arial"/>
          <w:sz w:val="13"/>
          <w:szCs w:val="13"/>
          <w:color w:val="auto"/>
        </w:rPr>
        <w:t>$65.4 million, or $1.64 per share of common stock. This represents an immediate increase in pro forma net tangible book value per share of $0.37 to existing stockholders</w:t>
      </w:r>
    </w:p>
    <w:p>
      <w:pPr>
        <w:ind w:left="680"/>
        <w:spacing w:after="0"/>
        <w:rPr>
          <w:sz w:val="20"/>
          <w:szCs w:val="20"/>
          <w:color w:val="auto"/>
        </w:rPr>
      </w:pPr>
      <w:r>
        <w:rPr>
          <w:rFonts w:ascii="Arial" w:cs="Arial" w:eastAsia="Arial" w:hAnsi="Arial"/>
          <w:sz w:val="13"/>
          <w:szCs w:val="13"/>
          <w:color w:val="auto"/>
        </w:rPr>
        <w:t>and an immediate decrease in pro forma net tangible book value per share of $14.86 to you. The following table illustrates the dilution.</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18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w:t>
            </w:r>
          </w:p>
        </w:tc>
        <w:tc>
          <w:tcPr>
            <w:tcW w:w="100" w:type="dxa"/>
            <w:vAlign w:val="bottom"/>
            <w:shd w:val="clear" w:color="auto" w:fill="CCEEFF"/>
          </w:tcPr>
          <w:p>
            <w:pPr>
              <w:spacing w:after="0"/>
              <w:rPr>
                <w:sz w:val="13"/>
                <w:szCs w:val="13"/>
                <w:color w:val="auto"/>
              </w:rPr>
            </w:pPr>
          </w:p>
        </w:tc>
      </w:tr>
      <w:tr>
        <w:trPr>
          <w:trHeight w:val="147"/>
        </w:trPr>
        <w:tc>
          <w:tcPr>
            <w:tcW w:w="6760" w:type="dxa"/>
            <w:vAlign w:val="bottom"/>
          </w:tcPr>
          <w:p>
            <w:pPr>
              <w:ind w:left="140"/>
              <w:spacing w:after="0" w:line="148" w:lineRule="exact"/>
              <w:rPr>
                <w:sz w:val="20"/>
                <w:szCs w:val="20"/>
                <w:color w:val="auto"/>
              </w:rPr>
            </w:pPr>
            <w:r>
              <w:rPr>
                <w:rFonts w:ascii="Arial" w:cs="Arial" w:eastAsia="Arial" w:hAnsi="Arial"/>
                <w:sz w:val="13"/>
                <w:szCs w:val="13"/>
                <w:color w:val="auto"/>
              </w:rPr>
              <w:t>Pro forma net tangible book value per share as of March 31, 2010</w:t>
            </w:r>
          </w:p>
        </w:tc>
        <w:tc>
          <w:tcPr>
            <w:tcW w:w="18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1.27</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67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Increase in pro forma net tangible book value per share attributable to new investors</w:t>
            </w:r>
          </w:p>
        </w:tc>
        <w:tc>
          <w:tcPr>
            <w:tcW w:w="18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0.37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6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 forma net tangible book value per share after giving effect to this offering</w:t>
            </w:r>
          </w:p>
        </w:tc>
        <w:tc>
          <w:tcPr>
            <w:tcW w:w="1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2"/>
                <w:szCs w:val="12"/>
                <w:color w:val="auto"/>
              </w:rPr>
            </w:pPr>
          </w:p>
        </w:tc>
      </w:tr>
      <w:tr>
        <w:trPr>
          <w:trHeight w:val="147"/>
        </w:trPr>
        <w:tc>
          <w:tcPr>
            <w:tcW w:w="6760" w:type="dxa"/>
            <w:vAlign w:val="bottom"/>
          </w:tcPr>
          <w:p>
            <w:pPr>
              <w:spacing w:after="0" w:line="148" w:lineRule="exact"/>
              <w:rPr>
                <w:sz w:val="20"/>
                <w:szCs w:val="20"/>
                <w:color w:val="auto"/>
              </w:rPr>
            </w:pPr>
            <w:r>
              <w:rPr>
                <w:rFonts w:ascii="Arial" w:cs="Arial" w:eastAsia="Arial" w:hAnsi="Arial"/>
                <w:sz w:val="13"/>
                <w:szCs w:val="13"/>
                <w:color w:val="auto"/>
              </w:rPr>
              <w:t>Dilution per share to new investors</w:t>
            </w:r>
          </w:p>
        </w:tc>
        <w:tc>
          <w:tcPr>
            <w:tcW w:w="1860" w:type="dxa"/>
            <w:vAlign w:val="bottom"/>
          </w:tcPr>
          <w:p>
            <w:pPr>
              <w:spacing w:after="0"/>
              <w:rPr>
                <w:sz w:val="12"/>
                <w:szCs w:val="12"/>
                <w:color w:val="auto"/>
              </w:rPr>
            </w:pPr>
          </w:p>
        </w:tc>
        <w:tc>
          <w:tcPr>
            <w:tcW w:w="8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14.86</w:t>
            </w:r>
          </w:p>
        </w:tc>
        <w:tc>
          <w:tcPr>
            <w:tcW w:w="100" w:type="dxa"/>
            <w:vAlign w:val="bottom"/>
          </w:tcPr>
          <w:p>
            <w:pPr>
              <w:spacing w:after="0"/>
              <w:rPr>
                <w:sz w:val="12"/>
                <w:szCs w:val="12"/>
                <w:color w:val="auto"/>
              </w:rPr>
            </w:pPr>
          </w:p>
        </w:tc>
      </w:tr>
      <w:tr>
        <w:trPr>
          <w:trHeight w:val="29"/>
        </w:trPr>
        <w:tc>
          <w:tcPr>
            <w:tcW w:w="6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8" w:lineRule="exact"/>
        <w:rPr>
          <w:sz w:val="20"/>
          <w:szCs w:val="20"/>
          <w:color w:val="auto"/>
        </w:rPr>
      </w:pPr>
    </w:p>
    <w:p>
      <w:pPr>
        <w:ind w:left="680" w:right="900" w:firstLine="499"/>
        <w:spacing w:after="0"/>
        <w:rPr>
          <w:sz w:val="20"/>
          <w:szCs w:val="20"/>
          <w:color w:val="auto"/>
        </w:rPr>
      </w:pPr>
      <w:r>
        <w:rPr>
          <w:rFonts w:ascii="Arial" w:cs="Arial" w:eastAsia="Arial" w:hAnsi="Arial"/>
          <w:sz w:val="13"/>
          <w:szCs w:val="13"/>
          <w:color w:val="auto"/>
        </w:rPr>
        <w:t>A $1.00 increase or decrease in the assumed initial public offering price of $16.50 per share would increase or decrease the pro forma net tangible book value per share after giving effect to this offering by $0.03 per share and would increase or decrease the dilution in pro forma net tangible book value per share to investors in this offering by $0.97 per share. This calculation assumes that the number of shares offered by us, as set forth on the cover page of this prospectus, remains the same and reflects the deduction of the underwriting discounts and commissions and estimated expenses of this offering.</w:t>
      </w:r>
    </w:p>
    <w:p>
      <w:pPr>
        <w:spacing w:after="0" w:line="41" w:lineRule="exact"/>
        <w:rPr>
          <w:sz w:val="20"/>
          <w:szCs w:val="20"/>
          <w:color w:val="auto"/>
        </w:rPr>
      </w:pPr>
    </w:p>
    <w:p>
      <w:pPr>
        <w:ind w:left="680" w:right="900" w:firstLine="499"/>
        <w:spacing w:after="0" w:line="242" w:lineRule="auto"/>
        <w:rPr>
          <w:sz w:val="20"/>
          <w:szCs w:val="20"/>
          <w:color w:val="auto"/>
        </w:rPr>
      </w:pPr>
      <w:r>
        <w:rPr>
          <w:rFonts w:ascii="Arial" w:cs="Arial" w:eastAsia="Arial" w:hAnsi="Arial"/>
          <w:sz w:val="13"/>
          <w:szCs w:val="13"/>
          <w:color w:val="auto"/>
        </w:rPr>
        <w:t>If the underwriters exercise their option to purchase additional shares of our common stock from us in full in this offering, the pro forma net tangible book value per share after the offering would be $1.72 per share, the increase in pro forma net tangible book value per share to existing stockholders would be $0.45 per share and the dilution to new investors purchasing shares in this offering would be $14.78 per share.</w:t>
      </w:r>
    </w:p>
    <w:p>
      <w:pPr>
        <w:spacing w:after="0" w:line="39" w:lineRule="exact"/>
        <w:rPr>
          <w:sz w:val="20"/>
          <w:szCs w:val="20"/>
          <w:color w:val="auto"/>
        </w:rPr>
      </w:pPr>
    </w:p>
    <w:p>
      <w:pPr>
        <w:jc w:val="both"/>
        <w:ind w:left="680" w:right="800" w:firstLine="499"/>
        <w:spacing w:after="0" w:line="242" w:lineRule="auto"/>
        <w:rPr>
          <w:sz w:val="20"/>
          <w:szCs w:val="20"/>
          <w:color w:val="auto"/>
        </w:rPr>
      </w:pPr>
      <w:r>
        <w:rPr>
          <w:rFonts w:ascii="Arial" w:cs="Arial" w:eastAsia="Arial" w:hAnsi="Arial"/>
          <w:sz w:val="13"/>
          <w:szCs w:val="13"/>
          <w:color w:val="auto"/>
        </w:rPr>
        <w:t>The following table sets forth, as of March 31, 2010, on the pro forma as adjusted basis giving effect to the issuance of $250 million principal amount of senior notes and the application of net proceeds therefrom in April 2010 and this offering, the differences between the amounts paid or to be paid by the groups set forth in the table with respect to the aggregate number of shares of our common stock acquired or to be acquired by each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center"/>
              <w:ind w:left="54"/>
              <w:spacing w:after="0"/>
              <w:rPr>
                <w:sz w:val="20"/>
                <w:szCs w:val="20"/>
                <w:color w:val="auto"/>
              </w:rPr>
            </w:pPr>
            <w:r>
              <w:rPr>
                <w:rFonts w:ascii="Arial" w:cs="Arial" w:eastAsia="Arial" w:hAnsi="Arial"/>
                <w:sz w:val="13"/>
                <w:szCs w:val="13"/>
                <w:b w:val="1"/>
                <w:bCs w:val="1"/>
                <w:color w:val="auto"/>
                <w:w w:val="96"/>
              </w:rPr>
              <w:t>Total</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3"/>
          </w:tcPr>
          <w:p>
            <w:pPr>
              <w:jc w:val="center"/>
              <w:ind w:right="1060"/>
              <w:spacing w:after="0"/>
              <w:rPr>
                <w:sz w:val="20"/>
                <w:szCs w:val="20"/>
                <w:color w:val="auto"/>
              </w:rPr>
            </w:pPr>
            <w:r>
              <w:rPr>
                <w:rFonts w:ascii="Arial" w:cs="Arial" w:eastAsia="Arial" w:hAnsi="Arial"/>
                <w:sz w:val="13"/>
                <w:szCs w:val="13"/>
                <w:b w:val="1"/>
                <w:bCs w:val="1"/>
                <w:color w:val="auto"/>
                <w:w w:val="97"/>
              </w:rPr>
              <w:t>Average</w:t>
            </w:r>
          </w:p>
        </w:tc>
      </w:tr>
      <w:tr>
        <w:trPr>
          <w:trHeight w:val="164"/>
        </w:trPr>
        <w:tc>
          <w:tcPr>
            <w:tcW w:w="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Purchased</w:t>
            </w: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rPr>
              <w:t>Consideration</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1040"/>
              <w:spacing w:after="0"/>
              <w:rPr>
                <w:sz w:val="20"/>
                <w:szCs w:val="20"/>
                <w:color w:val="auto"/>
              </w:rPr>
            </w:pPr>
            <w:r>
              <w:rPr>
                <w:rFonts w:ascii="Arial" w:cs="Arial" w:eastAsia="Arial" w:hAnsi="Arial"/>
                <w:sz w:val="13"/>
                <w:szCs w:val="13"/>
                <w:b w:val="1"/>
                <w:bCs w:val="1"/>
                <w:color w:val="auto"/>
              </w:rPr>
              <w:t>Price</w:t>
            </w:r>
          </w:p>
        </w:tc>
      </w:tr>
      <w:tr>
        <w:trPr>
          <w:trHeight w:val="140"/>
        </w:trPr>
        <w:tc>
          <w:tcPr>
            <w:tcW w:w="6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00" w:type="dxa"/>
            <w:vAlign w:val="bottom"/>
            <w:gridSpan w:val="2"/>
          </w:tcPr>
          <w:p>
            <w:pPr>
              <w:jc w:val="right"/>
              <w:ind w:right="460"/>
              <w:spacing w:after="0" w:line="141" w:lineRule="exact"/>
              <w:rPr>
                <w:sz w:val="20"/>
                <w:szCs w:val="20"/>
                <w:color w:val="auto"/>
              </w:rPr>
            </w:pPr>
            <w:r>
              <w:rPr>
                <w:rFonts w:ascii="Arial" w:cs="Arial" w:eastAsia="Arial" w:hAnsi="Arial"/>
                <w:sz w:val="13"/>
                <w:szCs w:val="13"/>
                <w:b w:val="1"/>
                <w:bCs w:val="1"/>
                <w:color w:val="auto"/>
              </w:rPr>
              <w:t>Number</w:t>
            </w:r>
          </w:p>
        </w:tc>
        <w:tc>
          <w:tcPr>
            <w:tcW w:w="420" w:type="dxa"/>
            <w:vAlign w:val="bottom"/>
          </w:tcPr>
          <w:p>
            <w:pPr>
              <w:jc w:val="right"/>
              <w:ind w:right="34"/>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180"/>
              <w:spacing w:after="0" w:line="141"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jc w:val="right"/>
              <w:ind w:right="34"/>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ind w:left="320"/>
              <w:spacing w:after="0" w:line="141" w:lineRule="exact"/>
              <w:rPr>
                <w:sz w:val="20"/>
                <w:szCs w:val="20"/>
                <w:color w:val="auto"/>
              </w:rPr>
            </w:pPr>
            <w:r>
              <w:rPr>
                <w:rFonts w:ascii="Arial" w:cs="Arial" w:eastAsia="Arial" w:hAnsi="Arial"/>
                <w:sz w:val="13"/>
                <w:szCs w:val="13"/>
                <w:b w:val="1"/>
                <w:bCs w:val="1"/>
                <w:color w:val="auto"/>
              </w:rPr>
              <w:t>Per Share</w:t>
            </w:r>
          </w:p>
        </w:tc>
      </w:tr>
      <w:tr>
        <w:trPr>
          <w:trHeight w:val="173"/>
        </w:trPr>
        <w:tc>
          <w:tcPr>
            <w:tcW w:w="6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8"/>
          </w:tcPr>
          <w:p>
            <w:pPr>
              <w:jc w:val="right"/>
              <w:ind w:right="520"/>
              <w:spacing w:after="0"/>
              <w:rPr>
                <w:sz w:val="20"/>
                <w:szCs w:val="20"/>
                <w:color w:val="auto"/>
              </w:rPr>
            </w:pPr>
            <w:r>
              <w:rPr>
                <w:rFonts w:ascii="Arial" w:cs="Arial" w:eastAsia="Arial" w:hAnsi="Arial"/>
                <w:sz w:val="13"/>
                <w:szCs w:val="13"/>
                <w:b w:val="1"/>
                <w:bCs w:val="1"/>
                <w:color w:val="auto"/>
              </w:rPr>
              <w:t>(In millions, except share and % data)</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
        </w:trPr>
        <w:tc>
          <w:tcPr>
            <w:tcW w:w="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Existing stockholders</w:t>
            </w:r>
          </w:p>
        </w:tc>
        <w:tc>
          <w:tcPr>
            <w:tcW w:w="15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32,404,294</w:t>
            </w: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81.2%</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27.4%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520" w:type="dxa"/>
            <w:vAlign w:val="bottom"/>
          </w:tcPr>
          <w:p>
            <w:pPr>
              <w:spacing w:after="0" w:line="148" w:lineRule="exact"/>
              <w:rPr>
                <w:sz w:val="20"/>
                <w:szCs w:val="20"/>
                <w:color w:val="auto"/>
              </w:rPr>
            </w:pPr>
            <w:r>
              <w:rPr>
                <w:rFonts w:ascii="Arial" w:cs="Arial" w:eastAsia="Arial" w:hAnsi="Arial"/>
                <w:sz w:val="13"/>
                <w:szCs w:val="13"/>
                <w:color w:val="auto"/>
              </w:rPr>
              <w:t>New investors(1)</w:t>
            </w:r>
          </w:p>
        </w:tc>
        <w:tc>
          <w:tcPr>
            <w:tcW w:w="150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7,500,000</w:t>
            </w:r>
          </w:p>
        </w:tc>
        <w:tc>
          <w:tcPr>
            <w:tcW w:w="8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18.8</w:t>
            </w:r>
          </w:p>
        </w:tc>
        <w:tc>
          <w:tcPr>
            <w:tcW w:w="220" w:type="dxa"/>
            <w:vAlign w:val="bottom"/>
          </w:tcPr>
          <w:p>
            <w:pPr>
              <w:spacing w:after="0"/>
              <w:rPr>
                <w:sz w:val="12"/>
                <w:szCs w:val="12"/>
                <w:color w:val="auto"/>
              </w:rPr>
            </w:pPr>
          </w:p>
        </w:tc>
        <w:tc>
          <w:tcPr>
            <w:tcW w:w="96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123.8</w:t>
            </w: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72.6</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15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39,904,294</w:t>
            </w: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170.5</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w w:val="99"/>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4.27</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452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-832485</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-832485</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-832485</wp:posOffset>
            </wp:positionV>
            <wp:extent cx="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3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Before deduction of the underwriting discounts and commissions and estimated offering expenses payable by us.</w:t>
      </w:r>
    </w:p>
    <w:p>
      <w:pPr>
        <w:spacing w:after="0" w:line="86"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 existing stockholders will be reduced to 31,504,294 shares, or 78.5% of the aggregate number of shares of common stock outstanding after this offering, and the number of shares of common stock held by new investors will be increased to 8,625,000 shares, or 21.5% of the aggregate number of shares of common stock outstanding after this offering. The total consideration paid by our existing stockholders would be $45.5 million, or 24.2%, and the total consideration paid by our new investors would be $142.3 million, or 75.8% and the average price per share paid by our existing stockholders and new investors would be $1.44 and $16.50, respectively.</w:t>
      </w:r>
    </w:p>
    <w:p>
      <w:pPr>
        <w:spacing w:after="0" w:line="81"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To the extent that any outstanding options and warrants to purchase shares of our common stock are exercised, investors in this offering will experience further dilution. The table below sets forth the matters described with respect to the table above and assumes the exercise of all options and warrants outstanding or exercisable as of March 31, 2010. Assuming such exercise, the total number of shares purchased would be increased as a result of the additional shares underlying the options and warrants being issued. Therefore the percentage of shares purchased by the existing stockholders and new investors relative to all three groups would be decreased. Similarly, as a result of the option and warrant exercises, the total consideration to be received by us would be increased because of the additional cash received by us from option and warrant exercises. Such increase in total consideration would have the effect of decreasing the percentage of total consideration paid by the existing stockholders and new investors relative to all three groups. The average price per share for the existing stockholders and new investors would remain unchanged.</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Average</w:t>
            </w:r>
          </w:p>
        </w:tc>
      </w:tr>
      <w:tr>
        <w:trPr>
          <w:trHeight w:val="147"/>
        </w:trPr>
        <w:tc>
          <w:tcPr>
            <w:tcW w:w="4720" w:type="dxa"/>
            <w:vAlign w:val="bottom"/>
          </w:tcPr>
          <w:p>
            <w:pPr>
              <w:spacing w:after="0"/>
              <w:rPr>
                <w:sz w:val="12"/>
                <w:szCs w:val="12"/>
                <w:color w:val="auto"/>
              </w:rPr>
            </w:pPr>
          </w:p>
        </w:tc>
        <w:tc>
          <w:tcPr>
            <w:tcW w:w="1480" w:type="dxa"/>
            <w:vAlign w:val="bottom"/>
            <w:gridSpan w:val="2"/>
          </w:tcPr>
          <w:p>
            <w:pPr>
              <w:jc w:val="center"/>
              <w:ind w:left="374"/>
              <w:spacing w:after="0" w:line="148"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left="194"/>
              <w:spacing w:after="0" w:line="148" w:lineRule="exact"/>
              <w:rPr>
                <w:sz w:val="20"/>
                <w:szCs w:val="20"/>
                <w:color w:val="auto"/>
              </w:rPr>
            </w:pPr>
            <w:r>
              <w:rPr>
                <w:rFonts w:ascii="Arial" w:cs="Arial" w:eastAsia="Arial" w:hAnsi="Arial"/>
                <w:sz w:val="13"/>
                <w:szCs w:val="13"/>
                <w:b w:val="1"/>
                <w:bCs w:val="1"/>
                <w:color w:val="auto"/>
                <w:w w:val="96"/>
              </w:rPr>
              <w:t>Total</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Price</w:t>
            </w:r>
          </w:p>
        </w:tc>
      </w:tr>
      <w:tr>
        <w:trPr>
          <w:trHeight w:val="164"/>
        </w:trPr>
        <w:tc>
          <w:tcPr>
            <w:tcW w:w="4720" w:type="dxa"/>
            <w:vAlign w:val="bottom"/>
          </w:tcPr>
          <w:p>
            <w:pPr>
              <w:spacing w:after="0"/>
              <w:rPr>
                <w:sz w:val="14"/>
                <w:szCs w:val="14"/>
                <w:color w:val="auto"/>
              </w:rPr>
            </w:pPr>
          </w:p>
        </w:tc>
        <w:tc>
          <w:tcPr>
            <w:tcW w:w="148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3"/>
                <w:szCs w:val="13"/>
                <w:b w:val="1"/>
                <w:bCs w:val="1"/>
                <w:color w:val="auto"/>
              </w:rPr>
              <w:t>Purchased</w:t>
            </w: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3"/>
                <w:szCs w:val="13"/>
                <w:b w:val="1"/>
                <w:bCs w:val="1"/>
                <w:color w:val="auto"/>
              </w:rPr>
              <w:t>Consideration</w:t>
            </w: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Per</w:t>
            </w:r>
          </w:p>
        </w:tc>
      </w:tr>
      <w:tr>
        <w:trPr>
          <w:trHeight w:val="137"/>
        </w:trPr>
        <w:tc>
          <w:tcPr>
            <w:tcW w:w="4720" w:type="dxa"/>
            <w:vAlign w:val="bottom"/>
          </w:tcPr>
          <w:p>
            <w:pPr>
              <w:spacing w:after="0"/>
              <w:rPr>
                <w:sz w:val="11"/>
                <w:szCs w:val="11"/>
                <w:color w:val="auto"/>
              </w:rPr>
            </w:pPr>
          </w:p>
        </w:tc>
        <w:tc>
          <w:tcPr>
            <w:tcW w:w="1100" w:type="dxa"/>
            <w:vAlign w:val="bottom"/>
            <w:tcBorders>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Number</w:t>
            </w:r>
          </w:p>
        </w:tc>
        <w:tc>
          <w:tcPr>
            <w:tcW w:w="380" w:type="dxa"/>
            <w:vAlign w:val="bottom"/>
          </w:tcPr>
          <w:p>
            <w:pPr>
              <w:spacing w:after="0"/>
              <w:rPr>
                <w:sz w:val="11"/>
                <w:szCs w:val="11"/>
                <w:color w:val="auto"/>
              </w:rPr>
            </w:pPr>
          </w:p>
        </w:tc>
        <w:tc>
          <w:tcPr>
            <w:tcW w:w="44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4"/>
              <w:spacing w:after="0" w:line="138" w:lineRule="exact"/>
              <w:rPr>
                <w:sz w:val="20"/>
                <w:szCs w:val="20"/>
                <w:color w:val="auto"/>
              </w:rPr>
            </w:pPr>
            <w:r>
              <w:rPr>
                <w:rFonts w:ascii="Arial" w:cs="Arial" w:eastAsia="Arial" w:hAnsi="Arial"/>
                <w:sz w:val="13"/>
                <w:szCs w:val="13"/>
                <w:b w:val="1"/>
                <w:bCs w:val="1"/>
                <w:color w:val="auto"/>
              </w:rPr>
              <w:t>Share</w:t>
            </w:r>
          </w:p>
        </w:tc>
        <w:tc>
          <w:tcPr>
            <w:tcW w:w="100" w:type="dxa"/>
            <w:vAlign w:val="bottom"/>
          </w:tcPr>
          <w:p>
            <w:pPr>
              <w:spacing w:after="0"/>
              <w:rPr>
                <w:sz w:val="11"/>
                <w:szCs w:val="11"/>
                <w:color w:val="auto"/>
              </w:rPr>
            </w:pPr>
          </w:p>
        </w:tc>
      </w:tr>
      <w:tr>
        <w:trPr>
          <w:trHeight w:val="169"/>
        </w:trPr>
        <w:tc>
          <w:tcPr>
            <w:tcW w:w="4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8"/>
          </w:tcPr>
          <w:p>
            <w:pPr>
              <w:jc w:val="right"/>
              <w:ind w:right="460"/>
              <w:spacing w:after="0"/>
              <w:rPr>
                <w:sz w:val="20"/>
                <w:szCs w:val="20"/>
                <w:color w:val="auto"/>
              </w:rPr>
            </w:pPr>
            <w:r>
              <w:rPr>
                <w:rFonts w:ascii="Arial" w:cs="Arial" w:eastAsia="Arial" w:hAnsi="Arial"/>
                <w:sz w:val="13"/>
                <w:szCs w:val="13"/>
                <w:b w:val="1"/>
                <w:bCs w:val="1"/>
                <w:color w:val="auto"/>
              </w:rPr>
              <w:t>(In millions, except share and % data)</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32,404,294</w:t>
            </w:r>
          </w:p>
        </w:tc>
        <w:tc>
          <w:tcPr>
            <w:tcW w:w="3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46.8</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w:t>
            </w:r>
          </w:p>
        </w:tc>
      </w:tr>
      <w:tr>
        <w:trPr>
          <w:trHeight w:val="147"/>
        </w:trPr>
        <w:tc>
          <w:tcPr>
            <w:tcW w:w="4720" w:type="dxa"/>
            <w:vAlign w:val="bottom"/>
          </w:tcPr>
          <w:p>
            <w:pPr>
              <w:spacing w:after="0" w:line="148" w:lineRule="exact"/>
              <w:rPr>
                <w:sz w:val="20"/>
                <w:szCs w:val="20"/>
                <w:color w:val="auto"/>
              </w:rPr>
            </w:pPr>
            <w:r>
              <w:rPr>
                <w:rFonts w:ascii="Arial" w:cs="Arial" w:eastAsia="Arial" w:hAnsi="Arial"/>
                <w:sz w:val="13"/>
                <w:szCs w:val="13"/>
                <w:color w:val="auto"/>
              </w:rPr>
              <w:t>New investors(1)</w:t>
            </w:r>
          </w:p>
        </w:tc>
        <w:tc>
          <w:tcPr>
            <w:tcW w:w="1100" w:type="dxa"/>
            <w:vAlign w:val="bottom"/>
          </w:tcPr>
          <w:p>
            <w:pPr>
              <w:jc w:val="right"/>
              <w:spacing w:after="0" w:line="148" w:lineRule="exact"/>
              <w:rPr>
                <w:sz w:val="20"/>
                <w:szCs w:val="20"/>
                <w:color w:val="auto"/>
              </w:rPr>
            </w:pPr>
            <w:r>
              <w:rPr>
                <w:rFonts w:ascii="Arial" w:cs="Arial" w:eastAsia="Arial" w:hAnsi="Arial"/>
                <w:sz w:val="13"/>
                <w:szCs w:val="13"/>
                <w:color w:val="auto"/>
              </w:rPr>
              <w:t>7,500,000</w:t>
            </w:r>
          </w:p>
        </w:tc>
        <w:tc>
          <w:tcPr>
            <w:tcW w:w="380" w:type="dxa"/>
            <w:vAlign w:val="bottom"/>
          </w:tcPr>
          <w:p>
            <w:pPr>
              <w:spacing w:after="0"/>
              <w:rPr>
                <w:sz w:val="12"/>
                <w:szCs w:val="12"/>
                <w:color w:val="auto"/>
              </w:rPr>
            </w:pPr>
          </w:p>
        </w:tc>
        <w:tc>
          <w:tcPr>
            <w:tcW w:w="8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17.1</w:t>
            </w:r>
          </w:p>
        </w:tc>
        <w:tc>
          <w:tcPr>
            <w:tcW w:w="100" w:type="dxa"/>
            <w:vAlign w:val="bottom"/>
          </w:tcPr>
          <w:p>
            <w:pPr>
              <w:spacing w:after="0"/>
              <w:rPr>
                <w:sz w:val="12"/>
                <w:szCs w:val="12"/>
                <w:color w:val="auto"/>
              </w:rPr>
            </w:pPr>
          </w:p>
        </w:tc>
        <w:tc>
          <w:tcPr>
            <w:tcW w:w="10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123.8</w:t>
            </w:r>
          </w:p>
        </w:tc>
        <w:tc>
          <w:tcPr>
            <w:tcW w:w="80" w:type="dxa"/>
            <w:vAlign w:val="bottom"/>
          </w:tcPr>
          <w:p>
            <w:pPr>
              <w:spacing w:after="0"/>
              <w:rPr>
                <w:sz w:val="12"/>
                <w:szCs w:val="12"/>
                <w:color w:val="auto"/>
              </w:rPr>
            </w:pPr>
          </w:p>
        </w:tc>
        <w:tc>
          <w:tcPr>
            <w:tcW w:w="7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58.2</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16.50</w:t>
            </w:r>
          </w:p>
        </w:tc>
      </w:tr>
      <w:tr>
        <w:trPr>
          <w:trHeight w:val="147"/>
        </w:trPr>
        <w:tc>
          <w:tcPr>
            <w:tcW w:w="4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Option and warrant holders(2)</w:t>
            </w:r>
          </w:p>
        </w:tc>
        <w:tc>
          <w:tcPr>
            <w:tcW w:w="1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3,884,390</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42.2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10.87</w:t>
            </w:r>
          </w:p>
        </w:tc>
      </w:tr>
      <w:tr>
        <w:trPr>
          <w:trHeight w:val="20"/>
        </w:trPr>
        <w:tc>
          <w:tcPr>
            <w:tcW w:w="4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72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1100" w:type="dxa"/>
            <w:vAlign w:val="bottom"/>
          </w:tcPr>
          <w:p>
            <w:pPr>
              <w:jc w:val="right"/>
              <w:spacing w:after="0" w:line="148" w:lineRule="exact"/>
              <w:rPr>
                <w:sz w:val="20"/>
                <w:szCs w:val="20"/>
                <w:color w:val="auto"/>
              </w:rPr>
            </w:pPr>
            <w:r>
              <w:rPr>
                <w:rFonts w:ascii="Arial" w:cs="Arial" w:eastAsia="Arial" w:hAnsi="Arial"/>
                <w:sz w:val="13"/>
                <w:szCs w:val="13"/>
                <w:color w:val="auto"/>
              </w:rPr>
              <w:t>43,788,684</w:t>
            </w:r>
          </w:p>
        </w:tc>
        <w:tc>
          <w:tcPr>
            <w:tcW w:w="380" w:type="dxa"/>
            <w:vAlign w:val="bottom"/>
          </w:tcPr>
          <w:p>
            <w:pPr>
              <w:spacing w:after="0"/>
              <w:rPr>
                <w:sz w:val="12"/>
                <w:szCs w:val="12"/>
                <w:color w:val="auto"/>
              </w:rPr>
            </w:pPr>
          </w:p>
        </w:tc>
        <w:tc>
          <w:tcPr>
            <w:tcW w:w="86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212.8</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100.0%</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4.86</w:t>
            </w:r>
          </w:p>
        </w:tc>
      </w:tr>
      <w:tr>
        <w:trPr>
          <w:trHeight w:val="29"/>
        </w:trPr>
        <w:tc>
          <w:tcPr>
            <w:tcW w:w="47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1000" w:hanging="267"/>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Before deduction of the underwriting discounts and commissions and estimated offering expenses payable by us.</w:t>
      </w:r>
    </w:p>
    <w:p>
      <w:pPr>
        <w:spacing w:after="0" w:line="76" w:lineRule="exact"/>
        <w:rPr>
          <w:rFonts w:ascii="Arial" w:cs="Arial" w:eastAsia="Arial" w:hAnsi="Arial"/>
          <w:sz w:val="13"/>
          <w:szCs w:val="13"/>
          <w:color w:val="auto"/>
        </w:rPr>
      </w:pPr>
    </w:p>
    <w:p>
      <w:pPr>
        <w:ind w:left="1000" w:right="20" w:hanging="267"/>
        <w:spacing w:after="0" w:line="248"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shares of common stock issuable upon exercise of options previously granted to our officers, directors and employees and warrants issued in connection with our reorganization proceedings.</w:t>
      </w:r>
    </w:p>
    <w:p>
      <w:pPr>
        <w:spacing w:after="0" w:line="74"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 existing stockholders will be reduced to 31,504,294 shares, or 71.6% of the aggregate number of shares of common stock outstanding after this offering, and the number of shares of common stock held by new investors will be increased to 8,625,000 shares, or 19.6% of the aggregate number of shares of common stock outstanding after this offering. The total consideration paid by our existing stockholders would be $45.5 million, or 19.8%, and the total consideration paid by our new investors would be $142.3 million, or 61.9% and the average price per share paid by our existing stockholders and new investors would be $1.44 and $16.50, respectively.</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SELECTED HISTORICAL CONSOLIDATED FINANCIAL AND OPERATING DATA</w:t>
      </w:r>
    </w:p>
    <w:p>
      <w:pPr>
        <w:spacing w:after="0" w:line="102"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The following tables set forth selected historical consolidated financial data of MagnaChip Semiconductor LLC (to be converted into MagnaChip Semiconductor Corporation in connection with this offering) on or as of the dates and for the periods indicated. The selected historical consolidated financial data presented below should be read together with “Management’s Discussion and Analysis of Financial Condition and Results of Operations” and our consolidated financial statements, including the notes to those consolidated financial statements, appearing elsewhere in this prospectus.</w:t>
      </w:r>
    </w:p>
    <w:p>
      <w:pPr>
        <w:spacing w:after="0" w:line="80"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have derived the selected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included elsewhere in this prospectus. We have derived the unaudited consolidated statement of operations data for the three months ended March 31, 2010 and March 29, 2009 from the unaudited interim consolidated financial statements of MagnaChip Semiconductor LLC included elsewhere in this prospectus. We have derived the selected consolidated financial data as of December 31, 2007, 2006 and 2005 and for the years ended December 31, 2006 and 2005 from the historical audited consolidated financial statements of MagnaChip Semiconductor LLC not included in this prospectus. We have derived the selected consolidated financial data as of March 31, 2010 from the unaudited interim consolidated financial statements of MagnaChip Semiconductor LLC included elsewhere in this prospectus. We derived the unaudited consolidated balance sheet data as of March 29, 2009 from our unaudited interim consolidated financial statements not included in this prospectus. The historical consolidated financial data for the three months ended March 31, 2010 and the two-month period ended December 31, 2009 give retroactive effect to the corporate conversion.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applicable ASC 852 governing reorganizations. We elected to adopt a convenience date of October 25, 2009 (a month end for our financial reporting purposes) for application of fresh-start accounting. In accordance with the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25, 2009.</w:t>
      </w:r>
    </w:p>
    <w:p>
      <w:pPr>
        <w:spacing w:after="0" w:line="200" w:lineRule="exact"/>
        <w:rPr>
          <w:sz w:val="20"/>
          <w:szCs w:val="20"/>
          <w:color w:val="auto"/>
        </w:rPr>
      </w:pPr>
    </w:p>
    <w:p>
      <w:pPr>
        <w:spacing w:after="0" w:line="30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3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Successor(1)</w:t>
            </w:r>
          </w:p>
        </w:tc>
        <w:tc>
          <w:tcPr>
            <w:tcW w:w="760" w:type="dxa"/>
            <w:vAlign w:val="bottom"/>
            <w:tcBorders>
              <w:bottom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9"/>
                <w:szCs w:val="9"/>
                <w:b w:val="1"/>
                <w:bCs w:val="1"/>
                <w:color w:val="auto"/>
              </w:rPr>
              <w:t>Predecessor</w:t>
            </w: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Three Months</w:t>
            </w:r>
          </w:p>
        </w:tc>
        <w:tc>
          <w:tcPr>
            <w:tcW w:w="140" w:type="dxa"/>
            <w:vAlign w:val="bottom"/>
          </w:tcPr>
          <w:p>
            <w:pPr>
              <w:spacing w:after="0"/>
              <w:rPr>
                <w:sz w:val="6"/>
                <w:szCs w:val="6"/>
                <w:color w:val="auto"/>
              </w:rPr>
            </w:pPr>
          </w:p>
        </w:tc>
        <w:tc>
          <w:tcPr>
            <w:tcW w:w="760" w:type="dxa"/>
            <w:vAlign w:val="bottom"/>
          </w:tcPr>
          <w:p>
            <w:pPr>
              <w:jc w:val="center"/>
              <w:ind w:right="100"/>
              <w:spacing w:after="0" w:line="74" w:lineRule="exact"/>
              <w:rPr>
                <w:sz w:val="20"/>
                <w:szCs w:val="20"/>
                <w:color w:val="auto"/>
              </w:rPr>
            </w:pPr>
            <w:r>
              <w:rPr>
                <w:rFonts w:ascii="Arial" w:cs="Arial" w:eastAsia="Arial" w:hAnsi="Arial"/>
                <w:sz w:val="8"/>
                <w:szCs w:val="8"/>
                <w:b w:val="1"/>
                <w:bCs w:val="1"/>
                <w:color w:val="auto"/>
              </w:rPr>
              <w:t>Two- Month</w:t>
            </w: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center"/>
              <w:ind w:right="334"/>
              <w:spacing w:after="0" w:line="74" w:lineRule="exact"/>
              <w:rPr>
                <w:sz w:val="20"/>
                <w:szCs w:val="20"/>
                <w:color w:val="auto"/>
              </w:rPr>
            </w:pPr>
            <w:r>
              <w:rPr>
                <w:rFonts w:ascii="Arial" w:cs="Arial" w:eastAsia="Arial" w:hAnsi="Arial"/>
                <w:sz w:val="8"/>
                <w:szCs w:val="8"/>
                <w:b w:val="1"/>
                <w:bCs w:val="1"/>
                <w:color w:val="auto"/>
              </w:rPr>
              <w:t>Ten- Month</w:t>
            </w:r>
          </w:p>
        </w:tc>
        <w:tc>
          <w:tcPr>
            <w:tcW w:w="100" w:type="dxa"/>
            <w:vAlign w:val="bottom"/>
          </w:tcPr>
          <w:p>
            <w:pPr>
              <w:spacing w:after="0"/>
              <w:rPr>
                <w:sz w:val="6"/>
                <w:szCs w:val="6"/>
                <w:color w:val="auto"/>
              </w:rPr>
            </w:pPr>
          </w:p>
        </w:tc>
        <w:tc>
          <w:tcPr>
            <w:tcW w:w="100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Three Months</w:t>
            </w: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rPr>
              <w:t>Ended</w:t>
            </w:r>
          </w:p>
        </w:tc>
        <w:tc>
          <w:tcPr>
            <w:tcW w:w="140" w:type="dxa"/>
            <w:vAlign w:val="bottom"/>
          </w:tcPr>
          <w:p>
            <w:pPr>
              <w:spacing w:after="0"/>
              <w:rPr>
                <w:sz w:val="8"/>
                <w:szCs w:val="8"/>
                <w:color w:val="auto"/>
              </w:rPr>
            </w:pPr>
          </w:p>
        </w:tc>
        <w:tc>
          <w:tcPr>
            <w:tcW w:w="960" w:type="dxa"/>
            <w:vAlign w:val="bottom"/>
            <w:tcBorders>
              <w:right w:val="single" w:sz="8" w:color="auto"/>
            </w:tcBorders>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9"/>
              </w:rPr>
              <w:t>Period Ended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334"/>
              <w:spacing w:after="0" w:line="98"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100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rPr>
              <w:t>Ended</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5"/>
          </w:tcPr>
          <w:p>
            <w:pPr>
              <w:jc w:val="right"/>
              <w:ind w:right="340"/>
              <w:spacing w:after="0" w:line="98" w:lineRule="exact"/>
              <w:rPr>
                <w:sz w:val="20"/>
                <w:szCs w:val="20"/>
                <w:color w:val="auto"/>
              </w:rPr>
            </w:pPr>
            <w:r>
              <w:rPr>
                <w:rFonts w:ascii="Arial" w:cs="Arial" w:eastAsia="Arial" w:hAnsi="Arial"/>
                <w:sz w:val="9"/>
                <w:szCs w:val="9"/>
                <w:b w:val="1"/>
                <w:bCs w:val="1"/>
                <w:color w:val="auto"/>
              </w:rPr>
              <w:t>Years Ended</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rPr>
              <w:t>March 31,</w:t>
            </w:r>
          </w:p>
        </w:tc>
        <w:tc>
          <w:tcPr>
            <w:tcW w:w="140" w:type="dxa"/>
            <w:vAlign w:val="bottom"/>
          </w:tcPr>
          <w:p>
            <w:pPr>
              <w:spacing w:after="0"/>
              <w:rPr>
                <w:sz w:val="9"/>
                <w:szCs w:val="9"/>
                <w:color w:val="auto"/>
              </w:rPr>
            </w:pPr>
          </w:p>
        </w:tc>
        <w:tc>
          <w:tcPr>
            <w:tcW w:w="9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9"/>
                <w:szCs w:val="9"/>
                <w:b w:val="1"/>
                <w:bCs w:val="1"/>
                <w:color w:val="auto"/>
                <w:w w:val="99"/>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334"/>
              <w:spacing w:after="0"/>
              <w:rPr>
                <w:sz w:val="20"/>
                <w:szCs w:val="20"/>
                <w:color w:val="auto"/>
              </w:rPr>
            </w:pPr>
            <w:r>
              <w:rPr>
                <w:rFonts w:ascii="Arial" w:cs="Arial" w:eastAsia="Arial" w:hAnsi="Arial"/>
                <w:sz w:val="9"/>
                <w:szCs w:val="9"/>
                <w:b w:val="1"/>
                <w:bCs w:val="1"/>
                <w:color w:val="auto"/>
              </w:rPr>
              <w:t>October 25,</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March 29,</w:t>
            </w: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5"/>
          </w:tcPr>
          <w:p>
            <w:pPr>
              <w:ind w:left="100"/>
              <w:spacing w:after="0"/>
              <w:rPr>
                <w:sz w:val="20"/>
                <w:szCs w:val="20"/>
                <w:color w:val="auto"/>
              </w:rPr>
            </w:pPr>
            <w:r>
              <w:rPr>
                <w:rFonts w:ascii="Arial" w:cs="Arial" w:eastAsia="Arial" w:hAnsi="Arial"/>
                <w:sz w:val="9"/>
                <w:szCs w:val="9"/>
                <w:b w:val="1"/>
                <w:bCs w:val="1"/>
                <w:color w:val="auto"/>
              </w:rPr>
              <w:t>December 31,</w:t>
            </w: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40"/>
              <w:spacing w:after="0" w:line="98" w:lineRule="exact"/>
              <w:rPr>
                <w:sz w:val="20"/>
                <w:szCs w:val="20"/>
                <w:color w:val="auto"/>
              </w:rPr>
            </w:pPr>
            <w:r>
              <w:rPr>
                <w:rFonts w:ascii="Arial" w:cs="Arial" w:eastAsia="Arial" w:hAnsi="Arial"/>
                <w:sz w:val="9"/>
                <w:szCs w:val="9"/>
                <w:b w:val="1"/>
                <w:bCs w:val="1"/>
                <w:color w:val="auto"/>
              </w:rPr>
              <w:t>2010*</w:t>
            </w: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center"/>
              <w:ind w:right="100"/>
              <w:spacing w:after="0" w:line="98" w:lineRule="exact"/>
              <w:rPr>
                <w:sz w:val="20"/>
                <w:szCs w:val="20"/>
                <w:color w:val="auto"/>
              </w:rPr>
            </w:pPr>
            <w:r>
              <w:rPr>
                <w:rFonts w:ascii="Arial" w:cs="Arial" w:eastAsia="Arial" w:hAnsi="Arial"/>
                <w:sz w:val="9"/>
                <w:szCs w:val="9"/>
                <w:b w:val="1"/>
                <w:bCs w:val="1"/>
                <w:color w:val="auto"/>
                <w:w w:val="96"/>
              </w:rPr>
              <w:t>2009**</w:t>
            </w:r>
          </w:p>
        </w:tc>
        <w:tc>
          <w:tcPr>
            <w:tcW w:w="200" w:type="dxa"/>
            <w:vAlign w:val="bottom"/>
            <w:tcBorders>
              <w:right w:val="single" w:sz="8" w:color="auto"/>
            </w:tcBorders>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6"/>
                <w:szCs w:val="6"/>
                <w:b w:val="1"/>
                <w:bCs w:val="1"/>
                <w:color w:val="auto"/>
                <w:w w:val="81"/>
              </w:rPr>
              <w:t>(In</w:t>
            </w: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40"/>
              <w:spacing w:after="0" w:line="98" w:lineRule="exact"/>
              <w:rPr>
                <w:sz w:val="20"/>
                <w:szCs w:val="20"/>
                <w:color w:val="auto"/>
              </w:rPr>
            </w:pPr>
            <w:r>
              <w:rPr>
                <w:rFonts w:ascii="Arial" w:cs="Arial" w:eastAsia="Arial" w:hAnsi="Arial"/>
                <w:sz w:val="9"/>
                <w:szCs w:val="9"/>
                <w:b w:val="1"/>
                <w:bCs w:val="1"/>
                <w:color w:val="auto"/>
              </w:rPr>
              <w:t>2009**</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80"/>
              <w:spacing w:after="0" w:line="98"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b w:val="1"/>
                <w:bCs w:val="1"/>
                <w:color w:val="auto"/>
              </w:rPr>
              <w:t>2008**</w:t>
            </w:r>
          </w:p>
        </w:tc>
        <w:tc>
          <w:tcPr>
            <w:tcW w:w="60" w:type="dxa"/>
            <w:vAlign w:val="bottom"/>
          </w:tcPr>
          <w:p>
            <w:pPr>
              <w:spacing w:after="0"/>
              <w:rPr>
                <w:sz w:val="8"/>
                <w:szCs w:val="8"/>
                <w:color w:val="auto"/>
              </w:rPr>
            </w:pPr>
          </w:p>
        </w:tc>
        <w:tc>
          <w:tcPr>
            <w:tcW w:w="480" w:type="dxa"/>
            <w:vAlign w:val="bottom"/>
            <w:gridSpan w:val="2"/>
          </w:tcPr>
          <w:p>
            <w:pPr>
              <w:ind w:left="100"/>
              <w:spacing w:after="0" w:line="98" w:lineRule="exact"/>
              <w:rPr>
                <w:sz w:val="20"/>
                <w:szCs w:val="20"/>
                <w:color w:val="auto"/>
              </w:rPr>
            </w:pPr>
            <w:r>
              <w:rPr>
                <w:rFonts w:ascii="Arial" w:cs="Arial" w:eastAsia="Arial" w:hAnsi="Arial"/>
                <w:sz w:val="9"/>
                <w:szCs w:val="9"/>
                <w:b w:val="1"/>
                <w:bCs w:val="1"/>
                <w:color w:val="auto"/>
              </w:rPr>
              <w:t>2007**</w:t>
            </w:r>
          </w:p>
        </w:tc>
        <w:tc>
          <w:tcPr>
            <w:tcW w:w="60" w:type="dxa"/>
            <w:vAlign w:val="bottom"/>
          </w:tcPr>
          <w:p>
            <w:pPr>
              <w:spacing w:after="0"/>
              <w:rPr>
                <w:sz w:val="8"/>
                <w:szCs w:val="8"/>
                <w:color w:val="auto"/>
              </w:rPr>
            </w:pPr>
          </w:p>
        </w:tc>
        <w:tc>
          <w:tcPr>
            <w:tcW w:w="480" w:type="dxa"/>
            <w:vAlign w:val="bottom"/>
            <w:gridSpan w:val="2"/>
          </w:tcPr>
          <w:p>
            <w:pPr>
              <w:jc w:val="right"/>
              <w:ind w:right="100"/>
              <w:spacing w:after="0" w:line="98" w:lineRule="exact"/>
              <w:rPr>
                <w:sz w:val="20"/>
                <w:szCs w:val="20"/>
                <w:color w:val="auto"/>
              </w:rPr>
            </w:pPr>
            <w:r>
              <w:rPr>
                <w:rFonts w:ascii="Arial" w:cs="Arial" w:eastAsia="Arial" w:hAnsi="Arial"/>
                <w:sz w:val="9"/>
                <w:szCs w:val="9"/>
                <w:b w:val="1"/>
                <w:bCs w:val="1"/>
                <w:color w:val="auto"/>
              </w:rPr>
              <w:t>2006**</w:t>
            </w:r>
          </w:p>
        </w:tc>
        <w:tc>
          <w:tcPr>
            <w:tcW w:w="80" w:type="dxa"/>
            <w:vAlign w:val="bottom"/>
          </w:tcPr>
          <w:p>
            <w:pPr>
              <w:spacing w:after="0"/>
              <w:rPr>
                <w:sz w:val="8"/>
                <w:szCs w:val="8"/>
                <w:color w:val="auto"/>
              </w:rPr>
            </w:pPr>
          </w:p>
        </w:tc>
        <w:tc>
          <w:tcPr>
            <w:tcW w:w="400" w:type="dxa"/>
            <w:vAlign w:val="bottom"/>
            <w:gridSpan w:val="2"/>
          </w:tcPr>
          <w:p>
            <w:pPr>
              <w:jc w:val="right"/>
              <w:ind w:right="20"/>
              <w:spacing w:after="0" w:line="98" w:lineRule="exact"/>
              <w:rPr>
                <w:sz w:val="20"/>
                <w:szCs w:val="20"/>
                <w:color w:val="auto"/>
              </w:rPr>
            </w:pPr>
            <w:r>
              <w:rPr>
                <w:rFonts w:ascii="Arial" w:cs="Arial" w:eastAsia="Arial" w:hAnsi="Arial"/>
                <w:sz w:val="9"/>
                <w:szCs w:val="9"/>
                <w:b w:val="1"/>
                <w:bCs w:val="1"/>
                <w:color w:val="auto"/>
              </w:rPr>
              <w:t>2005**</w:t>
            </w: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900" w:type="dxa"/>
            <w:vAlign w:val="bottom"/>
            <w:gridSpan w:val="2"/>
          </w:tcPr>
          <w:p>
            <w:pPr>
              <w:ind w:left="60"/>
              <w:spacing w:after="0" w:line="88" w:lineRule="exact"/>
              <w:rPr>
                <w:sz w:val="20"/>
                <w:szCs w:val="20"/>
                <w:color w:val="auto"/>
              </w:rPr>
            </w:pPr>
            <w:r>
              <w:rPr>
                <w:rFonts w:ascii="Arial" w:cs="Arial" w:eastAsia="Arial" w:hAnsi="Arial"/>
                <w:sz w:val="9"/>
                <w:szCs w:val="9"/>
                <w:b w:val="1"/>
                <w:bCs w:val="1"/>
                <w:color w:val="auto"/>
                <w:w w:val="97"/>
              </w:rPr>
              <w:t>millions, except per</w:t>
            </w:r>
          </w:p>
        </w:tc>
        <w:tc>
          <w:tcPr>
            <w:tcW w:w="1200" w:type="dxa"/>
            <w:vAlign w:val="bottom"/>
            <w:gridSpan w:val="3"/>
          </w:tcPr>
          <w:p>
            <w:pPr>
              <w:jc w:val="right"/>
              <w:ind w:right="40"/>
              <w:spacing w:after="0" w:line="88" w:lineRule="exact"/>
              <w:rPr>
                <w:sz w:val="20"/>
                <w:szCs w:val="20"/>
                <w:color w:val="auto"/>
              </w:rPr>
            </w:pPr>
            <w:r>
              <w:rPr>
                <w:rFonts w:ascii="Arial" w:cs="Arial" w:eastAsia="Arial" w:hAnsi="Arial"/>
                <w:sz w:val="9"/>
                <w:szCs w:val="9"/>
                <w:b w:val="1"/>
                <w:bCs w:val="1"/>
                <w:color w:val="auto"/>
              </w:rPr>
              <w:t>common unit/share data)</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Statements of Operations Data:</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Net sales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179.5</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111.1</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449.0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101.5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601.7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709.5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683.9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774.3</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Cost of sales</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130.1</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90.4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311.1</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80.6</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445.3</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578.9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580.4</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591.1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20" w:type="dxa"/>
            <w:vAlign w:val="bottom"/>
          </w:tcPr>
          <w:p>
            <w:pPr>
              <w:spacing w:after="0" w:line="88" w:lineRule="exact"/>
              <w:rPr>
                <w:sz w:val="20"/>
                <w:szCs w:val="20"/>
                <w:color w:val="auto"/>
              </w:rPr>
            </w:pPr>
            <w:r>
              <w:rPr>
                <w:rFonts w:ascii="Arial" w:cs="Arial" w:eastAsia="Arial" w:hAnsi="Arial"/>
                <w:sz w:val="8"/>
                <w:szCs w:val="8"/>
                <w:color w:val="auto"/>
              </w:rPr>
              <w:t>Gross profit</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8" w:lineRule="exact"/>
              <w:rPr>
                <w:sz w:val="20"/>
                <w:szCs w:val="20"/>
                <w:color w:val="auto"/>
              </w:rPr>
            </w:pPr>
            <w:r>
              <w:rPr>
                <w:rFonts w:ascii="Arial" w:cs="Arial" w:eastAsia="Arial" w:hAnsi="Arial"/>
                <w:sz w:val="8"/>
                <w:szCs w:val="8"/>
                <w:color w:val="auto"/>
              </w:rPr>
              <w:t>49.4</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8" w:lineRule="exact"/>
              <w:rPr>
                <w:sz w:val="20"/>
                <w:szCs w:val="20"/>
                <w:color w:val="auto"/>
              </w:rPr>
            </w:pPr>
            <w:r>
              <w:rPr>
                <w:rFonts w:ascii="Arial" w:cs="Arial" w:eastAsia="Arial" w:hAnsi="Arial"/>
                <w:sz w:val="8"/>
                <w:szCs w:val="8"/>
                <w:color w:val="auto"/>
              </w:rPr>
              <w:t>20.7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8" w:lineRule="exact"/>
              <w:rPr>
                <w:sz w:val="20"/>
                <w:szCs w:val="20"/>
                <w:color w:val="auto"/>
              </w:rPr>
            </w:pPr>
            <w:r>
              <w:rPr>
                <w:rFonts w:ascii="Arial" w:cs="Arial" w:eastAsia="Arial" w:hAnsi="Arial"/>
                <w:sz w:val="8"/>
                <w:szCs w:val="8"/>
                <w:color w:val="auto"/>
              </w:rPr>
              <w:t>137.8</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20.9</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156.4</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130.7</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103.4</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183.2</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Selling, general and administrative expenses</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17.9</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56.3</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15.3</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81.3</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82.7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76.1</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119.4</w:t>
            </w: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Research and development expenses</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20.5</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14.7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56.1</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17.0</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89.5</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90.8</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87.2</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96.1</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Restructuring and impairment charges</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0.3</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0.4</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13.4</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12.1</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36.1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20" w:type="dxa"/>
            <w:vAlign w:val="bottom"/>
          </w:tcPr>
          <w:p>
            <w:pPr>
              <w:spacing w:after="0" w:line="88" w:lineRule="exact"/>
              <w:rPr>
                <w:sz w:val="20"/>
                <w:szCs w:val="20"/>
                <w:color w:val="auto"/>
              </w:rPr>
            </w:pPr>
            <w:r>
              <w:rPr>
                <w:rFonts w:ascii="Arial" w:cs="Arial" w:eastAsia="Arial" w:hAnsi="Arial"/>
                <w:sz w:val="8"/>
                <w:szCs w:val="8"/>
                <w:color w:val="auto"/>
              </w:rPr>
              <w:t>Operating income (loss) from continuing operations</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8" w:lineRule="exact"/>
              <w:rPr>
                <w:sz w:val="20"/>
                <w:szCs w:val="20"/>
                <w:color w:val="auto"/>
              </w:rPr>
            </w:pPr>
            <w:r>
              <w:rPr>
                <w:rFonts w:ascii="Arial" w:cs="Arial" w:eastAsia="Arial" w:hAnsi="Arial"/>
                <w:sz w:val="8"/>
                <w:szCs w:val="8"/>
                <w:color w:val="auto"/>
              </w:rPr>
              <w:t>10.6</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180"/>
              <w:spacing w:after="0" w:line="88" w:lineRule="exact"/>
              <w:rPr>
                <w:sz w:val="20"/>
                <w:szCs w:val="20"/>
                <w:color w:val="auto"/>
              </w:rPr>
            </w:pPr>
            <w:r>
              <w:rPr>
                <w:rFonts w:ascii="Arial" w:cs="Arial" w:eastAsia="Arial" w:hAnsi="Arial"/>
                <w:sz w:val="8"/>
                <w:szCs w:val="8"/>
                <w:color w:val="auto"/>
              </w:rPr>
              <w:t>(8.6)</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8" w:lineRule="exact"/>
              <w:rPr>
                <w:sz w:val="20"/>
                <w:szCs w:val="20"/>
                <w:color w:val="auto"/>
              </w:rPr>
            </w:pPr>
            <w:r>
              <w:rPr>
                <w:rFonts w:ascii="Arial" w:cs="Arial" w:eastAsia="Arial" w:hAnsi="Arial"/>
                <w:sz w:val="8"/>
                <w:szCs w:val="8"/>
                <w:color w:val="auto"/>
              </w:rPr>
              <w:t>25.0</w:t>
            </w:r>
          </w:p>
        </w:tc>
        <w:tc>
          <w:tcPr>
            <w:tcW w:w="100" w:type="dxa"/>
            <w:vAlign w:val="bottom"/>
          </w:tcPr>
          <w:p>
            <w:pPr>
              <w:spacing w:after="0"/>
              <w:rPr>
                <w:sz w:val="7"/>
                <w:szCs w:val="7"/>
                <w:color w:val="auto"/>
              </w:rPr>
            </w:pP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(11.4)</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(27.7)</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(54.9)</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(61.6)</w:t>
            </w:r>
          </w:p>
        </w:tc>
        <w:tc>
          <w:tcPr>
            <w:tcW w:w="80" w:type="dxa"/>
            <w:vAlign w:val="bottom"/>
          </w:tcPr>
          <w:p>
            <w:pPr>
              <w:spacing w:after="0"/>
              <w:rPr>
                <w:sz w:val="7"/>
                <w:szCs w:val="7"/>
                <w:color w:val="auto"/>
              </w:rPr>
            </w:pPr>
          </w:p>
        </w:tc>
        <w:tc>
          <w:tcPr>
            <w:tcW w:w="40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(68.4)</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Interest expense, net</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(2.0)</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14"/>
              <w:spacing w:after="0" w:line="89" w:lineRule="exact"/>
              <w:rPr>
                <w:sz w:val="20"/>
                <w:szCs w:val="20"/>
                <w:color w:val="auto"/>
              </w:rPr>
            </w:pPr>
            <w:r>
              <w:rPr>
                <w:rFonts w:ascii="Arial" w:cs="Arial" w:eastAsia="Arial" w:hAnsi="Arial"/>
                <w:sz w:val="8"/>
                <w:szCs w:val="8"/>
                <w:color w:val="auto"/>
              </w:rPr>
              <w:t>(31.2)</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(76.1)</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(60.3)</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(57.2)</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(57.2)</w:t>
            </w: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Foreign currency gain (loss), net</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21.6</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9.3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43.4</w:t>
            </w:r>
          </w:p>
        </w:tc>
        <w:tc>
          <w:tcPr>
            <w:tcW w:w="100" w:type="dxa"/>
            <w:vAlign w:val="bottom"/>
          </w:tcPr>
          <w:p>
            <w:pPr>
              <w:spacing w:after="0"/>
              <w:rPr>
                <w:sz w:val="7"/>
                <w:szCs w:val="7"/>
                <w:color w:val="auto"/>
              </w:rPr>
            </w:pP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(40.2)</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(210.4)</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(4.7)</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50.9</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16.5</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Reorganization items, net</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804.6</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Others</w:t>
            </w:r>
          </w:p>
        </w:tc>
        <w:tc>
          <w:tcPr>
            <w:tcW w:w="80" w:type="dxa"/>
            <w:vAlign w:val="bottom"/>
          </w:tcPr>
          <w:p>
            <w:pPr>
              <w:spacing w:after="0"/>
              <w:rPr>
                <w:sz w:val="7"/>
                <w:szCs w:val="7"/>
                <w:color w:val="auto"/>
              </w:rPr>
            </w:pPr>
          </w:p>
        </w:tc>
        <w:tc>
          <w:tcPr>
            <w:tcW w:w="1100" w:type="dxa"/>
            <w:vAlign w:val="bottom"/>
            <w:gridSpan w:val="2"/>
          </w:tcPr>
          <w:p>
            <w:pPr>
              <w:jc w:val="right"/>
              <w:ind w:right="260"/>
              <w:spacing w:after="0" w:line="89" w:lineRule="exact"/>
              <w:rPr>
                <w:sz w:val="20"/>
                <w:szCs w:val="20"/>
                <w:color w:val="auto"/>
              </w:rPr>
            </w:pPr>
            <w:r>
              <w:rPr>
                <w:rFonts w:ascii="Arial" w:cs="Arial" w:eastAsia="Arial" w:hAnsi="Arial"/>
                <w:sz w:val="8"/>
                <w:szCs w:val="8"/>
                <w:color w:val="auto"/>
              </w:rPr>
              <w:t>(0.1)</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8" w:lineRule="exact"/>
              <w:rPr>
                <w:sz w:val="20"/>
                <w:szCs w:val="20"/>
                <w:color w:val="auto"/>
              </w:rPr>
            </w:pPr>
            <w:r>
              <w:rPr>
                <w:rFonts w:ascii="Arial" w:cs="Arial" w:eastAsia="Arial" w:hAnsi="Arial"/>
                <w:sz w:val="8"/>
                <w:szCs w:val="8"/>
                <w:color w:val="auto"/>
              </w:rPr>
              <w:t>19.5</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8.1</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8" w:lineRule="exact"/>
              <w:rPr>
                <w:sz w:val="20"/>
                <w:szCs w:val="20"/>
                <w:color w:val="auto"/>
              </w:rPr>
            </w:pPr>
            <w:r>
              <w:rPr>
                <w:rFonts w:ascii="Arial" w:cs="Arial" w:eastAsia="Arial" w:hAnsi="Arial"/>
                <w:sz w:val="8"/>
                <w:szCs w:val="8"/>
                <w:color w:val="auto"/>
              </w:rPr>
              <w:t>816.8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(54.9)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(286.5)</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(65.0)</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(6.3)</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(40.7)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20" w:type="dxa"/>
            <w:vAlign w:val="bottom"/>
          </w:tcPr>
          <w:p>
            <w:pPr>
              <w:spacing w:after="0" w:line="88" w:lineRule="exact"/>
              <w:rPr>
                <w:sz w:val="20"/>
                <w:szCs w:val="20"/>
                <w:color w:val="auto"/>
              </w:rPr>
            </w:pPr>
            <w:r>
              <w:rPr>
                <w:rFonts w:ascii="Arial" w:cs="Arial" w:eastAsia="Arial" w:hAnsi="Arial"/>
                <w:sz w:val="8"/>
                <w:szCs w:val="8"/>
                <w:color w:val="auto"/>
              </w:rPr>
              <w:t>Income (loss) from continuing operations before income taxes</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8" w:lineRule="exact"/>
              <w:rPr>
                <w:sz w:val="20"/>
                <w:szCs w:val="20"/>
                <w:color w:val="auto"/>
              </w:rPr>
            </w:pPr>
            <w:r>
              <w:rPr>
                <w:rFonts w:ascii="Arial" w:cs="Arial" w:eastAsia="Arial" w:hAnsi="Arial"/>
                <w:sz w:val="8"/>
                <w:szCs w:val="8"/>
                <w:color w:val="auto"/>
              </w:rPr>
              <w:t>30.1</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180"/>
              <w:spacing w:after="0" w:line="88"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8" w:lineRule="exact"/>
              <w:rPr>
                <w:sz w:val="20"/>
                <w:szCs w:val="20"/>
                <w:color w:val="auto"/>
              </w:rPr>
            </w:pPr>
            <w:r>
              <w:rPr>
                <w:rFonts w:ascii="Arial" w:cs="Arial" w:eastAsia="Arial" w:hAnsi="Arial"/>
                <w:sz w:val="8"/>
                <w:szCs w:val="8"/>
                <w:color w:val="auto"/>
              </w:rPr>
              <w:t>841.8</w:t>
            </w:r>
          </w:p>
        </w:tc>
        <w:tc>
          <w:tcPr>
            <w:tcW w:w="100" w:type="dxa"/>
            <w:vAlign w:val="bottom"/>
          </w:tcPr>
          <w:p>
            <w:pPr>
              <w:spacing w:after="0"/>
              <w:rPr>
                <w:sz w:val="7"/>
                <w:szCs w:val="7"/>
                <w:color w:val="auto"/>
              </w:rPr>
            </w:pP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(66.3)</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(314.3)</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(120.0)</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(67.9)</w:t>
            </w:r>
          </w:p>
        </w:tc>
        <w:tc>
          <w:tcPr>
            <w:tcW w:w="80" w:type="dxa"/>
            <w:vAlign w:val="bottom"/>
          </w:tcPr>
          <w:p>
            <w:pPr>
              <w:spacing w:after="0"/>
              <w:rPr>
                <w:sz w:val="7"/>
                <w:szCs w:val="7"/>
                <w:color w:val="auto"/>
              </w:rPr>
            </w:pPr>
          </w:p>
        </w:tc>
        <w:tc>
          <w:tcPr>
            <w:tcW w:w="40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(109.1)</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tax expenses (benefits)</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(1.0)</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7.3</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11.6</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8.8</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9.1</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20" w:type="dxa"/>
            <w:vAlign w:val="bottom"/>
          </w:tcPr>
          <w:p>
            <w:pPr>
              <w:spacing w:after="0" w:line="88" w:lineRule="exact"/>
              <w:rPr>
                <w:sz w:val="20"/>
                <w:szCs w:val="20"/>
                <w:color w:val="auto"/>
              </w:rPr>
            </w:pPr>
            <w:r>
              <w:rPr>
                <w:rFonts w:ascii="Arial" w:cs="Arial" w:eastAsia="Arial" w:hAnsi="Arial"/>
                <w:sz w:val="8"/>
                <w:szCs w:val="8"/>
                <w:color w:val="auto"/>
              </w:rPr>
              <w:t>Income (loss) from continuing operations</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8" w:lineRule="exact"/>
              <w:rPr>
                <w:sz w:val="20"/>
                <w:szCs w:val="20"/>
                <w:color w:val="auto"/>
              </w:rPr>
            </w:pPr>
            <w:r>
              <w:rPr>
                <w:rFonts w:ascii="Arial" w:cs="Arial" w:eastAsia="Arial" w:hAnsi="Arial"/>
                <w:sz w:val="8"/>
                <w:szCs w:val="8"/>
                <w:color w:val="auto"/>
              </w:rPr>
              <w:t>31.1</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180"/>
              <w:spacing w:after="0" w:line="88" w:lineRule="exact"/>
              <w:rPr>
                <w:sz w:val="20"/>
                <w:szCs w:val="20"/>
                <w:color w:val="auto"/>
              </w:rPr>
            </w:pPr>
            <w:r>
              <w:rPr>
                <w:rFonts w:ascii="Arial" w:cs="Arial" w:eastAsia="Arial" w:hAnsi="Arial"/>
                <w:sz w:val="8"/>
                <w:szCs w:val="8"/>
                <w:color w:val="auto"/>
              </w:rPr>
              <w:t>(2.5)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8" w:lineRule="exact"/>
              <w:rPr>
                <w:sz w:val="20"/>
                <w:szCs w:val="20"/>
                <w:color w:val="auto"/>
              </w:rPr>
            </w:pPr>
            <w:r>
              <w:rPr>
                <w:rFonts w:ascii="Arial" w:cs="Arial" w:eastAsia="Arial" w:hAnsi="Arial"/>
                <w:sz w:val="8"/>
                <w:szCs w:val="8"/>
                <w:color w:val="auto"/>
              </w:rPr>
              <w:t>834.5</w:t>
            </w:r>
          </w:p>
        </w:tc>
        <w:tc>
          <w:tcPr>
            <w:tcW w:w="100" w:type="dxa"/>
            <w:vAlign w:val="bottom"/>
          </w:tcPr>
          <w:p>
            <w:pPr>
              <w:spacing w:after="0"/>
              <w:rPr>
                <w:sz w:val="7"/>
                <w:szCs w:val="7"/>
                <w:color w:val="auto"/>
              </w:rPr>
            </w:pP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(68.9)</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(325.8)</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(128.8)</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(76.9)</w:t>
            </w:r>
          </w:p>
        </w:tc>
        <w:tc>
          <w:tcPr>
            <w:tcW w:w="80" w:type="dxa"/>
            <w:vAlign w:val="bottom"/>
          </w:tcPr>
          <w:p>
            <w:pPr>
              <w:spacing w:after="0"/>
              <w:rPr>
                <w:sz w:val="7"/>
                <w:szCs w:val="7"/>
                <w:color w:val="auto"/>
              </w:rPr>
            </w:pPr>
          </w:p>
        </w:tc>
        <w:tc>
          <w:tcPr>
            <w:tcW w:w="40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(111.1)</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(loss) from discontinued operations, net of taxes</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6.6</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(0.8)</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(91.5)</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(51.7)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(152.4)</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20" w:type="dxa"/>
            <w:vAlign w:val="bottom"/>
          </w:tcPr>
          <w:p>
            <w:pPr>
              <w:spacing w:after="0" w:line="88" w:lineRule="exact"/>
              <w:rPr>
                <w:sz w:val="20"/>
                <w:szCs w:val="20"/>
                <w:color w:val="auto"/>
              </w:rPr>
            </w:pPr>
            <w:r>
              <w:rPr>
                <w:rFonts w:ascii="Arial" w:cs="Arial" w:eastAsia="Arial" w:hAnsi="Arial"/>
                <w:sz w:val="8"/>
                <w:szCs w:val="8"/>
                <w:color w:val="auto"/>
              </w:rPr>
              <w:t>Net income (loss)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8" w:lineRule="exact"/>
              <w:rPr>
                <w:sz w:val="20"/>
                <w:szCs w:val="20"/>
                <w:color w:val="auto"/>
              </w:rPr>
            </w:pPr>
            <w:r>
              <w:rPr>
                <w:rFonts w:ascii="Arial" w:cs="Arial" w:eastAsia="Arial" w:hAnsi="Arial"/>
                <w:sz w:val="8"/>
                <w:szCs w:val="8"/>
                <w:color w:val="auto"/>
              </w:rPr>
              <w:t>31.1</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8" w:lineRule="exact"/>
              <w:rPr>
                <w:sz w:val="20"/>
                <w:szCs w:val="20"/>
                <w:color w:val="auto"/>
              </w:rPr>
            </w:pPr>
            <w:r>
              <w:rPr>
                <w:rFonts w:ascii="Arial" w:cs="Arial" w:eastAsia="Arial" w:hAnsi="Arial"/>
                <w:sz w:val="8"/>
                <w:szCs w:val="8"/>
                <w:color w:val="auto"/>
              </w:rPr>
              <w:t>(2.0)</w:t>
            </w:r>
          </w:p>
        </w:tc>
        <w:tc>
          <w:tcPr>
            <w:tcW w:w="180" w:type="dxa"/>
            <w:vAlign w:val="bottom"/>
            <w:gridSpan w:val="2"/>
          </w:tcPr>
          <w:p>
            <w:pPr>
              <w:jc w:val="right"/>
              <w:spacing w:after="0" w:line="88"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8" w:lineRule="exact"/>
              <w:rPr>
                <w:sz w:val="20"/>
                <w:szCs w:val="20"/>
                <w:color w:val="auto"/>
              </w:rPr>
            </w:pPr>
            <w:r>
              <w:rPr>
                <w:rFonts w:ascii="Arial" w:cs="Arial" w:eastAsia="Arial" w:hAnsi="Arial"/>
                <w:sz w:val="8"/>
                <w:szCs w:val="8"/>
                <w:color w:val="auto"/>
              </w:rPr>
              <w:t>841.1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(69.7)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(417.3)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(180.6)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(229.3)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(100.9)</w:t>
            </w:r>
          </w:p>
        </w:tc>
        <w:tc>
          <w:tcPr>
            <w:tcW w:w="0" w:type="dxa"/>
            <w:vAlign w:val="bottom"/>
          </w:tcPr>
          <w:p>
            <w:pPr>
              <w:spacing w:after="0"/>
              <w:rPr>
                <w:sz w:val="1"/>
                <w:szCs w:val="1"/>
                <w:color w:val="auto"/>
              </w:rPr>
            </w:pPr>
          </w:p>
        </w:tc>
      </w:tr>
      <w:tr>
        <w:trPr>
          <w:trHeight w:val="34"/>
        </w:trPr>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3220" w:type="dxa"/>
            <w:vAlign w:val="bottom"/>
            <w:shd w:val="clear" w:color="auto" w:fill="CCEEFF"/>
          </w:tcPr>
          <w:p>
            <w:pPr>
              <w:spacing w:after="0"/>
              <w:rPr>
                <w:sz w:val="20"/>
                <w:szCs w:val="20"/>
                <w:color w:val="auto"/>
              </w:rPr>
            </w:pPr>
            <w:r>
              <w:rPr>
                <w:rFonts w:ascii="Arial" w:cs="Arial" w:eastAsia="Arial" w:hAnsi="Arial"/>
                <w:sz w:val="8"/>
                <w:szCs w:val="8"/>
                <w:color w:val="auto"/>
              </w:rPr>
              <w:t>Dividends accrued on preferred units</w:t>
            </w:r>
          </w:p>
        </w:tc>
        <w:tc>
          <w:tcPr>
            <w:tcW w:w="8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54"/>
              <w:spacing w:after="0"/>
              <w:rPr>
                <w:sz w:val="20"/>
                <w:szCs w:val="20"/>
                <w:color w:val="auto"/>
              </w:rPr>
            </w:pPr>
            <w:r>
              <w:rPr>
                <w:rFonts w:ascii="Arial" w:cs="Arial" w:eastAsia="Arial" w:hAnsi="Arial"/>
                <w:sz w:val="8"/>
                <w:szCs w:val="8"/>
                <w:color w:val="auto"/>
              </w:rPr>
              <w:t>6.3</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3.4</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13.3</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12.0</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10.9</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9.9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220" w:type="dxa"/>
            <w:vAlign w:val="bottom"/>
          </w:tcPr>
          <w:p>
            <w:pPr>
              <w:spacing w:after="0" w:line="88" w:lineRule="exact"/>
              <w:rPr>
                <w:sz w:val="20"/>
                <w:szCs w:val="20"/>
                <w:color w:val="auto"/>
              </w:rPr>
            </w:pPr>
            <w:r>
              <w:rPr>
                <w:rFonts w:ascii="Arial" w:cs="Arial" w:eastAsia="Arial" w:hAnsi="Arial"/>
                <w:sz w:val="8"/>
                <w:szCs w:val="8"/>
                <w:color w:val="auto"/>
              </w:rPr>
              <w:t>Income (loss) from continuing operations attributable to common units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8" w:lineRule="exact"/>
              <w:rPr>
                <w:sz w:val="20"/>
                <w:szCs w:val="20"/>
                <w:color w:val="auto"/>
              </w:rPr>
            </w:pPr>
            <w:r>
              <w:rPr>
                <w:rFonts w:ascii="Arial" w:cs="Arial" w:eastAsia="Arial" w:hAnsi="Arial"/>
                <w:sz w:val="8"/>
                <w:szCs w:val="8"/>
                <w:color w:val="auto"/>
              </w:rPr>
              <w:t>31.1</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8" w:lineRule="exact"/>
              <w:rPr>
                <w:sz w:val="20"/>
                <w:szCs w:val="20"/>
                <w:color w:val="auto"/>
              </w:rPr>
            </w:pPr>
            <w:r>
              <w:rPr>
                <w:rFonts w:ascii="Arial" w:cs="Arial" w:eastAsia="Arial" w:hAnsi="Arial"/>
                <w:sz w:val="8"/>
                <w:szCs w:val="8"/>
                <w:color w:val="auto"/>
              </w:rPr>
              <w:t>(2.5)</w:t>
            </w:r>
          </w:p>
        </w:tc>
        <w:tc>
          <w:tcPr>
            <w:tcW w:w="180" w:type="dxa"/>
            <w:vAlign w:val="bottom"/>
            <w:gridSpan w:val="2"/>
          </w:tcPr>
          <w:p>
            <w:pPr>
              <w:jc w:val="right"/>
              <w:spacing w:after="0" w:line="88"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8" w:lineRule="exact"/>
              <w:rPr>
                <w:sz w:val="20"/>
                <w:szCs w:val="20"/>
                <w:color w:val="auto"/>
              </w:rPr>
            </w:pPr>
            <w:r>
              <w:rPr>
                <w:rFonts w:ascii="Arial" w:cs="Arial" w:eastAsia="Arial" w:hAnsi="Arial"/>
                <w:sz w:val="8"/>
                <w:szCs w:val="8"/>
                <w:color w:val="auto"/>
              </w:rPr>
              <w:t>828.2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(72.3)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(339.1)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(140.9)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(87.9)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(121.1)</w:t>
            </w:r>
          </w:p>
        </w:tc>
        <w:tc>
          <w:tcPr>
            <w:tcW w:w="0" w:type="dxa"/>
            <w:vAlign w:val="bottom"/>
          </w:tcPr>
          <w:p>
            <w:pPr>
              <w:spacing w:after="0"/>
              <w:rPr>
                <w:sz w:val="1"/>
                <w:szCs w:val="1"/>
                <w:color w:val="auto"/>
              </w:rPr>
            </w:pPr>
          </w:p>
        </w:tc>
      </w:tr>
      <w:tr>
        <w:trPr>
          <w:trHeight w:val="34"/>
        </w:trPr>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3220" w:type="dxa"/>
            <w:vAlign w:val="bottom"/>
            <w:shd w:val="clear" w:color="auto" w:fill="CCEEFF"/>
          </w:tcPr>
          <w:p>
            <w:pPr>
              <w:spacing w:after="0"/>
              <w:rPr>
                <w:sz w:val="20"/>
                <w:szCs w:val="20"/>
                <w:color w:val="auto"/>
              </w:rPr>
            </w:pPr>
            <w:r>
              <w:rPr>
                <w:rFonts w:ascii="Arial" w:cs="Arial" w:eastAsia="Arial" w:hAnsi="Arial"/>
                <w:sz w:val="8"/>
                <w:szCs w:val="8"/>
                <w:color w:val="auto"/>
              </w:rPr>
              <w:t>Net income (loss) attributable to common units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8"/>
                <w:szCs w:val="8"/>
                <w:color w:val="auto"/>
              </w:rPr>
              <w:t>31.1</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jc w:val="right"/>
              <w:ind w:right="254"/>
              <w:spacing w:after="0"/>
              <w:rPr>
                <w:sz w:val="20"/>
                <w:szCs w:val="20"/>
                <w:color w:val="auto"/>
              </w:rPr>
            </w:pPr>
            <w:r>
              <w:rPr>
                <w:rFonts w:ascii="Arial" w:cs="Arial" w:eastAsia="Arial" w:hAnsi="Arial"/>
                <w:sz w:val="8"/>
                <w:szCs w:val="8"/>
                <w:color w:val="auto"/>
              </w:rPr>
              <w:t>834.8</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(73.1)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(430.6)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(192.6)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(240.2)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(110.8)</w:t>
            </w:r>
          </w:p>
        </w:tc>
        <w:tc>
          <w:tcPr>
            <w:tcW w:w="0" w:type="dxa"/>
            <w:vAlign w:val="bottom"/>
          </w:tcPr>
          <w:p>
            <w:pPr>
              <w:spacing w:after="0"/>
              <w:rPr>
                <w:sz w:val="1"/>
                <w:szCs w:val="1"/>
                <w:color w:val="auto"/>
              </w:rPr>
            </w:pPr>
          </w:p>
        </w:tc>
      </w:tr>
      <w:tr>
        <w:trPr>
          <w:trHeight w:val="98"/>
        </w:trPr>
        <w:tc>
          <w:tcPr>
            <w:tcW w:w="3220" w:type="dxa"/>
            <w:vAlign w:val="bottom"/>
          </w:tcPr>
          <w:p>
            <w:pPr>
              <w:spacing w:after="0"/>
              <w:rPr>
                <w:sz w:val="20"/>
                <w:szCs w:val="20"/>
                <w:color w:val="auto"/>
              </w:rPr>
            </w:pPr>
            <w:r>
              <w:rPr>
                <w:rFonts w:ascii="Arial" w:cs="Arial" w:eastAsia="Arial" w:hAnsi="Arial"/>
                <w:sz w:val="8"/>
                <w:szCs w:val="8"/>
                <w:color w:val="auto"/>
              </w:rPr>
              <w:t>Per unit/share data:</w:t>
            </w: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Earnings (loss) from continuing operations per common unit/share —</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ind w:left="80"/>
              <w:spacing w:after="0" w:line="89" w:lineRule="exact"/>
              <w:rPr>
                <w:sz w:val="20"/>
                <w:szCs w:val="20"/>
                <w:color w:val="auto"/>
              </w:rPr>
            </w:pPr>
            <w:r>
              <w:rPr>
                <w:rFonts w:ascii="Arial" w:cs="Arial" w:eastAsia="Arial" w:hAnsi="Arial"/>
                <w:sz w:val="8"/>
                <w:szCs w:val="8"/>
                <w:color w:val="auto"/>
              </w:rPr>
              <w:t>Basic</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0.82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(0.07)</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15.65</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(6.43)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(2.69)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(2.29)</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Diluted</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0.81</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(0.07)</w:t>
            </w:r>
          </w:p>
        </w:tc>
        <w:tc>
          <w:tcPr>
            <w:tcW w:w="18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15.65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(6.43)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(2.69)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(1.66)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(2.29)</w:t>
            </w: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Earnings (loss) from discontinued operations per common unit/share — Basic and diluted</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0.02</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0.12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(0.01)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(1.73)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(0.99)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(2.88)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0.19</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Earnings (loss) per common unit/share —</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ind w:left="80"/>
              <w:spacing w:after="0" w:line="89" w:lineRule="exact"/>
              <w:rPr>
                <w:sz w:val="20"/>
                <w:szCs w:val="20"/>
                <w:color w:val="auto"/>
              </w:rPr>
            </w:pPr>
            <w:r>
              <w:rPr>
                <w:rFonts w:ascii="Arial" w:cs="Arial" w:eastAsia="Arial" w:hAnsi="Arial"/>
                <w:sz w:val="8"/>
                <w:szCs w:val="8"/>
                <w:color w:val="auto"/>
              </w:rPr>
              <w:t>Basic</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0.82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(0.05)</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15.77</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(8.16)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(3.68)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(4.54)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(2.10)</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Diluted</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0.81</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(0.05)</w:t>
            </w:r>
          </w:p>
        </w:tc>
        <w:tc>
          <w:tcPr>
            <w:tcW w:w="18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15.77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(8.16)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(3.68)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(2.10)</w:t>
            </w: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Weighted average number of common units/stock</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Basic</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37.805</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37.608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52.923</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52.769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52.297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52.912</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52.898</w:t>
            </w:r>
          </w:p>
        </w:tc>
        <w:tc>
          <w:tcPr>
            <w:tcW w:w="0" w:type="dxa"/>
            <w:vAlign w:val="bottom"/>
          </w:tcPr>
          <w:p>
            <w:pPr>
              <w:spacing w:after="0"/>
              <w:rPr>
                <w:sz w:val="1"/>
                <w:szCs w:val="1"/>
                <w:color w:val="auto"/>
              </w:rPr>
            </w:pPr>
          </w:p>
        </w:tc>
      </w:tr>
      <w:tr>
        <w:trPr>
          <w:trHeight w:val="88"/>
        </w:trPr>
        <w:tc>
          <w:tcPr>
            <w:tcW w:w="3220" w:type="dxa"/>
            <w:vAlign w:val="bottom"/>
          </w:tcPr>
          <w:p>
            <w:pPr>
              <w:ind w:left="80"/>
              <w:spacing w:after="0" w:line="89" w:lineRule="exact"/>
              <w:rPr>
                <w:sz w:val="20"/>
                <w:szCs w:val="20"/>
                <w:color w:val="auto"/>
              </w:rPr>
            </w:pPr>
            <w:r>
              <w:rPr>
                <w:rFonts w:ascii="Arial" w:cs="Arial" w:eastAsia="Arial" w:hAnsi="Arial"/>
                <w:sz w:val="8"/>
                <w:szCs w:val="8"/>
                <w:color w:val="auto"/>
              </w:rPr>
              <w:t>Diluted</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38.442</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37.608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52.923</w:t>
            </w: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52.769</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52.297</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52.912</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52.898</w:t>
            </w:r>
          </w:p>
        </w:tc>
        <w:tc>
          <w:tcPr>
            <w:tcW w:w="0" w:type="dxa"/>
            <w:vAlign w:val="bottom"/>
          </w:tcPr>
          <w:p>
            <w:pPr>
              <w:spacing w:after="0"/>
              <w:rPr>
                <w:sz w:val="1"/>
                <w:szCs w:val="1"/>
                <w:color w:val="auto"/>
              </w:rPr>
            </w:pPr>
          </w:p>
        </w:tc>
      </w:tr>
      <w:tr>
        <w:trPr>
          <w:trHeight w:val="86"/>
        </w:trPr>
        <w:tc>
          <w:tcPr>
            <w:tcW w:w="3220" w:type="dxa"/>
            <w:vAlign w:val="bottom"/>
            <w:shd w:val="clear" w:color="auto" w:fill="CCEEFF"/>
          </w:tcPr>
          <w:p>
            <w:pPr>
              <w:spacing w:after="0" w:line="86" w:lineRule="exact"/>
              <w:rPr>
                <w:sz w:val="20"/>
                <w:szCs w:val="20"/>
                <w:color w:val="auto"/>
              </w:rPr>
            </w:pPr>
            <w:r>
              <w:rPr>
                <w:rFonts w:ascii="Arial" w:cs="Arial" w:eastAsia="Arial" w:hAnsi="Arial"/>
                <w:sz w:val="8"/>
                <w:szCs w:val="8"/>
                <w:color w:val="auto"/>
              </w:rPr>
              <w:t>Unaudited pro forma — earnings (loss) from continuing operations per common</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22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share(2) —</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ind w:left="80"/>
              <w:spacing w:after="0" w:line="89" w:lineRule="exact"/>
              <w:rPr>
                <w:sz w:val="20"/>
                <w:szCs w:val="20"/>
                <w:color w:val="auto"/>
              </w:rPr>
            </w:pPr>
            <w:r>
              <w:rPr>
                <w:rFonts w:ascii="Arial" w:cs="Arial" w:eastAsia="Arial" w:hAnsi="Arial"/>
                <w:sz w:val="8"/>
                <w:szCs w:val="8"/>
                <w:color w:val="auto"/>
              </w:rPr>
              <w:t>Basic</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(0.06)</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Diluted</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(0.06)</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220" w:type="dxa"/>
            <w:vAlign w:val="bottom"/>
          </w:tcPr>
          <w:p>
            <w:pPr>
              <w:spacing w:after="0" w:line="86" w:lineRule="exact"/>
              <w:rPr>
                <w:sz w:val="20"/>
                <w:szCs w:val="20"/>
                <w:color w:val="auto"/>
              </w:rPr>
            </w:pPr>
            <w:r>
              <w:rPr>
                <w:rFonts w:ascii="Arial" w:cs="Arial" w:eastAsia="Arial" w:hAnsi="Arial"/>
                <w:sz w:val="8"/>
                <w:szCs w:val="8"/>
                <w:color w:val="auto"/>
              </w:rPr>
              <w:t>Unaudited pro forma — earnings from discontinued operations per common share —</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220" w:type="dxa"/>
            <w:vAlign w:val="bottom"/>
          </w:tcPr>
          <w:p>
            <w:pPr>
              <w:ind w:left="80"/>
              <w:spacing w:after="0" w:line="91" w:lineRule="exact"/>
              <w:rPr>
                <w:sz w:val="20"/>
                <w:szCs w:val="20"/>
                <w:color w:val="auto"/>
              </w:rPr>
            </w:pPr>
            <w:r>
              <w:rPr>
                <w:rFonts w:ascii="Arial" w:cs="Arial" w:eastAsia="Arial" w:hAnsi="Arial"/>
                <w:sz w:val="8"/>
                <w:szCs w:val="8"/>
                <w:color w:val="auto"/>
              </w:rPr>
              <w:t>Basic and diluted(2)</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0.01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Unaudited pro forma — earnings (loss) per common share(2) —</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ind w:left="80"/>
              <w:spacing w:after="0" w:line="89" w:lineRule="exact"/>
              <w:rPr>
                <w:sz w:val="20"/>
                <w:szCs w:val="20"/>
                <w:color w:val="auto"/>
              </w:rPr>
            </w:pPr>
            <w:r>
              <w:rPr>
                <w:rFonts w:ascii="Arial" w:cs="Arial" w:eastAsia="Arial" w:hAnsi="Arial"/>
                <w:sz w:val="8"/>
                <w:szCs w:val="8"/>
                <w:color w:val="auto"/>
              </w:rPr>
              <w:t>Basic</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0.79</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(0.05)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Diluted</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0.78</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(0.05)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Unaudited pro forma — weighted average number of common stock(2) —</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Basic</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39.305</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39.108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ind w:left="80"/>
              <w:spacing w:after="0" w:line="89" w:lineRule="exact"/>
              <w:rPr>
                <w:sz w:val="20"/>
                <w:szCs w:val="20"/>
                <w:color w:val="auto"/>
              </w:rPr>
            </w:pPr>
            <w:r>
              <w:rPr>
                <w:rFonts w:ascii="Arial" w:cs="Arial" w:eastAsia="Arial" w:hAnsi="Arial"/>
                <w:sz w:val="8"/>
                <w:szCs w:val="8"/>
                <w:color w:val="auto"/>
              </w:rPr>
              <w:t>Diluted</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39.942</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39.108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Balance Sheet Data (at period end):</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Cash and cash equivalents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82.7</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64.9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64.3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89.2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86.6</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Total assets</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492.0</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453.3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357.7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399.2</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707.9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770.1</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1,040.6</w:t>
            </w: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Total indebtedness(3)</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61.6</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61.8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845.0</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845.0</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830.0</w:t>
            </w:r>
          </w:p>
        </w:tc>
        <w:tc>
          <w:tcPr>
            <w:tcW w:w="60" w:type="dxa"/>
            <w:vAlign w:val="bottom"/>
          </w:tcPr>
          <w:p>
            <w:pPr>
              <w:spacing w:after="0"/>
              <w:rPr>
                <w:sz w:val="7"/>
                <w:szCs w:val="7"/>
                <w:color w:val="auto"/>
              </w:rPr>
            </w:pP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750.0</w:t>
            </w:r>
          </w:p>
        </w:tc>
        <w:tc>
          <w:tcPr>
            <w:tcW w:w="8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Long-term obligations(4)</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61.3</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61.5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146.5</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143.2</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879.4</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867.4</w:t>
            </w: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856.7</w:t>
            </w: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Unitholders’ equity</w:t>
            </w:r>
          </w:p>
        </w:tc>
        <w:tc>
          <w:tcPr>
            <w:tcW w:w="80" w:type="dxa"/>
            <w:vAlign w:val="bottom"/>
          </w:tcPr>
          <w:p>
            <w:pPr>
              <w:spacing w:after="0"/>
              <w:rPr>
                <w:sz w:val="7"/>
                <w:szCs w:val="7"/>
                <w:color w:val="auto"/>
              </w:rPr>
            </w:pP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231.4</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215.7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(835.1)</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(787.8)</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(477.5)</w:t>
            </w:r>
          </w:p>
        </w:tc>
        <w:tc>
          <w:tcPr>
            <w:tcW w:w="60" w:type="dxa"/>
            <w:vAlign w:val="bottom"/>
          </w:tcPr>
          <w:p>
            <w:pPr>
              <w:spacing w:after="0"/>
              <w:rPr>
                <w:sz w:val="7"/>
                <w:szCs w:val="7"/>
                <w:color w:val="auto"/>
              </w:rPr>
            </w:pPr>
          </w:p>
        </w:tc>
        <w:tc>
          <w:tcPr>
            <w:tcW w:w="4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(284.5)</w:t>
            </w:r>
          </w:p>
        </w:tc>
        <w:tc>
          <w:tcPr>
            <w:tcW w:w="80" w:type="dxa"/>
            <w:vAlign w:val="bottom"/>
          </w:tcPr>
          <w:p>
            <w:pPr>
              <w:spacing w:after="0"/>
              <w:rPr>
                <w:sz w:val="7"/>
                <w:szCs w:val="7"/>
                <w:color w:val="auto"/>
              </w:rPr>
            </w:pPr>
          </w:p>
        </w:tc>
        <w:tc>
          <w:tcPr>
            <w:tcW w:w="4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(46.5)</w:t>
            </w: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Supplemental Data (unaudited):</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line="89" w:lineRule="exact"/>
              <w:rPr>
                <w:sz w:val="20"/>
                <w:szCs w:val="20"/>
                <w:color w:val="auto"/>
              </w:rPr>
            </w:pPr>
            <w:r>
              <w:rPr>
                <w:rFonts w:ascii="Arial" w:cs="Arial" w:eastAsia="Arial" w:hAnsi="Arial"/>
                <w:sz w:val="8"/>
                <w:szCs w:val="8"/>
                <w:color w:val="auto"/>
              </w:rPr>
              <w:t>Adjusted EBITDA(5)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28.7</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22.1</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76.6</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59.8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111.2</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Adjusted Net Income (Loss)(6)</w:t>
            </w:r>
          </w:p>
        </w:tc>
        <w:tc>
          <w:tcPr>
            <w:tcW w:w="8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19.9</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9.3</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(71.7)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(82.6)</w:t>
            </w: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-3207385</wp:posOffset>
            </wp:positionV>
            <wp:extent cx="63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-3207385</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6221730</wp:posOffset>
            </wp:positionH>
            <wp:positionV relativeFrom="paragraph">
              <wp:posOffset>-3207385</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800" w:right="5640" w:firstLine="42"/>
        <w:spacing w:after="0" w:line="311"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spacing w:after="0" w:line="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00" w:hanging="267"/>
        <w:spacing w:after="0" w:line="242"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 of October 25, 2009, the fresh-start adoption date, we adopted fresh-start accounting for our consolidated financial statements. Because of the emergence from reorganization proceedings and adoption of fresh-start accounting, the historical financial information for periods after October 25, 2009 is not fully comparable to periods before October 25, 2009. See “Management’s Discussion and Analysis of Financial Condition and Results of Operations — Recent Changes to Our Business.”</w:t>
      </w:r>
    </w:p>
    <w:p>
      <w:pPr>
        <w:spacing w:after="0" w:line="78" w:lineRule="exact"/>
        <w:rPr>
          <w:rFonts w:ascii="Arial" w:cs="Arial" w:eastAsia="Arial" w:hAnsi="Arial"/>
          <w:sz w:val="13"/>
          <w:szCs w:val="13"/>
          <w:color w:val="auto"/>
        </w:rPr>
      </w:pPr>
    </w:p>
    <w:p>
      <w:pPr>
        <w:ind w:left="1000" w:right="40" w:hanging="267"/>
        <w:spacing w:after="0" w:line="248"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unaudited pro forma earnings (loss) per share have been calculated in accordance with Staff Accounting Bulletin Topic 1.B.3 in relation to our distribution made to shareholders in April 2010. See note 20 in the unaudited interim consolidated financial statements and note 27 (D) in the audited consolidated financial statements.</w:t>
      </w:r>
    </w:p>
    <w:p>
      <w:pPr>
        <w:spacing w:after="0" w:line="74" w:lineRule="exact"/>
        <w:rPr>
          <w:rFonts w:ascii="Arial" w:cs="Arial" w:eastAsia="Arial" w:hAnsi="Arial"/>
          <w:sz w:val="13"/>
          <w:szCs w:val="13"/>
          <w:color w:val="auto"/>
        </w:rPr>
      </w:pPr>
    </w:p>
    <w:p>
      <w:pPr>
        <w:ind w:left="1000" w:hanging="267"/>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86" w:lineRule="exact"/>
        <w:rPr>
          <w:rFonts w:ascii="Arial" w:cs="Arial" w:eastAsia="Arial" w:hAnsi="Arial"/>
          <w:sz w:val="13"/>
          <w:szCs w:val="13"/>
          <w:color w:val="auto"/>
        </w:rPr>
      </w:pPr>
    </w:p>
    <w:p>
      <w:pPr>
        <w:ind w:left="1000" w:hanging="267"/>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84" w:lineRule="exact"/>
        <w:rPr>
          <w:rFonts w:ascii="Arial" w:cs="Arial" w:eastAsia="Arial" w:hAnsi="Arial"/>
          <w:sz w:val="13"/>
          <w:szCs w:val="13"/>
          <w:color w:val="auto"/>
        </w:rPr>
      </w:pPr>
    </w:p>
    <w:p>
      <w:pPr>
        <w:ind w:left="1000" w:hanging="267"/>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w:t>
      </w:r>
    </w:p>
    <w:p>
      <w:pPr>
        <w:ind w:left="1000"/>
        <w:spacing w:after="0" w:line="236" w:lineRule="auto"/>
        <w:rPr>
          <w:sz w:val="20"/>
          <w:szCs w:val="20"/>
          <w:color w:val="auto"/>
        </w:rPr>
      </w:pPr>
      <w:r>
        <w:rPr>
          <w:rFonts w:ascii="Arial" w:cs="Arial" w:eastAsia="Arial" w:hAnsi="Arial"/>
          <w:sz w:val="13"/>
          <w:szCs w:val="13"/>
          <w:color w:val="auto"/>
        </w:rPr>
        <w:t>associated with continuing operations, (ii) interest expense, net, (iii) income tax expenses, (iv) restructuring and impairment charges, (v) other restructuring charges,</w:t>
      </w:r>
    </w:p>
    <w:p>
      <w:pPr>
        <w:ind w:left="1200" w:hanging="208"/>
        <w:spacing w:after="0" w:line="237" w:lineRule="auto"/>
        <w:tabs>
          <w:tab w:leader="none" w:pos="12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abandoned IPO expenses, (vii) subcontractor claim settlement, (viii) the increase in cost of sales resulting from the fresh-start inventory accounting step-up,</w:t>
      </w:r>
    </w:p>
    <w:p>
      <w:pPr>
        <w:ind w:left="1000" w:right="480" w:hanging="8"/>
        <w:spacing w:after="0" w:line="248" w:lineRule="auto"/>
        <w:tabs>
          <w:tab w:leader="none" w:pos="1218" w:val="left"/>
        </w:tabs>
        <w:numPr>
          <w:ilvl w:val="0"/>
          <w:numId w:val="38"/>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We present Adjusted EBITDA as a supplemental measure of our performance because:</w:t>
      </w:r>
    </w:p>
    <w:p>
      <w:pPr>
        <w:spacing w:after="0" w:line="74" w:lineRule="exact"/>
        <w:rPr>
          <w:rFonts w:ascii="Arial" w:cs="Arial" w:eastAsia="Arial" w:hAnsi="Arial"/>
          <w:sz w:val="13"/>
          <w:szCs w:val="13"/>
          <w:color w:val="auto"/>
        </w:rPr>
      </w:pPr>
    </w:p>
    <w:p>
      <w:pPr>
        <w:ind w:left="1400" w:right="80" w:hanging="212"/>
        <w:spacing w:after="0" w:line="248" w:lineRule="auto"/>
        <w:tabs>
          <w:tab w:leader="none" w:pos="14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items that we do not consider to be indicative of our core ongoing operating performance;</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6" w:lineRule="exact"/>
        <w:rPr>
          <w:rFonts w:ascii="Arial" w:cs="Arial" w:eastAsia="Arial" w:hAnsi="Arial"/>
          <w:sz w:val="13"/>
          <w:szCs w:val="13"/>
          <w:color w:val="auto"/>
        </w:rPr>
      </w:pPr>
    </w:p>
    <w:p>
      <w:pPr>
        <w:ind w:left="1400" w:right="120" w:hanging="212"/>
        <w:spacing w:after="0" w:line="248" w:lineRule="auto"/>
        <w:tabs>
          <w:tab w:leader="none" w:pos="14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86" w:lineRule="exact"/>
        <w:rPr>
          <w:sz w:val="20"/>
          <w:szCs w:val="20"/>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80" w:right="20"/>
        <w:spacing w:after="0"/>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0"/>
                <w:szCs w:val="10"/>
                <w:b w:val="1"/>
                <w:bCs w:val="1"/>
                <w:color w:val="auto"/>
              </w:rPr>
              <w:t>Historical</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tcPr>
          <w:p>
            <w:pPr>
              <w:jc w:val="right"/>
              <w:spacing w:after="0" w:line="108" w:lineRule="exact"/>
              <w:rPr>
                <w:sz w:val="20"/>
                <w:szCs w:val="20"/>
                <w:color w:val="auto"/>
              </w:rPr>
            </w:pPr>
            <w:r>
              <w:rPr>
                <w:rFonts w:ascii="Arial" w:cs="Arial" w:eastAsia="Arial" w:hAnsi="Arial"/>
                <w:sz w:val="10"/>
                <w:szCs w:val="10"/>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ind w:right="320"/>
              <w:spacing w:after="0" w:line="108" w:lineRule="exact"/>
              <w:rPr>
                <w:sz w:val="20"/>
                <w:szCs w:val="20"/>
                <w:color w:val="auto"/>
              </w:rPr>
            </w:pPr>
            <w:r>
              <w:rPr>
                <w:rFonts w:ascii="Arial" w:cs="Arial" w:eastAsia="Arial" w:hAnsi="Arial"/>
                <w:sz w:val="10"/>
                <w:szCs w:val="10"/>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9"/>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jc w:val="center"/>
              <w:ind w:right="400"/>
              <w:spacing w:after="0" w:line="100" w:lineRule="exact"/>
              <w:rPr>
                <w:sz w:val="20"/>
                <w:szCs w:val="20"/>
                <w:color w:val="auto"/>
              </w:rPr>
            </w:pPr>
            <w:r>
              <w:rPr>
                <w:rFonts w:ascii="Arial" w:cs="Arial" w:eastAsia="Arial" w:hAnsi="Arial"/>
                <w:sz w:val="10"/>
                <w:szCs w:val="10"/>
                <w:b w:val="1"/>
                <w:bCs w:val="1"/>
                <w:color w:val="auto"/>
              </w:rPr>
              <w:t>Three Months</w:t>
            </w:r>
          </w:p>
        </w:tc>
        <w:tc>
          <w:tcPr>
            <w:tcW w:w="120" w:type="dxa"/>
            <w:vAlign w:val="bottom"/>
          </w:tcPr>
          <w:p>
            <w:pPr>
              <w:spacing w:after="0"/>
              <w:rPr>
                <w:sz w:val="8"/>
                <w:szCs w:val="8"/>
                <w:color w:val="auto"/>
              </w:rPr>
            </w:pPr>
          </w:p>
        </w:tc>
        <w:tc>
          <w:tcPr>
            <w:tcW w:w="86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Two- Month</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280"/>
              <w:spacing w:after="0" w:line="100" w:lineRule="exact"/>
              <w:rPr>
                <w:sz w:val="20"/>
                <w:szCs w:val="20"/>
                <w:color w:val="auto"/>
              </w:rPr>
            </w:pPr>
            <w:r>
              <w:rPr>
                <w:rFonts w:ascii="Arial" w:cs="Arial" w:eastAsia="Arial" w:hAnsi="Arial"/>
                <w:sz w:val="10"/>
                <w:szCs w:val="10"/>
                <w:b w:val="1"/>
                <w:bCs w:val="1"/>
                <w:color w:val="auto"/>
              </w:rPr>
              <w:t>Ten- Month</w:t>
            </w:r>
          </w:p>
        </w:tc>
        <w:tc>
          <w:tcPr>
            <w:tcW w:w="100" w:type="dxa"/>
            <w:vAlign w:val="bottom"/>
          </w:tcPr>
          <w:p>
            <w:pPr>
              <w:spacing w:after="0"/>
              <w:rPr>
                <w:sz w:val="8"/>
                <w:szCs w:val="8"/>
                <w:color w:val="auto"/>
              </w:rPr>
            </w:pPr>
          </w:p>
        </w:tc>
        <w:tc>
          <w:tcPr>
            <w:tcW w:w="1080" w:type="dxa"/>
            <w:vAlign w:val="bottom"/>
            <w:gridSpan w:val="2"/>
          </w:tcPr>
          <w:p>
            <w:pPr>
              <w:jc w:val="center"/>
              <w:ind w:right="300"/>
              <w:spacing w:after="0" w:line="100" w:lineRule="exact"/>
              <w:rPr>
                <w:sz w:val="20"/>
                <w:szCs w:val="20"/>
                <w:color w:val="auto"/>
              </w:rPr>
            </w:pPr>
            <w:r>
              <w:rPr>
                <w:rFonts w:ascii="Arial" w:cs="Arial" w:eastAsia="Arial" w:hAnsi="Arial"/>
                <w:sz w:val="10"/>
                <w:szCs w:val="10"/>
                <w:b w:val="1"/>
                <w:bCs w:val="1"/>
                <w:color w:val="auto"/>
              </w:rPr>
              <w:t>Three Months</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Period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2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Years Ended</w:t>
            </w:r>
          </w:p>
        </w:tc>
      </w:tr>
      <w:tr>
        <w:trPr>
          <w:trHeight w:val="126"/>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March 31,</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March 29,</w:t>
            </w:r>
          </w:p>
        </w:tc>
        <w:tc>
          <w:tcPr>
            <w:tcW w:w="80" w:type="dxa"/>
            <w:vAlign w:val="bottom"/>
          </w:tcPr>
          <w:p>
            <w:pPr>
              <w:spacing w:after="0"/>
              <w:rPr>
                <w:sz w:val="10"/>
                <w:szCs w:val="10"/>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rPr>
              <w:t>December 31,</w:t>
            </w:r>
          </w:p>
        </w:tc>
      </w:tr>
      <w:tr>
        <w:trPr>
          <w:trHeight w:val="118"/>
        </w:trPr>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08"/>
              <w:spacing w:after="0"/>
              <w:rPr>
                <w:sz w:val="20"/>
                <w:szCs w:val="20"/>
                <w:color w:val="auto"/>
              </w:rPr>
            </w:pPr>
            <w:r>
              <w:rPr>
                <w:rFonts w:ascii="Arial" w:cs="Arial" w:eastAsia="Arial" w:hAnsi="Arial"/>
                <w:sz w:val="10"/>
                <w:szCs w:val="10"/>
                <w:b w:val="1"/>
                <w:bCs w:val="1"/>
                <w:color w:val="auto"/>
              </w:rPr>
              <w:t>2009</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68"/>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8"/>
              </w:rPr>
              <w:t>2009</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2008</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08"/>
        </w:trPr>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tcPr>
          <w:p>
            <w:pPr>
              <w:jc w:val="right"/>
              <w:ind w:right="460"/>
              <w:spacing w:after="0" w:line="108" w:lineRule="exact"/>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400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841.1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(180.6)</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Less: Income (loss) from discontinued operations, net of taxes</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10"/>
                <w:szCs w:val="1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(0.8)</w:t>
            </w:r>
          </w:p>
        </w:tc>
        <w:tc>
          <w:tcPr>
            <w:tcW w:w="8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(51.7)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(loss) from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834.5</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(68.9)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(128.8)</w:t>
            </w:r>
          </w:p>
        </w:tc>
      </w:tr>
      <w:tr>
        <w:trPr>
          <w:trHeight w:val="118"/>
        </w:trPr>
        <w:tc>
          <w:tcPr>
            <w:tcW w:w="4000" w:type="dxa"/>
            <w:vAlign w:val="bottom"/>
          </w:tcPr>
          <w:p>
            <w:pPr>
              <w:spacing w:after="0"/>
              <w:rPr>
                <w:sz w:val="20"/>
                <w:szCs w:val="20"/>
                <w:color w:val="auto"/>
              </w:rPr>
            </w:pPr>
            <w:r>
              <w:rPr>
                <w:rFonts w:ascii="Arial" w:cs="Arial" w:eastAsia="Arial" w:hAnsi="Arial"/>
                <w:sz w:val="10"/>
                <w:szCs w:val="10"/>
                <w:color w:val="auto"/>
              </w:rPr>
              <w:t>Adjustments: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Depreciation and amortization associated with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37.7</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10.4</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63.8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152.2</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Interest expense, net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31.2</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14.7</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76.1</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60.3</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tax expenses (benefits)</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(1.0)</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7.3</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11.6</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8.8</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Restructuring and impairment charges(a)</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0.3</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0.4</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13.4</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12.1</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restructuring charges(b)</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13.3</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Abandoned IPO expenses(c)</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3.7</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Subcontractor claim settlement(d)</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1.3</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Reorganization items, net(e)</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(804.6)</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Inventory step-up(f)</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17.2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Equity based compensation expense(g)</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0.6</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Foreign currency loss (gain), net(h)</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(21.6)</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(43.4)</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40.2</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tcPr>
          <w:p>
            <w:pPr>
              <w:spacing w:after="0"/>
              <w:rPr>
                <w:sz w:val="20"/>
                <w:szCs w:val="20"/>
                <w:color w:val="auto"/>
              </w:rPr>
            </w:pPr>
            <w:r>
              <w:rPr>
                <w:rFonts w:ascii="Arial" w:cs="Arial" w:eastAsia="Arial" w:hAnsi="Arial"/>
                <w:sz w:val="10"/>
                <w:szCs w:val="10"/>
                <w:color w:val="auto"/>
              </w:rPr>
              <w:t>Adjusted EBITDA</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28.7</w:t>
            </w:r>
          </w:p>
        </w:tc>
        <w:tc>
          <w:tcPr>
            <w:tcW w:w="300" w:type="dxa"/>
            <w:vAlign w:val="bottom"/>
          </w:tcPr>
          <w:p>
            <w:pPr>
              <w:spacing w:after="0"/>
              <w:rPr>
                <w:sz w:val="10"/>
                <w:szCs w:val="10"/>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22.1</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76.6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59.8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111.2</w:t>
            </w:r>
          </w:p>
        </w:tc>
      </w:tr>
      <w:tr>
        <w:trPr>
          <w:trHeight w:val="39"/>
        </w:trPr>
        <w:tc>
          <w:tcPr>
            <w:tcW w:w="40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-1329055</wp:posOffset>
            </wp:positionV>
            <wp:extent cx="63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-1329055</wp:posOffset>
            </wp:positionV>
            <wp:extent cx="63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-1329055</wp:posOffset>
            </wp:positionV>
            <wp:extent cx="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-1329055</wp:posOffset>
            </wp:positionV>
            <wp:extent cx="63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1400" w:hanging="274"/>
        <w:spacing w:after="0" w:line="238" w:lineRule="auto"/>
        <w:tabs>
          <w:tab w:leader="none" w:pos="14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31" w:lineRule="exact"/>
        <w:rPr>
          <w:rFonts w:ascii="Arial" w:cs="Arial" w:eastAsia="Arial" w:hAnsi="Arial"/>
          <w:sz w:val="13"/>
          <w:szCs w:val="13"/>
          <w:color w:val="auto"/>
        </w:rPr>
      </w:pPr>
    </w:p>
    <w:p>
      <w:pPr>
        <w:ind w:left="1400" w:right="580" w:hanging="274"/>
        <w:spacing w:after="0" w:line="248" w:lineRule="auto"/>
        <w:tabs>
          <w:tab w:leader="none" w:pos="14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80"/>
        <w:spacing w:after="0" w:line="239" w:lineRule="auto"/>
        <w:rPr>
          <w:sz w:val="20"/>
          <w:szCs w:val="20"/>
          <w:color w:val="auto"/>
        </w:rPr>
      </w:pPr>
      <w:r>
        <w:rPr>
          <w:rFonts w:ascii="Arial" w:cs="Arial" w:eastAsia="Arial" w:hAnsi="Arial"/>
          <w:sz w:val="13"/>
          <w:szCs w:val="13"/>
          <w:color w:val="auto"/>
        </w:rPr>
        <w:t>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31" w:lineRule="exact"/>
        <w:rPr>
          <w:sz w:val="20"/>
          <w:szCs w:val="20"/>
          <w:color w:val="auto"/>
        </w:rPr>
      </w:pPr>
    </w:p>
    <w:p>
      <w:pPr>
        <w:ind w:left="1400" w:hanging="266"/>
        <w:spacing w:after="0" w:line="248" w:lineRule="auto"/>
        <w:tabs>
          <w:tab w:leader="none" w:pos="1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5" w:lineRule="exact"/>
        <w:rPr>
          <w:rFonts w:ascii="Arial" w:cs="Arial" w:eastAsia="Arial" w:hAnsi="Arial"/>
          <w:sz w:val="13"/>
          <w:szCs w:val="13"/>
          <w:color w:val="auto"/>
        </w:rPr>
      </w:pPr>
    </w:p>
    <w:p>
      <w:pPr>
        <w:ind w:left="1400" w:right="280" w:hanging="274"/>
        <w:spacing w:after="0" w:line="248" w:lineRule="auto"/>
        <w:tabs>
          <w:tab w:leader="none" w:pos="1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25" w:lineRule="exact"/>
        <w:rPr>
          <w:rFonts w:ascii="Arial" w:cs="Arial" w:eastAsia="Arial" w:hAnsi="Arial"/>
          <w:sz w:val="13"/>
          <w:szCs w:val="13"/>
          <w:color w:val="auto"/>
        </w:rPr>
      </w:pPr>
    </w:p>
    <w:p>
      <w:pPr>
        <w:ind w:left="1400" w:right="20" w:hanging="274"/>
        <w:spacing w:after="0" w:line="238" w:lineRule="auto"/>
        <w:tabs>
          <w:tab w:leader="none" w:pos="1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31" w:lineRule="exact"/>
        <w:rPr>
          <w:rFonts w:ascii="Arial" w:cs="Arial" w:eastAsia="Arial" w:hAnsi="Arial"/>
          <w:sz w:val="13"/>
          <w:szCs w:val="13"/>
          <w:color w:val="auto"/>
        </w:rPr>
      </w:pPr>
    </w:p>
    <w:p>
      <w:pPr>
        <w:ind w:left="1400" w:right="280" w:hanging="237"/>
        <w:spacing w:after="0" w:line="248" w:lineRule="auto"/>
        <w:tabs>
          <w:tab w:leader="none" w:pos="1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400" w:right="220" w:hanging="274"/>
        <w:spacing w:after="0" w:line="242" w:lineRule="auto"/>
        <w:tabs>
          <w:tab w:leader="none" w:pos="1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9" w:lineRule="exact"/>
        <w:rPr>
          <w:rFonts w:ascii="Arial" w:cs="Arial" w:eastAsia="Arial" w:hAnsi="Arial"/>
          <w:sz w:val="13"/>
          <w:szCs w:val="13"/>
          <w:color w:val="auto"/>
        </w:rPr>
      </w:pPr>
    </w:p>
    <w:p>
      <w:pPr>
        <w:ind w:left="1400" w:hanging="274"/>
        <w:spacing w:after="0"/>
        <w:tabs>
          <w:tab w:leader="none" w:pos="1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 GAAP.</w:t>
      </w:r>
    </w:p>
    <w:p>
      <w:pPr>
        <w:ind w:left="980"/>
        <w:spacing w:after="0"/>
        <w:rPr>
          <w:sz w:val="20"/>
          <w:szCs w:val="20"/>
          <w:color w:val="auto"/>
        </w:rPr>
      </w:pPr>
      <w:r>
        <w:rPr>
          <w:rFonts w:ascii="Arial" w:cs="Arial" w:eastAsia="Arial" w:hAnsi="Arial"/>
          <w:sz w:val="13"/>
          <w:szCs w:val="13"/>
          <w:color w:val="auto"/>
        </w:rPr>
        <w:t>Some of these limitations are:</w:t>
      </w:r>
    </w:p>
    <w:p>
      <w:pPr>
        <w:spacing w:after="0" w:line="86" w:lineRule="exact"/>
        <w:rPr>
          <w:sz w:val="20"/>
          <w:szCs w:val="20"/>
          <w:color w:val="auto"/>
        </w:rPr>
      </w:pPr>
    </w:p>
    <w:p>
      <w:pPr>
        <w:ind w:left="1400" w:hanging="212"/>
        <w:spacing w:after="0"/>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6" w:lineRule="exact"/>
        <w:rPr>
          <w:rFonts w:ascii="Arial" w:cs="Arial" w:eastAsia="Arial" w:hAnsi="Arial"/>
          <w:sz w:val="13"/>
          <w:szCs w:val="13"/>
          <w:color w:val="auto"/>
        </w:rPr>
      </w:pPr>
    </w:p>
    <w:p>
      <w:pPr>
        <w:ind w:left="1400" w:right="340" w:hanging="212"/>
        <w:spacing w:after="0" w:line="248" w:lineRule="auto"/>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6" w:lineRule="exact"/>
        <w:rPr>
          <w:sz w:val="20"/>
          <w:szCs w:val="20"/>
          <w:color w:val="auto"/>
        </w:rPr>
      </w:pPr>
    </w:p>
    <w:p>
      <w:pPr>
        <w:ind w:left="980"/>
        <w:spacing w:after="0" w:line="248" w:lineRule="auto"/>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supplementally.</w:t>
      </w:r>
    </w:p>
    <w:p>
      <w:pPr>
        <w:spacing w:after="0" w:line="74" w:lineRule="exact"/>
        <w:rPr>
          <w:sz w:val="20"/>
          <w:szCs w:val="20"/>
          <w:color w:val="auto"/>
        </w:rPr>
      </w:pPr>
    </w:p>
    <w:p>
      <w:pPr>
        <w:ind w:left="1000" w:right="60" w:hanging="267"/>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0"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We present Adjusted Net Income for a number of reasons, including:</w:t>
      </w:r>
    </w:p>
    <w:p>
      <w:pPr>
        <w:spacing w:after="0" w:line="86" w:lineRule="exact"/>
        <w:rPr>
          <w:rFonts w:ascii="Arial" w:cs="Arial" w:eastAsia="Arial" w:hAnsi="Arial"/>
          <w:sz w:val="13"/>
          <w:szCs w:val="13"/>
          <w:color w:val="auto"/>
        </w:rPr>
      </w:pPr>
    </w:p>
    <w:p>
      <w:pPr>
        <w:ind w:left="1400" w:hanging="212"/>
        <w:spacing w:after="0"/>
        <w:tabs>
          <w:tab w:leader="none" w:pos="14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6" w:lineRule="exact"/>
        <w:rPr>
          <w:rFonts w:ascii="Arial" w:cs="Arial" w:eastAsia="Arial" w:hAnsi="Arial"/>
          <w:sz w:val="13"/>
          <w:szCs w:val="13"/>
          <w:color w:val="auto"/>
        </w:rPr>
      </w:pPr>
    </w:p>
    <w:p>
      <w:pPr>
        <w:ind w:left="1400" w:right="40" w:hanging="212"/>
        <w:spacing w:after="0" w:line="248" w:lineRule="auto"/>
        <w:tabs>
          <w:tab w:leader="none" w:pos="14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86" w:lineRule="exact"/>
        <w:rPr>
          <w:sz w:val="20"/>
          <w:szCs w:val="20"/>
          <w:color w:val="auto"/>
        </w:rPr>
      </w:pPr>
    </w:p>
    <w:p>
      <w:pPr>
        <w:ind w:left="980" w:right="60"/>
        <w:spacing w:after="0" w:line="236"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w:t>
      </w:r>
    </w:p>
    <w:p>
      <w:pPr>
        <w:spacing w:after="0" w:line="2" w:lineRule="exact"/>
        <w:rPr>
          <w:sz w:val="20"/>
          <w:szCs w:val="20"/>
          <w:color w:val="auto"/>
        </w:rPr>
      </w:pPr>
    </w:p>
    <w:p>
      <w:pPr>
        <w:jc w:val="both"/>
        <w:ind w:left="980" w:right="440" w:firstLine="6"/>
        <w:spacing w:after="0" w:line="242" w:lineRule="auto"/>
        <w:tabs>
          <w:tab w:leader="none" w:pos="1162" w:val="left"/>
        </w:tabs>
        <w:numPr>
          <w:ilvl w:val="0"/>
          <w:numId w:val="44"/>
        </w:numPr>
        <w:rPr>
          <w:rFonts w:ascii="Arial" w:cs="Arial" w:eastAsia="Arial" w:hAnsi="Arial"/>
          <w:sz w:val="13"/>
          <w:szCs w:val="13"/>
          <w:color w:val="auto"/>
        </w:rPr>
      </w:pPr>
      <w:r>
        <w:rPr>
          <w:rFonts w:ascii="Arial" w:cs="Arial" w:eastAsia="Arial" w:hAnsi="Arial"/>
          <w:sz w:val="13"/>
          <w:szCs w:val="13"/>
          <w:color w:val="auto"/>
        </w:rPr>
        <w:t>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rPr>
              <w:t>Historical</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jc w:val="right"/>
              <w:spacing w:after="0" w:line="108" w:lineRule="exact"/>
              <w:rPr>
                <w:sz w:val="20"/>
                <w:szCs w:val="20"/>
                <w:color w:val="auto"/>
              </w:rPr>
            </w:pPr>
            <w:r>
              <w:rPr>
                <w:rFonts w:ascii="Arial" w:cs="Arial" w:eastAsia="Arial" w:hAnsi="Arial"/>
                <w:sz w:val="10"/>
                <w:szCs w:val="10"/>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jc w:val="right"/>
              <w:ind w:right="420"/>
              <w:spacing w:after="0" w:line="108" w:lineRule="exact"/>
              <w:rPr>
                <w:sz w:val="20"/>
                <w:szCs w:val="20"/>
                <w:color w:val="auto"/>
              </w:rPr>
            </w:pPr>
            <w:r>
              <w:rPr>
                <w:rFonts w:ascii="Arial" w:cs="Arial" w:eastAsia="Arial" w:hAnsi="Arial"/>
                <w:sz w:val="10"/>
                <w:szCs w:val="10"/>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9"/>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400"/>
              <w:spacing w:after="0" w:line="100" w:lineRule="exact"/>
              <w:rPr>
                <w:sz w:val="20"/>
                <w:szCs w:val="20"/>
                <w:color w:val="auto"/>
              </w:rPr>
            </w:pPr>
            <w:r>
              <w:rPr>
                <w:rFonts w:ascii="Arial" w:cs="Arial" w:eastAsia="Arial" w:hAnsi="Arial"/>
                <w:sz w:val="10"/>
                <w:szCs w:val="10"/>
                <w:b w:val="1"/>
                <w:bCs w:val="1"/>
                <w:color w:val="auto"/>
              </w:rPr>
              <w:t>Three Months</w:t>
            </w:r>
          </w:p>
        </w:tc>
        <w:tc>
          <w:tcPr>
            <w:tcW w:w="140" w:type="dxa"/>
            <w:vAlign w:val="bottom"/>
          </w:tcPr>
          <w:p>
            <w:pPr>
              <w:spacing w:after="0"/>
              <w:rPr>
                <w:sz w:val="8"/>
                <w:szCs w:val="8"/>
                <w:color w:val="auto"/>
              </w:rPr>
            </w:pPr>
          </w:p>
        </w:tc>
        <w:tc>
          <w:tcPr>
            <w:tcW w:w="860" w:type="dxa"/>
            <w:vAlign w:val="bottom"/>
          </w:tcPr>
          <w:p>
            <w:pPr>
              <w:jc w:val="center"/>
              <w:ind w:right="108"/>
              <w:spacing w:after="0" w:line="100" w:lineRule="exact"/>
              <w:rPr>
                <w:sz w:val="20"/>
                <w:szCs w:val="20"/>
                <w:color w:val="auto"/>
              </w:rPr>
            </w:pPr>
            <w:r>
              <w:rPr>
                <w:rFonts w:ascii="Arial" w:cs="Arial" w:eastAsia="Arial" w:hAnsi="Arial"/>
                <w:sz w:val="10"/>
                <w:szCs w:val="10"/>
                <w:b w:val="1"/>
                <w:bCs w:val="1"/>
                <w:color w:val="auto"/>
              </w:rPr>
              <w:t>Two- Month</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420"/>
              <w:spacing w:after="0" w:line="100" w:lineRule="exact"/>
              <w:rPr>
                <w:sz w:val="20"/>
                <w:szCs w:val="20"/>
                <w:color w:val="auto"/>
              </w:rPr>
            </w:pPr>
            <w:r>
              <w:rPr>
                <w:rFonts w:ascii="Arial" w:cs="Arial" w:eastAsia="Arial" w:hAnsi="Arial"/>
                <w:sz w:val="10"/>
                <w:szCs w:val="10"/>
                <w:b w:val="1"/>
                <w:bCs w:val="1"/>
                <w:color w:val="auto"/>
              </w:rPr>
              <w:t>Ten- Month</w:t>
            </w:r>
          </w:p>
        </w:tc>
        <w:tc>
          <w:tcPr>
            <w:tcW w:w="100" w:type="dxa"/>
            <w:vAlign w:val="bottom"/>
          </w:tcPr>
          <w:p>
            <w:pPr>
              <w:spacing w:after="0"/>
              <w:rPr>
                <w:sz w:val="8"/>
                <w:szCs w:val="8"/>
                <w:color w:val="auto"/>
              </w:rPr>
            </w:pPr>
          </w:p>
        </w:tc>
        <w:tc>
          <w:tcPr>
            <w:tcW w:w="1180" w:type="dxa"/>
            <w:vAlign w:val="bottom"/>
            <w:gridSpan w:val="2"/>
          </w:tcPr>
          <w:p>
            <w:pPr>
              <w:jc w:val="center"/>
              <w:ind w:right="380"/>
              <w:spacing w:after="0" w:line="100" w:lineRule="exact"/>
              <w:rPr>
                <w:sz w:val="20"/>
                <w:szCs w:val="20"/>
                <w:color w:val="auto"/>
              </w:rPr>
            </w:pPr>
            <w:r>
              <w:rPr>
                <w:rFonts w:ascii="Arial" w:cs="Arial" w:eastAsia="Arial" w:hAnsi="Arial"/>
                <w:sz w:val="10"/>
                <w:szCs w:val="10"/>
                <w:b w:val="1"/>
                <w:bCs w:val="1"/>
                <w:color w:val="auto"/>
              </w:rPr>
              <w:t>Three Months</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rPr>
              <w:t>Period 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Period Ended</w:t>
            </w:r>
          </w:p>
        </w:tc>
        <w:tc>
          <w:tcPr>
            <w:tcW w:w="10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12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Years Ended</w:t>
            </w:r>
          </w:p>
        </w:tc>
      </w:tr>
      <w:tr>
        <w:trPr>
          <w:trHeight w:val="126"/>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March 29,</w:t>
            </w:r>
          </w:p>
        </w:tc>
        <w:tc>
          <w:tcPr>
            <w:tcW w:w="80" w:type="dxa"/>
            <w:vAlign w:val="bottom"/>
          </w:tcPr>
          <w:p>
            <w:pPr>
              <w:spacing w:after="0"/>
              <w:rPr>
                <w:sz w:val="10"/>
                <w:szCs w:val="10"/>
                <w:color w:val="auto"/>
              </w:rPr>
            </w:pPr>
          </w:p>
        </w:tc>
        <w:tc>
          <w:tcPr>
            <w:tcW w:w="112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December 31,</w:t>
            </w: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48"/>
              <w:spacing w:after="0" w:line="108" w:lineRule="exact"/>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88"/>
              <w:spacing w:after="0" w:line="108" w:lineRule="exact"/>
              <w:rPr>
                <w:sz w:val="20"/>
                <w:szCs w:val="20"/>
                <w:color w:val="auto"/>
              </w:rPr>
            </w:pPr>
            <w:r>
              <w:rPr>
                <w:rFonts w:ascii="Arial" w:cs="Arial" w:eastAsia="Arial" w:hAnsi="Arial"/>
                <w:sz w:val="10"/>
                <w:szCs w:val="10"/>
                <w:b w:val="1"/>
                <w:bCs w:val="1"/>
                <w:color w:val="auto"/>
              </w:rPr>
              <w:t>2009</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48"/>
              <w:spacing w:after="0" w:line="108" w:lineRule="exact"/>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8"/>
              <w:spacing w:after="0" w:line="10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9"/>
                <w:szCs w:val="9"/>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362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841.1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(180.6)</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Less: Income (loss) from discontinued operations, net of taxes</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10"/>
                <w:szCs w:val="1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0"/>
                <w:szCs w:val="10"/>
                <w:color w:val="auto"/>
              </w:rPr>
              <w:t>(0.8)</w:t>
            </w:r>
          </w:p>
        </w:tc>
        <w:tc>
          <w:tcPr>
            <w:tcW w:w="8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(51.7)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(loss) from continuing operations</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834.5</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(68.9)</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(128.8)</w:t>
            </w:r>
          </w:p>
        </w:tc>
      </w:tr>
      <w:tr>
        <w:trPr>
          <w:trHeight w:val="118"/>
        </w:trPr>
        <w:tc>
          <w:tcPr>
            <w:tcW w:w="3620" w:type="dxa"/>
            <w:vAlign w:val="bottom"/>
          </w:tcPr>
          <w:p>
            <w:pPr>
              <w:spacing w:after="0"/>
              <w:rPr>
                <w:sz w:val="20"/>
                <w:szCs w:val="20"/>
                <w:color w:val="auto"/>
              </w:rPr>
            </w:pPr>
            <w:r>
              <w:rPr>
                <w:rFonts w:ascii="Arial" w:cs="Arial" w:eastAsia="Arial" w:hAnsi="Arial"/>
                <w:sz w:val="10"/>
                <w:szCs w:val="10"/>
                <w:color w:val="auto"/>
              </w:rPr>
              <w:t>Adjustments: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Restructuring and impairment charges(a)</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0.4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12.1</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Other restructuring charges(b)</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13.3</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3.1</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6.2</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Abandoned IPO expenses(c)</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3.7</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Subcontractor claim settlement(d)</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1.3</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Reorganization items, net(e)</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(804.6)</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Inventory step-up(f)</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0.9</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17.2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Equity based compensation expense(g)</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0.2</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0.5</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0.6</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Amortization of intangibles associated with continuing operations(h)</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7.7</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8.8</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2.4</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20.0</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27.5</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Foreign currency loss (gain), net(i)</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(21.6)</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(9.3)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(43.4)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40.2</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tcPr>
          <w:p>
            <w:pPr>
              <w:spacing w:after="0"/>
              <w:rPr>
                <w:sz w:val="20"/>
                <w:szCs w:val="20"/>
                <w:color w:val="auto"/>
              </w:rPr>
            </w:pPr>
            <w:r>
              <w:rPr>
                <w:rFonts w:ascii="Arial" w:cs="Arial" w:eastAsia="Arial" w:hAnsi="Arial"/>
                <w:sz w:val="10"/>
                <w:szCs w:val="10"/>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19.9</w:t>
            </w:r>
          </w:p>
        </w:tc>
        <w:tc>
          <w:tcPr>
            <w:tcW w:w="300" w:type="dxa"/>
            <w:vAlign w:val="bottom"/>
          </w:tcPr>
          <w:p>
            <w:pPr>
              <w:spacing w:after="0"/>
              <w:rPr>
                <w:sz w:val="10"/>
                <w:szCs w:val="10"/>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13.3</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0"/>
                <w:szCs w:val="10"/>
                <w:color w:val="auto"/>
              </w:rPr>
              <w:t>(22.9)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(71.7)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(82.6)</w:t>
            </w:r>
          </w:p>
        </w:tc>
      </w:tr>
      <w:tr>
        <w:trPr>
          <w:trHeight w:val="39"/>
        </w:trPr>
        <w:tc>
          <w:tcPr>
            <w:tcW w:w="36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92" w:lineRule="exact"/>
        <w:rPr>
          <w:sz w:val="20"/>
          <w:szCs w:val="20"/>
          <w:color w:val="auto"/>
        </w:rPr>
      </w:pPr>
    </w:p>
    <w:p>
      <w:pPr>
        <w:ind w:left="1280" w:right="40" w:hanging="220"/>
        <w:spacing w:after="0" w:line="249" w:lineRule="auto"/>
        <w:tabs>
          <w:tab w:leader="none" w:pos="1280"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147" w:lineRule="exact"/>
        <w:rPr>
          <w:rFonts w:ascii="Arial" w:cs="Arial" w:eastAsia="Arial" w:hAnsi="Arial"/>
          <w:sz w:val="10"/>
          <w:szCs w:val="10"/>
          <w:color w:val="auto"/>
        </w:rPr>
      </w:pPr>
    </w:p>
    <w:p>
      <w:pPr>
        <w:ind w:left="1280" w:right="20" w:hanging="220"/>
        <w:spacing w:after="0" w:line="250" w:lineRule="auto"/>
        <w:tabs>
          <w:tab w:leader="none" w:pos="1280"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28" w:lineRule="exact"/>
        <w:rPr>
          <w:rFonts w:ascii="Arial" w:cs="Arial" w:eastAsia="Arial" w:hAnsi="Arial"/>
          <w:sz w:val="10"/>
          <w:szCs w:val="10"/>
          <w:color w:val="auto"/>
        </w:rPr>
      </w:pPr>
    </w:p>
    <w:p>
      <w:pPr>
        <w:ind w:left="1280" w:right="60" w:hanging="214"/>
        <w:spacing w:after="0" w:line="266" w:lineRule="auto"/>
        <w:tabs>
          <w:tab w:leader="none" w:pos="1280"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This adjustment eliminates a $3.7 million charge in 2008 related to expenses incurred in connection with our abandoned initial public offering in 2008. We do not believe that these charges are indicative of our core operating performance. We expect to incur costs in connection with this offering.</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280" w:right="300" w:hanging="220"/>
        <w:spacing w:after="0" w:line="266" w:lineRule="auto"/>
        <w:tabs>
          <w:tab w:leader="none" w:pos="12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20" w:lineRule="exact"/>
        <w:rPr>
          <w:rFonts w:ascii="Arial" w:cs="Arial" w:eastAsia="Arial" w:hAnsi="Arial"/>
          <w:sz w:val="10"/>
          <w:szCs w:val="10"/>
          <w:color w:val="auto"/>
        </w:rPr>
      </w:pPr>
    </w:p>
    <w:p>
      <w:pPr>
        <w:ind w:left="1280" w:hanging="220"/>
        <w:spacing w:after="0" w:line="249" w:lineRule="auto"/>
        <w:tabs>
          <w:tab w:leader="none" w:pos="12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reorganization proceedings.</w:t>
      </w:r>
    </w:p>
    <w:p>
      <w:pPr>
        <w:spacing w:after="0" w:line="28" w:lineRule="exact"/>
        <w:rPr>
          <w:rFonts w:ascii="Arial" w:cs="Arial" w:eastAsia="Arial" w:hAnsi="Arial"/>
          <w:sz w:val="10"/>
          <w:szCs w:val="10"/>
          <w:color w:val="auto"/>
        </w:rPr>
      </w:pPr>
    </w:p>
    <w:p>
      <w:pPr>
        <w:ind w:left="1280" w:right="400" w:hanging="191"/>
        <w:spacing w:after="0" w:line="266" w:lineRule="auto"/>
        <w:tabs>
          <w:tab w:leader="none" w:pos="12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0" w:lineRule="exact"/>
        <w:rPr>
          <w:rFonts w:ascii="Arial" w:cs="Arial" w:eastAsia="Arial" w:hAnsi="Arial"/>
          <w:sz w:val="10"/>
          <w:szCs w:val="10"/>
          <w:color w:val="auto"/>
        </w:rPr>
      </w:pPr>
    </w:p>
    <w:p>
      <w:pPr>
        <w:ind w:left="1280" w:right="320" w:hanging="220"/>
        <w:spacing w:after="0" w:line="266" w:lineRule="auto"/>
        <w:tabs>
          <w:tab w:leader="none" w:pos="12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0" w:lineRule="exact"/>
        <w:rPr>
          <w:rFonts w:ascii="Arial" w:cs="Arial" w:eastAsia="Arial" w:hAnsi="Arial"/>
          <w:sz w:val="10"/>
          <w:szCs w:val="10"/>
          <w:color w:val="auto"/>
        </w:rPr>
      </w:pPr>
    </w:p>
    <w:p>
      <w:pPr>
        <w:ind w:left="1280" w:hanging="220"/>
        <w:spacing w:after="0" w:line="256" w:lineRule="auto"/>
        <w:tabs>
          <w:tab w:leader="none" w:pos="12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25" w:lineRule="exact"/>
        <w:rPr>
          <w:rFonts w:ascii="Arial" w:cs="Arial" w:eastAsia="Arial" w:hAnsi="Arial"/>
          <w:sz w:val="10"/>
          <w:szCs w:val="10"/>
          <w:color w:val="auto"/>
        </w:rPr>
      </w:pPr>
    </w:p>
    <w:p>
      <w:pPr>
        <w:ind w:left="1280" w:right="20" w:hanging="185"/>
        <w:spacing w:after="0" w:line="256" w:lineRule="auto"/>
        <w:tabs>
          <w:tab w:leader="none" w:pos="12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70" w:lineRule="exact"/>
        <w:rPr>
          <w:sz w:val="20"/>
          <w:szCs w:val="20"/>
          <w:color w:val="auto"/>
        </w:rPr>
      </w:pPr>
    </w:p>
    <w:p>
      <w:pPr>
        <w:ind w:left="1380" w:right="280"/>
        <w:spacing w:after="0" w:line="248" w:lineRule="auto"/>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 GAAP. Some of these limitations are:</w:t>
      </w:r>
    </w:p>
    <w:p>
      <w:pPr>
        <w:spacing w:after="0" w:line="74" w:lineRule="exact"/>
        <w:rPr>
          <w:sz w:val="20"/>
          <w:szCs w:val="20"/>
          <w:color w:val="auto"/>
        </w:rPr>
      </w:pPr>
    </w:p>
    <w:p>
      <w:pPr>
        <w:ind w:left="1500" w:hanging="105"/>
        <w:spacing w:after="0"/>
        <w:tabs>
          <w:tab w:leader="none" w:pos="1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500" w:hanging="105"/>
        <w:spacing w:after="0"/>
        <w:tabs>
          <w:tab w:leader="none" w:pos="1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86" w:lineRule="exact"/>
        <w:rPr>
          <w:rFonts w:ascii="Arial" w:cs="Arial" w:eastAsia="Arial" w:hAnsi="Arial"/>
          <w:sz w:val="13"/>
          <w:szCs w:val="13"/>
          <w:color w:val="auto"/>
        </w:rPr>
      </w:pPr>
    </w:p>
    <w:p>
      <w:pPr>
        <w:ind w:left="1500" w:hanging="105"/>
        <w:spacing w:after="0"/>
        <w:tabs>
          <w:tab w:leader="none" w:pos="1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500" w:hanging="105"/>
        <w:spacing w:after="0"/>
        <w:tabs>
          <w:tab w:leader="none" w:pos="1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500" w:hanging="105"/>
        <w:spacing w:after="0"/>
        <w:tabs>
          <w:tab w:leader="none" w:pos="1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w:t>
      </w:r>
    </w:p>
    <w:p>
      <w:pPr>
        <w:ind w:left="98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Net Income only supplementally.</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UNAUDITED PRO FORMA CONSOLIDATED FINANCIAL INFORMATION</w:t>
      </w:r>
    </w:p>
    <w:p>
      <w:pPr>
        <w:spacing w:after="0" w:line="102" w:lineRule="exact"/>
        <w:rPr>
          <w:sz w:val="20"/>
          <w:szCs w:val="20"/>
          <w:color w:val="auto"/>
        </w:rPr>
      </w:pPr>
    </w:p>
    <w:p>
      <w:pPr>
        <w:ind w:left="680" w:right="840" w:firstLine="499"/>
        <w:spacing w:after="0" w:line="248" w:lineRule="auto"/>
        <w:rPr>
          <w:sz w:val="20"/>
          <w:szCs w:val="20"/>
          <w:color w:val="auto"/>
        </w:rPr>
      </w:pPr>
      <w:r>
        <w:rPr>
          <w:rFonts w:ascii="Arial" w:cs="Arial" w:eastAsia="Arial" w:hAnsi="Arial"/>
          <w:sz w:val="13"/>
          <w:szCs w:val="13"/>
          <w:color w:val="auto"/>
        </w:rPr>
        <w:t>We have prepared the unaudited pro forma condensed consolidated financial information of MagnaChip for the combined twelve-month period ended December 31, 2009 as of and for the three months ended March 31, 2010 and in accordance with Article 11 of Regulation S-X.</w:t>
      </w:r>
    </w:p>
    <w:p>
      <w:pPr>
        <w:spacing w:after="0" w:line="74"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The unaudited pro forma condensed consolidated statements of operations for the three months ended March 31, 2010 and the combined twelve-month period ended December 31, 2009 is derived from the historical consolidated financial statements of MagnaChip Semiconductor LLC and gives pro forma effect to the following as if these events had occurred on January 1, 2009:</w:t>
      </w:r>
    </w:p>
    <w:p>
      <w:pPr>
        <w:spacing w:after="0" w:line="79" w:lineRule="exact"/>
        <w:rPr>
          <w:sz w:val="20"/>
          <w:szCs w:val="20"/>
          <w:color w:val="auto"/>
        </w:rPr>
      </w:pPr>
    </w:p>
    <w:p>
      <w:pPr>
        <w:ind w:left="1400" w:hanging="212"/>
        <w:spacing w:after="0"/>
        <w:tabs>
          <w:tab w:leader="none" w:pos="14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reorganization proceedings and adoption of fresh-start reporting;</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6" w:lineRule="exact"/>
        <w:rPr>
          <w:rFonts w:ascii="Arial" w:cs="Arial" w:eastAsia="Arial" w:hAnsi="Arial"/>
          <w:sz w:val="13"/>
          <w:szCs w:val="13"/>
          <w:color w:val="auto"/>
        </w:rPr>
      </w:pPr>
    </w:p>
    <w:p>
      <w:pPr>
        <w:ind w:left="1400" w:hanging="212"/>
        <w:spacing w:after="0" w:line="248" w:lineRule="auto"/>
        <w:tabs>
          <w:tab w:leader="none" w:pos="14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our wholly-owned subsidiaries, and the application of the net proceeds therefrom.</w:t>
      </w:r>
    </w:p>
    <w:p>
      <w:pPr>
        <w:spacing w:after="0" w:line="74" w:lineRule="exact"/>
        <w:rPr>
          <w:sz w:val="20"/>
          <w:szCs w:val="20"/>
          <w:color w:val="auto"/>
        </w:rPr>
      </w:pPr>
    </w:p>
    <w:p>
      <w:pPr>
        <w:ind w:left="680" w:right="320" w:firstLine="499"/>
        <w:spacing w:after="0" w:line="248" w:lineRule="auto"/>
        <w:rPr>
          <w:sz w:val="20"/>
          <w:szCs w:val="20"/>
          <w:color w:val="auto"/>
        </w:rPr>
      </w:pPr>
      <w:r>
        <w:rPr>
          <w:rFonts w:ascii="Arial" w:cs="Arial" w:eastAsia="Arial" w:hAnsi="Arial"/>
          <w:sz w:val="13"/>
          <w:szCs w:val="13"/>
          <w:color w:val="auto"/>
        </w:rPr>
        <w:t>The unaudited pro forma condensed consolidated balance sheet as of March 31, 2010 is derived from the historical consolidated balance sheet of MagnaChip Semiconductor LLC and gives pro forma effect to the following as if it occurred on March 31, 2010.</w:t>
      </w:r>
    </w:p>
    <w:p>
      <w:pPr>
        <w:spacing w:after="0" w:line="74" w:lineRule="exact"/>
        <w:rPr>
          <w:sz w:val="20"/>
          <w:szCs w:val="20"/>
          <w:color w:val="auto"/>
        </w:rPr>
      </w:pPr>
    </w:p>
    <w:p>
      <w:pPr>
        <w:ind w:left="1400" w:hanging="212"/>
        <w:spacing w:after="0"/>
        <w:tabs>
          <w:tab w:leader="none" w:pos="14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6" w:lineRule="exact"/>
        <w:rPr>
          <w:rFonts w:ascii="Arial" w:cs="Arial" w:eastAsia="Arial" w:hAnsi="Arial"/>
          <w:sz w:val="13"/>
          <w:szCs w:val="13"/>
          <w:color w:val="auto"/>
        </w:rPr>
      </w:pPr>
    </w:p>
    <w:p>
      <w:pPr>
        <w:ind w:left="1400" w:right="100" w:hanging="212"/>
        <w:spacing w:after="0" w:line="248" w:lineRule="auto"/>
        <w:tabs>
          <w:tab w:leader="none" w:pos="14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and the application of the net proceeds therefrom.</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Basis of Presentation</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The following information should be read in conjunction with “Selected Historical Consolidated Financial and Operating Data,” “Management’s Discussion and Analysis of Financial Condition and Results of Operations,” “Risk Factors,” “Capitalization” and the audited and unaudited consolidated financial statements of MagnaChip Semiconductor LLC and the related notes included elsewhere in this prospectus. The unaudited pro forma consolidated financial information is not necessarily indicative of operating results or the financial position that would have been achieved if the transactions identified above had occurred on the dates indicated, nor does it purport to represent the results we will obtain in the future.</w:t>
      </w:r>
    </w:p>
    <w:p>
      <w:pPr>
        <w:spacing w:after="0" w:line="81"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Management has prepared the accompanying unaudited pro forma balance sheet as of March 31, 2010 and consolidated statements of operations for the combined twelve-month period ended December 31, 2009 and the three months ended March 31, 2010 in accordance with Article 11 of Regulation S-X for inclusion in this prospectus.</w:t>
      </w:r>
    </w:p>
    <w:p>
      <w:pPr>
        <w:spacing w:after="0" w:line="79"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The accounting policies used in the preparation of the unaudited pro forma consolidated financial statements are those disclosed in the audited consolidated financial statements of MagnaChip Semiconductor LLC for the ten-month period ended October 25, 2009 and the two-month period ended December 31, 2009.</w:t>
      </w:r>
    </w:p>
    <w:p>
      <w:pPr>
        <w:spacing w:after="0" w:line="74" w:lineRule="exact"/>
        <w:rPr>
          <w:sz w:val="20"/>
          <w:szCs w:val="20"/>
          <w:color w:val="auto"/>
        </w:rPr>
      </w:pPr>
    </w:p>
    <w:p>
      <w:pPr>
        <w:ind w:left="680" w:right="340" w:firstLine="499"/>
        <w:spacing w:after="0" w:line="242" w:lineRule="auto"/>
        <w:rPr>
          <w:sz w:val="20"/>
          <w:szCs w:val="20"/>
          <w:color w:val="auto"/>
        </w:rPr>
      </w:pPr>
      <w:r>
        <w:rPr>
          <w:rFonts w:ascii="Arial" w:cs="Arial" w:eastAsia="Arial" w:hAnsi="Arial"/>
          <w:sz w:val="13"/>
          <w:szCs w:val="13"/>
          <w:color w:val="auto"/>
        </w:rPr>
        <w:t>The following unaudited pro forma condensed consolidated financial information should be read in conjunction with “Capitalization,” “Selected Historical Consolidated Financial and Operating Data,” “Management’s Discussion and Analysis of Financial Condition and Results of Operations” and our consolidated financial statements, including the notes to those consolidated financial statements, included elsewhere in this prospectus.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Reorganization Proceedings and Fresh-Start Reporting</w:t>
      </w:r>
    </w:p>
    <w:p>
      <w:pPr>
        <w:spacing w:after="0" w:line="102"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80"/>
        <w:spacing w:after="0" w:line="248" w:lineRule="auto"/>
        <w:rPr>
          <w:sz w:val="20"/>
          <w:szCs w:val="20"/>
          <w:color w:val="auto"/>
        </w:rPr>
      </w:pPr>
      <w:r>
        <w:rPr>
          <w:rFonts w:ascii="Arial" w:cs="Arial" w:eastAsia="Arial" w:hAnsi="Arial"/>
          <w:sz w:val="13"/>
          <w:szCs w:val="13"/>
          <w:color w:val="auto"/>
        </w:rPr>
        <w:t>for the District of Delaware under Chapter 11 of the United States Bankruptcy Code. On November 9, 2009, our plan of reorganization became effective and we emerged from the reorganization proceedings.</w:t>
      </w:r>
    </w:p>
    <w:p>
      <w:pPr>
        <w:spacing w:after="0" w:line="74"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our emergence from the reorganization proceedings, we implemented fresh-start accounting in accordance with ASC 852. We elected to adopt a convenience date of October 25, 2009 (a month end for our financial reporting purposes) for application of fresh-start accounting. In accordance with ASC 852, we recorded largely non-cash reorganization income and expense items directly associated with our reorganization proceedings including the revaluation of assets, the effects of our reorganization plan and fresh-start accounting, the write-off of debt issuance costs and professional fees.</w:t>
      </w:r>
    </w:p>
    <w:p>
      <w:pPr>
        <w:spacing w:after="0" w:line="80" w:lineRule="exact"/>
        <w:rPr>
          <w:sz w:val="20"/>
          <w:szCs w:val="20"/>
          <w:color w:val="auto"/>
        </w:rPr>
      </w:pPr>
    </w:p>
    <w:p>
      <w:pPr>
        <w:jc w:val="both"/>
        <w:ind w:left="680" w:right="60" w:firstLine="499"/>
        <w:spacing w:after="0" w:line="242" w:lineRule="auto"/>
        <w:rPr>
          <w:sz w:val="20"/>
          <w:szCs w:val="20"/>
          <w:color w:val="auto"/>
        </w:rPr>
      </w:pPr>
      <w:r>
        <w:rPr>
          <w:rFonts w:ascii="Arial" w:cs="Arial" w:eastAsia="Arial" w:hAnsi="Arial"/>
          <w:sz w:val="13"/>
          <w:szCs w:val="13"/>
          <w:color w:val="auto"/>
        </w:rPr>
        <w:t>In implementing fresh-start accounting, we re-measured our asset values and stated all liabilities, other than deferred taxes and severance benefits, at fair value or at present values of the amounts to be paid using appropriate market interest rates. As of October 25, 2009, the fair value of our assets and the fair value or present value of our liabilities were as follows: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500" w:type="dxa"/>
            <w:vAlign w:val="bottom"/>
            <w:tcBorders>
              <w:top w:val="single" w:sz="8" w:color="auto"/>
              <w:bottom w:val="single" w:sz="8" w:color="auto"/>
            </w:tcBorders>
            <w:gridSpan w:val="2"/>
          </w:tcPr>
          <w:p>
            <w:pPr>
              <w:jc w:val="right"/>
              <w:ind w:right="294"/>
              <w:spacing w:after="0" w:line="138" w:lineRule="exact"/>
              <w:rPr>
                <w:sz w:val="20"/>
                <w:szCs w:val="20"/>
                <w:color w:val="auto"/>
              </w:rPr>
            </w:pPr>
            <w:r>
              <w:rPr>
                <w:rFonts w:ascii="Arial" w:cs="Arial" w:eastAsia="Arial" w:hAnsi="Arial"/>
                <w:sz w:val="13"/>
                <w:szCs w:val="13"/>
                <w:b w:val="1"/>
                <w:bCs w:val="1"/>
                <w:color w:val="auto"/>
              </w:rPr>
              <w:t>October 25, 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Other current 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Intangible 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non-current assets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485.5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Current portion long term debt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current 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non-current 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267.2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Assets acquired</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218.4</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7360" w:type="dxa"/>
            <w:vAlign w:val="bottom"/>
            <w:gridSpan w:val="2"/>
          </w:tcPr>
          <w:p>
            <w:pPr>
              <w:jc w:val="right"/>
              <w:spacing w:after="0"/>
              <w:rPr>
                <w:sz w:val="20"/>
                <w:szCs w:val="20"/>
                <w:color w:val="auto"/>
              </w:rPr>
            </w:pPr>
            <w:r>
              <w:rPr>
                <w:rFonts w:ascii="Arial" w:cs="Arial" w:eastAsia="Arial" w:hAnsi="Arial"/>
                <w:sz w:val="13"/>
                <w:szCs w:val="13"/>
                <w:color w:val="auto"/>
              </w:rPr>
              <w:t>The intangible assets recognized as part of fresh-start accounting and the related estimated useful lives are as follows:</w:t>
            </w:r>
          </w:p>
        </w:tc>
        <w:tc>
          <w:tcPr>
            <w:tcW w:w="6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Intangible 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64"/>
        </w:trPr>
        <w:tc>
          <w:tcPr>
            <w:tcW w:w="7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Useful lives</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Technology</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Customer relationships</w:t>
            </w:r>
          </w:p>
        </w:tc>
        <w:tc>
          <w:tcPr>
            <w:tcW w:w="140" w:type="dxa"/>
            <w:vAlign w:val="bottom"/>
          </w:tcPr>
          <w:p>
            <w:pPr>
              <w:spacing w:after="0"/>
              <w:rPr>
                <w:sz w:val="12"/>
                <w:szCs w:val="12"/>
                <w:color w:val="auto"/>
              </w:rPr>
            </w:pPr>
          </w:p>
        </w:tc>
        <w:tc>
          <w:tcPr>
            <w:tcW w:w="9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26.1</w:t>
            </w: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Intellectual property assets</w:t>
            </w:r>
          </w:p>
        </w:tc>
        <w:tc>
          <w:tcPr>
            <w:tcW w:w="1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In-process research and development</w:t>
            </w:r>
          </w:p>
        </w:tc>
        <w:tc>
          <w:tcPr>
            <w:tcW w:w="140" w:type="dxa"/>
            <w:vAlign w:val="bottom"/>
          </w:tcPr>
          <w:p>
            <w:pPr>
              <w:spacing w:after="0"/>
              <w:rPr>
                <w:sz w:val="12"/>
                <w:szCs w:val="12"/>
                <w:color w:val="auto"/>
              </w:rPr>
            </w:pPr>
          </w:p>
        </w:tc>
        <w:tc>
          <w:tcPr>
            <w:tcW w:w="9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9.7</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Total Intangible Assets</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55.2</w:t>
            </w: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680" w:right="20" w:firstLine="499"/>
        <w:spacing w:after="0" w:line="242" w:lineRule="auto"/>
        <w:rPr>
          <w:sz w:val="20"/>
          <w:szCs w:val="20"/>
          <w:color w:val="auto"/>
        </w:rPr>
      </w:pPr>
      <w:r>
        <w:rPr>
          <w:rFonts w:ascii="Arial" w:cs="Arial" w:eastAsia="Arial" w:hAnsi="Arial"/>
          <w:sz w:val="13"/>
          <w:szCs w:val="13"/>
          <w:color w:val="auto"/>
        </w:rPr>
        <w:t>The adjustments made for the reorganization proceedings in the unaudited pro forma condensed consolidated statements of operations for the three months ended March 31, 2010 and the combined twelve-month period ended December 31, 2009 assumes the financial effects on us resulting from the implementation of the Chapter 11 plan of reorganization and the adoption of fresh-start accounting as described above.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Corporate Conversion</w:t>
      </w:r>
    </w:p>
    <w:p>
      <w:pPr>
        <w:spacing w:after="0" w:line="102"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Prior to the effectiveness of the registration statement of which this prospectus is a part, MagnaChip Semiconductor LLC will convert from a Delaware limited liability company to a Delaware corporation. The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corporate conversion adjustments in the unaudited pro forma consolidated financial information for the three months ended March 31, 2010 and the combined twelve-month period ended December 31, 2009 assume the consummation of the corporate conversion of MagnaChip Semiconductor LLC and the effectiveness of our certificate of incorporation, which is expected to occur prior to the effectiveness of the registration statement of which this prospectus is a part. No U.S. federal taxable income or taxable gain is expected to be recognized by MagnaChip Semiconductor Corporation as a result of our conversion from a limited liability company to a corporation.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$250 Million Senior Notes and Applications of Net Proceeds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April 9, 2010, MagnaChip Semiconductor S.A. and MagnaChip Semiconductor Finance Company, our wholly-owned subsidiaries, completed the sale of</w:t>
      </w:r>
    </w:p>
    <w:p>
      <w:pPr>
        <w:ind w:left="680"/>
        <w:spacing w:after="0" w:line="236" w:lineRule="auto"/>
        <w:rPr>
          <w:sz w:val="20"/>
          <w:szCs w:val="20"/>
          <w:color w:val="auto"/>
        </w:rPr>
      </w:pPr>
      <w:r>
        <w:rPr>
          <w:rFonts w:ascii="Arial" w:cs="Arial" w:eastAsia="Arial" w:hAnsi="Arial"/>
          <w:sz w:val="13"/>
          <w:szCs w:val="13"/>
          <w:color w:val="auto"/>
        </w:rPr>
        <w:t>$250 million in aggregate principal amount of 10.500% senior notes due 2018 at an offering price of 98.674%. Net proceeds from the notes offering were $238.4 million</w:t>
      </w:r>
    </w:p>
    <w:p>
      <w:pPr>
        <w:ind w:left="680"/>
        <w:spacing w:after="0" w:line="237" w:lineRule="auto"/>
        <w:rPr>
          <w:sz w:val="20"/>
          <w:szCs w:val="20"/>
          <w:color w:val="auto"/>
        </w:rPr>
      </w:pPr>
      <w:r>
        <w:rPr>
          <w:rFonts w:ascii="Arial" w:cs="Arial" w:eastAsia="Arial" w:hAnsi="Arial"/>
          <w:sz w:val="13"/>
          <w:szCs w:val="13"/>
          <w:color w:val="auto"/>
        </w:rPr>
        <w:t>which represents $250 million of principal amount net of $3.3 million of original issue discount and $8.3 million of debt issuance costs, including professional fees. Of the</w:t>
      </w:r>
    </w:p>
    <w:p>
      <w:pPr>
        <w:ind w:left="680"/>
        <w:spacing w:after="0" w:line="237" w:lineRule="auto"/>
        <w:rPr>
          <w:sz w:val="20"/>
          <w:szCs w:val="20"/>
          <w:color w:val="auto"/>
        </w:rPr>
      </w:pPr>
      <w:r>
        <w:rPr>
          <w:rFonts w:ascii="Arial" w:cs="Arial" w:eastAsia="Arial" w:hAnsi="Arial"/>
          <w:sz w:val="13"/>
          <w:szCs w:val="13"/>
          <w:color w:val="auto"/>
        </w:rPr>
        <w:t>$238.4 million of net proceeds, $130.7 million was used to make a distribution to our unitholders and $61.6 million was used to repay all outstanding borrowings under our</w:t>
      </w:r>
    </w:p>
    <w:p>
      <w:pPr>
        <w:ind w:left="680"/>
        <w:spacing w:after="0"/>
        <w:rPr>
          <w:sz w:val="20"/>
          <w:szCs w:val="20"/>
          <w:color w:val="auto"/>
        </w:rPr>
      </w:pPr>
      <w:r>
        <w:rPr>
          <w:rFonts w:ascii="Arial" w:cs="Arial" w:eastAsia="Arial" w:hAnsi="Arial"/>
          <w:sz w:val="13"/>
          <w:szCs w:val="13"/>
          <w:color w:val="auto"/>
        </w:rPr>
        <w:t>term loan. The remaining proceeds were retained to fund working capital and for general corporate purposes.</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490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3"/>
          </w:tcPr>
          <w:p>
            <w:pPr>
              <w:jc w:val="center"/>
              <w:ind w:right="394"/>
              <w:spacing w:after="0"/>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Pro Forma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rPr>
              <w:t>Three Months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54"/>
              <w:spacing w:after="0" w:line="121"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jc w:val="center"/>
              <w:ind w:left="374"/>
              <w:spacing w:after="0" w:line="148" w:lineRule="exact"/>
              <w:rPr>
                <w:sz w:val="20"/>
                <w:szCs w:val="20"/>
                <w:color w:val="auto"/>
              </w:rPr>
            </w:pPr>
            <w:r>
              <w:rPr>
                <w:rFonts w:ascii="Arial" w:cs="Arial" w:eastAsia="Arial" w:hAnsi="Arial"/>
                <w:sz w:val="13"/>
                <w:szCs w:val="13"/>
                <w:b w:val="1"/>
                <w:bCs w:val="1"/>
                <w:color w:val="auto"/>
              </w:rPr>
              <w:t>Ended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rPr>
              <w:t>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gridSpan w:val="3"/>
          </w:tcPr>
          <w:p>
            <w:pPr>
              <w:jc w:val="center"/>
              <w:ind w:right="394"/>
              <w:spacing w:after="0" w:line="148" w:lineRule="exact"/>
              <w:rPr>
                <w:sz w:val="20"/>
                <w:szCs w:val="20"/>
                <w:color w:val="auto"/>
              </w:rPr>
            </w:pPr>
            <w:r>
              <w:rPr>
                <w:rFonts w:ascii="Arial" w:cs="Arial" w:eastAsia="Arial" w:hAnsi="Arial"/>
                <w:sz w:val="13"/>
                <w:szCs w:val="13"/>
                <w:b w:val="1"/>
                <w:bCs w:val="1"/>
                <w:color w:val="auto"/>
                <w:w w:val="99"/>
              </w:rPr>
              <w:t>March 31,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9"/>
              </w:rPr>
              <w:t>March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jc w:val="center"/>
              <w:ind w:left="354"/>
              <w:spacing w:after="0"/>
              <w:rPr>
                <w:sz w:val="20"/>
                <w:szCs w:val="20"/>
                <w:color w:val="auto"/>
              </w:rPr>
            </w:pPr>
            <w:r>
              <w:rPr>
                <w:rFonts w:ascii="Arial" w:cs="Arial" w:eastAsia="Arial" w:hAnsi="Arial"/>
                <w:sz w:val="13"/>
                <w:szCs w:val="13"/>
                <w:b w:val="1"/>
                <w:bCs w:val="1"/>
                <w:color w:val="auto"/>
              </w:rPr>
              <w:t>2010</w:t>
            </w:r>
          </w:p>
        </w:tc>
        <w:tc>
          <w:tcPr>
            <w:tcW w:w="420" w:type="dxa"/>
            <w:vAlign w:val="bottom"/>
            <w:tcBorders>
              <w:bottom w:val="single" w:sz="8" w:color="auto"/>
            </w:tcBorders>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millions,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Adjustments</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6"/>
              </w:rPr>
              <w:t>2010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480" w:type="dxa"/>
            <w:vAlign w:val="bottom"/>
            <w:vMerge w:val="continue"/>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except per common</w:t>
            </w:r>
          </w:p>
        </w:tc>
        <w:tc>
          <w:tcPr>
            <w:tcW w:w="188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Condensed Pro Forma Statement of Operations:</w:t>
            </w: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spacing w:after="0" w:line="148" w:lineRule="exact"/>
              <w:rPr>
                <w:sz w:val="20"/>
                <w:szCs w:val="20"/>
                <w:color w:val="auto"/>
              </w:rPr>
            </w:pPr>
            <w:r>
              <w:rPr>
                <w:rFonts w:ascii="Arial" w:cs="Arial" w:eastAsia="Arial" w:hAnsi="Arial"/>
                <w:sz w:val="13"/>
                <w:szCs w:val="13"/>
                <w:color w:val="auto"/>
              </w:rPr>
              <w:t>Net sales</w:t>
            </w:r>
          </w:p>
        </w:tc>
        <w:tc>
          <w:tcPr>
            <w:tcW w:w="1680" w:type="dxa"/>
            <w:vAlign w:val="bottom"/>
            <w:gridSpan w:val="2"/>
          </w:tcPr>
          <w:p>
            <w:pPr>
              <w:jc w:val="right"/>
              <w:ind w:right="734"/>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14"/>
              <w:spacing w:after="0" w:line="148" w:lineRule="exact"/>
              <w:rPr>
                <w:sz w:val="20"/>
                <w:szCs w:val="20"/>
                <w:color w:val="auto"/>
              </w:rPr>
            </w:pPr>
            <w:r>
              <w:rPr>
                <w:rFonts w:ascii="Arial" w:cs="Arial" w:eastAsia="Arial" w:hAnsi="Arial"/>
                <w:sz w:val="13"/>
                <w:szCs w:val="13"/>
                <w:color w:val="auto"/>
              </w:rPr>
              <w:t>179.5</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660" w:type="dxa"/>
            <w:vAlign w:val="bottom"/>
            <w:gridSpan w:val="2"/>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130.1</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(0.9)(1)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129.3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spacing w:after="0" w:line="148" w:lineRule="exact"/>
              <w:rPr>
                <w:sz w:val="20"/>
                <w:szCs w:val="20"/>
                <w:color w:val="auto"/>
              </w:rPr>
            </w:pPr>
            <w:r>
              <w:rPr>
                <w:rFonts w:ascii="Arial" w:cs="Arial" w:eastAsia="Arial" w:hAnsi="Arial"/>
                <w:sz w:val="13"/>
                <w:szCs w:val="13"/>
                <w:color w:val="auto"/>
              </w:rPr>
              <w:t>Gross profit</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49.4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2"/>
          </w:tcPr>
          <w:p>
            <w:pPr>
              <w:jc w:val="right"/>
              <w:ind w:right="414"/>
              <w:spacing w:after="0" w:line="148" w:lineRule="exact"/>
              <w:rPr>
                <w:sz w:val="20"/>
                <w:szCs w:val="20"/>
                <w:color w:val="auto"/>
              </w:rPr>
            </w:pPr>
            <w:r>
              <w:rPr>
                <w:rFonts w:ascii="Arial" w:cs="Arial" w:eastAsia="Arial" w:hAnsi="Arial"/>
                <w:sz w:val="13"/>
                <w:szCs w:val="13"/>
                <w:color w:val="auto"/>
              </w:rPr>
              <w:t>20.5</w:t>
            </w:r>
          </w:p>
        </w:tc>
        <w:tc>
          <w:tcPr>
            <w:tcW w:w="140" w:type="dxa"/>
            <w:vAlign w:val="bottom"/>
          </w:tcPr>
          <w:p>
            <w:pPr>
              <w:spacing w:after="0"/>
              <w:rPr>
                <w:sz w:val="12"/>
                <w:szCs w:val="12"/>
                <w:color w:val="auto"/>
              </w:rPr>
            </w:pPr>
          </w:p>
        </w:tc>
        <w:tc>
          <w:tcPr>
            <w:tcW w:w="1660" w:type="dxa"/>
            <w:vAlign w:val="bottom"/>
            <w:gridSpan w:val="2"/>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0.3</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spacing w:after="0" w:line="148" w:lineRule="exact"/>
              <w:rPr>
                <w:sz w:val="20"/>
                <w:szCs w:val="20"/>
                <w:color w:val="auto"/>
              </w:rPr>
            </w:pPr>
            <w:r>
              <w:rPr>
                <w:rFonts w:ascii="Arial" w:cs="Arial" w:eastAsia="Arial" w:hAnsi="Arial"/>
                <w:sz w:val="13"/>
                <w:szCs w:val="13"/>
                <w:color w:val="auto"/>
              </w:rPr>
              <w:t>Operating income from continuing operations</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10.6</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Interest expense, net</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4"/>
              <w:spacing w:after="0" w:line="148"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(4.9)(2)</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spacing w:after="0" w:line="148" w:lineRule="exact"/>
              <w:rPr>
                <w:sz w:val="20"/>
                <w:szCs w:val="20"/>
                <w:color w:val="auto"/>
              </w:rPr>
            </w:pPr>
            <w:r>
              <w:rPr>
                <w:rFonts w:ascii="Arial" w:cs="Arial" w:eastAsia="Arial" w:hAnsi="Arial"/>
                <w:sz w:val="13"/>
                <w:szCs w:val="13"/>
                <w:color w:val="auto"/>
              </w:rPr>
              <w:t>Foreign currency gain, net</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2"/>
          </w:tcPr>
          <w:p>
            <w:pPr>
              <w:jc w:val="right"/>
              <w:ind w:right="414"/>
              <w:spacing w:after="0" w:line="148" w:lineRule="exact"/>
              <w:rPr>
                <w:sz w:val="20"/>
                <w:szCs w:val="20"/>
                <w:color w:val="auto"/>
              </w:rPr>
            </w:pPr>
            <w:r>
              <w:rPr>
                <w:rFonts w:ascii="Arial" w:cs="Arial" w:eastAsia="Arial" w:hAnsi="Arial"/>
                <w:sz w:val="13"/>
                <w:szCs w:val="13"/>
                <w:color w:val="auto"/>
              </w:rPr>
              <w:t>21.6</w:t>
            </w:r>
          </w:p>
        </w:tc>
        <w:tc>
          <w:tcPr>
            <w:tcW w:w="140" w:type="dxa"/>
            <w:vAlign w:val="bottom"/>
          </w:tcPr>
          <w:p>
            <w:pPr>
              <w:spacing w:after="0"/>
              <w:rPr>
                <w:sz w:val="12"/>
                <w:szCs w:val="12"/>
                <w:color w:val="auto"/>
              </w:rPr>
            </w:pPr>
          </w:p>
        </w:tc>
        <w:tc>
          <w:tcPr>
            <w:tcW w:w="1660" w:type="dxa"/>
            <w:vAlign w:val="bottom"/>
            <w:gridSpan w:val="2"/>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4"/>
              <w:spacing w:after="0" w:line="148"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19.5</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from continuing operations before income taxes</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spacing w:after="0" w:line="148" w:lineRule="exact"/>
              <w:rPr>
                <w:sz w:val="20"/>
                <w:szCs w:val="20"/>
                <w:color w:val="auto"/>
              </w:rPr>
            </w:pPr>
            <w:r>
              <w:rPr>
                <w:rFonts w:ascii="Arial" w:cs="Arial" w:eastAsia="Arial" w:hAnsi="Arial"/>
                <w:sz w:val="13"/>
                <w:szCs w:val="13"/>
                <w:color w:val="auto"/>
              </w:rPr>
              <w:t>Income tax benefits</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2"/>
          </w:tcPr>
          <w:p>
            <w:pPr>
              <w:jc w:val="right"/>
              <w:ind w:right="374"/>
              <w:spacing w:after="0" w:line="148"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1660" w:type="dxa"/>
            <w:vAlign w:val="bottom"/>
            <w:gridSpan w:val="2"/>
          </w:tcPr>
          <w:p>
            <w:pPr>
              <w:jc w:val="right"/>
              <w:ind w:right="374"/>
              <w:spacing w:after="0" w:line="14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2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from continuing operations</w:t>
            </w: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34"/>
              <w:spacing w:after="0" w:line="148"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Per common share data:</w:t>
            </w:r>
          </w:p>
        </w:tc>
        <w:tc>
          <w:tcPr>
            <w:tcW w:w="8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Earnings from continuing operations per common share—</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Basic</w:t>
            </w:r>
          </w:p>
        </w:tc>
        <w:tc>
          <w:tcPr>
            <w:tcW w:w="1680" w:type="dxa"/>
            <w:vAlign w:val="bottom"/>
            <w:gridSpan w:val="2"/>
          </w:tcPr>
          <w:p>
            <w:pPr>
              <w:jc w:val="right"/>
              <w:ind w:right="734"/>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14"/>
              <w:spacing w:after="0" w:line="148" w:lineRule="exact"/>
              <w:rPr>
                <w:sz w:val="20"/>
                <w:szCs w:val="20"/>
                <w:color w:val="auto"/>
              </w:rPr>
            </w:pPr>
            <w:r>
              <w:rPr>
                <w:rFonts w:ascii="Arial" w:cs="Arial" w:eastAsia="Arial" w:hAnsi="Arial"/>
                <w:sz w:val="13"/>
                <w:szCs w:val="13"/>
                <w:color w:val="auto"/>
              </w:rPr>
              <w:t>0.82</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0.72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Diluted</w:t>
            </w:r>
          </w:p>
        </w:tc>
        <w:tc>
          <w:tcPr>
            <w:tcW w:w="1680" w:type="dxa"/>
            <w:vAlign w:val="bottom"/>
            <w:gridSpan w:val="2"/>
            <w:shd w:val="clear" w:color="auto" w:fill="CCEEFF"/>
          </w:tcPr>
          <w:p>
            <w:pPr>
              <w:jc w:val="right"/>
              <w:ind w:right="734"/>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0.81</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Weighted average number of common shares—</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22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Basic</w:t>
            </w: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37.805</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37.805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tcPr>
          <w:p>
            <w:pPr>
              <w:ind w:left="280"/>
              <w:spacing w:after="0"/>
              <w:rPr>
                <w:sz w:val="20"/>
                <w:szCs w:val="20"/>
                <w:color w:val="auto"/>
              </w:rPr>
            </w:pPr>
            <w:r>
              <w:rPr>
                <w:rFonts w:ascii="Arial" w:cs="Arial" w:eastAsia="Arial" w:hAnsi="Arial"/>
                <w:sz w:val="13"/>
                <w:szCs w:val="13"/>
                <w:color w:val="auto"/>
              </w:rPr>
              <w:t>Diluted</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gridSpan w:val="2"/>
          </w:tcPr>
          <w:p>
            <w:pPr>
              <w:jc w:val="right"/>
              <w:ind w:right="414"/>
              <w:spacing w:after="0"/>
              <w:rPr>
                <w:sz w:val="20"/>
                <w:szCs w:val="20"/>
                <w:color w:val="auto"/>
              </w:rPr>
            </w:pPr>
            <w:r>
              <w:rPr>
                <w:rFonts w:ascii="Arial" w:cs="Arial" w:eastAsia="Arial" w:hAnsi="Arial"/>
                <w:sz w:val="13"/>
                <w:szCs w:val="13"/>
                <w:color w:val="auto"/>
              </w:rPr>
              <w:t>38.442</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38.442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80" w:type="dxa"/>
            <w:vAlign w:val="bottom"/>
            <w:gridSpan w:val="2"/>
          </w:tcPr>
          <w:p>
            <w:pPr>
              <w:jc w:val="right"/>
              <w:ind w:right="774"/>
              <w:spacing w:after="0"/>
              <w:rPr>
                <w:sz w:val="20"/>
                <w:szCs w:val="20"/>
                <w:color w:val="auto"/>
              </w:rPr>
            </w:pPr>
            <w:r>
              <w:rPr>
                <w:rFonts w:ascii="Arial" w:cs="Arial" w:eastAsia="Arial" w:hAnsi="Arial"/>
                <w:sz w:val="13"/>
                <w:szCs w:val="13"/>
                <w:color w:val="auto"/>
              </w:rPr>
              <w:t>51</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9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660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434"/>
              <w:spacing w:after="0"/>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Pro Forma</w:t>
            </w: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4"/>
              <w:spacing w:after="0" w:line="121" w:lineRule="exact"/>
              <w:rPr>
                <w:sz w:val="20"/>
                <w:szCs w:val="20"/>
                <w:color w:val="auto"/>
              </w:rPr>
            </w:pPr>
            <w:r>
              <w:rPr>
                <w:rFonts w:ascii="Arial" w:cs="Arial" w:eastAsia="Arial" w:hAnsi="Arial"/>
                <w:sz w:val="13"/>
                <w:szCs w:val="13"/>
                <w:b w:val="1"/>
                <w:bCs w:val="1"/>
                <w:color w:val="auto"/>
                <w:w w:val="98"/>
              </w:rPr>
              <w:t>As of</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4"/>
              <w:spacing w:after="0" w:line="121"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34"/>
              <w:spacing w:after="0" w:line="148" w:lineRule="exact"/>
              <w:rPr>
                <w:sz w:val="20"/>
                <w:szCs w:val="20"/>
                <w:color w:val="auto"/>
              </w:rPr>
            </w:pPr>
            <w:r>
              <w:rPr>
                <w:rFonts w:ascii="Arial" w:cs="Arial" w:eastAsia="Arial" w:hAnsi="Arial"/>
                <w:sz w:val="13"/>
                <w:szCs w:val="13"/>
                <w:b w:val="1"/>
                <w:bCs w:val="1"/>
                <w:color w:val="auto"/>
                <w:w w:val="99"/>
              </w:rPr>
              <w:t>March 31,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March 31,</w:t>
            </w: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6"/>
              </w:rPr>
              <w:t>2010</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Adjustments</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640"/>
              <w:spacing w:after="0"/>
              <w:rPr>
                <w:sz w:val="20"/>
                <w:szCs w:val="20"/>
                <w:color w:val="auto"/>
              </w:rPr>
            </w:pPr>
            <w:r>
              <w:rPr>
                <w:rFonts w:ascii="Arial" w:cs="Arial" w:eastAsia="Arial" w:hAnsi="Arial"/>
                <w:sz w:val="13"/>
                <w:szCs w:val="13"/>
                <w:b w:val="1"/>
                <w:bCs w:val="1"/>
                <w:color w:val="auto"/>
                <w:w w:val="75"/>
              </w:rPr>
              <w:t>(In</w:t>
            </w: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millions, except common</w:t>
            </w:r>
          </w:p>
        </w:tc>
        <w:tc>
          <w:tcPr>
            <w:tcW w:w="500" w:type="dxa"/>
            <w:vAlign w:val="bottom"/>
          </w:tcPr>
          <w:p>
            <w:pPr>
              <w:jc w:val="right"/>
              <w:ind w:right="34"/>
              <w:spacing w:after="0"/>
              <w:rPr>
                <w:sz w:val="20"/>
                <w:szCs w:val="20"/>
                <w:color w:val="auto"/>
              </w:rPr>
            </w:pPr>
            <w:r>
              <w:rPr>
                <w:rFonts w:ascii="Arial" w:cs="Arial" w:eastAsia="Arial" w:hAnsi="Arial"/>
                <w:sz w:val="13"/>
                <w:szCs w:val="13"/>
                <w:b w:val="1"/>
                <w:bCs w:val="1"/>
                <w:color w:val="auto"/>
              </w:rPr>
              <w:t>share</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data)</w:t>
            </w:r>
          </w:p>
        </w:tc>
        <w:tc>
          <w:tcPr>
            <w:tcW w:w="10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Condensed Pro Forma Balance Sheet: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Current assets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82.7</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560" w:type="dxa"/>
            <w:vAlign w:val="bottom"/>
            <w:gridSpan w:val="2"/>
          </w:tcPr>
          <w:p>
            <w:pPr>
              <w:jc w:val="right"/>
              <w:ind w:right="274"/>
              <w:spacing w:after="0" w:line="148" w:lineRule="exact"/>
              <w:rPr>
                <w:sz w:val="20"/>
                <w:szCs w:val="20"/>
                <w:color w:val="auto"/>
              </w:rPr>
            </w:pPr>
            <w:r>
              <w:rPr>
                <w:rFonts w:ascii="Arial" w:cs="Arial" w:eastAsia="Arial" w:hAnsi="Arial"/>
                <w:sz w:val="13"/>
                <w:szCs w:val="13"/>
                <w:color w:val="auto"/>
              </w:rPr>
              <w:t>46.1(4)</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128.8</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Accounts receivables,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104.5</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104.5</w:t>
            </w: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Inventories, net</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58.2</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58.2</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Total current assets</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270.7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316.9</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154.7</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154.7</w:t>
            </w: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43.5</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43.5</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non-current assets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23.1</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31.1</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Total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492.0</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546.2</w:t>
            </w:r>
          </w:p>
        </w:tc>
      </w:tr>
      <w:tr>
        <w:trPr>
          <w:trHeight w:val="152"/>
        </w:trPr>
        <w:tc>
          <w:tcPr>
            <w:tcW w:w="680" w:type="dxa"/>
            <w:vAlign w:val="bottom"/>
          </w:tcPr>
          <w:p>
            <w:pPr>
              <w:spacing w:after="0"/>
              <w:rPr>
                <w:sz w:val="13"/>
                <w:szCs w:val="13"/>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Liabilities and Stockholders’ Equity</w:t>
            </w: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77.9</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77.9</w:t>
            </w: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Other accounts payable</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7.6</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0.6</w:t>
            </w:r>
          </w:p>
        </w:tc>
        <w:tc>
          <w:tcPr>
            <w:tcW w:w="140" w:type="dxa"/>
            <w:vAlign w:val="bottom"/>
          </w:tcPr>
          <w:p>
            <w:pPr>
              <w:spacing w:after="0"/>
              <w:rPr>
                <w:sz w:val="12"/>
                <w:szCs w:val="12"/>
                <w:color w:val="auto"/>
              </w:rPr>
            </w:pPr>
          </w:p>
        </w:tc>
        <w:tc>
          <w:tcPr>
            <w:tcW w:w="1560" w:type="dxa"/>
            <w:vAlign w:val="bottom"/>
            <w:gridSpan w:val="2"/>
          </w:tcPr>
          <w:p>
            <w:pPr>
              <w:jc w:val="right"/>
              <w:ind w:right="234"/>
              <w:spacing w:after="0" w:line="148" w:lineRule="exact"/>
              <w:rPr>
                <w:sz w:val="20"/>
                <w:szCs w:val="20"/>
                <w:color w:val="auto"/>
              </w:rPr>
            </w:pPr>
            <w:r>
              <w:rPr>
                <w:rFonts w:ascii="Arial" w:cs="Arial" w:eastAsia="Arial" w:hAnsi="Arial"/>
                <w:sz w:val="13"/>
                <w:szCs w:val="13"/>
                <w:color w:val="auto"/>
              </w:rPr>
              <w:t>(0.6)(6)</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current liabilities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4.6</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115.9</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115.2</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Long-term borrowings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61.0</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(61.0)(6)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274"/>
              <w:spacing w:after="0" w:line="148" w:lineRule="exact"/>
              <w:rPr>
                <w:sz w:val="20"/>
                <w:szCs w:val="20"/>
                <w:color w:val="auto"/>
              </w:rPr>
            </w:pPr>
            <w:r>
              <w:rPr>
                <w:rFonts w:ascii="Arial" w:cs="Arial" w:eastAsia="Arial" w:hAnsi="Arial"/>
                <w:sz w:val="13"/>
                <w:szCs w:val="13"/>
                <w:color w:val="auto"/>
              </w:rPr>
              <w:t>246.7(6)</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246.7</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Accrued severance benefits,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76.8</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76.8</w:t>
            </w: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Other non-current liabilities</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6.9</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Total liabilities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260.6</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445.7</w:t>
            </w: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7" w:lineRule="exact"/>
              <w:rPr>
                <w:sz w:val="20"/>
                <w:szCs w:val="20"/>
                <w:color w:val="auto"/>
              </w:rPr>
            </w:pPr>
            <w:r>
              <w:rPr>
                <w:rFonts w:ascii="Arial" w:cs="Arial" w:eastAsia="Arial" w:hAnsi="Arial"/>
                <w:sz w:val="13"/>
                <w:szCs w:val="13"/>
                <w:color w:val="auto"/>
              </w:rPr>
              <w:t>Common stock; 150,000,000 shares authorized, 38,404,294 shares issued and outstanding at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March 31, 2010.</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0.4</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0.4</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224.3</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(130.7)(6)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93.6</w:t>
            </w: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29.1</w:t>
            </w:r>
          </w:p>
        </w:tc>
        <w:tc>
          <w:tcPr>
            <w:tcW w:w="140" w:type="dxa"/>
            <w:vAlign w:val="bottom"/>
          </w:tcPr>
          <w:p>
            <w:pPr>
              <w:spacing w:after="0"/>
              <w:rPr>
                <w:sz w:val="12"/>
                <w:szCs w:val="12"/>
                <w:color w:val="auto"/>
              </w:rPr>
            </w:pPr>
          </w:p>
        </w:tc>
        <w:tc>
          <w:tcPr>
            <w:tcW w:w="1560" w:type="dxa"/>
            <w:vAlign w:val="bottom"/>
            <w:gridSpan w:val="2"/>
          </w:tcPr>
          <w:p>
            <w:pPr>
              <w:jc w:val="right"/>
              <w:ind w:right="234"/>
              <w:spacing w:after="0" w:line="148" w:lineRule="exact"/>
              <w:rPr>
                <w:sz w:val="20"/>
                <w:szCs w:val="20"/>
                <w:color w:val="auto"/>
              </w:rPr>
            </w:pPr>
            <w:r>
              <w:rPr>
                <w:rFonts w:ascii="Arial" w:cs="Arial" w:eastAsia="Arial" w:hAnsi="Arial"/>
                <w:sz w:val="13"/>
                <w:szCs w:val="13"/>
                <w:color w:val="auto"/>
              </w:rPr>
              <w:t>(0.2)(5)</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28.9</w:t>
            </w: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Accumulated other comprehensive (loss)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(22.4)</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(22.4)</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spacing w:after="0" w:line="148" w:lineRule="exact"/>
              <w:rPr>
                <w:sz w:val="20"/>
                <w:szCs w:val="20"/>
                <w:color w:val="auto"/>
              </w:rPr>
            </w:pPr>
            <w:r>
              <w:rPr>
                <w:rFonts w:ascii="Arial" w:cs="Arial" w:eastAsia="Arial" w:hAnsi="Arial"/>
                <w:sz w:val="13"/>
                <w:szCs w:val="13"/>
                <w:color w:val="auto"/>
              </w:rPr>
              <w:t>Total stockholders’ equity</w:t>
            </w:r>
          </w:p>
        </w:tc>
        <w:tc>
          <w:tcPr>
            <w:tcW w:w="100" w:type="dxa"/>
            <w:vAlign w:val="bottom"/>
          </w:tcPr>
          <w:p>
            <w:pPr>
              <w:spacing w:after="0"/>
              <w:rPr>
                <w:sz w:val="12"/>
                <w:szCs w:val="12"/>
                <w:color w:val="auto"/>
              </w:rPr>
            </w:pPr>
          </w:p>
        </w:tc>
        <w:tc>
          <w:tcPr>
            <w:tcW w:w="118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231.4</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100.5</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492.0</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546.2</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as of March 31, 2010 and for the Three Months Ended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71755</wp:posOffset>
            </wp:positionV>
            <wp:extent cx="82359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51" w:lineRule="exact"/>
        <w:rPr>
          <w:sz w:val="20"/>
          <w:szCs w:val="20"/>
          <w:color w:val="auto"/>
        </w:rPr>
      </w:pPr>
    </w:p>
    <w:p>
      <w:pPr>
        <w:ind w:left="1000" w:right="240" w:hanging="267"/>
        <w:spacing w:after="0" w:line="248"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eliminate the $0.9 million one-time impact on cost of sales associated with the step up of our inventory resulting from implementation of fresh-start accounting in 2009 which was charged to cost of sales in the historical statement of operations for the three months ended March 31, 2010.</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000" w:right="20"/>
        <w:spacing w:after="0" w:line="236" w:lineRule="auto"/>
        <w:rPr>
          <w:sz w:val="20"/>
          <w:szCs w:val="20"/>
          <w:color w:val="auto"/>
        </w:rPr>
      </w:pPr>
      <w:r>
        <w:rPr>
          <w:rFonts w:ascii="Arial" w:cs="Arial" w:eastAsia="Arial" w:hAnsi="Arial"/>
          <w:sz w:val="13"/>
          <w:szCs w:val="13"/>
          <w:color w:val="auto"/>
        </w:rPr>
        <w:t>The pro forma financial statements assume the transaction occurred as of January 1, 2009 and as such this amount is being eliminated from the historical statement of operations in presenting the unaudited pro forma statement of operations, as for pro forma purposes, this charge would not have occurred in the three months ended March 31, 2010.</w:t>
      </w:r>
    </w:p>
    <w:p>
      <w:pPr>
        <w:spacing w:after="0" w:line="1" w:lineRule="exact"/>
        <w:rPr>
          <w:sz w:val="20"/>
          <w:szCs w:val="20"/>
          <w:color w:val="auto"/>
        </w:rPr>
      </w:pPr>
    </w:p>
    <w:p>
      <w:pPr>
        <w:ind w:left="1000" w:hanging="267"/>
        <w:spacing w:after="0" w:line="236"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eliminate interest expense of $2.0 million which was incurred on our $61.6 million aggregate principal amount new term loan which was recognized in the three months ended March 31, 2010. In addition, the pro forma adjustment assumes the 10.500% senior notes in the aggregate principal amount of $250.0 million, issued on April 9, 2010, were outstanding as of January 1, 2009. The resulting additional interest expense from our 10.500% senior notes would have been $6.8 million using the effective interest rate method.</w:t>
      </w:r>
    </w:p>
    <w:p>
      <w:pPr>
        <w:spacing w:after="0" w:line="1" w:lineRule="exact"/>
        <w:rPr>
          <w:rFonts w:ascii="Arial" w:cs="Arial" w:eastAsia="Arial" w:hAnsi="Arial"/>
          <w:sz w:val="13"/>
          <w:szCs w:val="13"/>
          <w:color w:val="auto"/>
        </w:rPr>
      </w:pPr>
    </w:p>
    <w:p>
      <w:pPr>
        <w:ind w:left="1000" w:right="80" w:hanging="267"/>
        <w:spacing w:after="0" w:line="236"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issuance of $250 million aggregate principal amount of senior notes and the application of the net proceeds should not have an impact on income tax expense for the three months ended March 31, 2010. The pro forma adjustment resulting in an increase in interest expense, net is primarily related to our foreign subsidiaries that have sufficient amounts of operating loss carry forwards and, accordingly, such pro forma adjustment will have no income tax impact.</w:t>
      </w:r>
    </w:p>
    <w:p>
      <w:pPr>
        <w:spacing w:after="0" w:line="1" w:lineRule="exact"/>
        <w:rPr>
          <w:rFonts w:ascii="Arial" w:cs="Arial" w:eastAsia="Arial" w:hAnsi="Arial"/>
          <w:sz w:val="13"/>
          <w:szCs w:val="13"/>
          <w:color w:val="auto"/>
        </w:rPr>
      </w:pPr>
    </w:p>
    <w:p>
      <w:pPr>
        <w:ind w:left="1000" w:right="60"/>
        <w:spacing w:after="0" w:line="236" w:lineRule="auto"/>
        <w:rPr>
          <w:rFonts w:ascii="Arial" w:cs="Arial" w:eastAsia="Arial" w:hAnsi="Arial"/>
          <w:sz w:val="13"/>
          <w:szCs w:val="13"/>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 MagnaChip Semiconductor Corporation is expected to have minimal net taxable income or loss for the three months ended March 31, 2010 and in subsequent periods and therefore any tax consequences would be immaterial. Consequently, even if the corporate conversion had occurred as of January 1, 2009, we would expect that any tax consequences would have been immaterial.</w:t>
      </w:r>
    </w:p>
    <w:p>
      <w:pPr>
        <w:spacing w:after="0" w:line="2" w:lineRule="exact"/>
        <w:rPr>
          <w:rFonts w:ascii="Arial" w:cs="Arial" w:eastAsia="Arial" w:hAnsi="Arial"/>
          <w:sz w:val="13"/>
          <w:szCs w:val="13"/>
          <w:color w:val="auto"/>
        </w:rPr>
      </w:pPr>
    </w:p>
    <w:p>
      <w:pPr>
        <w:ind w:left="1000" w:right="60" w:hanging="267"/>
        <w:spacing w:after="0" w:line="236"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a $46.1 million increase in cash and cash equivalents which represents the portion of the net proceeds from the issuance of $250 million aggregate principal amount of senior notes that was applied to fund working capital and for general corporate purposes.</w:t>
      </w:r>
    </w:p>
    <w:p>
      <w:pPr>
        <w:ind w:left="1000" w:right="180" w:hanging="267"/>
        <w:spacing w:after="0" w:line="236"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$8.3 million of debt issuance costs in connection with the offering of $250 million aggregate principal amount of senior notes and $0.2 million elimination of existing debt issuance costs regarding the repayment of our new term loan.</w:t>
      </w:r>
    </w:p>
    <w:p>
      <w:pPr>
        <w:ind w:left="1000" w:hanging="267"/>
        <w:spacing w:after="0" w:line="242"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the issuance of $250.0 million aggregate principal amount of senior notes with $3.3 million of original issue discount and application of $130.7 million of net proceeds to make a distribution to unitholders and resulting decrease in additional paid in capital and application of $61.6 million of net proceeds to repay our new term loan of $61.6 million of which $0.6 million was classified as short-term as of March 31, 2010.</w:t>
      </w:r>
    </w:p>
    <w:p>
      <w:pPr>
        <w:spacing w:after="0" w:line="3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418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Historical</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Pro Forma</w:t>
            </w:r>
          </w:p>
        </w:tc>
      </w:tr>
      <w:tr>
        <w:trPr>
          <w:trHeight w:val="137"/>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0" w:type="dxa"/>
            <w:vAlign w:val="bottom"/>
            <w:gridSpan w:val="5"/>
          </w:tcPr>
          <w:p>
            <w:pPr>
              <w:jc w:val="center"/>
              <w:ind w:right="234"/>
              <w:spacing w:after="0" w:line="138" w:lineRule="exact"/>
              <w:rPr>
                <w:sz w:val="20"/>
                <w:szCs w:val="20"/>
                <w:color w:val="auto"/>
              </w:rPr>
            </w:pPr>
            <w:r>
              <w:rPr>
                <w:rFonts w:ascii="Arial" w:cs="Arial" w:eastAsia="Arial" w:hAnsi="Arial"/>
                <w:sz w:val="13"/>
                <w:szCs w:val="13"/>
                <w:b w:val="1"/>
                <w:bCs w:val="1"/>
                <w:color w:val="auto"/>
              </w:rPr>
              <w:t>Successor</w:t>
            </w:r>
          </w:p>
        </w:tc>
        <w:tc>
          <w:tcPr>
            <w:tcW w:w="110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w w:val="99"/>
              </w:rPr>
              <w:t>Predecessor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50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200"/>
              <w:spacing w:after="0" w:line="121" w:lineRule="exact"/>
              <w:rPr>
                <w:sz w:val="20"/>
                <w:szCs w:val="20"/>
                <w:color w:val="auto"/>
              </w:rPr>
            </w:pPr>
            <w:r>
              <w:rPr>
                <w:rFonts w:ascii="Arial" w:cs="Arial" w:eastAsia="Arial" w:hAnsi="Arial"/>
                <w:sz w:val="13"/>
                <w:szCs w:val="13"/>
                <w:b w:val="1"/>
                <w:bCs w:val="1"/>
                <w:color w:val="auto"/>
                <w:w w:val="99"/>
              </w:rPr>
              <w:t>Ten-Month</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0" w:type="dxa"/>
            <w:vAlign w:val="bottom"/>
            <w:gridSpan w:val="5"/>
          </w:tcPr>
          <w:p>
            <w:pPr>
              <w:jc w:val="center"/>
              <w:ind w:right="234"/>
              <w:spacing w:after="0" w:line="148" w:lineRule="exact"/>
              <w:rPr>
                <w:sz w:val="20"/>
                <w:szCs w:val="20"/>
                <w:color w:val="auto"/>
              </w:rPr>
            </w:pPr>
            <w:r>
              <w:rPr>
                <w:rFonts w:ascii="Arial" w:cs="Arial" w:eastAsia="Arial" w:hAnsi="Arial"/>
                <w:sz w:val="13"/>
                <w:szCs w:val="13"/>
                <w:b w:val="1"/>
                <w:bCs w:val="1"/>
                <w:color w:val="auto"/>
              </w:rPr>
              <w:t>Period</w:t>
            </w:r>
          </w:p>
        </w:tc>
        <w:tc>
          <w:tcPr>
            <w:tcW w:w="110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98"/>
              </w:rPr>
              <w:t>Period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4"/>
          </w:tcPr>
          <w:p>
            <w:pPr>
              <w:jc w:val="center"/>
              <w:ind w:right="794"/>
              <w:spacing w:after="0" w:line="148" w:lineRule="exact"/>
              <w:rPr>
                <w:sz w:val="20"/>
                <w:szCs w:val="20"/>
                <w:color w:val="auto"/>
              </w:rPr>
            </w:pPr>
            <w:r>
              <w:rPr>
                <w:rFonts w:ascii="Arial" w:cs="Arial" w:eastAsia="Arial" w:hAnsi="Arial"/>
                <w:sz w:val="13"/>
                <w:szCs w:val="13"/>
                <w:b w:val="1"/>
                <w:bCs w:val="1"/>
                <w:color w:val="auto"/>
              </w:rPr>
              <w:t>Ended</w:t>
            </w:r>
          </w:p>
        </w:tc>
        <w:tc>
          <w:tcPr>
            <w:tcW w:w="240" w:type="dxa"/>
            <w:vAlign w:val="bottom"/>
          </w:tcPr>
          <w:p>
            <w:pPr>
              <w:spacing w:after="0"/>
              <w:rPr>
                <w:sz w:val="12"/>
                <w:szCs w:val="12"/>
                <w:color w:val="auto"/>
              </w:rPr>
            </w:pPr>
          </w:p>
        </w:tc>
        <w:tc>
          <w:tcPr>
            <w:tcW w:w="860" w:type="dxa"/>
            <w:vAlign w:val="bottom"/>
            <w:gridSpan w:val="2"/>
          </w:tcPr>
          <w:p>
            <w:pPr>
              <w:jc w:val="center"/>
              <w:ind w:right="460"/>
              <w:spacing w:after="0" w:line="148" w:lineRule="exact"/>
              <w:rPr>
                <w:sz w:val="20"/>
                <w:szCs w:val="20"/>
                <w:color w:val="auto"/>
              </w:rPr>
            </w:pPr>
            <w:r>
              <w:rPr>
                <w:rFonts w:ascii="Arial" w:cs="Arial" w:eastAsia="Arial" w:hAnsi="Arial"/>
                <w:sz w:val="13"/>
                <w:szCs w:val="13"/>
                <w:b w:val="1"/>
                <w:bCs w:val="1"/>
                <w:color w:val="auto"/>
              </w:rPr>
              <w:t>Ended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0" w:type="dxa"/>
            <w:vAlign w:val="bottom"/>
            <w:gridSpan w:val="5"/>
          </w:tcPr>
          <w:p>
            <w:pPr>
              <w:jc w:val="center"/>
              <w:ind w:right="234"/>
              <w:spacing w:after="0" w:line="148"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October 25,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Adjustments</w:t>
            </w:r>
          </w:p>
        </w:tc>
        <w:tc>
          <w:tcPr>
            <w:tcW w:w="4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40" w:type="dxa"/>
            <w:vAlign w:val="bottom"/>
            <w:tcBorders>
              <w:bottom w:val="single" w:sz="8" w:color="auto"/>
            </w:tcBorders>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millions, except</w:t>
            </w:r>
          </w:p>
        </w:tc>
        <w:tc>
          <w:tcPr>
            <w:tcW w:w="80" w:type="dxa"/>
            <w:vAlign w:val="bottom"/>
          </w:tcPr>
          <w:p>
            <w:pPr>
              <w:spacing w:after="0"/>
              <w:rPr>
                <w:sz w:val="14"/>
                <w:szCs w:val="14"/>
                <w:color w:val="auto"/>
              </w:rPr>
            </w:pPr>
          </w:p>
        </w:tc>
        <w:tc>
          <w:tcPr>
            <w:tcW w:w="2000" w:type="dxa"/>
            <w:vAlign w:val="bottom"/>
            <w:gridSpan w:val="5"/>
          </w:tcPr>
          <w:p>
            <w:pPr>
              <w:spacing w:after="0"/>
              <w:rPr>
                <w:sz w:val="20"/>
                <w:szCs w:val="20"/>
                <w:color w:val="auto"/>
              </w:rPr>
            </w:pPr>
            <w:r>
              <w:rPr>
                <w:rFonts w:ascii="Arial" w:cs="Arial" w:eastAsia="Arial" w:hAnsi="Arial"/>
                <w:sz w:val="13"/>
                <w:szCs w:val="13"/>
                <w:b w:val="1"/>
                <w:bCs w:val="1"/>
                <w:color w:val="auto"/>
              </w:rPr>
              <w:t>per common unit/share data)</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Condensed Pro Forma Statement of Operations:</w:t>
            </w: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3"/>
                <w:szCs w:val="13"/>
                <w:color w:val="auto"/>
              </w:rPr>
              <w:t>Net sales</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rPr>
              <w:t>111.1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449.0</w:t>
            </w:r>
          </w:p>
        </w:tc>
        <w:tc>
          <w:tcPr>
            <w:tcW w:w="680" w:type="dxa"/>
            <w:vAlign w:val="bottom"/>
            <w:gridSpan w:val="3"/>
          </w:tcPr>
          <w:p>
            <w:pPr>
              <w:ind w:left="480"/>
              <w:spacing w:after="0" w:line="148" w:lineRule="exact"/>
              <w:rPr>
                <w:sz w:val="20"/>
                <w:szCs w:val="20"/>
                <w:color w:val="auto"/>
              </w:rPr>
            </w:pPr>
            <w:r>
              <w:rPr>
                <w:rFonts w:ascii="Arial" w:cs="Arial" w:eastAsia="Arial" w:hAnsi="Arial"/>
                <w:sz w:val="13"/>
                <w:szCs w:val="13"/>
                <w:color w:val="auto"/>
              </w:rPr>
              <w:t>$</w:t>
            </w:r>
          </w:p>
        </w:tc>
        <w:tc>
          <w:tcPr>
            <w:tcW w:w="1400" w:type="dxa"/>
            <w:vAlign w:val="bottom"/>
            <w:gridSpan w:val="3"/>
          </w:tcPr>
          <w:p>
            <w:pPr>
              <w:jc w:val="right"/>
              <w:ind w:right="90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560.1</w:t>
            </w: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90.4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311.1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(5.4)(1)</w:t>
            </w: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(17.2)(2)</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378.9</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137.8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181.2</w:t>
            </w:r>
          </w:p>
        </w:tc>
      </w:tr>
      <w:tr>
        <w:trPr>
          <w:trHeight w:val="147"/>
        </w:trPr>
        <w:tc>
          <w:tcPr>
            <w:tcW w:w="68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540" w:type="dxa"/>
            <w:vAlign w:val="bottom"/>
          </w:tcPr>
          <w:p>
            <w:pPr>
              <w:spacing w:after="0"/>
              <w:rPr>
                <w:sz w:val="12"/>
                <w:szCs w:val="12"/>
                <w:color w:val="auto"/>
              </w:rPr>
            </w:pPr>
          </w:p>
        </w:tc>
        <w:tc>
          <w:tcPr>
            <w:tcW w:w="96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rPr>
              <w:t>14.5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56.3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0.8(1)</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71.6</w:t>
            </w: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56.1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6.4(1)</w:t>
            </w: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77.3</w:t>
            </w:r>
          </w:p>
        </w:tc>
      </w:tr>
      <w:tr>
        <w:trPr>
          <w:trHeight w:val="147"/>
        </w:trPr>
        <w:tc>
          <w:tcPr>
            <w:tcW w:w="68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540" w:type="dxa"/>
            <w:vAlign w:val="bottom"/>
          </w:tcPr>
          <w:p>
            <w:pPr>
              <w:spacing w:after="0"/>
              <w:rPr>
                <w:sz w:val="12"/>
                <w:szCs w:val="12"/>
                <w:color w:val="auto"/>
              </w:rPr>
            </w:pPr>
          </w:p>
        </w:tc>
        <w:tc>
          <w:tcPr>
            <w:tcW w:w="1260" w:type="dxa"/>
            <w:vAlign w:val="bottom"/>
            <w:gridSpan w:val="4"/>
          </w:tcPr>
          <w:p>
            <w:pPr>
              <w:jc w:val="right"/>
              <w:ind w:right="774"/>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0.4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90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0.4</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31.9</w:t>
            </w:r>
          </w:p>
        </w:tc>
      </w:tr>
      <w:tr>
        <w:trPr>
          <w:trHeight w:val="147"/>
        </w:trPr>
        <w:tc>
          <w:tcPr>
            <w:tcW w:w="68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3"/>
                <w:szCs w:val="13"/>
                <w:color w:val="auto"/>
              </w:rPr>
              <w:t>Interest expense, net</w:t>
            </w:r>
          </w:p>
        </w:tc>
        <w:tc>
          <w:tcPr>
            <w:tcW w:w="540" w:type="dxa"/>
            <w:vAlign w:val="bottom"/>
          </w:tcPr>
          <w:p>
            <w:pPr>
              <w:spacing w:after="0"/>
              <w:rPr>
                <w:sz w:val="12"/>
                <w:szCs w:val="12"/>
                <w:color w:val="auto"/>
              </w:rPr>
            </w:pPr>
          </w:p>
        </w:tc>
        <w:tc>
          <w:tcPr>
            <w:tcW w:w="9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(31.2)</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3.6(3)</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(28.8)</w:t>
            </w: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Foreign currency gain, net</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43.4</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900"/>
              <w:spacing w:after="0" w:line="148"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52.8</w:t>
            </w:r>
          </w:p>
        </w:tc>
      </w:tr>
      <w:tr>
        <w:trPr>
          <w:trHeight w:val="147"/>
        </w:trPr>
        <w:tc>
          <w:tcPr>
            <w:tcW w:w="68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3"/>
                <w:szCs w:val="13"/>
                <w:color w:val="auto"/>
              </w:rPr>
              <w:t>Reorganization items, net</w:t>
            </w:r>
          </w:p>
        </w:tc>
        <w:tc>
          <w:tcPr>
            <w:tcW w:w="540" w:type="dxa"/>
            <w:vAlign w:val="bottom"/>
          </w:tcPr>
          <w:p>
            <w:pPr>
              <w:spacing w:after="0"/>
              <w:rPr>
                <w:sz w:val="12"/>
                <w:szCs w:val="12"/>
                <w:color w:val="auto"/>
              </w:rPr>
            </w:pPr>
          </w:p>
        </w:tc>
        <w:tc>
          <w:tcPr>
            <w:tcW w:w="1260" w:type="dxa"/>
            <w:vAlign w:val="bottom"/>
            <w:gridSpan w:val="4"/>
          </w:tcPr>
          <w:p>
            <w:pPr>
              <w:jc w:val="right"/>
              <w:ind w:right="774"/>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804.6</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(804.6)(4)</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816.8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24.0</w:t>
            </w:r>
          </w:p>
        </w:tc>
      </w:tr>
      <w:tr>
        <w:trPr>
          <w:trHeight w:val="146"/>
        </w:trPr>
        <w:tc>
          <w:tcPr>
            <w:tcW w:w="680" w:type="dxa"/>
            <w:vAlign w:val="bottom"/>
          </w:tcPr>
          <w:p>
            <w:pPr>
              <w:spacing w:after="0"/>
              <w:rPr>
                <w:sz w:val="12"/>
                <w:szCs w:val="12"/>
                <w:color w:val="auto"/>
              </w:rPr>
            </w:pPr>
          </w:p>
        </w:tc>
        <w:tc>
          <w:tcPr>
            <w:tcW w:w="3500" w:type="dxa"/>
            <w:vAlign w:val="bottom"/>
            <w:gridSpan w:val="2"/>
          </w:tcPr>
          <w:p>
            <w:pPr>
              <w:spacing w:after="0" w:line="147" w:lineRule="exact"/>
              <w:rPr>
                <w:sz w:val="20"/>
                <w:szCs w:val="20"/>
                <w:color w:val="auto"/>
              </w:rPr>
            </w:pPr>
            <w:r>
              <w:rPr>
                <w:rFonts w:ascii="Arial" w:cs="Arial" w:eastAsia="Arial" w:hAnsi="Arial"/>
                <w:sz w:val="13"/>
                <w:szCs w:val="13"/>
                <w:color w:val="auto"/>
              </w:rPr>
              <w:t>Income (loss) from continuing operations before income</w:t>
            </w:r>
          </w:p>
        </w:tc>
        <w:tc>
          <w:tcPr>
            <w:tcW w:w="5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5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taxes</w:t>
            </w:r>
          </w:p>
        </w:tc>
        <w:tc>
          <w:tcPr>
            <w:tcW w:w="540" w:type="dxa"/>
            <w:vAlign w:val="bottom"/>
          </w:tcPr>
          <w:p>
            <w:pPr>
              <w:spacing w:after="0"/>
              <w:rPr>
                <w:sz w:val="12"/>
                <w:szCs w:val="12"/>
                <w:color w:val="auto"/>
              </w:rPr>
            </w:pPr>
          </w:p>
        </w:tc>
        <w:tc>
          <w:tcPr>
            <w:tcW w:w="9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841.8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90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55.9</w:t>
            </w: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tax expenses</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ind w:left="380"/>
              <w:spacing w:after="0" w:line="148" w:lineRule="exact"/>
              <w:rPr>
                <w:sz w:val="20"/>
                <w:szCs w:val="20"/>
                <w:color w:val="auto"/>
              </w:rPr>
            </w:pPr>
            <w:r>
              <w:rPr>
                <w:rFonts w:ascii="Arial" w:cs="Arial" w:eastAsia="Arial" w:hAnsi="Arial"/>
                <w:sz w:val="13"/>
                <w:szCs w:val="13"/>
                <w:color w:val="auto"/>
              </w:rPr>
              <w:t>—(5)</w:t>
            </w: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9.2</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834.5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46.6</w:t>
            </w:r>
          </w:p>
        </w:tc>
      </w:tr>
      <w:tr>
        <w:trPr>
          <w:trHeight w:val="34"/>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152"/>
        </w:trPr>
        <w:tc>
          <w:tcPr>
            <w:tcW w:w="680" w:type="dxa"/>
            <w:vAlign w:val="bottom"/>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Dividends accrued on preferred unit</w:t>
            </w:r>
          </w:p>
        </w:tc>
        <w:tc>
          <w:tcPr>
            <w:tcW w:w="54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ind w:right="77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(6.3)(6)</w:t>
            </w:r>
          </w:p>
        </w:tc>
        <w:tc>
          <w:tcPr>
            <w:tcW w:w="4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r>
      <w:tr>
        <w:trPr>
          <w:trHeight w:val="146"/>
        </w:trPr>
        <w:tc>
          <w:tcPr>
            <w:tcW w:w="680" w:type="dxa"/>
            <w:vAlign w:val="bottom"/>
          </w:tcPr>
          <w:p>
            <w:pPr>
              <w:spacing w:after="0"/>
              <w:rPr>
                <w:sz w:val="12"/>
                <w:szCs w:val="12"/>
                <w:color w:val="auto"/>
              </w:rPr>
            </w:pPr>
          </w:p>
        </w:tc>
        <w:tc>
          <w:tcPr>
            <w:tcW w:w="3500" w:type="dxa"/>
            <w:vAlign w:val="bottom"/>
            <w:gridSpan w:val="2"/>
          </w:tcPr>
          <w:p>
            <w:pPr>
              <w:spacing w:after="0" w:line="147" w:lineRule="exact"/>
              <w:rPr>
                <w:sz w:val="20"/>
                <w:szCs w:val="20"/>
                <w:color w:val="auto"/>
              </w:rPr>
            </w:pPr>
            <w:r>
              <w:rPr>
                <w:rFonts w:ascii="Arial" w:cs="Arial" w:eastAsia="Arial" w:hAnsi="Arial"/>
                <w:sz w:val="13"/>
                <w:szCs w:val="13"/>
                <w:color w:val="auto"/>
              </w:rPr>
              <w:t>Income (loss) from continuing operations attributable to</w:t>
            </w:r>
          </w:p>
        </w:tc>
        <w:tc>
          <w:tcPr>
            <w:tcW w:w="5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r>
      <w:tr>
        <w:trPr>
          <w:trHeight w:val="162"/>
        </w:trPr>
        <w:tc>
          <w:tcPr>
            <w:tcW w:w="680" w:type="dxa"/>
            <w:vAlign w:val="bottom"/>
          </w:tcPr>
          <w:p>
            <w:pPr>
              <w:spacing w:after="0"/>
              <w:rPr>
                <w:sz w:val="14"/>
                <w:szCs w:val="14"/>
                <w:color w:val="auto"/>
              </w:rPr>
            </w:pPr>
          </w:p>
        </w:tc>
        <w:tc>
          <w:tcPr>
            <w:tcW w:w="35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common unit/share</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828.2</w:t>
            </w:r>
          </w:p>
        </w:tc>
        <w:tc>
          <w:tcPr>
            <w:tcW w:w="680" w:type="dxa"/>
            <w:vAlign w:val="bottom"/>
            <w:gridSpan w:val="3"/>
          </w:tcPr>
          <w:p>
            <w:pPr>
              <w:ind w:left="480"/>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46.6</w:t>
            </w:r>
          </w:p>
        </w:tc>
      </w:tr>
      <w:tr>
        <w:trPr>
          <w:trHeight w:val="152"/>
        </w:trPr>
        <w:tc>
          <w:tcPr>
            <w:tcW w:w="680" w:type="dxa"/>
            <w:vAlign w:val="bottom"/>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 common unit / share data:(7)</w:t>
            </w:r>
          </w:p>
        </w:tc>
        <w:tc>
          <w:tcPr>
            <w:tcW w:w="54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350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Earnings (loss) from continuing operations per common</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5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unit / share—Basic and diluted</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(0.07)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15.65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1.24</w:t>
            </w: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Weighted average number of common units/shares</w:t>
            </w: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5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Basic</w:t>
            </w:r>
          </w:p>
        </w:tc>
        <w:tc>
          <w:tcPr>
            <w:tcW w:w="540" w:type="dxa"/>
            <w:vAlign w:val="bottom"/>
          </w:tcPr>
          <w:p>
            <w:pPr>
              <w:spacing w:after="0"/>
              <w:rPr>
                <w:sz w:val="12"/>
                <w:szCs w:val="12"/>
                <w:color w:val="auto"/>
              </w:rPr>
            </w:pPr>
          </w:p>
        </w:tc>
        <w:tc>
          <w:tcPr>
            <w:tcW w:w="96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rPr>
              <w:t>37.608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w w:val="95"/>
              </w:rPr>
              <w:t>52.923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5"/>
              </w:rPr>
              <w:t>37.520</w:t>
            </w:r>
          </w:p>
        </w:tc>
      </w:tr>
      <w:tr>
        <w:trPr>
          <w:trHeight w:val="147"/>
        </w:trPr>
        <w:tc>
          <w:tcPr>
            <w:tcW w:w="680" w:type="dxa"/>
            <w:vAlign w:val="bottom"/>
          </w:tcPr>
          <w:p>
            <w:pPr>
              <w:spacing w:after="0"/>
              <w:rPr>
                <w:sz w:val="12"/>
                <w:szCs w:val="12"/>
                <w:color w:val="auto"/>
              </w:rPr>
            </w:pPr>
          </w:p>
        </w:tc>
        <w:tc>
          <w:tcPr>
            <w:tcW w:w="350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Diluted</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37.608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w w:val="95"/>
              </w:rPr>
              <w:t>52.923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5"/>
              </w:rPr>
              <w:t>37.521</w:t>
            </w:r>
          </w:p>
        </w:tc>
      </w:tr>
    </w:tbl>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for the Twelve Month Period Ended December 31, 2009</w:t>
      </w:r>
    </w:p>
    <w:p>
      <w:pPr>
        <w:spacing w:after="0" w:line="100" w:lineRule="exact"/>
        <w:rPr>
          <w:sz w:val="20"/>
          <w:szCs w:val="20"/>
          <w:color w:val="auto"/>
        </w:rPr>
      </w:pPr>
    </w:p>
    <w:p>
      <w:pPr>
        <w:ind w:left="1380" w:hanging="194"/>
        <w:spacing w:after="0"/>
        <w:tabs>
          <w:tab w:leader="none" w:pos="13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To reflect the net change in historical cost of sales and selling, general and administrative expenses and research and development expenses of the</w:t>
      </w:r>
    </w:p>
    <w:p>
      <w:pPr>
        <w:jc w:val="both"/>
        <w:ind w:left="680" w:right="20"/>
        <w:spacing w:after="0" w:line="242" w:lineRule="auto"/>
        <w:rPr>
          <w:rFonts w:ascii="Arial" w:cs="Arial" w:eastAsia="Arial" w:hAnsi="Arial"/>
          <w:sz w:val="13"/>
          <w:szCs w:val="13"/>
          <w:color w:val="auto"/>
        </w:rPr>
      </w:pPr>
      <w:r>
        <w:rPr>
          <w:rFonts w:ascii="Arial" w:cs="Arial" w:eastAsia="Arial" w:hAnsi="Arial"/>
          <w:sz w:val="13"/>
          <w:szCs w:val="13"/>
          <w:color w:val="auto"/>
        </w:rPr>
        <w:t>predecessor company due to the application of fresh-start accounting as of January 1, 2009 which resulted in a reduction of $13.9 million of tangible assets and an increase of $28.3 million in intangible assets. The corresponding change in depreciation and amortization would have been a decrease in depreciation expense for tangible assets by $7.4 million for the ten-month period ended October 25, 2009 and an increase in amortization expense</w:t>
      </w:r>
    </w:p>
    <w:p>
      <w:pPr>
        <w:spacing w:after="0" w:line="12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for intangible assets by $9.1 million for the same period. The useful lives were determined for each tangible asset, which are depreciated on a straight-line basis and range from two to 35 years with a weighted average useful life of 14 years. Technology and customer relationships are amortized on a straight-line basis over one-half to five years based on expected benefit periods. Patents, trademarks and property use rights are amortized on a straight-line basis over the periods of benefits for four years. The estimated useful life of tangibles and intangibles were determined based on expected benefits and/or economic availability for service periods. The aggregate depreciation and amortization expense was allocated to cost of sales and selling, general and administrative expenses and research and development expenses by ($5.4) million, $0.8 million, and $6.4 million, respectively, in respect of the purpose of property, plant and equipment and intangible assets.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300" w:type="dxa"/>
            <w:vAlign w:val="bottom"/>
          </w:tcPr>
          <w:p>
            <w:pPr>
              <w:ind w:left="500"/>
              <w:spacing w:after="0"/>
              <w:rPr>
                <w:sz w:val="20"/>
                <w:szCs w:val="20"/>
                <w:color w:val="auto"/>
              </w:rPr>
            </w:pPr>
            <w:r>
              <w:rPr>
                <w:rFonts w:ascii="Arial" w:cs="Arial" w:eastAsia="Arial" w:hAnsi="Arial"/>
                <w:sz w:val="13"/>
                <w:szCs w:val="13"/>
                <w:color w:val="auto"/>
              </w:rPr>
              <w:t>The adjustments referred to above are summarized as follows: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7"/>
        </w:trPr>
        <w:tc>
          <w:tcPr>
            <w:tcW w:w="6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Depreciation</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rPr>
              <w:t>Total</w:t>
            </w:r>
          </w:p>
        </w:tc>
      </w:tr>
      <w:tr>
        <w:trPr>
          <w:trHeight w:val="146"/>
        </w:trPr>
        <w:tc>
          <w:tcPr>
            <w:tcW w:w="63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(In millions)</w:t>
            </w:r>
          </w:p>
        </w:tc>
        <w:tc>
          <w:tcPr>
            <w:tcW w:w="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30"/>
        </w:trPr>
        <w:tc>
          <w:tcPr>
            <w:tcW w:w="6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6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000" w:type="dxa"/>
            <w:vAlign w:val="bottom"/>
            <w:shd w:val="clear" w:color="auto" w:fill="CCEEFF"/>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83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w w:val="89"/>
              </w:rPr>
              <w:t>(5.4)</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(5.4)</w:t>
            </w:r>
          </w:p>
        </w:tc>
      </w:tr>
      <w:tr>
        <w:trPr>
          <w:trHeight w:val="147"/>
        </w:trPr>
        <w:tc>
          <w:tcPr>
            <w:tcW w:w="6300" w:type="dxa"/>
            <w:vAlign w:val="bottom"/>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0" w:type="dxa"/>
            <w:vAlign w:val="bottom"/>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1.3</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w w:val="89"/>
              </w:rPr>
              <w:t>(0.5)</w:t>
            </w: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0.8</w:t>
            </w:r>
          </w:p>
        </w:tc>
      </w:tr>
      <w:tr>
        <w:trPr>
          <w:trHeight w:val="147"/>
        </w:trPr>
        <w:tc>
          <w:tcPr>
            <w:tcW w:w="6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w w:val="89"/>
              </w:rPr>
              <w:t>(1.4)</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6.4</w:t>
            </w:r>
          </w:p>
        </w:tc>
      </w:tr>
      <w:tr>
        <w:trPr>
          <w:trHeight w:val="20"/>
        </w:trPr>
        <w:tc>
          <w:tcPr>
            <w:tcW w:w="6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300" w:type="dxa"/>
            <w:vAlign w:val="bottom"/>
          </w:tcPr>
          <w:p>
            <w:pPr>
              <w:spacing w:after="0"/>
              <w:rPr>
                <w:sz w:val="12"/>
                <w:szCs w:val="12"/>
                <w:color w:val="auto"/>
              </w:rPr>
            </w:pPr>
          </w:p>
        </w:tc>
        <w:tc>
          <w:tcPr>
            <w:tcW w:w="1000" w:type="dxa"/>
            <w:vAlign w:val="bottom"/>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380" w:type="dxa"/>
            <w:vAlign w:val="bottom"/>
          </w:tcPr>
          <w:p>
            <w:pPr>
              <w:spacing w:after="0"/>
              <w:rPr>
                <w:sz w:val="12"/>
                <w:szCs w:val="12"/>
                <w:color w:val="auto"/>
              </w:rPr>
            </w:pPr>
          </w:p>
        </w:tc>
        <w:tc>
          <w:tcPr>
            <w:tcW w:w="980" w:type="dxa"/>
            <w:vAlign w:val="bottom"/>
          </w:tcPr>
          <w:p>
            <w:pPr>
              <w:jc w:val="right"/>
              <w:ind w:right="83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w w:val="89"/>
              </w:rPr>
              <w:t>(7.4)</w:t>
            </w: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w:t>
            </w:r>
          </w:p>
        </w:tc>
      </w:tr>
      <w:tr>
        <w:trPr>
          <w:trHeight w:val="29"/>
        </w:trPr>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680" w:right="140" w:firstLine="506"/>
        <w:spacing w:after="0"/>
        <w:tabs>
          <w:tab w:leader="none" w:pos="1373"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eliminate the one-time impact on cost of sales associated with the step up of our inventory of $17.9 million, of which $17.2 million was charged to cost of sales in the historical statement of operations for the two-month period ended December 31, 2009, applying the first in, first out method, or FIFO. This adjustment is considered a material non-recurring charge which is directly attributable to the reorganization proceedings and fresh-start accounting and as such is being eliminated from the historical statement of operations in presenting the unaudited pro forma statement of operations.</w:t>
      </w:r>
    </w:p>
    <w:p>
      <w:pPr>
        <w:spacing w:after="0" w:line="80" w:lineRule="exact"/>
        <w:rPr>
          <w:rFonts w:ascii="Arial" w:cs="Arial" w:eastAsia="Arial" w:hAnsi="Arial"/>
          <w:sz w:val="13"/>
          <w:szCs w:val="13"/>
          <w:color w:val="auto"/>
        </w:rPr>
      </w:pPr>
    </w:p>
    <w:p>
      <w:pPr>
        <w:ind w:left="680" w:firstLine="506"/>
        <w:spacing w:after="0" w:line="239" w:lineRule="auto"/>
        <w:tabs>
          <w:tab w:leader="none" w:pos="1373"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eliminate interest expense of $30.8 million of which $29.6 million was incurred on our indebtedness outstanding prior to our reorganization proceedings which was recognized in the ten-month period ended October 25, 2009 and $1.2 million was incurred on our new term loan which was recognized in the two-month period ended December 31, 2009. The $29.6 million incurred on our indebtedness outstanding prior to our reorganization proceedings was comprised of $21.6 million incurred on notes of $750.0 million and $8.0 million incurred under the senior secured credit facility of $95.0 million which was recognized in the ten-month period ended October 25, 2009. In addition, the pro forma adjustment assumes the 10.500% senior notes in the aggregate principal amount of $250.0 million, issued on April 9, 2010, were outstanding as of January 1, 2009. The resulting additional interest expense from our 10.500% senior notes would have been $27.2 million using the effective interest rate method.</w:t>
      </w:r>
    </w:p>
    <w:p>
      <w:pPr>
        <w:spacing w:after="0" w:line="79" w:lineRule="exact"/>
        <w:rPr>
          <w:rFonts w:ascii="Arial" w:cs="Arial" w:eastAsia="Arial" w:hAnsi="Arial"/>
          <w:sz w:val="13"/>
          <w:szCs w:val="13"/>
          <w:color w:val="auto"/>
        </w:rPr>
      </w:pPr>
    </w:p>
    <w:p>
      <w:pPr>
        <w:ind w:left="680" w:right="100" w:firstLine="506"/>
        <w:spacing w:after="0" w:line="242" w:lineRule="auto"/>
        <w:tabs>
          <w:tab w:leader="none" w:pos="1373"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reflect the elimination of the impact of the reorganization items, net recorded in the predecessor period in accordance with ASC 852 upon emergence from the reorganization proceedings, assumed to have occurred January 1, 2009 for the unaudited pro forma statement of operations. As such no adjustment for reorganization items should be reflected.</w:t>
      </w:r>
    </w:p>
    <w:p>
      <w:pPr>
        <w:spacing w:after="0" w:line="78" w:lineRule="exact"/>
        <w:rPr>
          <w:rFonts w:ascii="Arial" w:cs="Arial" w:eastAsia="Arial" w:hAnsi="Arial"/>
          <w:sz w:val="13"/>
          <w:szCs w:val="13"/>
          <w:color w:val="auto"/>
        </w:rPr>
      </w:pPr>
    </w:p>
    <w:p>
      <w:pPr>
        <w:ind w:left="680" w:right="120" w:firstLine="506"/>
        <w:spacing w:after="0" w:line="239" w:lineRule="auto"/>
        <w:tabs>
          <w:tab w:leader="none" w:pos="1375" w:val="left"/>
        </w:tabs>
        <w:numPr>
          <w:ilvl w:val="0"/>
          <w:numId w:val="53"/>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reorganization proceedings and adoption of fresh-start reporting and the issuance of $250 million aggregate principal amount of senior notes and the application of the net proceeds should not have an impact on income tax expense for 2009. Those pro forma adjustments which would have income tax impacts, such as increase or decrease in depreciation and amortization expenses and decrease in interest expenses, net are primarily related to our foreign subsidiaries that have sufficient amounts of operating loss carry forwards and, accordingly, such pro forma adjustments will have no income tax impact.</w:t>
      </w:r>
    </w:p>
    <w:p>
      <w:pPr>
        <w:spacing w:after="0" w:line="81"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0"/>
        <w:spacing w:after="0" w:line="243" w:lineRule="auto"/>
        <w:rPr>
          <w:sz w:val="20"/>
          <w:szCs w:val="20"/>
          <w:color w:val="auto"/>
        </w:rPr>
      </w:pPr>
      <w:r>
        <w:rPr>
          <w:rFonts w:ascii="Arial" w:cs="Arial" w:eastAsia="Arial" w:hAnsi="Arial"/>
          <w:sz w:val="13"/>
          <w:szCs w:val="13"/>
          <w:color w:val="auto"/>
        </w:rPr>
        <w:t>MagnaChip Semiconductor Corporation is expected to have minimal net taxable income or loss in 2009 and in subsequent years and therefore any tax consequences would be immaterial. Consequently, even if the corporate conversion had occurred as of January 1, 2009, we would expect that any tax consequences would have been immaterial.</w:t>
      </w:r>
    </w:p>
    <w:p>
      <w:pPr>
        <w:spacing w:after="0" w:line="228" w:lineRule="exact"/>
        <w:rPr>
          <w:sz w:val="20"/>
          <w:szCs w:val="20"/>
          <w:color w:val="auto"/>
        </w:rPr>
      </w:pPr>
    </w:p>
    <w:p>
      <w:pPr>
        <w:ind w:left="680" w:right="800" w:firstLine="506"/>
        <w:spacing w:after="0" w:line="248" w:lineRule="auto"/>
        <w:tabs>
          <w:tab w:leader="none" w:pos="1373" w:val="left"/>
        </w:tabs>
        <w:numPr>
          <w:ilvl w:val="0"/>
          <w:numId w:val="54"/>
        </w:numPr>
        <w:rPr>
          <w:rFonts w:ascii="Arial" w:cs="Arial" w:eastAsia="Arial" w:hAnsi="Arial"/>
          <w:sz w:val="13"/>
          <w:szCs w:val="13"/>
          <w:color w:val="auto"/>
        </w:rPr>
      </w:pPr>
      <w:r>
        <w:rPr>
          <w:rFonts w:ascii="Arial" w:cs="Arial" w:eastAsia="Arial" w:hAnsi="Arial"/>
          <w:sz w:val="13"/>
          <w:szCs w:val="13"/>
          <w:color w:val="auto"/>
        </w:rPr>
        <w:t>To eliminate dividends accrued on preferred units, cancelled in connection with our emergence from reorganization proceedings, in the amount of $6.3 million as of October 25, 2009.</w:t>
      </w:r>
    </w:p>
    <w:p>
      <w:pPr>
        <w:spacing w:after="0" w:line="74" w:lineRule="exact"/>
        <w:rPr>
          <w:rFonts w:ascii="Arial" w:cs="Arial" w:eastAsia="Arial" w:hAnsi="Arial"/>
          <w:sz w:val="13"/>
          <w:szCs w:val="13"/>
          <w:color w:val="auto"/>
        </w:rPr>
      </w:pPr>
    </w:p>
    <w:p>
      <w:pPr>
        <w:ind w:left="680" w:right="880" w:firstLine="506"/>
        <w:spacing w:after="0" w:line="242" w:lineRule="auto"/>
        <w:tabs>
          <w:tab w:leader="none" w:pos="1375"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Basic and diluted pro forma income per common share from continuing operations reflects the impact from the implementation of our plan of reorganization which represents the cancellation of our old common units and issuance of new common stock. The following table sets forth the computation of unaudited pro forma basic and diluted income per common share from continuing operations: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Earnings</w:t>
            </w: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8"/>
              </w:rPr>
              <w:t>Weighted Average</w:t>
            </w:r>
          </w:p>
        </w:tc>
        <w:tc>
          <w:tcPr>
            <w:tcW w:w="300" w:type="dxa"/>
            <w:vAlign w:val="bottom"/>
          </w:tcPr>
          <w:p>
            <w:pPr>
              <w:spacing w:after="0"/>
              <w:rPr>
                <w:sz w:val="12"/>
                <w:szCs w:val="12"/>
                <w:color w:val="auto"/>
              </w:rPr>
            </w:pPr>
          </w:p>
        </w:tc>
        <w:tc>
          <w:tcPr>
            <w:tcW w:w="228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9"/>
              </w:rPr>
              <w:t>per Common</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9"/>
              </w:rPr>
              <w:t>Common Units/</w:t>
            </w:r>
          </w:p>
        </w:tc>
        <w:tc>
          <w:tcPr>
            <w:tcW w:w="300" w:type="dxa"/>
            <w:vAlign w:val="bottom"/>
          </w:tcPr>
          <w:p>
            <w:pPr>
              <w:spacing w:after="0"/>
              <w:rPr>
                <w:sz w:val="12"/>
                <w:szCs w:val="12"/>
                <w:color w:val="auto"/>
              </w:rPr>
            </w:pPr>
          </w:p>
        </w:tc>
        <w:tc>
          <w:tcPr>
            <w:tcW w:w="228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Unit/Share from</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4"/>
                <w:szCs w:val="1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Continuing Operations</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4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Historical ten-month period ended October 25, 2009</w:t>
            </w:r>
          </w:p>
        </w:tc>
        <w:tc>
          <w:tcPr>
            <w:tcW w:w="274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52,923,483</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22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15.65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60" w:type="dxa"/>
            <w:vAlign w:val="bottom"/>
          </w:tcPr>
          <w:p>
            <w:pPr>
              <w:spacing w:after="0" w:line="148" w:lineRule="exact"/>
              <w:rPr>
                <w:sz w:val="20"/>
                <w:szCs w:val="20"/>
                <w:color w:val="auto"/>
              </w:rPr>
            </w:pPr>
            <w:r>
              <w:rPr>
                <w:rFonts w:ascii="Arial" w:cs="Arial" w:eastAsia="Arial" w:hAnsi="Arial"/>
                <w:sz w:val="13"/>
                <w:szCs w:val="13"/>
                <w:color w:val="auto"/>
              </w:rPr>
              <w:t>Historical two-month period ended December 31, 2009</w:t>
            </w:r>
          </w:p>
        </w:tc>
        <w:tc>
          <w:tcPr>
            <w:tcW w:w="274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37,607,846</w:t>
            </w:r>
          </w:p>
        </w:tc>
        <w:tc>
          <w:tcPr>
            <w:tcW w:w="300" w:type="dxa"/>
            <w:vAlign w:val="bottom"/>
          </w:tcPr>
          <w:p>
            <w:pPr>
              <w:spacing w:after="0"/>
              <w:rPr>
                <w:sz w:val="12"/>
                <w:szCs w:val="12"/>
                <w:color w:val="auto"/>
              </w:rPr>
            </w:pPr>
          </w:p>
        </w:tc>
        <w:tc>
          <w:tcPr>
            <w:tcW w:w="22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(0.07)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6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Pro forma adjustment for the ten-month period ended October 25, 2009 in</w:t>
            </w:r>
          </w:p>
        </w:tc>
        <w:tc>
          <w:tcPr>
            <w:tcW w:w="4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conjunction with the implementation of the Plan of Reorganization</w:t>
            </w:r>
          </w:p>
        </w:tc>
        <w:tc>
          <w:tcPr>
            <w:tcW w:w="4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60" w:type="dxa"/>
            <w:vAlign w:val="bottom"/>
          </w:tcPr>
          <w:p>
            <w:pPr>
              <w:ind w:left="140"/>
              <w:spacing w:after="0" w:line="148" w:lineRule="exact"/>
              <w:rPr>
                <w:sz w:val="20"/>
                <w:szCs w:val="20"/>
                <w:color w:val="auto"/>
              </w:rPr>
            </w:pPr>
            <w:r>
              <w:rPr>
                <w:rFonts w:ascii="Arial" w:cs="Arial" w:eastAsia="Arial" w:hAnsi="Arial"/>
                <w:sz w:val="13"/>
                <w:szCs w:val="13"/>
                <w:color w:val="auto"/>
              </w:rPr>
              <w:t>Basic</w:t>
            </w:r>
          </w:p>
        </w:tc>
        <w:tc>
          <w:tcPr>
            <w:tcW w:w="2740" w:type="dxa"/>
            <w:vAlign w:val="bottom"/>
            <w:gridSpan w:val="3"/>
          </w:tcPr>
          <w:p>
            <w:pPr>
              <w:jc w:val="right"/>
              <w:ind w:right="340"/>
              <w:spacing w:after="0" w:line="148" w:lineRule="exact"/>
              <w:rPr>
                <w:sz w:val="20"/>
                <w:szCs w:val="20"/>
                <w:color w:val="auto"/>
              </w:rPr>
            </w:pPr>
            <w:r>
              <w:rPr>
                <w:rFonts w:ascii="Arial" w:cs="Arial" w:eastAsia="Arial" w:hAnsi="Arial"/>
                <w:sz w:val="13"/>
                <w:szCs w:val="13"/>
                <w:color w:val="auto"/>
              </w:rPr>
              <w:t>(53,011,533)</w:t>
            </w:r>
          </w:p>
        </w:tc>
        <w:tc>
          <w:tcPr>
            <w:tcW w:w="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Diluted</w:t>
            </w:r>
          </w:p>
        </w:tc>
        <w:tc>
          <w:tcPr>
            <w:tcW w:w="2740" w:type="dxa"/>
            <w:vAlign w:val="bottom"/>
            <w:gridSpan w:val="3"/>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(53,010,585)</w:t>
            </w: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60" w:type="dxa"/>
            <w:vAlign w:val="bottom"/>
          </w:tcPr>
          <w:p>
            <w:pPr>
              <w:spacing w:after="0" w:line="148" w:lineRule="exact"/>
              <w:rPr>
                <w:sz w:val="20"/>
                <w:szCs w:val="20"/>
                <w:color w:val="auto"/>
              </w:rPr>
            </w:pPr>
            <w:r>
              <w:rPr>
                <w:rFonts w:ascii="Arial" w:cs="Arial" w:eastAsia="Arial" w:hAnsi="Arial"/>
                <w:sz w:val="13"/>
                <w:szCs w:val="13"/>
                <w:color w:val="auto"/>
              </w:rPr>
              <w:t>Pro forma for the combined twelve-month period ended December 31, 2009</w:t>
            </w: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Basic</w:t>
            </w:r>
          </w:p>
        </w:tc>
        <w:tc>
          <w:tcPr>
            <w:tcW w:w="44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37,519,796</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22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1.24</w:t>
            </w: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7"/>
        </w:trPr>
        <w:tc>
          <w:tcPr>
            <w:tcW w:w="680" w:type="dxa"/>
            <w:vAlign w:val="bottom"/>
          </w:tcPr>
          <w:p>
            <w:pPr>
              <w:spacing w:after="0"/>
              <w:rPr>
                <w:sz w:val="14"/>
                <w:szCs w:val="14"/>
                <w:color w:val="auto"/>
              </w:rPr>
            </w:pPr>
          </w:p>
        </w:tc>
        <w:tc>
          <w:tcPr>
            <w:tcW w:w="4660" w:type="dxa"/>
            <w:vAlign w:val="bottom"/>
          </w:tcPr>
          <w:p>
            <w:pPr>
              <w:ind w:left="140"/>
              <w:spacing w:after="0"/>
              <w:rPr>
                <w:sz w:val="20"/>
                <w:szCs w:val="20"/>
                <w:color w:val="auto"/>
              </w:rPr>
            </w:pPr>
            <w:r>
              <w:rPr>
                <w:rFonts w:ascii="Arial" w:cs="Arial" w:eastAsia="Arial" w:hAnsi="Arial"/>
                <w:sz w:val="13"/>
                <w:szCs w:val="13"/>
                <w:color w:val="auto"/>
              </w:rPr>
              <w:t>Diluted</w:t>
            </w:r>
          </w:p>
        </w:tc>
        <w:tc>
          <w:tcPr>
            <w:tcW w:w="440" w:type="dxa"/>
            <w:vAlign w:val="bottom"/>
          </w:tcPr>
          <w:p>
            <w:pPr>
              <w:spacing w:after="0"/>
              <w:rPr>
                <w:sz w:val="14"/>
                <w:szCs w:val="14"/>
                <w:color w:val="auto"/>
              </w:rPr>
            </w:pPr>
          </w:p>
        </w:tc>
        <w:tc>
          <w:tcPr>
            <w:tcW w:w="2300" w:type="dxa"/>
            <w:vAlign w:val="bottom"/>
            <w:gridSpan w:val="2"/>
          </w:tcPr>
          <w:p>
            <w:pPr>
              <w:jc w:val="right"/>
              <w:ind w:right="400"/>
              <w:spacing w:after="0"/>
              <w:rPr>
                <w:sz w:val="20"/>
                <w:szCs w:val="20"/>
                <w:color w:val="auto"/>
              </w:rPr>
            </w:pPr>
            <w:r>
              <w:rPr>
                <w:rFonts w:ascii="Arial" w:cs="Arial" w:eastAsia="Arial" w:hAnsi="Arial"/>
                <w:sz w:val="13"/>
                <w:szCs w:val="13"/>
                <w:color w:val="auto"/>
              </w:rPr>
              <w:t>37,520,744</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56</w:t>
            </w:r>
          </w:p>
        </w:tc>
        <w:tc>
          <w:tcPr>
            <w:tcW w:w="1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46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1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 FINANCIAL CONDITION</w:t>
      </w:r>
    </w:p>
    <w:p>
      <w:pPr>
        <w:spacing w:after="0" w:line="1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RESULTS OF OPERATIONS</w:t>
      </w:r>
    </w:p>
    <w:p>
      <w:pPr>
        <w:spacing w:after="0" w:line="102" w:lineRule="exact"/>
        <w:rPr>
          <w:sz w:val="20"/>
          <w:szCs w:val="20"/>
          <w:color w:val="auto"/>
        </w:rPr>
      </w:pPr>
    </w:p>
    <w:p>
      <w:pPr>
        <w:ind w:left="680" w:right="60" w:firstLine="499"/>
        <w:spacing w:after="0" w:line="247" w:lineRule="auto"/>
        <w:rPr>
          <w:sz w:val="20"/>
          <w:szCs w:val="20"/>
          <w:color w:val="auto"/>
        </w:rPr>
      </w:pPr>
      <w:r>
        <w:rPr>
          <w:rFonts w:ascii="Arial" w:cs="Arial" w:eastAsia="Arial" w:hAnsi="Arial"/>
          <w:sz w:val="13"/>
          <w:szCs w:val="13"/>
          <w:i w:val="1"/>
          <w:iCs w:val="1"/>
          <w:color w:val="auto"/>
        </w:rPr>
        <w:t>The following discussion and analysis should be read in conjunction with the “Selected Historical Consolidated Financial and Operating Data” and our consolidated financial statements and the related notes included elsewhere in this prospectus.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prospectus.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3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1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To maintain and increase our profitability, we must accurately forecast trends in demand for consumer electronics products that incorporate semiconductor products we produce. We must understand our customers’ needs as well the likely end market trends and demand in the markets they serve. We must balance the likely manufacturing utilization demand of our product businesses and foundry business to optimize our facilities utilization. We must also invest in relevant research and development activities and manufacturing capacity and purchase necessary materials on a timely basis to meet our customers’ demand while maintaining our target margins and cash flow.</w:t>
      </w:r>
    </w:p>
    <w:p>
      <w:pPr>
        <w:spacing w:after="0" w:line="111"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00"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Demand for our products and services is driven primarily by overall demand for consumer electronics products and can be adversely affected by periods of weak consumer spending or by market share losses by our customers. To mitigate the impact of market volatility on our business, we seek to address market segments and geographies with higher growth rates than the overall consumer electronics industry. For example, in recent years, we have experienced increasing demand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39" w:lineRule="auto"/>
        <w:rPr>
          <w:sz w:val="20"/>
          <w:szCs w:val="20"/>
          <w:color w:val="auto"/>
        </w:rPr>
      </w:pPr>
      <w:r>
        <w:rPr>
          <w:rFonts w:ascii="Arial" w:cs="Arial" w:eastAsia="Arial" w:hAnsi="Arial"/>
          <w:sz w:val="13"/>
          <w:szCs w:val="13"/>
          <w:color w:val="auto"/>
        </w:rPr>
        <w:t>from OEMs and consumers in China and Taiwan relative to overall demand for our products and services. We expect to derive a meaningful portion of our growth from growing demand in such markets. We also expect that new competitors will emerge in these markets that may place increased pressure on the pricing for our products and services, but we believe that we will be able to successfully compete based upon our higher quality products and services and that the impact from the increased competition will be more than offset by increased demand arising from such markets. Further, we believe we are well-positioned competitively as a result of our long operating history, existing manufacturing capacity and our Korea-based operations.</w:t>
      </w:r>
    </w:p>
    <w:p>
      <w:pPr>
        <w:spacing w:after="0" w:line="111" w:lineRule="exact"/>
        <w:rPr>
          <w:sz w:val="20"/>
          <w:szCs w:val="20"/>
          <w:color w:val="auto"/>
        </w:rPr>
      </w:pPr>
    </w:p>
    <w:p>
      <w:pPr>
        <w:ind w:left="680" w:right="160" w:firstLine="499"/>
        <w:spacing w:after="0" w:line="239" w:lineRule="auto"/>
        <w:rPr>
          <w:sz w:val="20"/>
          <w:szCs w:val="20"/>
          <w:color w:val="auto"/>
        </w:rPr>
      </w:pPr>
      <w:r>
        <w:rPr>
          <w:rFonts w:ascii="Arial" w:cs="Arial" w:eastAsia="Arial" w:hAnsi="Arial"/>
          <w:sz w:val="13"/>
          <w:szCs w:val="13"/>
          <w:color w:val="auto"/>
        </w:rPr>
        <w:t>Within our Display Solutions and Power Solutions segments, net sales are driven by design wins in which we or another company is selected by an electronics OEM or other potential customer to supply its demand for a particular product. A customer will often have more than one supplier designed in to multi-source components for a particular product line. Once designed in,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Within the Semiconductor Manufacturing Services business, net sales are driven by customers’ decisions on which manufacturing services provider to use for a particular product. Most of our semiconductor manufacturing services customers are fabless and depend upon service providers like us to manufacture their products. A customer will often have more than one supplier of manufacturing services; however, they tend to allocate a majority of manufacturing volume to one of their suppliers. We strive to be the primary supplier of manufacturing services to our customers. Once selected as a primary supplier, we often specify the pricing of a particular service on a per wafer basis for a set period of time, with periodic discussions and renegotiations of pricing with our customers.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contrast to fabless semiconductor companies, our internal manufacturing capacity provides us with greater control over manufacturing costs and the ability to implement process and production improvements which can favorably impact gross profit margins. Our internal manufacturing capacity also allows for better control over delivery schedules, improved consistency over product quality and reliability and improved ability to protect intellectual property from misappropriation. However, having internal manufacturing capacity exposes us to the risk of under-utilization of manufacturing capacity which results in lower gross profit margins, particularly during downturns in the semiconductor industry.</w:t>
      </w:r>
    </w:p>
    <w:p>
      <w:pPr>
        <w:spacing w:after="0" w:line="111"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Additionally, the performance of many of our products is not necessarily dependent on geometry. As a result, our manufacturing base and strategy does not require substantial investment in leading edge process equipment, allowing us to utilize our facilities and equipment over an extended period of time with moderate required capital investments. Generally, incremental capacity expansions in our segment of the market result in more moderate industry capacity expansion as compared to leading edge processes. As a result, this market, and we, specifically, are less likely to experience significant industry overcapacity, which can cause product prices to plunge dramatically. In general, we seek to invest in manufacturing capacity that can be used for multiple high-value applications over an extended period of time. We believe this</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capital investment strategy enables us to optimize our capital investments and facilitates deeper and more diversified product and service offerings.</w:t>
      </w:r>
    </w:p>
    <w:p>
      <w:pPr>
        <w:spacing w:after="0" w:line="116"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visibility into new product opportunities, market and technology trends and improve our ability to meet these challenges successfully. In our Semiconductor Manufacturing Services business, we strive to maintain competitiveness and our position as a primary manufacturing services provider to our customers by offering high value added, unique processes, high flexibility and excellent service.</w:t>
      </w:r>
    </w:p>
    <w:p>
      <w:pPr>
        <w:spacing w:after="0" w:line="109"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connection with the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that our independent registered public accounting firm reported to our board of directors (as we then did not have a separate audit committee), are that we do not have a sufficient number of financial personnel with requisite financial accounting experience, and that our internal controls over non-routine transactions are not effective to ensure that accounting considerations are identified and appropriately recorded.</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Changes to Our Business</w:t>
      </w:r>
    </w:p>
    <w:p>
      <w:pPr>
        <w:spacing w:after="0" w:line="13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Beginning in the second half of 2008, we began to take steps to refocus our business strategy, enhance our operating efficiency and improve our cash flow and profitability. We restructured our continuing operations by reducing our cost structure, increasing our focus on our core, profitable technologies, products and customers, and implemented various initiatives to lower our manufacturing costs and improve our gross margins. In connection with these initiatives, we closed our Imaging Solutions business segment, which had been a source of substantial ongoing operating losses amounting to $91.5 million and $51.7 million in 2008 and 2007, respectively, and which required substantial ongoing capital investment. Our employee headcount has declined from 3,648 as of the end of July 2008 to 3,156 at the end of 2009. As a result of these actions, we were able to reduce our costs and improve our margins. Although our goal is to continue to focus on lower costs and improved margins on an ongoing basis, we expect that the financial benefits derived from our ongoing efforts will be incremental and any such benefits may be offset by other negative factors affecting our operations.</w:t>
      </w:r>
    </w:p>
    <w:p>
      <w:pPr>
        <w:spacing w:after="0" w:line="241" w:lineRule="exact"/>
        <w:rPr>
          <w:sz w:val="20"/>
          <w:szCs w:val="20"/>
          <w:color w:val="auto"/>
        </w:rPr>
      </w:pPr>
    </w:p>
    <w:p>
      <w:pPr>
        <w:jc w:val="both"/>
        <w:ind w:left="680" w:right="140" w:firstLine="499"/>
        <w:spacing w:after="0"/>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address the growing demands on our cash flow resulting from our long-term indebtedness. Our plan of reorganization went effective and we emerged from the reorganization proceeding on November 9, 2009. As a result of the plan of reorganization, our indebtedness was reduced from $845.0 million immediately prior to the effectiveness of our plan of reorganization to $61.8 million as of December 31, 2009.</w:t>
      </w:r>
    </w:p>
    <w:p>
      <w:pPr>
        <w:spacing w:after="0" w:line="110"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During the first half of 2009, we instituted company-wide voluntary salary reductions, which resulted in one-time savings for our continuing operations during 2009 and which in turn contributed to the decrease in salaries and related expenses in 2009 relative to 2008. In June, we returned to our employees one-third of the amount by which their salaries had been reduced. We reinstated salaries to prior levels in July 2009.</w:t>
      </w:r>
    </w:p>
    <w:p>
      <w:pPr>
        <w:spacing w:after="0" w:line="108"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ASC 852 governing reorganizations. We elected to adopt a</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0"/>
        <w:spacing w:after="0" w:line="242" w:lineRule="auto"/>
        <w:rPr>
          <w:sz w:val="20"/>
          <w:szCs w:val="20"/>
          <w:color w:val="auto"/>
        </w:rPr>
      </w:pPr>
      <w:r>
        <w:rPr>
          <w:rFonts w:ascii="Arial" w:cs="Arial" w:eastAsia="Arial" w:hAnsi="Arial"/>
          <w:sz w:val="13"/>
          <w:szCs w:val="13"/>
          <w:color w:val="auto"/>
        </w:rPr>
        <w:t>convenience date of October 25, 2009 (a month end for our financial reporting purposes) for application of fresh-start accounting. In accordance with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w:t>
      </w:r>
    </w:p>
    <w:p>
      <w:pPr>
        <w:spacing w:after="0" w:line="10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implementing fresh-start accounting, we re -measured our asset values and stated all liabilities, other than deferred taxes and severance benefits, at fair value or at the present values of the amounts to be paid using appropriate market interest rates. Our reorganization value was determined based on consideration of numerous factors and various valuation methodologies, including discounted cash flows, believed by management and our financial advisors to be representative of our business and industry. Information regarding the determination of the reorganization value and application of fresh-start accounting is included in note 3 to the consolidated financial statements of MagnaChip Semiconductor LLC for the ten-month period ended October 25, 2009 and the two-month period ended December 31, 2009 included elsewhere in this prospectus. In addition, under fresh-start accounting, accumulated deficit and accumulated other comprehensive income were eliminated.</w:t>
      </w:r>
    </w:p>
    <w:p>
      <w:pPr>
        <w:spacing w:after="0" w:line="10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Under fresh-start accounting, our inventory, net, and intangible assets, net, increased by $17.9 million and $ 28.3 million, respectively, and property, plant and equipment decreased by $13.9 million, in each case to reflect the estimated fair value as of our emergence from our reorganization proceedings. As a result, our cost of sales for the two-month period ended December 31, 2009 included $17.2 million of additional costs from the inventory step-up. This resulted in our gross margin for the two-month period ended December 31, 2009 being significantly lower than for the ten-month period ended October 25, 2009 and prior periods. The increase in intangible assets results in higher amortization expenses following our emergence from our reorganization proceedings which are included in cost of sales, selling general and administrative expenses and research and development expenses. The decrease in property and plant and equipment results in lower depreciation expenses, which are included in cost of sales, selling general and administrative expenses and research and development expenses following our emergence from our reorganization proceedings.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a result of the application of fresh-start accounting, our consolidated financial statements prior to and including October 25, 2009 represent the operations of our pre-reorganization predecessor company and are presented separately from the consolidated financial statements of our post-reorganization successor company. For the purposes of our discussion and analysis of our results of operations, we often refer to results of operations for 2009 on a combined basis, including both the period before (predecessor company) and after (successor company) effectiveness of the plan of reorganization. We believe this comparison provides useful information as the principal impact of the plan of reorganization was on our debt and capital structure and not on our core operations; and many of the steps taken to improve our core operations had commenced prior to the commencement of our reorganization proceedings.</w:t>
      </w:r>
    </w:p>
    <w:p>
      <w:pPr>
        <w:spacing w:after="0" w:line="109"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On April 9, 2010, we completed the sale of $ 250 million in aggregate principal amount of 10.500% senior notes due 2018. Of the $ 238.4 million of net proceeds, $130.7 million was used to make a distribution to our unitholders and $61.6 million was used to repay all outstanding borrowings under our term loan. The remaining proceeds were retained to fund working capital and for general corporate purposes. As a result of the higher level of indebtedness from our senior note offering, our quarterly interest expense will increase above that which was reported for the two-month period ended December 31, 2009 and the three months ended March 31, 2010 to approximately $6.8 million per quarter.</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Business Segments</w:t>
      </w:r>
    </w:p>
    <w:p>
      <w:pPr>
        <w:spacing w:after="0" w:line="132"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We report in three separate business segments because we derive our revenues from three principal business lines: Display Solutions, Power Solutions, and Semiconductor Manufacturing Services. We have identified these segments based on how we allocate resources and assess our performance.</w:t>
      </w:r>
    </w:p>
    <w:p>
      <w:pPr>
        <w:spacing w:after="0" w:line="88" w:lineRule="exact"/>
        <w:rPr>
          <w:sz w:val="20"/>
          <w:szCs w:val="20"/>
          <w:color w:val="auto"/>
        </w:rPr>
      </w:pPr>
    </w:p>
    <w:p>
      <w:pPr>
        <w:ind w:left="1400" w:right="20" w:hanging="212"/>
        <w:spacing w:after="0" w:line="245" w:lineRule="auto"/>
        <w:tabs>
          <w:tab w:leader="none" w:pos="140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Our Display Solutions products include source and gate drivers and timing controllers that cover a wide range of flat panel displays used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LCD televisions and LED televisions and displays, mobile PCs and mobile communications and entertainment devices. Our display solutions support the industry’s most advanced display technologies, such as LTPS and AMOLED, as well as high-volume display technologies such as TFT. Our Display Solutions business represented 50.5%, 50.5% and 46.7% of our net sales for the fiscal years ended December 31, 2009 (on a combined basis), 2008 and 2007, respectively and 42.8% and 58.8% of our net sales for the three months ended March 31, 2010 and March 29, 2009, respectively.</w:t>
      </w:r>
    </w:p>
    <w:p>
      <w:pPr>
        <w:spacing w:after="0" w:line="72" w:lineRule="exact"/>
        <w:rPr>
          <w:rFonts w:ascii="Arial" w:cs="Arial" w:eastAsia="Arial" w:hAnsi="Arial"/>
          <w:sz w:val="13"/>
          <w:szCs w:val="13"/>
          <w:color w:val="auto"/>
        </w:rPr>
      </w:pPr>
    </w:p>
    <w:p>
      <w:pPr>
        <w:ind w:left="1400" w:hanging="212"/>
        <w:spacing w:after="0" w:line="242" w:lineRule="auto"/>
        <w:tabs>
          <w:tab w:leader="none" w:pos="140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Our Power Solutions segment produces power management semiconductor products including discrete and integrated circuit solutions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management in high-volume consumer applications. These products include MOSFETs, LED drivers, DC-DC converters, analog switches and linear regulators, such as low-dropout regulators, or LDOs. Our power solutions products are designed for applications such as mobile phones, LCD televisions, and desktop computers, and allow electronics manufacturers to achieve specific design goals of high efficiency and low standby power consumption. Going forward, we expect to continue to expand our power management product portfolio. Our Power Solutions business represented 2.2% and 0.9% of our net sales for the fiscal years ended December 31, 2009 (on a combined basis) and 2008, respectively and 5.0% and 0.9% of our net sales for three months ended March 31, 2010 and March 29, 2009, respectively.</w:t>
      </w:r>
    </w:p>
    <w:p>
      <w:pPr>
        <w:spacing w:after="0" w:line="75" w:lineRule="exact"/>
        <w:rPr>
          <w:rFonts w:ascii="Arial" w:cs="Arial" w:eastAsia="Arial" w:hAnsi="Arial"/>
          <w:sz w:val="13"/>
          <w:szCs w:val="13"/>
          <w:color w:val="auto"/>
        </w:rPr>
      </w:pPr>
    </w:p>
    <w:p>
      <w:pPr>
        <w:ind w:left="1400" w:hanging="212"/>
        <w:spacing w:after="0"/>
        <w:tabs>
          <w:tab w:leader="none" w:pos="140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Our Semiconductor Manufacturing Services segment provides specialty analog and mixed-signal foundry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fabless semiconductor companies that serve the consumer, computing and wireless end markets. We manufacture wafers based on our customers’ product designs. We do not market these products directly to end customers but rather supply manufactured wafers and products to our customers to market to their end customers. We offer approximately 200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are targeted at customers who require differentiated, specialty analog and mixed-signal process technologies such as high voltage CMOS, embedded memory and power. These customers typically serve high-growth and high-volume applications in the consumer, computing and wireless end markets. Our Semiconductor Manufacturing Services business represented 46.7%, 47.7% and 45.2% of our net sales for the fiscal years ended December 31, 2009 (on a combined basis), 2008 and 2007, respectively and 51.9% and 39.6% of our net sales for the three months ended March 31, 2010 and March 29, 2009, respectively.</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Business Metrics Evaluated by Management</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Adjusted EBITDA and Adjusted Net Income</w:t>
      </w:r>
    </w:p>
    <w:p>
      <w:pPr>
        <w:spacing w:after="0" w:line="122" w:lineRule="exact"/>
        <w:rPr>
          <w:sz w:val="20"/>
          <w:szCs w:val="20"/>
          <w:color w:val="auto"/>
        </w:rPr>
      </w:pPr>
    </w:p>
    <w:p>
      <w:pPr>
        <w:jc w:val="both"/>
        <w:ind w:left="680" w:right="100" w:firstLine="499"/>
        <w:spacing w:after="0" w:line="242" w:lineRule="auto"/>
        <w:rPr>
          <w:sz w:val="20"/>
          <w:szCs w:val="20"/>
          <w:color w:val="auto"/>
        </w:rPr>
      </w:pPr>
      <w:r>
        <w:rPr>
          <w:rFonts w:ascii="Arial" w:cs="Arial" w:eastAsia="Arial" w:hAnsi="Arial"/>
          <w:sz w:val="13"/>
          <w:szCs w:val="13"/>
          <w:color w:val="auto"/>
        </w:rPr>
        <w:t>We use the terms Adjusted EBITDA and Adjusted Net Income throughout this prospectus. Adjusted EBITDA, as we define it, is a non-GAAP measure. We define Adjusted EBITDA as net income (loss) less income (loss) from discontinued operations, net of taxes excluding (i) depreciation and amortization associated with continuing operations, (ii) interest expense, net, (iii) income tax expense, (iv) restructuring and impairment charges, (v) other restructuring charges, (vi) abandoned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40"/>
        <w:spacing w:after="0" w:line="248" w:lineRule="auto"/>
        <w:rPr>
          <w:sz w:val="20"/>
          <w:szCs w:val="20"/>
          <w:color w:val="auto"/>
        </w:rPr>
      </w:pPr>
      <w:r>
        <w:rPr>
          <w:rFonts w:ascii="Arial" w:cs="Arial" w:eastAsia="Arial" w:hAnsi="Arial"/>
          <w:sz w:val="13"/>
          <w:szCs w:val="13"/>
          <w:color w:val="auto"/>
        </w:rPr>
        <w:t>IPO expenses, (vii) subcontractor claim settlement, (viii) reorganization items, net, (ix) the increase in cost of sales resulting from the fresh-start inventory accounting step-up, (x) equity-based compensation expense, and (xi) foreign currency gain (loss), net.</w:t>
      </w:r>
    </w:p>
    <w:p>
      <w:pPr>
        <w:spacing w:after="0" w:line="104"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We define Adjusted Net Income as net income (loss) less income (loss) from discontinued operations, net of taxes excluding (i) restructuring and impairment charges, (ii) other restructuring charges, (iii) reorganization items, net, (iv) the increase in cost of sales resulting from the fresh-start inventory accounting step-up, (v) equity-based compensation expense, (vi) amortization of intangibles, and (vii) foreign currency gain (loss), net.</w:t>
      </w:r>
    </w:p>
    <w:p>
      <w:pPr>
        <w:spacing w:after="0" w:line="10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present Adjusted EBITDA as a supplemental measure of our performance because:</w:t>
      </w:r>
    </w:p>
    <w:p>
      <w:pPr>
        <w:spacing w:after="0" w:line="106" w:lineRule="exact"/>
        <w:rPr>
          <w:sz w:val="20"/>
          <w:szCs w:val="20"/>
          <w:color w:val="auto"/>
        </w:rPr>
      </w:pPr>
    </w:p>
    <w:p>
      <w:pPr>
        <w:ind w:left="1400" w:right="460" w:hanging="212"/>
        <w:spacing w:after="0" w:line="248" w:lineRule="auto"/>
        <w:tabs>
          <w:tab w:leader="none" w:pos="1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84" w:lineRule="exact"/>
        <w:rPr>
          <w:rFonts w:ascii="Arial" w:cs="Arial" w:eastAsia="Arial" w:hAnsi="Arial"/>
          <w:sz w:val="13"/>
          <w:szCs w:val="13"/>
          <w:color w:val="auto"/>
        </w:rPr>
      </w:pPr>
    </w:p>
    <w:p>
      <w:pPr>
        <w:ind w:left="1400" w:hanging="212"/>
        <w:spacing w:after="0"/>
        <w:tabs>
          <w:tab w:leader="none" w:pos="1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96" w:lineRule="exact"/>
        <w:rPr>
          <w:rFonts w:ascii="Arial" w:cs="Arial" w:eastAsia="Arial" w:hAnsi="Arial"/>
          <w:sz w:val="13"/>
          <w:szCs w:val="13"/>
          <w:color w:val="auto"/>
        </w:rPr>
      </w:pPr>
    </w:p>
    <w:p>
      <w:pPr>
        <w:ind w:left="1400" w:right="140" w:hanging="212"/>
        <w:spacing w:after="0" w:line="248" w:lineRule="auto"/>
        <w:tabs>
          <w:tab w:leader="none" w:pos="1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companies in our industry.</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116" w:lineRule="exact"/>
        <w:rPr>
          <w:sz w:val="20"/>
          <w:szCs w:val="20"/>
          <w:color w:val="auto"/>
        </w:rPr>
      </w:pPr>
    </w:p>
    <w:p>
      <w:pPr>
        <w:ind w:left="1400" w:hanging="212"/>
        <w:spacing w:after="0"/>
        <w:tabs>
          <w:tab w:leader="none" w:pos="1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106"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evaluating Adjusted EBITDA and Adjusted Net Income, you should be aware that in the future we may incur expenses similar to the adjustments in our presentation of Adjusted EBITDA. Our presentation of Adjusted EBITDA and Adjusted Net Income should not be construed as an inference that our future results will be unaffected by unusual or non-recurring items. Adjusted EBITDA and Adjusted Net Income are not measures defined in accordance with GAAP and should not be construed as an alternative to operating income, cash flows from operating activities or net income (loss), as determined in accordance with GAAP. For additional information regarding how we calculate Adjusted EBITDA and Adjusted Net Income, please see “Prospectus Summary — Summary Historical and Unaudited Pro Forma Consolidated Financial Data.”</w:t>
      </w:r>
    </w:p>
    <w:p>
      <w:pPr>
        <w:spacing w:after="0" w:line="10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a pro forma basis, our Adjusted EBITDA and Adjusted Net Income for the three months ended March 31, 2010 were $28.7 million and $15.0 million, respectively. On a pro forma basis, our Adjusted EBITDA and Adjusted Net Income for the combined twelve-month period ended December 31, 2009 were $98.7 million and $33.7 million, respectively. Our Adjusted EBITDA and Adjusted Net Income for the year ended December 31, 2008 were $59.8 million and a loss of $71.7 million, respectively. This improvement resulted from the appreciation of the Korean won against the U.S. dollar as described below, our restructuring efforts and improvements in market conditions.</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Our Results of Operations</w:t>
      </w:r>
    </w:p>
    <w:p>
      <w:pPr>
        <w:spacing w:after="0" w:line="116"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Net Sales. </w:t>
      </w:r>
      <w:r>
        <w:rPr>
          <w:rFonts w:ascii="Arial" w:cs="Arial" w:eastAsia="Arial" w:hAnsi="Arial"/>
          <w:sz w:val="13"/>
          <w:szCs w:val="13"/>
          <w:color w:val="auto"/>
        </w:rPr>
        <w:t>We derive a majority of our sales (net of sales returns and allowances) from three reportable segments: Display Solutions, Power Solutions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Semiconductor Manufacturing Services.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China, the United Kingdom and the United States. Our network of authorized agents and distributors consists of agents in the United States and Europe and distributors and agents in the Asia Pacific region. Our net sales from All other consist principally of rental income and, for 2007 and to a limited extent in 2008, semiconductor processing services for one customer where we completed a limited number of process steps, rather than the entire production process, which we refer to as unit processing.</w:t>
      </w:r>
    </w:p>
    <w:p>
      <w:pPr>
        <w:spacing w:after="0" w:line="11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recognize revenue when risk and reward of ownership passes to the customer either upon shipment, upon product delivery at the customer’s location or upon customer acceptance, depending on the terms of the arrangement. For the three months ended March 31, 2010 and the combined twelve-month period ended December 31, 2009, we sold products to over 210 and 185 customers, respectively, and our net sales to our ten largest customers represented 64% and 69% of our net sales for the three months ended March 31, 2010 and the combined twelve-month period ended December 31, 2009, respectively. We have a combined production capacity of over 131,000 eight-inch equivalent semiconductor wafers per month. We believe our large-scale, cost-effective fabrication facilities enable us to rapidly adjust our production levels to meet shifts in demand by our end customers.</w:t>
      </w:r>
    </w:p>
    <w:p>
      <w:pPr>
        <w:spacing w:after="0" w:line="84"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overall gross profit generally fluctuates as a result of changes in overall sales volumes and in the average selling prices of our products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 Gross profit varies by our operating segments. For both the three months ended March 31, 2010 and the combined twelve-month period ended December 31, 2009, our Semiconductor Manufacturing Services segment utilized approximately 60% of our manufacturing capacity.</w:t>
      </w:r>
    </w:p>
    <w:p>
      <w:pPr>
        <w:spacing w:after="0" w:line="92"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b w:val="1"/>
          <w:bCs w:val="1"/>
          <w:i w:val="1"/>
          <w:iCs w:val="1"/>
          <w:color w:val="auto"/>
        </w:rPr>
        <w:t xml:space="preserve">Average Selling Prices. </w:t>
      </w:r>
      <w:r>
        <w:rPr>
          <w:rFonts w:ascii="Arial" w:cs="Arial" w:eastAsia="Arial" w:hAnsi="Arial"/>
          <w:sz w:val="13"/>
          <w:szCs w:val="13"/>
          <w:color w:val="auto"/>
        </w:rPr>
        <w:t>Average selling prices for our products tend to be highest at the time of introduction of new products which utilize the latest technology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87" w:lineRule="exact"/>
        <w:rPr>
          <w:sz w:val="20"/>
          <w:szCs w:val="20"/>
          <w:color w:val="auto"/>
        </w:rPr>
      </w:pPr>
    </w:p>
    <w:p>
      <w:pPr>
        <w:ind w:left="680" w:right="4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Material Costs. </w:t>
      </w:r>
      <w:r>
        <w:rPr>
          <w:rFonts w:ascii="Arial" w:cs="Arial" w:eastAsia="Arial" w:hAnsi="Arial"/>
          <w:sz w:val="13"/>
          <w:szCs w:val="13"/>
          <w:color w:val="auto"/>
        </w:rPr>
        <w:t>Our cost of sales consists of costs of raw materials, such as silicon wafers, chemicals, gases and tape, packaging supplies, equipment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maintenance and depreciation expenses. We use processes that require specialized raw materials, such as silicon wafers, that are generally available from a limited number of suppliers. If demand increases or supplies decrease, the costs of our raw materials could significantly increase.</w:t>
      </w:r>
    </w:p>
    <w:p>
      <w:pPr>
        <w:spacing w:after="0" w:line="74" w:lineRule="exact"/>
        <w:rPr>
          <w:sz w:val="20"/>
          <w:szCs w:val="20"/>
          <w:color w:val="auto"/>
        </w:rPr>
      </w:pPr>
    </w:p>
    <w:p>
      <w:pPr>
        <w:ind w:left="680" w:right="2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Labor Costs. </w:t>
      </w:r>
      <w:r>
        <w:rPr>
          <w:rFonts w:ascii="Arial" w:cs="Arial" w:eastAsia="Arial" w:hAnsi="Arial"/>
          <w:sz w:val="13"/>
          <w:szCs w:val="13"/>
          <w:color w:val="auto"/>
        </w:rPr>
        <w:t>A significant portion of our employees are located in Korea. Under Korean labor laws, most employees and certain executive officers with one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years of service are entitled to severance benefits upon the termination of their employment based on their length of service and rate of pay. As of December 31, 2009, approximately 98% of our employees were eligible for severance benefits. We have in the past implemented temporary reductions in salaries to manage through</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downturns in the industry. We expect to and have reversed such temporary reductions when business conditions improve.</w:t>
      </w:r>
    </w:p>
    <w:p>
      <w:pPr>
        <w:spacing w:after="0" w:line="100"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Depreciation Expense. </w:t>
      </w:r>
      <w:r>
        <w:rPr>
          <w:rFonts w:ascii="Arial" w:cs="Arial" w:eastAsia="Arial" w:hAnsi="Arial"/>
          <w:sz w:val="13"/>
          <w:szCs w:val="13"/>
          <w:color w:val="auto"/>
        </w:rPr>
        <w:t>We periodically evaluate the carrying values of long-lived assets, including property, plant and equipment and intangible assets,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related depreciation periods. At March 31, 2010,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92"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Selling Expenses. </w:t>
      </w:r>
      <w:r>
        <w:rPr>
          <w:rFonts w:ascii="Arial" w:cs="Arial" w:eastAsia="Arial" w:hAnsi="Arial"/>
          <w:sz w:val="13"/>
          <w:szCs w:val="13"/>
          <w:color w:val="auto"/>
        </w:rPr>
        <w:t>We sell our products worldwide through a direct sales force as well as a network of sales agents and representatives to OEMs, including major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77"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General and Administrative Expenses. </w:t>
      </w:r>
      <w:r>
        <w:rPr>
          <w:rFonts w:ascii="Arial" w:cs="Arial" w:eastAsia="Arial" w:hAnsi="Arial"/>
          <w:sz w:val="13"/>
          <w:szCs w:val="13"/>
          <w:color w:val="auto"/>
        </w:rPr>
        <w:t>General and administrative expenses consist of the costs of various corporate operations, including finance, legal,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human resources and other administrative functions. These expenses primarily consist of payroll-related expenses, consulting and other professional fees and office facility-related expenses. Historically, our selling, general and administrative expenses have remained relatively constant as a percentage of net sales, and we expect this trend to continue in the future.</w:t>
      </w:r>
    </w:p>
    <w:p>
      <w:pPr>
        <w:spacing w:after="0" w:line="8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Research and Development. </w:t>
      </w:r>
      <w:r>
        <w:rPr>
          <w:rFonts w:ascii="Arial" w:cs="Arial" w:eastAsia="Arial" w:hAnsi="Arial"/>
          <w:sz w:val="13"/>
          <w:szCs w:val="13"/>
          <w:color w:val="auto"/>
        </w:rPr>
        <w:t>The rapid technological change and product obsolescence that characterize our industry require us to make continuous investments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segments. Consequently, we do not allocate these expenses to individual segments. Although our research and development expenses declined significantly from 2008 to 2009, we expect such expenses to increase in 2010 and future periods and to remain a relatively constant percentage of our net sales as we continue to increase our investments in research and development to develop additional products and expand our business.</w:t>
      </w:r>
    </w:p>
    <w:p>
      <w:pPr>
        <w:spacing w:after="0" w:line="97"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We evaluate the recoverability of certain long-lived assets on a periodic basis or whenever events or changes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circumstances indicate that the carrying value may not be recoverable. In our efforts to improve our overall profitability in future periods, we have closed or otherwise impaired, and may in the future close or impair, facilities that are underutilized and that are no longer aligned with our long-term business goals. For example, in 2007 we closed our five-inch fabrication facilities in Gumi, Korea and in 2008 we discontinued our Imaging Solutions business segment.</w:t>
      </w:r>
    </w:p>
    <w:p>
      <w:pPr>
        <w:spacing w:after="0" w:line="77" w:lineRule="exact"/>
        <w:rPr>
          <w:sz w:val="20"/>
          <w:szCs w:val="20"/>
          <w:color w:val="auto"/>
        </w:rPr>
      </w:pPr>
    </w:p>
    <w:p>
      <w:pPr>
        <w:jc w:val="both"/>
        <w:ind w:left="680" w:right="100" w:firstLine="499"/>
        <w:spacing w:after="0" w:line="255"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Our interest expense was incurred under the Predecessor Company’s senior secured credit facility, the Predecessor Company’s second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priority senior secured notes and senior subordinated notes and the Successor Company’s new term loan under the Successor Company. Our new term loan bore interest at six-month LIBOR plus 12%, and was minimally offset by</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00"/>
        <w:spacing w:after="0"/>
        <w:rPr>
          <w:sz w:val="20"/>
          <w:szCs w:val="20"/>
          <w:color w:val="auto"/>
        </w:rPr>
      </w:pPr>
      <w:r>
        <w:rPr>
          <w:rFonts w:ascii="Arial" w:cs="Arial" w:eastAsia="Arial" w:hAnsi="Arial"/>
          <w:sz w:val="13"/>
          <w:szCs w:val="13"/>
          <w:color w:val="auto"/>
        </w:rPr>
        <w:t>interest income on cash balances. In April 2010, we repaid our new term loan with a portion of the proceeds from our sale of $250 million in aggregate principal amount of 10.500% senior notes due 2018. As a result of our reorganization, we expect that our interest expense will decrease in amount and as a percentage of net sales relative to historical periods. However, as a result of our senior notes offering, our quarterly interest expense will increase above that which was reported for the two-month period ended December 31, 2009 and the three months ended March 31, 2010 to approximately $6.8 million per quarter.</w:t>
      </w:r>
    </w:p>
    <w:p>
      <w:pPr>
        <w:spacing w:after="0" w:line="94"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b w:val="1"/>
          <w:bCs w:val="1"/>
          <w:i w:val="1"/>
          <w:iCs w:val="1"/>
          <w:color w:val="auto"/>
        </w:rPr>
        <w:t xml:space="preserve">Impact of Foreign Currency Exchange Rates on Reported Results of Operations. </w:t>
      </w:r>
      <w:r>
        <w:rPr>
          <w:rFonts w:ascii="Arial" w:cs="Arial" w:eastAsia="Arial" w:hAnsi="Arial"/>
          <w:sz w:val="13"/>
          <w:szCs w:val="13"/>
          <w:color w:val="auto"/>
        </w:rPr>
        <w:t>Historically, a portion of our revenues and greater than the majority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from continuing operations to appear to decline materially, particularly relative to prior periods. The converse is true if the U.S. dollar were to appreciate relative to the Korean won.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10" w:lineRule="exact"/>
        <w:rPr>
          <w:sz w:val="20"/>
          <w:szCs w:val="20"/>
          <w:color w:val="auto"/>
        </w:rPr>
      </w:pPr>
    </w:p>
    <w:p>
      <w:pPr>
        <w:jc w:val="both"/>
        <w:ind w:left="680" w:right="100" w:firstLine="499"/>
        <w:spacing w:after="0" w:line="239" w:lineRule="auto"/>
        <w:rPr>
          <w:sz w:val="20"/>
          <w:szCs w:val="20"/>
          <w:color w:val="auto"/>
        </w:rPr>
      </w:pPr>
      <w:r>
        <w:rPr>
          <w:rFonts w:ascii="Arial" w:cs="Arial" w:eastAsia="Arial" w:hAnsi="Arial"/>
          <w:sz w:val="13"/>
          <w:szCs w:val="13"/>
          <w:color w:val="auto"/>
        </w:rPr>
        <w:t>For periods ending on or prior to October 25, 2009, we converted our non-U.S. revenues and expenses into U.S. dollars based on cumulative average exchange rates over the periods presented. Beginning on October 25, 2009, we convert our non-U.S. revenues and expenses into U.S. dollars based on monthly average exchange rates. The following table provides the cumulative average exchange rates that we used to convert Korean won into U.S. dollars for each of the periods ending on our prior to October 25, 2009, as well as the monthly average exchange rates used for the two-month period ended December 31, 2009 and for the three months ended March 31, 2010:</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8960" w:type="dxa"/>
            <w:vAlign w:val="bottom"/>
            <w:gridSpan w:val="2"/>
          </w:tcPr>
          <w:p>
            <w:pPr>
              <w:spacing w:after="0"/>
              <w:rPr>
                <w:sz w:val="20"/>
                <w:szCs w:val="20"/>
                <w:color w:val="auto"/>
              </w:rPr>
            </w:pPr>
            <w:r>
              <w:rPr>
                <w:rFonts w:ascii="Arial" w:cs="Arial" w:eastAsia="Arial" w:hAnsi="Arial"/>
                <w:sz w:val="10"/>
                <w:szCs w:val="10"/>
                <w:b w:val="1"/>
                <w:bCs w:val="1"/>
                <w:color w:val="auto"/>
              </w:rPr>
              <w:t>Period</w:t>
            </w:r>
          </w:p>
        </w:tc>
        <w:tc>
          <w:tcPr>
            <w:tcW w:w="1020" w:type="dxa"/>
            <w:vAlign w:val="bottom"/>
          </w:tcPr>
          <w:p>
            <w:pPr>
              <w:jc w:val="right"/>
              <w:ind w:right="336"/>
              <w:spacing w:after="0"/>
              <w:rPr>
                <w:sz w:val="20"/>
                <w:szCs w:val="20"/>
                <w:color w:val="auto"/>
              </w:rPr>
            </w:pPr>
            <w:r>
              <w:rPr>
                <w:rFonts w:ascii="Arial" w:cs="Arial" w:eastAsia="Arial" w:hAnsi="Arial"/>
                <w:sz w:val="10"/>
                <w:szCs w:val="10"/>
                <w:b w:val="1"/>
                <w:bCs w:val="1"/>
                <w:color w:val="auto"/>
              </w:rPr>
              <w:t>Rate</w:t>
            </w:r>
          </w:p>
        </w:tc>
      </w:tr>
      <w:tr>
        <w:trPr>
          <w:trHeight w:val="29"/>
        </w:trPr>
        <w:tc>
          <w:tcPr>
            <w:tcW w:w="100" w:type="dxa"/>
            <w:vAlign w:val="bottom"/>
            <w:tcBorders>
              <w:top w:val="single" w:sz="8" w:color="auto"/>
            </w:tcBorders>
          </w:tcPr>
          <w:p>
            <w:pPr>
              <w:spacing w:after="0"/>
              <w:rPr>
                <w:sz w:val="2"/>
                <w:szCs w:val="2"/>
                <w:color w:val="auto"/>
              </w:rPr>
            </w:pPr>
          </w:p>
        </w:tc>
        <w:tc>
          <w:tcPr>
            <w:tcW w:w="88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47"/>
        </w:trPr>
        <w:tc>
          <w:tcPr>
            <w:tcW w:w="8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Year ended December 31, 2007</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929:1</w:t>
            </w:r>
          </w:p>
        </w:tc>
      </w:tr>
      <w:tr>
        <w:trPr>
          <w:trHeight w:val="147"/>
        </w:trPr>
        <w:tc>
          <w:tcPr>
            <w:tcW w:w="8960" w:type="dxa"/>
            <w:vAlign w:val="bottom"/>
            <w:gridSpan w:val="2"/>
          </w:tcPr>
          <w:p>
            <w:pPr>
              <w:spacing w:after="0" w:line="148" w:lineRule="exact"/>
              <w:rPr>
                <w:sz w:val="20"/>
                <w:szCs w:val="20"/>
                <w:color w:val="auto"/>
              </w:rPr>
            </w:pPr>
            <w:r>
              <w:rPr>
                <w:rFonts w:ascii="Arial" w:cs="Arial" w:eastAsia="Arial" w:hAnsi="Arial"/>
                <w:sz w:val="13"/>
                <w:szCs w:val="13"/>
                <w:color w:val="auto"/>
              </w:rPr>
              <w:t>Year ended December 31, 2008</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1,099:1</w:t>
            </w:r>
          </w:p>
        </w:tc>
      </w:tr>
      <w:tr>
        <w:trPr>
          <w:trHeight w:val="147"/>
        </w:trPr>
        <w:tc>
          <w:tcPr>
            <w:tcW w:w="8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Ten-month period ended October 25,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1,302:1</w:t>
            </w:r>
          </w:p>
        </w:tc>
      </w:tr>
      <w:tr>
        <w:trPr>
          <w:trHeight w:val="147"/>
        </w:trPr>
        <w:tc>
          <w:tcPr>
            <w:tcW w:w="8960" w:type="dxa"/>
            <w:vAlign w:val="bottom"/>
            <w:gridSpan w:val="2"/>
          </w:tcPr>
          <w:p>
            <w:pPr>
              <w:spacing w:after="0" w:line="148" w:lineRule="exact"/>
              <w:rPr>
                <w:sz w:val="20"/>
                <w:szCs w:val="20"/>
                <w:color w:val="auto"/>
              </w:rPr>
            </w:pPr>
            <w:r>
              <w:rPr>
                <w:rFonts w:ascii="Arial" w:cs="Arial" w:eastAsia="Arial" w:hAnsi="Arial"/>
                <w:sz w:val="13"/>
                <w:szCs w:val="13"/>
                <w:color w:val="auto"/>
              </w:rPr>
              <w:t>Two-month period ended December 31, 2009</w:t>
            </w:r>
          </w:p>
        </w:tc>
        <w:tc>
          <w:tcPr>
            <w:tcW w:w="1020" w:type="dxa"/>
            <w:vAlign w:val="bottom"/>
          </w:tcPr>
          <w:p>
            <w:pPr>
              <w:spacing w:after="0"/>
              <w:rPr>
                <w:sz w:val="12"/>
                <w:szCs w:val="12"/>
                <w:color w:val="auto"/>
              </w:rPr>
            </w:pPr>
          </w:p>
        </w:tc>
      </w:tr>
      <w:tr>
        <w:trPr>
          <w:trHeight w:val="147"/>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November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1,172:1</w:t>
            </w:r>
          </w:p>
        </w:tc>
      </w:tr>
      <w:tr>
        <w:trPr>
          <w:trHeight w:val="147"/>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December 2009</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1,165:1</w:t>
            </w:r>
          </w:p>
        </w:tc>
      </w:tr>
      <w:tr>
        <w:trPr>
          <w:trHeight w:val="147"/>
        </w:trPr>
        <w:tc>
          <w:tcPr>
            <w:tcW w:w="8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Three months ended March 29,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1,417:1</w:t>
            </w:r>
          </w:p>
        </w:tc>
      </w:tr>
      <w:tr>
        <w:trPr>
          <w:trHeight w:val="147"/>
        </w:trPr>
        <w:tc>
          <w:tcPr>
            <w:tcW w:w="8960" w:type="dxa"/>
            <w:vAlign w:val="bottom"/>
            <w:gridSpan w:val="2"/>
          </w:tcPr>
          <w:p>
            <w:pPr>
              <w:spacing w:after="0" w:line="148" w:lineRule="exact"/>
              <w:rPr>
                <w:sz w:val="20"/>
                <w:szCs w:val="20"/>
                <w:color w:val="auto"/>
              </w:rPr>
            </w:pPr>
            <w:r>
              <w:rPr>
                <w:rFonts w:ascii="Arial" w:cs="Arial" w:eastAsia="Arial" w:hAnsi="Arial"/>
                <w:sz w:val="13"/>
                <w:szCs w:val="13"/>
                <w:color w:val="auto"/>
              </w:rPr>
              <w:t>Three months ended March 31, 2010</w:t>
            </w:r>
          </w:p>
        </w:tc>
        <w:tc>
          <w:tcPr>
            <w:tcW w:w="1020" w:type="dxa"/>
            <w:vAlign w:val="bottom"/>
          </w:tcPr>
          <w:p>
            <w:pPr>
              <w:spacing w:after="0"/>
              <w:rPr>
                <w:sz w:val="12"/>
                <w:szCs w:val="12"/>
                <w:color w:val="auto"/>
              </w:rPr>
            </w:pPr>
          </w:p>
        </w:tc>
      </w:tr>
      <w:tr>
        <w:trPr>
          <w:trHeight w:val="147"/>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January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1,139:1</w:t>
            </w:r>
          </w:p>
        </w:tc>
      </w:tr>
      <w:tr>
        <w:trPr>
          <w:trHeight w:val="147"/>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February 2010</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1,157:1</w:t>
            </w:r>
          </w:p>
        </w:tc>
      </w:tr>
      <w:tr>
        <w:trPr>
          <w:trHeight w:val="147"/>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March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1,138:1</w:t>
            </w:r>
          </w:p>
        </w:tc>
      </w:tr>
    </w:tbl>
    <w:p>
      <w:pPr>
        <w:spacing w:after="0" w:line="88"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As a result of the depreciation of the Korean won against the U.S. dollar from 2007 to 2008 and from 2008 to 2009, foreign currency fluctuations generally had a materially beneficial impact on our reported profit margins and operating income (loss) from continuing operations for such periods. In contrast, as a result of the appreciation of the Korean won against the U.S. dollar from the three months ended March 29, 2009 to the three months ended March 31, 2010, foreign currency fluctuations had an unfavorable impact on our reported profit margins and operating income (loss) from continuing operations for the current year period. In order to provide more detailed information regarding the impact of foreign currency fluctuations on our results of operations, in our discussion of period to period comparisons under the heading “Results of Operations,” we have included information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regarding the impact of the year-to-year and quarter-to-quarter change in the Korean won/U.S. dollar exchange rate. The information, which is described below as the impact of the depreciation or appreciation of the Korean won against the U.S. dollar, measures the impact in the change in applicable cumulative average exchange rate for the most recent period discussed as compared to the applicable cumulative average exchange rate during the prior period. For net sales that were originally denominated in Korean won, we have compared the applicable cumulative average exchange rate in effect for the prior period against the applicable cumulative average exchange rate for the period in which the sale took place on a transaction-by-transaction basis. For cost of sales and other expenses, we have compared the applicable cumulative average exchange rate during the prior period to the applicable cumulative average exchange rate during the current period and applied that to the amount of our aggregate cost of sales and other expenses for the period that were originally denominated in Korean won. A substantial portion of the net sales recorded at our Korean subsidiary are in U.S. dollars and are converted into Korean won for reporting purposes at the subsidiary level. Although this approach does not reflect the fluctuations of the currency exchange rates for every transaction on a day-to-day basis, we believe that it provides a useful indication of the magnitude of the exchange rate impact for the periods presented.</w:t>
      </w:r>
    </w:p>
    <w:p>
      <w:pPr>
        <w:spacing w:after="0" w:line="217"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and May 2010 our Korean subsidiary entered into foreign currency option and forward contracts in order to mitigate a portion of the impact of U.S. dollar-Korean won exchange rate fluctuations on our operating results. The January 2010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The May 2010 option and forward contracts require us to sell specified notional amounts in U.S. dollars and provide us the option to sell specified notional amounts in U.S. dollars during the months of January 2011 through June 2011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$30 million at the end of a fiscal quarter. For further information regarding the derivative financial instruments, see notes 7 and 19 to our unaudited interim consolidated financial statements for the three months ended March 31, 2010 elsewhere in this prospectus.</w:t>
      </w:r>
    </w:p>
    <w:p>
      <w:pPr>
        <w:spacing w:after="0" w:line="64"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Foreign Currency Gain or Loss. </w:t>
      </w:r>
      <w:r>
        <w:rPr>
          <w:rFonts w:ascii="Arial" w:cs="Arial" w:eastAsia="Arial" w:hAnsi="Arial"/>
          <w:sz w:val="13"/>
          <w:szCs w:val="13"/>
          <w:color w:val="auto"/>
        </w:rPr>
        <w:t>Foreign currency translation gains or losses on transactions by us or our subsidiaries in a currency other than our 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subsidiaries’ functional currency are included in our statements of operations as a component of other income (expense). A substantial portion of this net foreign currency gain or loss relates to non-cash translation gain or loss related to the principal balance of intercompany borrowings at our Korean subsidiary that are denominated in U.S. dollars. This gain or loss results from fluctuations in the exchange rate between the Korean won and U.S. dollar.</w:t>
      </w:r>
    </w:p>
    <w:p>
      <w:pPr>
        <w:spacing w:after="0" w:line="58" w:lineRule="exact"/>
        <w:rPr>
          <w:sz w:val="20"/>
          <w:szCs w:val="20"/>
          <w:color w:val="auto"/>
        </w:rPr>
      </w:pPr>
    </w:p>
    <w:p>
      <w:pPr>
        <w:ind w:left="680" w:right="2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We record our income taxes in each of the tax jurisdictions in which we operate. This process involves using an asset and liability approach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 Our income tax expense has been low in absolute dollars and as a percentage of net sales principally due to the availability of tax loss carry-forwards and we expect such rate to remain low for at least the next few years.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63"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Capital Expenditures. </w:t>
      </w:r>
      <w:r>
        <w:rPr>
          <w:rFonts w:ascii="Arial" w:cs="Arial" w:eastAsia="Arial" w:hAnsi="Arial"/>
          <w:sz w:val="13"/>
          <w:szCs w:val="13"/>
          <w:color w:val="auto"/>
        </w:rPr>
        <w:t>We invest in manufacturing equipment, software design tools and other tangible and intangible assets for capacity expansion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improvement. Capacity expansions and technology improvements typically occur in anticipation of seasonal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58"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Inventories. </w:t>
      </w:r>
      <w:r>
        <w:rPr>
          <w:rFonts w:ascii="Arial" w:cs="Arial" w:eastAsia="Arial" w:hAnsi="Arial"/>
          <w:sz w:val="13"/>
          <w:szCs w:val="13"/>
          <w:color w:val="auto"/>
        </w:rPr>
        <w:t>We monitor our inventory levels in light of product development changes and market expectations. We may be required to take additional charges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63" w:lineRule="exact"/>
        <w:rPr>
          <w:sz w:val="20"/>
          <w:szCs w:val="20"/>
          <w:color w:val="auto"/>
        </w:rPr>
      </w:pPr>
    </w:p>
    <w:p>
      <w:pPr>
        <w:ind w:left="680" w:right="400" w:firstLine="499"/>
        <w:spacing w:after="0" w:line="273" w:lineRule="auto"/>
        <w:rPr>
          <w:sz w:val="20"/>
          <w:szCs w:val="20"/>
          <w:color w:val="auto"/>
        </w:rPr>
      </w:pPr>
      <w:r>
        <w:rPr>
          <w:rFonts w:ascii="Arial" w:cs="Arial" w:eastAsia="Arial" w:hAnsi="Arial"/>
          <w:sz w:val="13"/>
          <w:szCs w:val="13"/>
          <w:b w:val="1"/>
          <w:bCs w:val="1"/>
          <w:i w:val="1"/>
          <w:iCs w:val="1"/>
          <w:color w:val="auto"/>
        </w:rPr>
        <w:t xml:space="preserve">Principles of Consolidation. </w:t>
      </w:r>
      <w:r>
        <w:rPr>
          <w:rFonts w:ascii="Arial" w:cs="Arial" w:eastAsia="Arial" w:hAnsi="Arial"/>
          <w:sz w:val="13"/>
          <w:szCs w:val="13"/>
          <w:color w:val="auto"/>
        </w:rPr>
        <w:t>Our consolidated financial statements include the accounts of our company and our wholly-owned subsidiaries. All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intercompany transactions and balances are eliminated in consolidation.</w:t>
      </w:r>
    </w:p>
    <w:p>
      <w:pPr>
        <w:spacing w:after="0" w:line="43" w:lineRule="exact"/>
        <w:rPr>
          <w:sz w:val="20"/>
          <w:szCs w:val="20"/>
          <w:color w:val="auto"/>
        </w:rPr>
      </w:pPr>
    </w:p>
    <w:p>
      <w:pPr>
        <w:jc w:val="both"/>
        <w:ind w:left="680" w:right="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Segments. </w:t>
      </w:r>
      <w:r>
        <w:rPr>
          <w:rFonts w:ascii="Arial" w:cs="Arial" w:eastAsia="Arial" w:hAnsi="Arial"/>
          <w:sz w:val="13"/>
          <w:szCs w:val="13"/>
          <w:color w:val="auto"/>
        </w:rPr>
        <w:t>We operate in three segments: Display Solutions, Power Solutions and Semiconductor Manufacturing Services. Our Power Solutions segment began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generate net sales in the second quarter of 2008. Net sales and gross profit for the All other category primarily relate to certain business activities that do not constitute operating or reportable segments.</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for the periods indicated, certain information related to our operations, expressed in U.S. dollars and as a percentage of our net sales:</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3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Arial" w:cs="Arial" w:eastAsia="Arial" w:hAnsi="Arial"/>
                <w:sz w:val="8"/>
                <w:szCs w:val="8"/>
                <w:b w:val="1"/>
                <w:bCs w:val="1"/>
                <w:color w:val="auto"/>
              </w:rPr>
              <w:t>Successor</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8"/>
                <w:szCs w:val="8"/>
                <w:b w:val="1"/>
                <w:bCs w:val="1"/>
                <w:color w:val="auto"/>
                <w:w w:val="96"/>
              </w:rPr>
              <w:t>Predecessor Company</w:t>
            </w: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tcPr>
          <w:p>
            <w:pPr>
              <w:jc w:val="right"/>
              <w:ind w:right="14"/>
              <w:spacing w:after="0" w:line="79" w:lineRule="exact"/>
              <w:rPr>
                <w:sz w:val="20"/>
                <w:szCs w:val="20"/>
                <w:color w:val="auto"/>
              </w:rPr>
            </w:pPr>
            <w:r>
              <w:rPr>
                <w:rFonts w:ascii="Arial" w:cs="Arial" w:eastAsia="Arial" w:hAnsi="Arial"/>
                <w:sz w:val="8"/>
                <w:szCs w:val="8"/>
                <w:b w:val="1"/>
                <w:bCs w:val="1"/>
                <w:color w:val="auto"/>
              </w:rPr>
              <w:t>Company</w:t>
            </w:r>
          </w:p>
        </w:tc>
        <w:tc>
          <w:tcPr>
            <w:tcW w:w="2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tcPr>
          <w:p>
            <w:pPr>
              <w:jc w:val="center"/>
              <w:ind w:left="121"/>
              <w:spacing w:after="0" w:line="79" w:lineRule="exact"/>
              <w:rPr>
                <w:sz w:val="20"/>
                <w:szCs w:val="20"/>
                <w:color w:val="auto"/>
              </w:rPr>
            </w:pPr>
            <w:r>
              <w:rPr>
                <w:rFonts w:ascii="Arial" w:cs="Arial" w:eastAsia="Arial" w:hAnsi="Arial"/>
                <w:sz w:val="8"/>
                <w:szCs w:val="8"/>
                <w:b w:val="1"/>
                <w:bCs w:val="1"/>
                <w:color w:val="auto"/>
                <w:w w:val="97"/>
              </w:rPr>
              <w:t>Ten-Month</w:t>
            </w: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4"/>
          </w:tcPr>
          <w:p>
            <w:pPr>
              <w:jc w:val="center"/>
              <w:ind w:right="380"/>
              <w:spacing w:after="0" w:line="66"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860" w:type="dxa"/>
            <w:vAlign w:val="bottom"/>
            <w:gridSpan w:val="3"/>
          </w:tcPr>
          <w:p>
            <w:pPr>
              <w:jc w:val="center"/>
              <w:ind w:right="41"/>
              <w:spacing w:after="0" w:line="66" w:lineRule="exact"/>
              <w:rPr>
                <w:sz w:val="20"/>
                <w:szCs w:val="20"/>
                <w:color w:val="auto"/>
              </w:rPr>
            </w:pPr>
            <w:r>
              <w:rPr>
                <w:rFonts w:ascii="Arial" w:cs="Arial" w:eastAsia="Arial" w:hAnsi="Arial"/>
                <w:sz w:val="7"/>
                <w:szCs w:val="7"/>
                <w:b w:val="1"/>
                <w:bCs w:val="1"/>
                <w:color w:val="auto"/>
              </w:rPr>
              <w:t>Two-Month</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tcPr>
          <w:p>
            <w:pPr>
              <w:jc w:val="center"/>
              <w:ind w:left="121"/>
              <w:spacing w:after="0" w:line="66" w:lineRule="exact"/>
              <w:rPr>
                <w:sz w:val="20"/>
                <w:szCs w:val="20"/>
                <w:color w:val="auto"/>
              </w:rPr>
            </w:pPr>
            <w:r>
              <w:rPr>
                <w:rFonts w:ascii="Arial" w:cs="Arial" w:eastAsia="Arial" w:hAnsi="Arial"/>
                <w:sz w:val="7"/>
                <w:szCs w:val="7"/>
                <w:b w:val="1"/>
                <w:bCs w:val="1"/>
                <w:color w:val="auto"/>
              </w:rPr>
              <w:t>Period</w:t>
            </w: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jc w:val="center"/>
              <w:spacing w:after="0" w:line="89" w:lineRule="exact"/>
              <w:rPr>
                <w:sz w:val="20"/>
                <w:szCs w:val="20"/>
                <w:color w:val="auto"/>
              </w:rPr>
            </w:pPr>
            <w:r>
              <w:rPr>
                <w:rFonts w:ascii="Arial" w:cs="Arial" w:eastAsia="Arial" w:hAnsi="Arial"/>
                <w:sz w:val="8"/>
                <w:szCs w:val="8"/>
                <w:b w:val="1"/>
                <w:bCs w:val="1"/>
                <w:color w:val="auto"/>
              </w:rPr>
              <w:t>Ended</w:t>
            </w: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center"/>
              <w:ind w:left="181"/>
              <w:spacing w:after="0" w:line="89" w:lineRule="exact"/>
              <w:rPr>
                <w:sz w:val="20"/>
                <w:szCs w:val="20"/>
                <w:color w:val="auto"/>
              </w:rPr>
            </w:pPr>
            <w:r>
              <w:rPr>
                <w:rFonts w:ascii="Arial" w:cs="Arial" w:eastAsia="Arial" w:hAnsi="Arial"/>
                <w:sz w:val="8"/>
                <w:szCs w:val="8"/>
                <w:b w:val="1"/>
                <w:bCs w:val="1"/>
                <w:color w:val="auto"/>
                <w:w w:val="96"/>
              </w:rPr>
              <w:t>Period</w:t>
            </w: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tcPr>
          <w:p>
            <w:pPr>
              <w:jc w:val="center"/>
              <w:ind w:left="121"/>
              <w:spacing w:after="0" w:line="89" w:lineRule="exact"/>
              <w:rPr>
                <w:sz w:val="20"/>
                <w:szCs w:val="20"/>
                <w:color w:val="auto"/>
              </w:rPr>
            </w:pPr>
            <w:r>
              <w:rPr>
                <w:rFonts w:ascii="Arial" w:cs="Arial" w:eastAsia="Arial" w:hAnsi="Arial"/>
                <w:sz w:val="8"/>
                <w:szCs w:val="8"/>
                <w:b w:val="1"/>
                <w:bCs w:val="1"/>
                <w:color w:val="auto"/>
                <w:w w:val="97"/>
              </w:rPr>
              <w:t>Ended</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3"/>
          </w:tcPr>
          <w:p>
            <w:pPr>
              <w:jc w:val="center"/>
              <w:ind w:right="50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gridSpan w:val="5"/>
          </w:tcPr>
          <w:p>
            <w:pPr>
              <w:jc w:val="right"/>
              <w:ind w:right="440"/>
              <w:spacing w:after="0" w:line="89" w:lineRule="exact"/>
              <w:rPr>
                <w:sz w:val="20"/>
                <w:szCs w:val="20"/>
                <w:color w:val="auto"/>
              </w:rPr>
            </w:pPr>
            <w:r>
              <w:rPr>
                <w:rFonts w:ascii="Arial" w:cs="Arial" w:eastAsia="Arial" w:hAnsi="Arial"/>
                <w:sz w:val="8"/>
                <w:szCs w:val="8"/>
                <w:b w:val="1"/>
                <w:bCs w:val="1"/>
                <w:color w:val="auto"/>
              </w:rPr>
              <w:t>Years Ended</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8"/>
                <w:szCs w:val="8"/>
                <w:color w:val="auto"/>
              </w:rPr>
            </w:pPr>
          </w:p>
        </w:tc>
        <w:tc>
          <w:tcPr>
            <w:tcW w:w="106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8"/>
                <w:szCs w:val="8"/>
                <w:b w:val="1"/>
                <w:bCs w:val="1"/>
                <w:color w:val="auto"/>
                <w:w w:val="99"/>
              </w:rPr>
              <w:t>Ended December 31,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8"/>
                <w:szCs w:val="8"/>
                <w:b w:val="1"/>
                <w:bCs w:val="1"/>
                <w:color w:val="auto"/>
                <w:w w:val="99"/>
              </w:rPr>
              <w:t>October 25,</w:t>
            </w:r>
          </w:p>
        </w:tc>
        <w:tc>
          <w:tcPr>
            <w:tcW w:w="80" w:type="dxa"/>
            <w:vAlign w:val="bottom"/>
          </w:tcPr>
          <w:p>
            <w:pPr>
              <w:spacing w:after="0"/>
              <w:rPr>
                <w:sz w:val="8"/>
                <w:szCs w:val="8"/>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8"/>
                <w:szCs w:val="8"/>
                <w:b w:val="1"/>
                <w:bCs w:val="1"/>
                <w:color w:val="auto"/>
              </w:rPr>
              <w:t>December 31,</w:t>
            </w: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center"/>
              <w:ind w:left="181"/>
              <w:spacing w:after="0" w:line="79" w:lineRule="exact"/>
              <w:rPr>
                <w:sz w:val="20"/>
                <w:szCs w:val="20"/>
                <w:color w:val="auto"/>
              </w:rPr>
            </w:pPr>
            <w:r>
              <w:rPr>
                <w:rFonts w:ascii="Arial" w:cs="Arial" w:eastAsia="Arial" w:hAnsi="Arial"/>
                <w:sz w:val="8"/>
                <w:szCs w:val="8"/>
                <w:b w:val="1"/>
                <w:bCs w:val="1"/>
                <w:color w:val="auto"/>
              </w:rPr>
              <w:t>2010</w:t>
            </w:r>
          </w:p>
        </w:tc>
        <w:tc>
          <w:tcPr>
            <w:tcW w:w="3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jc w:val="center"/>
              <w:ind w:left="201"/>
              <w:spacing w:after="0" w:line="79" w:lineRule="exact"/>
              <w:rPr>
                <w:sz w:val="20"/>
                <w:szCs w:val="20"/>
                <w:color w:val="auto"/>
              </w:rPr>
            </w:pPr>
            <w:r>
              <w:rPr>
                <w:rFonts w:ascii="Arial" w:cs="Arial" w:eastAsia="Arial" w:hAnsi="Arial"/>
                <w:sz w:val="8"/>
                <w:szCs w:val="8"/>
                <w:b w:val="1"/>
                <w:bCs w:val="1"/>
                <w:color w:val="auto"/>
              </w:rPr>
              <w:t>2009</w:t>
            </w: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jc w:val="center"/>
              <w:ind w:left="121"/>
              <w:spacing w:after="0" w:line="79" w:lineRule="exact"/>
              <w:rPr>
                <w:sz w:val="20"/>
                <w:szCs w:val="20"/>
                <w:color w:val="auto"/>
              </w:rPr>
            </w:pPr>
            <w:r>
              <w:rPr>
                <w:rFonts w:ascii="Arial" w:cs="Arial" w:eastAsia="Arial" w:hAnsi="Arial"/>
                <w:sz w:val="8"/>
                <w:szCs w:val="8"/>
                <w:b w:val="1"/>
                <w:bCs w:val="1"/>
                <w:color w:val="auto"/>
                <w:w w:val="89"/>
              </w:rPr>
              <w:t>2009</w:t>
            </w:r>
          </w:p>
        </w:tc>
        <w:tc>
          <w:tcPr>
            <w:tcW w:w="2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center"/>
              <w:ind w:left="241"/>
              <w:spacing w:after="0" w:line="79" w:lineRule="exact"/>
              <w:rPr>
                <w:sz w:val="20"/>
                <w:szCs w:val="20"/>
                <w:color w:val="auto"/>
              </w:rPr>
            </w:pPr>
            <w:r>
              <w:rPr>
                <w:rFonts w:ascii="Arial" w:cs="Arial" w:eastAsia="Arial" w:hAnsi="Arial"/>
                <w:sz w:val="8"/>
                <w:szCs w:val="8"/>
                <w:b w:val="1"/>
                <w:bCs w:val="1"/>
                <w:color w:val="auto"/>
                <w:w w:val="89"/>
              </w:rPr>
              <w:t>2009</w:t>
            </w:r>
          </w:p>
        </w:tc>
        <w:tc>
          <w:tcPr>
            <w:tcW w:w="3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60"/>
              <w:spacing w:after="0" w:line="79" w:lineRule="exact"/>
              <w:rPr>
                <w:sz w:val="20"/>
                <w:szCs w:val="20"/>
                <w:color w:val="auto"/>
              </w:rPr>
            </w:pPr>
            <w:r>
              <w:rPr>
                <w:rFonts w:ascii="Arial" w:cs="Arial" w:eastAsia="Arial" w:hAnsi="Arial"/>
                <w:sz w:val="8"/>
                <w:szCs w:val="8"/>
                <w:b w:val="1"/>
                <w:bCs w:val="1"/>
                <w:color w:val="auto"/>
              </w:rPr>
              <w:t>2008</w:t>
            </w:r>
          </w:p>
        </w:tc>
        <w:tc>
          <w:tcPr>
            <w:tcW w:w="3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40"/>
              <w:spacing w:after="0" w:line="79" w:lineRule="exact"/>
              <w:rPr>
                <w:sz w:val="20"/>
                <w:szCs w:val="20"/>
                <w:color w:val="auto"/>
              </w:rPr>
            </w:pPr>
            <w:r>
              <w:rPr>
                <w:rFonts w:ascii="Arial" w:cs="Arial" w:eastAsia="Arial" w:hAnsi="Arial"/>
                <w:sz w:val="8"/>
                <w:szCs w:val="8"/>
                <w:b w:val="1"/>
                <w:bCs w:val="1"/>
                <w:color w:val="auto"/>
              </w:rPr>
              <w:t>2007</w:t>
            </w:r>
          </w:p>
        </w:tc>
        <w:tc>
          <w:tcPr>
            <w:tcW w:w="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jc w:val="right"/>
              <w:ind w:right="81"/>
              <w:spacing w:after="0" w:line="66" w:lineRule="exact"/>
              <w:rPr>
                <w:sz w:val="20"/>
                <w:szCs w:val="20"/>
                <w:color w:val="auto"/>
              </w:rPr>
            </w:pPr>
            <w:r>
              <w:rPr>
                <w:rFonts w:ascii="Arial" w:cs="Arial" w:eastAsia="Arial" w:hAnsi="Arial"/>
                <w:sz w:val="7"/>
                <w:szCs w:val="7"/>
                <w:b w:val="1"/>
                <w:bCs w:val="1"/>
                <w:color w:val="auto"/>
              </w:rPr>
              <w:t>%of</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jc w:val="right"/>
              <w:ind w:right="81"/>
              <w:spacing w:after="0" w:line="66" w:lineRule="exact"/>
              <w:rPr>
                <w:sz w:val="20"/>
                <w:szCs w:val="20"/>
                <w:color w:val="auto"/>
              </w:rPr>
            </w:pPr>
            <w:r>
              <w:rPr>
                <w:rFonts w:ascii="Arial" w:cs="Arial" w:eastAsia="Arial" w:hAnsi="Arial"/>
                <w:sz w:val="7"/>
                <w:szCs w:val="7"/>
                <w:b w:val="1"/>
                <w:bCs w:val="1"/>
                <w:color w:val="auto"/>
              </w:rPr>
              <w:t>%of</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jc w:val="right"/>
              <w:ind w:right="101"/>
              <w:spacing w:after="0" w:line="66" w:lineRule="exact"/>
              <w:rPr>
                <w:sz w:val="20"/>
                <w:szCs w:val="20"/>
                <w:color w:val="auto"/>
              </w:rPr>
            </w:pPr>
            <w:r>
              <w:rPr>
                <w:rFonts w:ascii="Arial" w:cs="Arial" w:eastAsia="Arial" w:hAnsi="Arial"/>
                <w:sz w:val="7"/>
                <w:szCs w:val="7"/>
                <w:b w:val="1"/>
                <w:bCs w:val="1"/>
                <w:color w:val="auto"/>
                <w:w w:val="93"/>
              </w:rPr>
              <w:t>%of</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jc w:val="right"/>
              <w:ind w:right="81"/>
              <w:spacing w:after="0" w:line="66"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ind w:left="60"/>
              <w:spacing w:after="0" w:line="66" w:lineRule="exact"/>
              <w:rPr>
                <w:sz w:val="20"/>
                <w:szCs w:val="20"/>
                <w:color w:val="auto"/>
              </w:rPr>
            </w:pPr>
            <w:r>
              <w:rPr>
                <w:rFonts w:ascii="Arial" w:cs="Arial" w:eastAsia="Arial" w:hAnsi="Arial"/>
                <w:sz w:val="7"/>
                <w:szCs w:val="7"/>
                <w:b w:val="1"/>
                <w:bCs w:val="1"/>
                <w:color w:val="auto"/>
              </w:rPr>
              <w:t>%of</w:t>
            </w:r>
          </w:p>
        </w:tc>
        <w:tc>
          <w:tcPr>
            <w:tcW w:w="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1"/>
              <w:spacing w:after="0"/>
              <w:rPr>
                <w:sz w:val="20"/>
                <w:szCs w:val="20"/>
                <w:color w:val="auto"/>
              </w:rPr>
            </w:pPr>
            <w:r>
              <w:rPr>
                <w:rFonts w:ascii="Arial" w:cs="Arial" w:eastAsia="Arial" w:hAnsi="Arial"/>
                <w:sz w:val="8"/>
                <w:szCs w:val="8"/>
                <w:b w:val="1"/>
                <w:bCs w:val="1"/>
                <w:color w:val="auto"/>
              </w:rPr>
              <w:t>Amount</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Amount</w:t>
            </w:r>
          </w:p>
        </w:tc>
        <w:tc>
          <w:tcPr>
            <w:tcW w:w="5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Amount</w:t>
            </w:r>
          </w:p>
        </w:tc>
        <w:tc>
          <w:tcPr>
            <w:tcW w:w="46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480" w:type="dxa"/>
            <w:vAlign w:val="bottom"/>
            <w:gridSpan w:val="2"/>
          </w:tcPr>
          <w:p>
            <w:pPr>
              <w:jc w:val="right"/>
              <w:ind w:right="61"/>
              <w:spacing w:after="0"/>
              <w:rPr>
                <w:sz w:val="20"/>
                <w:szCs w:val="20"/>
                <w:color w:val="auto"/>
              </w:rPr>
            </w:pPr>
            <w:r>
              <w:rPr>
                <w:rFonts w:ascii="Arial" w:cs="Arial" w:eastAsia="Arial" w:hAnsi="Arial"/>
                <w:sz w:val="8"/>
                <w:szCs w:val="8"/>
                <w:b w:val="1"/>
                <w:bCs w:val="1"/>
                <w:color w:val="auto"/>
              </w:rPr>
              <w:t>Amount</w:t>
            </w:r>
          </w:p>
        </w:tc>
        <w:tc>
          <w:tcPr>
            <w:tcW w:w="54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Amount</w:t>
            </w:r>
          </w:p>
        </w:tc>
        <w:tc>
          <w:tcPr>
            <w:tcW w:w="52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6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Amount</w:t>
            </w:r>
          </w:p>
        </w:tc>
        <w:tc>
          <w:tcPr>
            <w:tcW w:w="460" w:type="dxa"/>
            <w:vAlign w:val="bottom"/>
            <w:gridSpan w:val="3"/>
          </w:tcPr>
          <w:p>
            <w:pPr>
              <w:ind w:left="120"/>
              <w:spacing w:after="0"/>
              <w:rPr>
                <w:sz w:val="20"/>
                <w:szCs w:val="20"/>
                <w:color w:val="auto"/>
              </w:rPr>
            </w:pPr>
            <w:r>
              <w:rPr>
                <w:rFonts w:ascii="Arial" w:cs="Arial" w:eastAsia="Arial" w:hAnsi="Arial"/>
                <w:sz w:val="8"/>
                <w:szCs w:val="8"/>
                <w:b w:val="1"/>
                <w:bCs w:val="1"/>
                <w:color w:val="auto"/>
                <w:w w:val="93"/>
              </w:rPr>
              <w:t>net sales</w:t>
            </w: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w w:val="97"/>
              </w:rPr>
              <w:t>(In millions)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Consolidated statements of operations data:</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Net sales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w w:val="99"/>
              </w:rPr>
              <w:t>179.5</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1"/>
                <w:szCs w:val="11"/>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Cost of sales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w w:val="99"/>
              </w:rPr>
              <w:t>130.1</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72.5</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90.4</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311.1</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69.3</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80.6</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79.4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445.3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74.0</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578.9</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81.6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Gross profit</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49.4</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27.5</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20.7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137.8</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30.7</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20.9</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20.6</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156.4</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26.0</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130.7</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Selling, general and administrative expenses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17.9</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10.0</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14.5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56.3</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12.5</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15.3</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81.3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13.5</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82.7</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Research and development expenses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20.5</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11.4</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14.7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56.1</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12.5</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17.0</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16.7</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89.5</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14.9</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90.8</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Restructuring and impairment charges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0.3</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0.2</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0.4</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0.1</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13.4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12.1</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Operating income (loss) from continuing operations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10.6</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5.9</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(8.6)</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25.0</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5.6</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(11.4)</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(11.3)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(27.7)</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(4.6)</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(54.9)</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Interest expense,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(2.0)</w:t>
            </w:r>
          </w:p>
        </w:tc>
        <w:tc>
          <w:tcPr>
            <w:tcW w:w="60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(1.3)</w:t>
            </w:r>
          </w:p>
        </w:tc>
        <w:tc>
          <w:tcPr>
            <w:tcW w:w="52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(31.2)</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(14.7)</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(76.1)</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(12.7)</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(60.3)</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(8.5)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Foreign currency gain (loss), net</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21.6</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12.0</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9.3</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43.4</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9.7</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(40.2)</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(210.4)</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(35.0)</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(4.7)</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Reorganization items,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804.6</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179.2</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20"/>
                <w:szCs w:val="20"/>
                <w:color w:val="auto"/>
              </w:rPr>
            </w:pPr>
            <w:r>
              <w:rPr>
                <w:rFonts w:ascii="Arial" w:cs="Arial" w:eastAsia="Arial" w:hAnsi="Arial"/>
                <w:sz w:val="8"/>
                <w:szCs w:val="8"/>
                <w:color w:val="auto"/>
              </w:rPr>
              <w:t>Others</w:t>
            </w:r>
          </w:p>
        </w:tc>
        <w:tc>
          <w:tcPr>
            <w:tcW w:w="80" w:type="dxa"/>
            <w:vAlign w:val="bottom"/>
          </w:tcPr>
          <w:p>
            <w:pPr>
              <w:spacing w:after="0"/>
              <w:rPr>
                <w:sz w:val="11"/>
                <w:szCs w:val="11"/>
                <w:color w:val="auto"/>
              </w:rPr>
            </w:pPr>
          </w:p>
        </w:tc>
        <w:tc>
          <w:tcPr>
            <w:tcW w:w="520" w:type="dxa"/>
            <w:vAlign w:val="bottom"/>
            <w:gridSpan w:val="2"/>
          </w:tcPr>
          <w:p>
            <w:pPr>
              <w:jc w:val="right"/>
              <w:ind w:right="221"/>
              <w:spacing w:after="0"/>
              <w:rPr>
                <w:sz w:val="20"/>
                <w:szCs w:val="20"/>
                <w:color w:val="auto"/>
              </w:rPr>
            </w:pPr>
            <w:r>
              <w:rPr>
                <w:rFonts w:ascii="Arial" w:cs="Arial" w:eastAsia="Arial" w:hAnsi="Arial"/>
                <w:sz w:val="8"/>
                <w:szCs w:val="8"/>
                <w:color w:val="auto"/>
              </w:rPr>
              <w:t>(0.1)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19.5</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10.9</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8.1</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816.8</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181.9</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(54.9)</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(286.5)</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(47.6)</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(65.0)</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(9.2)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Income (loss) continuing operations before income taxes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30.1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16.8</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841.8</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187.5</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(66.3)</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(65.3)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(314.3)</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(52.2)</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(120.0)</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(16.9)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tax expenses (benefits)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(1.0)</w:t>
            </w:r>
          </w:p>
        </w:tc>
        <w:tc>
          <w:tcPr>
            <w:tcW w:w="60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(0.6)</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1.9</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7.3</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1.6</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2.6</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11.6</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Income (loss) from continuing operations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31.1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17.3</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(2.5)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834.5</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185.9</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(68.9)</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(67.9)</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(325.8)</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(54.2)</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(128.8)</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(18.2)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(loss) from discontinued operations, net of taxes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6.6</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(91.5)</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(15.2)</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(51.7)</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00" w:type="dxa"/>
            <w:vAlign w:val="bottom"/>
          </w:tcPr>
          <w:p>
            <w:pPr>
              <w:spacing w:after="0"/>
              <w:rPr>
                <w:sz w:val="20"/>
                <w:szCs w:val="20"/>
                <w:color w:val="auto"/>
              </w:rPr>
            </w:pPr>
            <w:r>
              <w:rPr>
                <w:rFonts w:ascii="Arial" w:cs="Arial" w:eastAsia="Arial" w:hAnsi="Arial"/>
                <w:sz w:val="8"/>
                <w:szCs w:val="8"/>
                <w:color w:val="auto"/>
              </w:rPr>
              <w:t>Net income (loss)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31.1</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17.3%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(2.0)</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(1.8)%</w:t>
            </w:r>
          </w:p>
        </w:tc>
        <w:tc>
          <w:tcPr>
            <w:tcW w:w="80" w:type="dxa"/>
            <w:vAlign w:val="bottom"/>
          </w:tcPr>
          <w:p>
            <w:pPr>
              <w:spacing w:after="0"/>
              <w:rPr>
                <w:sz w:val="11"/>
                <w:szCs w:val="11"/>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841.1</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187.3%</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(69.7)</w:t>
            </w: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(68.7)%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(417.3)</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(69.4)%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(180.6)</w:t>
            </w:r>
          </w:p>
        </w:tc>
        <w:tc>
          <w:tcPr>
            <w:tcW w:w="420" w:type="dxa"/>
            <w:vAlign w:val="bottom"/>
            <w:gridSpan w:val="2"/>
          </w:tcPr>
          <w:p>
            <w:pPr>
              <w:jc w:val="right"/>
              <w:spacing w:after="0"/>
              <w:rPr>
                <w:sz w:val="20"/>
                <w:szCs w:val="20"/>
                <w:color w:val="auto"/>
              </w:rPr>
            </w:pPr>
            <w:r>
              <w:rPr>
                <w:rFonts w:ascii="Arial" w:cs="Arial" w:eastAsia="Arial" w:hAnsi="Arial"/>
                <w:sz w:val="8"/>
                <w:szCs w:val="8"/>
                <w:color w:val="auto"/>
              </w:rPr>
              <w:t>(25.4)%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3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Sales:</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Display Solutions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76.7</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42.8%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51.0</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1"/>
                <w:szCs w:val="11"/>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231.9</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51.6%</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59.6</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58.8%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304.1</w:t>
            </w:r>
          </w:p>
        </w:tc>
        <w:tc>
          <w:tcPr>
            <w:tcW w:w="520" w:type="dxa"/>
            <w:vAlign w:val="bottom"/>
            <w:gridSpan w:val="2"/>
          </w:tcPr>
          <w:p>
            <w:pPr>
              <w:jc w:val="right"/>
              <w:ind w:right="140"/>
              <w:spacing w:after="0"/>
              <w:rPr>
                <w:sz w:val="20"/>
                <w:szCs w:val="20"/>
                <w:color w:val="auto"/>
              </w:rPr>
            </w:pPr>
            <w:r>
              <w:rPr>
                <w:rFonts w:ascii="Arial" w:cs="Arial" w:eastAsia="Arial" w:hAnsi="Arial"/>
                <w:sz w:val="8"/>
                <w:szCs w:val="8"/>
                <w:color w:val="auto"/>
              </w:rPr>
              <w:t>50.5%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331.7</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46.7%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Power Solutions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9.0</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5.0</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4.7</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4.3</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7.6</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0.9</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5.4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Semiconductor Manufacturing Services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93.2</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51.9</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54.8</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49.3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206.7</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40.1</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287.1</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47.7</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321.0</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45.2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All other</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0.5</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0.3</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2.8</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0.6</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5.0</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0.8</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56.8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w w:val="99"/>
              </w:rPr>
              <w:t>179.5</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2"/>
                <w:szCs w:val="12"/>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-2202815</wp:posOffset>
            </wp:positionV>
            <wp:extent cx="635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-2202815</wp:posOffset>
            </wp:positionV>
            <wp:extent cx="635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00"/>
          </w:cols>
          <w:pgMar w:left="220" w:top="343" w:right="97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Three Months ended March 31, 2010 and March 29, 2009</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three months ended March 31, 2010 and March 29,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rPr>
              <w:t>Company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rPr>
              <w:t>Predecessor Company</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5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4"/>
          </w:tcPr>
          <w:p>
            <w:pPr>
              <w:jc w:val="center"/>
              <w:ind w:right="88"/>
              <w:spacing w:after="0" w:line="100" w:lineRule="exact"/>
              <w:rPr>
                <w:sz w:val="20"/>
                <w:szCs w:val="20"/>
                <w:color w:val="auto"/>
              </w:rPr>
            </w:pPr>
            <w:r>
              <w:rPr>
                <w:rFonts w:ascii="Arial" w:cs="Arial" w:eastAsia="Arial" w:hAnsi="Arial"/>
                <w:sz w:val="10"/>
                <w:szCs w:val="10"/>
                <w:b w:val="1"/>
                <w:bCs w:val="1"/>
                <w:color w:val="auto"/>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8"/>
              <w:spacing w:after="0" w:line="100" w:lineRule="exact"/>
              <w:rPr>
                <w:sz w:val="20"/>
                <w:szCs w:val="20"/>
                <w:color w:val="auto"/>
              </w:rPr>
            </w:pPr>
            <w:r>
              <w:rPr>
                <w:rFonts w:ascii="Arial" w:cs="Arial" w:eastAsia="Arial" w:hAnsi="Arial"/>
                <w:sz w:val="10"/>
                <w:szCs w:val="10"/>
                <w:b w:val="1"/>
                <w:bCs w:val="1"/>
                <w:color w:val="auto"/>
              </w:rPr>
              <w:t>Three Months</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March 29,</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right="488"/>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0"/>
                <w:szCs w:val="10"/>
                <w:b w:val="1"/>
                <w:bCs w:val="1"/>
                <w:color w:val="auto"/>
              </w:rPr>
              <w:t>2009</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5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8"/>
              <w:spacing w:after="0" w:line="100" w:lineRule="exact"/>
              <w:rPr>
                <w:sz w:val="20"/>
                <w:szCs w:val="20"/>
                <w:color w:val="auto"/>
              </w:rPr>
            </w:pPr>
            <w:r>
              <w:rPr>
                <w:rFonts w:ascii="Arial" w:cs="Arial" w:eastAsia="Arial" w:hAnsi="Arial"/>
                <w:sz w:val="10"/>
                <w:szCs w:val="10"/>
                <w:b w:val="1"/>
                <w:bCs w:val="1"/>
                <w:color w:val="auto"/>
              </w:rPr>
              <w:t>%of</w:t>
            </w:r>
          </w:p>
        </w:tc>
        <w:tc>
          <w:tcPr>
            <w:tcW w:w="34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net sales</w:t>
            </w:r>
          </w:p>
        </w:tc>
        <w:tc>
          <w:tcPr>
            <w:tcW w:w="5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b w:val="1"/>
                <w:bCs w:val="1"/>
                <w:color w:val="auto"/>
                <w:w w:val="96"/>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Net sales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179.5</w:t>
            </w:r>
          </w:p>
        </w:tc>
        <w:tc>
          <w:tcPr>
            <w:tcW w:w="104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101.5</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Cost of sales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130.1</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72.5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80.6</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79.4</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Gross profit</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49.4</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20.9</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rPr>
              <w:t>20.6</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Selling, general and administrative expenses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17.9</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15.3</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15.1</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 expenses</w:t>
            </w: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20.5</w:t>
            </w: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17.0</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rPr>
              <w:t>16.7</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Restructuring and impairment charges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0.3</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0.1</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0.1</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Operating 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5.9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(11.4)</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(11.3)</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22.0</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Interest expense, net</w:t>
            </w:r>
          </w:p>
        </w:tc>
        <w:tc>
          <w:tcPr>
            <w:tcW w:w="14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(2.0)</w:t>
            </w:r>
          </w:p>
        </w:tc>
        <w:tc>
          <w:tcPr>
            <w:tcW w:w="10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(14.7)</w:t>
            </w:r>
          </w:p>
        </w:tc>
        <w:tc>
          <w:tcPr>
            <w:tcW w:w="14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0"/>
                <w:szCs w:val="10"/>
                <w:color w:val="auto"/>
              </w:rPr>
              <w:t>(14.4)</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12.6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Foreign currency gain (loss), net</w:t>
            </w: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21.6</w:t>
            </w: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(40.2)</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(39.6)</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61.8</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Reorganization items, net</w:t>
            </w:r>
          </w:p>
        </w:tc>
        <w:tc>
          <w:tcPr>
            <w:tcW w:w="14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Others</w:t>
            </w: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(0.1)</w:t>
            </w:r>
          </w:p>
        </w:tc>
        <w:tc>
          <w:tcPr>
            <w:tcW w:w="240" w:type="dxa"/>
            <w:vAlign w:val="bottom"/>
            <w:shd w:val="clear" w:color="auto" w:fill="CCEEFF"/>
          </w:tcPr>
          <w:p>
            <w:pPr>
              <w:spacing w:after="0"/>
              <w:rPr>
                <w:sz w:val="10"/>
                <w:szCs w:val="10"/>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19.5</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10.9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(54.9)</w:t>
            </w:r>
          </w:p>
        </w:tc>
        <w:tc>
          <w:tcPr>
            <w:tcW w:w="14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0"/>
                <w:szCs w:val="10"/>
                <w:color w:val="auto"/>
              </w:rPr>
              <w:t>(54.1)</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74.4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Income (loss) continuing operations before income taxes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16.8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(66.3)</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(65.3)</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96.4</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Income tax expenses (benefits)</w:t>
            </w:r>
          </w:p>
        </w:tc>
        <w:tc>
          <w:tcPr>
            <w:tcW w:w="14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(1.0)</w:t>
            </w:r>
          </w:p>
        </w:tc>
        <w:tc>
          <w:tcPr>
            <w:tcW w:w="10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2.6</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2.6</w:t>
            </w:r>
          </w:p>
        </w:tc>
        <w:tc>
          <w:tcPr>
            <w:tcW w:w="14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(68.9)</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(67.9)</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Income (loss) from discontinued operations, net of taxes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(69.7)</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(68.7)%</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100.8</w:t>
            </w: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Company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5"/>
          </w:tcPr>
          <w:p>
            <w:pPr>
              <w:jc w:val="center"/>
              <w:ind w:right="440"/>
              <w:spacing w:after="0"/>
              <w:rPr>
                <w:sz w:val="20"/>
                <w:szCs w:val="20"/>
                <w:color w:val="auto"/>
              </w:rPr>
            </w:pPr>
            <w:r>
              <w:rPr>
                <w:rFonts w:ascii="Arial" w:cs="Arial" w:eastAsia="Arial" w:hAnsi="Arial"/>
                <w:sz w:val="10"/>
                <w:szCs w:val="10"/>
                <w:b w:val="1"/>
                <w:bCs w:val="1"/>
                <w:color w:val="auto"/>
              </w:rPr>
              <w:t>Predecessor Company</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5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4"/>
          </w:tcPr>
          <w:p>
            <w:pPr>
              <w:jc w:val="center"/>
              <w:ind w:right="8"/>
              <w:spacing w:after="0" w:line="100" w:lineRule="exact"/>
              <w:rPr>
                <w:sz w:val="20"/>
                <w:szCs w:val="20"/>
                <w:color w:val="auto"/>
              </w:rPr>
            </w:pPr>
            <w:r>
              <w:rPr>
                <w:rFonts w:ascii="Arial" w:cs="Arial" w:eastAsia="Arial" w:hAnsi="Arial"/>
                <w:sz w:val="10"/>
                <w:szCs w:val="10"/>
                <w:b w:val="1"/>
                <w:bCs w:val="1"/>
                <w:color w:val="auto"/>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8"/>
              <w:spacing w:after="0" w:line="100" w:lineRule="exact"/>
              <w:rPr>
                <w:sz w:val="20"/>
                <w:szCs w:val="20"/>
                <w:color w:val="auto"/>
              </w:rPr>
            </w:pPr>
            <w:r>
              <w:rPr>
                <w:rFonts w:ascii="Arial" w:cs="Arial" w:eastAsia="Arial" w:hAnsi="Arial"/>
                <w:sz w:val="10"/>
                <w:szCs w:val="10"/>
                <w:b w:val="1"/>
                <w:bCs w:val="1"/>
                <w:color w:val="auto"/>
              </w:rPr>
              <w:t>Three Months</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Ended</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March 29,</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0"/>
                <w:szCs w:val="10"/>
                <w:b w:val="1"/>
                <w:bCs w:val="1"/>
                <w:color w:val="auto"/>
              </w:rPr>
              <w:t>2009</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5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8"/>
              <w:spacing w:after="0" w:line="100" w:lineRule="exact"/>
              <w:rPr>
                <w:sz w:val="20"/>
                <w:szCs w:val="20"/>
                <w:color w:val="auto"/>
              </w:rPr>
            </w:pPr>
            <w:r>
              <w:rPr>
                <w:rFonts w:ascii="Arial" w:cs="Arial" w:eastAsia="Arial" w:hAnsi="Arial"/>
                <w:sz w:val="10"/>
                <w:szCs w:val="10"/>
                <w:b w:val="1"/>
                <w:bCs w:val="1"/>
                <w:color w:val="auto"/>
              </w:rPr>
              <w:t>%of</w:t>
            </w:r>
          </w:p>
        </w:tc>
        <w:tc>
          <w:tcPr>
            <w:tcW w:w="3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5"/>
              </w:rPr>
              <w:t>Amount</w:t>
            </w:r>
          </w:p>
        </w:tc>
        <w:tc>
          <w:tcPr>
            <w:tcW w:w="28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net sales</w:t>
            </w:r>
          </w:p>
        </w:tc>
        <w:tc>
          <w:tcPr>
            <w:tcW w:w="5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60"/>
              <w:spacing w:after="0" w:line="108" w:lineRule="exact"/>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20" w:type="dxa"/>
            <w:vAlign w:val="bottom"/>
            <w:shd w:val="clear" w:color="auto" w:fill="CCEEFF"/>
          </w:tcPr>
          <w:p>
            <w:pPr>
              <w:spacing w:after="0"/>
              <w:rPr>
                <w:sz w:val="20"/>
                <w:szCs w:val="20"/>
                <w:color w:val="auto"/>
              </w:rPr>
            </w:pPr>
            <w:r>
              <w:rPr>
                <w:rFonts w:ascii="Arial" w:cs="Arial" w:eastAsia="Arial" w:hAnsi="Arial"/>
                <w:sz w:val="10"/>
                <w:szCs w:val="10"/>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76.7</w:t>
            </w:r>
          </w:p>
        </w:tc>
        <w:tc>
          <w:tcPr>
            <w:tcW w:w="10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42.8%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59.6</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58.8%</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17.1</w:t>
            </w:r>
          </w:p>
        </w:tc>
        <w:tc>
          <w:tcPr>
            <w:tcW w:w="0" w:type="dxa"/>
            <w:vAlign w:val="bottom"/>
          </w:tcPr>
          <w:p>
            <w:pPr>
              <w:spacing w:after="0"/>
              <w:rPr>
                <w:sz w:val="1"/>
                <w:szCs w:val="1"/>
                <w:color w:val="auto"/>
              </w:rPr>
            </w:pPr>
          </w:p>
        </w:tc>
      </w:tr>
      <w:tr>
        <w:trPr>
          <w:trHeight w:val="118"/>
        </w:trPr>
        <w:tc>
          <w:tcPr>
            <w:tcW w:w="5520" w:type="dxa"/>
            <w:vAlign w:val="bottom"/>
          </w:tcPr>
          <w:p>
            <w:pPr>
              <w:spacing w:after="0"/>
              <w:rPr>
                <w:sz w:val="20"/>
                <w:szCs w:val="20"/>
                <w:color w:val="auto"/>
              </w:rPr>
            </w:pPr>
            <w:r>
              <w:rPr>
                <w:rFonts w:ascii="Arial" w:cs="Arial" w:eastAsia="Arial" w:hAnsi="Arial"/>
                <w:sz w:val="10"/>
                <w:szCs w:val="10"/>
                <w:color w:val="auto"/>
              </w:rPr>
              <w:t>Power Solutions</w:t>
            </w:r>
          </w:p>
        </w:tc>
        <w:tc>
          <w:tcPr>
            <w:tcW w:w="6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9.0</w:t>
            </w:r>
          </w:p>
        </w:tc>
        <w:tc>
          <w:tcPr>
            <w:tcW w:w="10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0.9</w:t>
            </w: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0.9</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118"/>
        </w:trPr>
        <w:tc>
          <w:tcPr>
            <w:tcW w:w="5520" w:type="dxa"/>
            <w:vAlign w:val="bottom"/>
            <w:shd w:val="clear" w:color="auto" w:fill="CCEEFF"/>
          </w:tcPr>
          <w:p>
            <w:pPr>
              <w:spacing w:after="0"/>
              <w:rPr>
                <w:sz w:val="20"/>
                <w:szCs w:val="20"/>
                <w:color w:val="auto"/>
              </w:rPr>
            </w:pPr>
            <w:r>
              <w:rPr>
                <w:rFonts w:ascii="Arial" w:cs="Arial" w:eastAsia="Arial" w:hAnsi="Arial"/>
                <w:sz w:val="10"/>
                <w:szCs w:val="10"/>
                <w:color w:val="auto"/>
              </w:rPr>
              <w:t>Semiconductor Manufacturing Services</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93.2</w:t>
            </w:r>
          </w:p>
        </w:tc>
        <w:tc>
          <w:tcPr>
            <w:tcW w:w="108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51.9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40.1</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39.6</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53.1</w:t>
            </w:r>
          </w:p>
        </w:tc>
        <w:tc>
          <w:tcPr>
            <w:tcW w:w="0" w:type="dxa"/>
            <w:vAlign w:val="bottom"/>
          </w:tcPr>
          <w:p>
            <w:pPr>
              <w:spacing w:after="0"/>
              <w:rPr>
                <w:sz w:val="1"/>
                <w:szCs w:val="1"/>
                <w:color w:val="auto"/>
              </w:rPr>
            </w:pPr>
          </w:p>
        </w:tc>
      </w:tr>
      <w:tr>
        <w:trPr>
          <w:trHeight w:val="118"/>
        </w:trPr>
        <w:tc>
          <w:tcPr>
            <w:tcW w:w="5520" w:type="dxa"/>
            <w:vAlign w:val="bottom"/>
          </w:tcPr>
          <w:p>
            <w:pPr>
              <w:spacing w:after="0"/>
              <w:rPr>
                <w:sz w:val="20"/>
                <w:szCs w:val="20"/>
                <w:color w:val="auto"/>
              </w:rPr>
            </w:pPr>
            <w:r>
              <w:rPr>
                <w:rFonts w:ascii="Arial" w:cs="Arial" w:eastAsia="Arial" w:hAnsi="Arial"/>
                <w:sz w:val="10"/>
                <w:szCs w:val="10"/>
                <w:color w:val="auto"/>
              </w:rPr>
              <w:t>All other</w:t>
            </w:r>
          </w:p>
        </w:tc>
        <w:tc>
          <w:tcPr>
            <w:tcW w:w="6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0.5</w:t>
            </w:r>
          </w:p>
        </w:tc>
        <w:tc>
          <w:tcPr>
            <w:tcW w:w="10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0.8</w:t>
            </w:r>
          </w:p>
        </w:tc>
        <w:tc>
          <w:tcPr>
            <w:tcW w:w="16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179.5</w:t>
            </w:r>
          </w:p>
        </w:tc>
        <w:tc>
          <w:tcPr>
            <w:tcW w:w="10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101.5</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100.0%</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Net sales were $179.5 million for the three months ended March 31, 2010, a $78.0 million, or 76.9%, increase, compared to $101.5 million for the three months ended March 29, 2009. This increase was primarily due to increases in our product sales volume and a $8.1 million favorable impact resulting from the appreciation of the Korean won against the U.S. dollar, which were partially offset by a decrease in average selling prices.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were $76.7 million for the three months ended March 31, 2010, a $17.1 million, or 28.7%,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from $59.6 million for the three months ended March 31, 2009. The increase was primarily due to a 65.6% increase in sales volume. Sales volume increased as the consumer electronics industry began to recover from the economic slowdown and demand and shipments for consumer electronics products such as digital televisions, PCs and smart phones increased. This increase was partially offset by a 24.7% decrease in average selling prices, which was primarily from display driver products for LCD televisions, PC monitors and mobile devices.</w:t>
      </w:r>
    </w:p>
    <w:p>
      <w:pPr>
        <w:spacing w:after="0" w:line="63" w:lineRule="exact"/>
        <w:rPr>
          <w:sz w:val="20"/>
          <w:szCs w:val="20"/>
          <w:color w:val="auto"/>
        </w:rPr>
      </w:pPr>
    </w:p>
    <w:p>
      <w:pPr>
        <w:ind w:left="680" w:firstLine="499"/>
        <w:spacing w:after="0" w:line="25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were $9.0 million for the three months ended March 31, 2010, a $8.1 million, or 868.3%,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$ 0.9 million for the three months ended March 29, 2009. The increase was primarily due to a 416.8% increase in sales volume and a 87.5% increase in average selling prices driven by higher demand for MOSFET products from existing and new customers as we grew this business.</w:t>
      </w:r>
    </w:p>
    <w:p>
      <w:pPr>
        <w:spacing w:after="0" w:line="54"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were $93.2 million for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a $53.1 million, or 132.2%, increase compared to net sales of $40.1 million for the three months ended March 31, 2009. This increase was primarily due a 145.0% increase in sales volume driven by an increased market demand for eight-inch equivalent wafers, which was partially offset by a 3.1% decrease in average selling prices.</w:t>
      </w:r>
    </w:p>
    <w:p>
      <w:pPr>
        <w:spacing w:after="0" w:line="58" w:lineRule="exact"/>
        <w:rPr>
          <w:sz w:val="20"/>
          <w:szCs w:val="20"/>
          <w:color w:val="auto"/>
        </w:rPr>
      </w:pPr>
    </w:p>
    <w:p>
      <w:pPr>
        <w:ind w:left="680" w:right="160" w:firstLine="499"/>
        <w:spacing w:after="0" w:line="273"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three months ended March 31, 2010, $0.2 million or 32.4% decrease compared to $0.8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This decrease was resulted from lower rental income due to the relocation of one lessee of our building.</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three months ended March 31, 2010 and March 29, 2009:</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rPr>
              <w:t>Company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rPr>
              <w:t>Predecessor Company</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3"/>
          </w:tcPr>
          <w:p>
            <w:pPr>
              <w:jc w:val="center"/>
              <w:spacing w:after="0" w:line="100" w:lineRule="exact"/>
              <w:rPr>
                <w:sz w:val="20"/>
                <w:szCs w:val="20"/>
                <w:color w:val="auto"/>
              </w:rPr>
            </w:pPr>
            <w:r>
              <w:rPr>
                <w:rFonts w:ascii="Arial" w:cs="Arial" w:eastAsia="Arial" w:hAnsi="Arial"/>
                <w:sz w:val="10"/>
                <w:szCs w:val="10"/>
                <w:b w:val="1"/>
                <w:bCs w:val="1"/>
                <w:color w:val="auto"/>
              </w:rPr>
              <w:t>Three Months</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4"/>
          </w:tcPr>
          <w:p>
            <w:pPr>
              <w:jc w:val="center"/>
              <w:ind w:right="48"/>
              <w:spacing w:after="0" w:line="100" w:lineRule="exact"/>
              <w:rPr>
                <w:sz w:val="20"/>
                <w:szCs w:val="20"/>
                <w:color w:val="auto"/>
              </w:rPr>
            </w:pPr>
            <w:r>
              <w:rPr>
                <w:rFonts w:ascii="Arial" w:cs="Arial" w:eastAsia="Arial" w:hAnsi="Arial"/>
                <w:sz w:val="10"/>
                <w:szCs w:val="10"/>
                <w:b w:val="1"/>
                <w:bCs w:val="1"/>
                <w:color w:val="auto"/>
              </w:rPr>
              <w:t>Three Months</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rPr>
              <w:t>Ended</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rPr>
              <w:t>March 29,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0"/>
                <w:szCs w:val="10"/>
                <w:b w:val="1"/>
                <w:bCs w:val="1"/>
                <w:color w:val="auto"/>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7"/>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%of</w:t>
            </w:r>
          </w:p>
        </w:tc>
        <w:tc>
          <w:tcPr>
            <w:tcW w:w="3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300" w:type="dxa"/>
            <w:vAlign w:val="bottom"/>
          </w:tcPr>
          <w:p>
            <w:pPr>
              <w:spacing w:after="0"/>
              <w:rPr>
                <w:sz w:val="10"/>
                <w:szCs w:val="1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3"/>
          </w:tcPr>
          <w:p>
            <w:pPr>
              <w:jc w:val="right"/>
              <w:spacing w:after="0" w:line="108" w:lineRule="exact"/>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Korea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97.7</w:t>
            </w:r>
          </w:p>
        </w:tc>
        <w:tc>
          <w:tcPr>
            <w:tcW w:w="11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54.4%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59.7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58.8%</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38.0</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Asia Pacific</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48.5</w:t>
            </w:r>
          </w:p>
        </w:tc>
        <w:tc>
          <w:tcPr>
            <w:tcW w:w="11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27.0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21.8</w:t>
            </w: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21.4</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Japan</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1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5.7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7.5</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7.4</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North America</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20.4</w:t>
            </w:r>
          </w:p>
        </w:tc>
        <w:tc>
          <w:tcPr>
            <w:tcW w:w="11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11.4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8.6</w:t>
            </w: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8.5</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11.8</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Europe</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1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20" w:type="dxa"/>
            <w:vAlign w:val="bottom"/>
            <w:shd w:val="clear" w:color="auto" w:fill="CCEEFF"/>
          </w:tcPr>
          <w:p>
            <w:pPr>
              <w:spacing w:after="0"/>
              <w:rPr>
                <w:sz w:val="10"/>
                <w:szCs w:val="1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3.8</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179.5</w:t>
            </w:r>
          </w:p>
        </w:tc>
        <w:tc>
          <w:tcPr>
            <w:tcW w:w="11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0"/>
                <w:szCs w:val="10"/>
                <w:color w:val="auto"/>
              </w:rPr>
              <w:t>100.0%</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0"/>
                <w:szCs w:val="10"/>
                <w:color w:val="auto"/>
              </w:rPr>
              <w:t>101.5</w:t>
            </w:r>
          </w:p>
        </w:tc>
        <w:tc>
          <w:tcPr>
            <w:tcW w:w="20" w:type="dxa"/>
            <w:vAlign w:val="bottom"/>
          </w:tcPr>
          <w:p>
            <w:pPr>
              <w:spacing w:after="0"/>
              <w:rPr>
                <w:sz w:val="10"/>
                <w:szCs w:val="1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0"/>
                <w:szCs w:val="10"/>
                <w:color w:val="auto"/>
              </w:rPr>
              <w:t>100.0%</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Net sales in Korea for the three months ended March 31, 2010 increased as a percentage of total net sales, primarily due to the overall business recovery in the market and increased demand for Display Solutions products and Semiconductor Manufacturing Services. Net sales in Asia Pacific and North America for the three months ended March 31, 2010 increased as a percentage of total net sales, primarily due to the overall business recovery in the market and increased demand for Semiconductor Manufacturing Services.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Company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rPr>
              <w:t>Predecessor Company</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4"/>
          </w:tcPr>
          <w:p>
            <w:pPr>
              <w:jc w:val="center"/>
              <w:spacing w:after="0" w:line="100" w:lineRule="exact"/>
              <w:rPr>
                <w:sz w:val="20"/>
                <w:szCs w:val="20"/>
                <w:color w:val="auto"/>
              </w:rPr>
            </w:pPr>
            <w:r>
              <w:rPr>
                <w:rFonts w:ascii="Arial" w:cs="Arial" w:eastAsia="Arial" w:hAnsi="Arial"/>
                <w:sz w:val="10"/>
                <w:szCs w:val="10"/>
                <w:b w:val="1"/>
                <w:bCs w:val="1"/>
                <w:color w:val="auto"/>
              </w:rPr>
              <w:t>Three Months</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4"/>
          </w:tcPr>
          <w:p>
            <w:pPr>
              <w:jc w:val="center"/>
              <w:ind w:right="48"/>
              <w:spacing w:after="0" w:line="100" w:lineRule="exact"/>
              <w:rPr>
                <w:sz w:val="20"/>
                <w:szCs w:val="20"/>
                <w:color w:val="auto"/>
              </w:rPr>
            </w:pPr>
            <w:r>
              <w:rPr>
                <w:rFonts w:ascii="Arial" w:cs="Arial" w:eastAsia="Arial" w:hAnsi="Arial"/>
                <w:sz w:val="10"/>
                <w:szCs w:val="10"/>
                <w:b w:val="1"/>
                <w:bCs w:val="1"/>
                <w:color w:val="auto"/>
              </w:rPr>
              <w:t>Three Months</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rPr>
              <w:t>Ended</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rPr>
              <w:t>March 29,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7"/>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%of</w:t>
            </w:r>
          </w:p>
        </w:tc>
        <w:tc>
          <w:tcPr>
            <w:tcW w:w="3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300" w:type="dxa"/>
            <w:vAlign w:val="bottom"/>
          </w:tcPr>
          <w:p>
            <w:pPr>
              <w:spacing w:after="0"/>
              <w:rPr>
                <w:sz w:val="10"/>
                <w:szCs w:val="1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3"/>
          </w:tcPr>
          <w:p>
            <w:pPr>
              <w:jc w:val="right"/>
              <w:spacing w:after="0" w:line="108" w:lineRule="exact"/>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14.4</w:t>
            </w:r>
          </w:p>
        </w:tc>
        <w:tc>
          <w:tcPr>
            <w:tcW w:w="11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18.8%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13.7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22.9%</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Power Solutions</w:t>
            </w:r>
          </w:p>
        </w:tc>
        <w:tc>
          <w:tcPr>
            <w:tcW w:w="60" w:type="dxa"/>
            <w:vAlign w:val="bottom"/>
          </w:tcPr>
          <w:p>
            <w:pPr>
              <w:spacing w:after="0"/>
              <w:rPr>
                <w:sz w:val="10"/>
                <w:szCs w:val="1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1.6</w:t>
            </w:r>
          </w:p>
        </w:tc>
        <w:tc>
          <w:tcPr>
            <w:tcW w:w="11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0.3</w:t>
            </w: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29.9</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Semiconductor Manufacturing Services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32.8</w:t>
            </w:r>
          </w:p>
        </w:tc>
        <w:tc>
          <w:tcPr>
            <w:tcW w:w="110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35.2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6.2</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15.4</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All other</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0"/>
                <w:szCs w:val="10"/>
                <w:color w:val="auto"/>
              </w:rPr>
            </w:pPr>
          </w:p>
        </w:tc>
        <w:tc>
          <w:tcPr>
            <w:tcW w:w="11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100.0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0.8</w:t>
            </w:r>
          </w:p>
        </w:tc>
        <w:tc>
          <w:tcPr>
            <w:tcW w:w="20" w:type="dxa"/>
            <w:vAlign w:val="bottom"/>
          </w:tcPr>
          <w:p>
            <w:pPr>
              <w:spacing w:after="0"/>
              <w:rPr>
                <w:sz w:val="10"/>
                <w:szCs w:val="1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100.0</w:t>
            </w:r>
          </w:p>
        </w:tc>
        <w:tc>
          <w:tcPr>
            <w:tcW w:w="16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49.4</w:t>
            </w:r>
          </w:p>
        </w:tc>
        <w:tc>
          <w:tcPr>
            <w:tcW w:w="20" w:type="dxa"/>
            <w:vAlign w:val="bottom"/>
            <w:shd w:val="clear" w:color="auto" w:fill="CCEEFF"/>
          </w:tcPr>
          <w:p>
            <w:pPr>
              <w:spacing w:after="0"/>
              <w:rPr>
                <w:sz w:val="10"/>
                <w:szCs w:val="10"/>
                <w:color w:val="auto"/>
              </w:rPr>
            </w:pPr>
          </w:p>
        </w:tc>
        <w:tc>
          <w:tcPr>
            <w:tcW w:w="11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27.5%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20.9</w:t>
            </w:r>
          </w:p>
        </w:tc>
        <w:tc>
          <w:tcPr>
            <w:tcW w:w="20" w:type="dxa"/>
            <w:vAlign w:val="bottom"/>
            <w:shd w:val="clear" w:color="auto" w:fill="CCEEFF"/>
          </w:tcPr>
          <w:p>
            <w:pPr>
              <w:spacing w:after="0"/>
              <w:rPr>
                <w:sz w:val="10"/>
                <w:szCs w:val="10"/>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20.6%</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Total gross profit was $49.4 million for the three months ended March 31, 2010 as compared to $20.9 million for the three months ended March 29, 2009, a</w:t>
      </w:r>
    </w:p>
    <w:p>
      <w:pPr>
        <w:ind w:left="680"/>
        <w:spacing w:after="0" w:line="236" w:lineRule="auto"/>
        <w:rPr>
          <w:sz w:val="20"/>
          <w:szCs w:val="20"/>
          <w:color w:val="auto"/>
        </w:rPr>
      </w:pPr>
      <w:r>
        <w:rPr>
          <w:rFonts w:ascii="Arial" w:cs="Arial" w:eastAsia="Arial" w:hAnsi="Arial"/>
          <w:sz w:val="13"/>
          <w:szCs w:val="13"/>
          <w:color w:val="auto"/>
        </w:rPr>
        <w:t>$28.5 million, or 136.2%, increase. Gross profit as a percentage of net sales for the three months ended March 31, 2010 was 27.5%, an increase of 6.9% from 20.6% for</w:t>
      </w:r>
    </w:p>
    <w:p>
      <w:pPr>
        <w:ind w:left="680"/>
        <w:spacing w:after="0" w:line="237" w:lineRule="auto"/>
        <w:rPr>
          <w:sz w:val="20"/>
          <w:szCs w:val="20"/>
          <w:color w:val="auto"/>
        </w:rPr>
      </w:pPr>
      <w:r>
        <w:rPr>
          <w:rFonts w:ascii="Arial" w:cs="Arial" w:eastAsia="Arial" w:hAnsi="Arial"/>
          <w:sz w:val="13"/>
          <w:szCs w:val="13"/>
          <w:color w:val="auto"/>
        </w:rPr>
        <w:t>the three months ended March 29, 2009. This increase in gross margin was primarily attributable to increased sales volume, partially offset by lower average selling prices</w:t>
      </w:r>
    </w:p>
    <w:p>
      <w:pPr>
        <w:ind w:left="680"/>
        <w:spacing w:after="0" w:line="237" w:lineRule="auto"/>
        <w:rPr>
          <w:sz w:val="20"/>
          <w:szCs w:val="20"/>
          <w:color w:val="auto"/>
        </w:rPr>
      </w:pPr>
      <w:r>
        <w:rPr>
          <w:rFonts w:ascii="Arial" w:cs="Arial" w:eastAsia="Arial" w:hAnsi="Arial"/>
          <w:sz w:val="13"/>
          <w:szCs w:val="13"/>
          <w:color w:val="auto"/>
        </w:rPr>
        <w:t>and a $8.0 million unfavorable impact resulting from the appreciation of the Korean won against the U.S. dollar as an unfavorable impact on cost of sales was in excess of a</w:t>
      </w:r>
    </w:p>
    <w:p>
      <w:pPr>
        <w:ind w:left="680"/>
        <w:spacing w:after="0" w:line="236" w:lineRule="auto"/>
        <w:rPr>
          <w:sz w:val="20"/>
          <w:szCs w:val="20"/>
          <w:color w:val="auto"/>
        </w:rPr>
      </w:pPr>
      <w:r>
        <w:rPr>
          <w:rFonts w:ascii="Arial" w:cs="Arial" w:eastAsia="Arial" w:hAnsi="Arial"/>
          <w:sz w:val="13"/>
          <w:szCs w:val="13"/>
          <w:color w:val="auto"/>
        </w:rPr>
        <w:t>favorable impact on net sales. Gross margin during the three months ended March 31, 2010 was adversely affected by a $0.9 million increase in cost of sales associated</w:t>
      </w:r>
    </w:p>
    <w:p>
      <w:pPr>
        <w:ind w:left="680"/>
        <w:spacing w:after="0" w:line="237" w:lineRule="auto"/>
        <w:rPr>
          <w:sz w:val="20"/>
          <w:szCs w:val="20"/>
          <w:color w:val="auto"/>
        </w:rPr>
      </w:pPr>
      <w:r>
        <w:rPr>
          <w:rFonts w:ascii="Arial" w:cs="Arial" w:eastAsia="Arial" w:hAnsi="Arial"/>
          <w:sz w:val="13"/>
          <w:szCs w:val="13"/>
          <w:color w:val="auto"/>
        </w:rPr>
        <w:t>with the step up of our inventory resulting from implementation of fresh-start accounting in 2009; higher costs associated with the sale of inventory which was manufactured</w:t>
      </w:r>
    </w:p>
    <w:p>
      <w:pPr>
        <w:ind w:left="680"/>
        <w:spacing w:after="0" w:line="237" w:lineRule="auto"/>
        <w:rPr>
          <w:sz w:val="20"/>
          <w:szCs w:val="20"/>
          <w:color w:val="auto"/>
        </w:rPr>
      </w:pPr>
      <w:r>
        <w:rPr>
          <w:rFonts w:ascii="Arial" w:cs="Arial" w:eastAsia="Arial" w:hAnsi="Arial"/>
          <w:sz w:val="13"/>
          <w:szCs w:val="13"/>
          <w:color w:val="auto"/>
        </w:rPr>
        <w:t>in late 2009 at higher unit costs; and higher volume of sales of products with lower average sales prices due to a slower than expected transition from one of our legacy</w:t>
      </w:r>
    </w:p>
    <w:p>
      <w:pPr>
        <w:ind w:left="680"/>
        <w:spacing w:after="0" w:line="236" w:lineRule="auto"/>
        <w:rPr>
          <w:sz w:val="20"/>
          <w:szCs w:val="20"/>
          <w:color w:val="auto"/>
        </w:rPr>
      </w:pPr>
      <w:r>
        <w:rPr>
          <w:rFonts w:ascii="Arial" w:cs="Arial" w:eastAsia="Arial" w:hAnsi="Arial"/>
          <w:sz w:val="13"/>
          <w:szCs w:val="13"/>
          <w:color w:val="auto"/>
        </w:rPr>
        <w:t>products to our latest generation of the product. Cost of sales for the three months ended March 31, 2010 increased by $49.6 million compared to the three months ended</w:t>
      </w:r>
    </w:p>
    <w:p>
      <w:pPr>
        <w:spacing w:after="0" w:line="1" w:lineRule="exact"/>
        <w:rPr>
          <w:sz w:val="20"/>
          <w:szCs w:val="20"/>
          <w:color w:val="auto"/>
        </w:rPr>
      </w:pPr>
    </w:p>
    <w:p>
      <w:pPr>
        <w:ind w:left="680" w:right="280"/>
        <w:spacing w:after="0" w:line="242" w:lineRule="auto"/>
        <w:rPr>
          <w:sz w:val="20"/>
          <w:szCs w:val="20"/>
          <w:color w:val="auto"/>
        </w:rPr>
      </w:pPr>
      <w:r>
        <w:rPr>
          <w:rFonts w:ascii="Arial" w:cs="Arial" w:eastAsia="Arial" w:hAnsi="Arial"/>
          <w:sz w:val="13"/>
          <w:szCs w:val="13"/>
          <w:color w:val="auto"/>
        </w:rPr>
        <w:t>March 29, 2009. The increase in cost of sales was primarily due to a $16.0 million unfavorable impact resulting from the appreciation of the Korean won against the U.S. dollar, a $12.0 million increase in material costs, a $8.2 million increase in labor costs and a $6.0 million increase in subcontractor costs due to the increased sales volume.</w:t>
      </w:r>
    </w:p>
    <w:p>
      <w:pPr>
        <w:spacing w:after="0" w:line="63" w:lineRule="exact"/>
        <w:rPr>
          <w:sz w:val="20"/>
          <w:szCs w:val="20"/>
          <w:color w:val="auto"/>
        </w:rPr>
      </w:pPr>
    </w:p>
    <w:p>
      <w:pPr>
        <w:ind w:left="680" w:right="14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profit for our Display Solutions segment for the three months ended March 31, 2010 decreased to 18.8% compared to 22.9%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primarily due to a 24.7% decrease in average selling prices. Cost of sales for the three months ended March 31, 2010 increased by $16.4 million compared to the three months ended March 29, 2009, primarily due to a $6.4 million unfavorable impact resulting from the appreciation of the Korean won against the U.S. dollar, a $3.6 million increase in subcontractor costs resulting from the increased sales volume and a $3.4 million increase in material costs resulting from the increased sales volume and the reinstatement of our salary levels from our company-wide voluntary salary reductions that were in effect in the first half of 2009.</w:t>
      </w:r>
    </w:p>
    <w:p>
      <w:pPr>
        <w:spacing w:after="0" w:line="6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three months ended March 31, 2010 decreased to 17.3% compared to 29.9%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Cost of sales for the three months ended March 31, 2010 increased by $6.8 million compared to the three months ended March 29, 2009, primarily due to a $1.6 million increase in material costs, a $2.2 million increase in subcontractor costs and a $0.6 million unfavorable impact resulting from the appreciation of the Korean won against the U.S. dollar.</w:t>
      </w:r>
    </w:p>
    <w:p>
      <w:pPr>
        <w:spacing w:after="0" w:line="58" w:lineRule="exact"/>
        <w:rPr>
          <w:sz w:val="20"/>
          <w:szCs w:val="20"/>
          <w:color w:val="auto"/>
        </w:rPr>
      </w:pPr>
    </w:p>
    <w:p>
      <w:pPr>
        <w:jc w:val="both"/>
        <w:ind w:left="680" w:right="1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improved to 35.2% in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from 15.4% in the three months ended March 29, 2009. This increase was primarily due to a decrease in unit cost of sales resulting from a 145% increase in sales volume. Cost of sales for the three months ended</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80"/>
        <w:spacing w:after="0" w:line="242" w:lineRule="auto"/>
        <w:rPr>
          <w:sz w:val="20"/>
          <w:szCs w:val="20"/>
          <w:color w:val="auto"/>
        </w:rPr>
      </w:pPr>
      <w:r>
        <w:rPr>
          <w:rFonts w:ascii="Arial" w:cs="Arial" w:eastAsia="Arial" w:hAnsi="Arial"/>
          <w:sz w:val="13"/>
          <w:szCs w:val="13"/>
          <w:color w:val="auto"/>
        </w:rPr>
        <w:t>March 31, 2010 increased by $26.4 million compared to the three months ended March 29, 2009, which was primarily attributable to a $9.0 million unfavorable impact resulting from the appreciation of the Korean won against the U.S. dollar, a $7.0 million increase in material costs and a $5.6 million increase in labor costs resulting from the increased sales volume and the reinstatement of our salary level from our company-wide voluntary salary reductions that were in effect in the first half of 2009.</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remained the same as there is no cost of sales in either period.</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6" w:lineRule="exact"/>
        <w:rPr>
          <w:sz w:val="20"/>
          <w:szCs w:val="20"/>
          <w:color w:val="auto"/>
        </w:rPr>
      </w:pPr>
    </w:p>
    <w:p>
      <w:pPr>
        <w:ind w:left="680" w:right="140" w:firstLine="499"/>
        <w:spacing w:after="0" w:line="244"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$17.9 million, or 10.0% of net sales for the three months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March 31, 2010 compared to $15.3 million, or 15.1% of net sales for the three months ended March 29, 2009. The increase of $2.6 million, or 17.2%, was primarily attributable to a $ 2.3 million unfavorable impact resulting from the appreciation of the Korean won against the U.S. dollar, a $ 2.0 million increase in salaries resulting from the reinstatement of our salary levels from our company-wide voluntary salary reductions that were in effect in the first half of 2009, and a $1.6 million increase in amortization expenses due to the write-up of our intangible assets in accordance with fresh-start accounting. These increases were partially offset by a $2.9 million decrease in outside service expenses, primarily due to a decrease in restructuring-related professional fees and related expenses.</w:t>
      </w:r>
    </w:p>
    <w:p>
      <w:pPr>
        <w:spacing w:after="0" w:line="61"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three months ended March 31, 2010 were $20.5 million, an increase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$3.5 million, or 20.9%, from $17.0 million for the three months ended March 29, 2009. This increase was due to a $3.2 million unfavorable impact resulting from the appreciation of the Korean won against the U.S. dollar, a $1.0 million increase in material costs, a $0.9 million increase in salaries and related expenses resulting from the reinstatement of our salary levels from our company-wide voluntary salary reductions that were in effect in the first half of 2009, and a $1.4 million increase in amortization expenses due to the write-up of our intangible assets in accordance with fresh-start accounting. These increases were partially offset by a $3.0 million decrease in costs transferred from manufacturing to research and development expenses due to improved facilities utilization resulting from our higher net sales. Research and development expenses as a percentage of net sales were 11.4% in the three months ended March 31, 2010, compared to 16.7% in the three months ended March 29, 2009.</w:t>
      </w:r>
    </w:p>
    <w:p>
      <w:pPr>
        <w:spacing w:after="0" w:line="65"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increased by $0.3 million in the three months ended March 31, 2010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three months ended March 29, 2009. Impairment charges of $0.3 million recorded in the three months ended March 31, 2010 were related to impairment of two abandoned in-process research and development projects, accounted for as indefinite-lived intangible assets as part of the application of fresh-start accounting. Restructuring charges of $0.1 million recorded in the three months ended March 29, 2009 were related to the closure of our research and development facilities in Japan.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$2.0 million during the three months ended March 31, 2010, a decrease of $12.6 million compared to</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$14.7 million for the three months ended March 29, 2009. Interest expense for the three months ended March 31, 2010 was incurred under our $61.6 million principal</w:t>
      </w:r>
    </w:p>
    <w:p>
      <w:pPr>
        <w:ind w:left="680"/>
        <w:spacing w:after="0" w:line="236" w:lineRule="auto"/>
        <w:rPr>
          <w:sz w:val="20"/>
          <w:szCs w:val="20"/>
          <w:color w:val="auto"/>
        </w:rPr>
      </w:pPr>
      <w:r>
        <w:rPr>
          <w:rFonts w:ascii="Arial" w:cs="Arial" w:eastAsia="Arial" w:hAnsi="Arial"/>
          <w:sz w:val="13"/>
          <w:szCs w:val="13"/>
          <w:color w:val="auto"/>
        </w:rPr>
        <w:t>amount new term loan. Interest expense for the three months ended March 29, 2009 was incurred under our $750.0 million principal amount of notes and $95.0 million</w:t>
      </w:r>
    </w:p>
    <w:p>
      <w:pPr>
        <w:ind w:left="680"/>
        <w:spacing w:after="0" w:line="237" w:lineRule="auto"/>
        <w:rPr>
          <w:sz w:val="20"/>
          <w:szCs w:val="20"/>
          <w:color w:val="auto"/>
        </w:rPr>
      </w:pPr>
      <w:r>
        <w:rPr>
          <w:rFonts w:ascii="Arial" w:cs="Arial" w:eastAsia="Arial" w:hAnsi="Arial"/>
          <w:sz w:val="13"/>
          <w:szCs w:val="13"/>
          <w:color w:val="auto"/>
        </w:rPr>
        <w:t>senior secured credit facility, of which $33.3 million was repaid in cash and $61.8 million was refinanced with the new term loan on November 6, 2009. Upon our emergence</w:t>
      </w:r>
    </w:p>
    <w:p>
      <w:pPr>
        <w:ind w:left="680"/>
        <w:spacing w:after="0"/>
        <w:rPr>
          <w:sz w:val="20"/>
          <w:szCs w:val="20"/>
          <w:color w:val="auto"/>
        </w:rPr>
      </w:pPr>
      <w:r>
        <w:rPr>
          <w:rFonts w:ascii="Arial" w:cs="Arial" w:eastAsia="Arial" w:hAnsi="Arial"/>
          <w:sz w:val="13"/>
          <w:szCs w:val="13"/>
          <w:color w:val="auto"/>
        </w:rPr>
        <w:t>from our reorganization proceedings, our $750.0 million notes were discharged pursuant to the reorganization plan.</w:t>
      </w:r>
    </w:p>
    <w:p>
      <w:pPr>
        <w:spacing w:after="0" w:line="70" w:lineRule="exact"/>
        <w:rPr>
          <w:sz w:val="20"/>
          <w:szCs w:val="20"/>
          <w:color w:val="auto"/>
        </w:rPr>
      </w:pPr>
    </w:p>
    <w:p>
      <w:pPr>
        <w:ind w:left="680" w:right="1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three months ended March 31, 2010 was $21.6 million, compared to net foreign currency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loss of $40.2 million for the three</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months ended March 29, 2009.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1,130.8:1 and 1,343.7:1 using the first base rate as of March 31, 2010 and March 29, 2009, respectively, as quoted by the Korea Exchange Bank.</w:t>
      </w:r>
    </w:p>
    <w:p>
      <w:pPr>
        <w:spacing w:after="0" w:line="65"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benefit for the three months ended March 31, 2010 was $1.0 million, compared to income tax expenses of $2.6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Income tax benefit for the three months ended March 31, 2010 was comprised of $1.6 million reversal of liabilities for uncertain tax positions due to the lapse of the applicable statute of limitations and $0.4 million of current income tax benefit, net incurred in various jurisdictions in which our overseas subsidiaries are located less $0.7 million of withholding taxes mostly paid on intercompany interest payments and a $0.3 million income tax effect from the change of deferred tax assets. Due to the uncertainty of the utilization of foreign tax credits, we did not recognize these withholding taxes as deferred tax assets.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6" w:lineRule="exact"/>
        <w:rPr>
          <w:sz w:val="20"/>
          <w:szCs w:val="20"/>
          <w:color w:val="auto"/>
        </w:rPr>
      </w:pPr>
    </w:p>
    <w:p>
      <w:pPr>
        <w:ind w:left="680" w:right="5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During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we recognized net loss of $0.8 million relating to our discontinued operations.</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2009 and December 31, 2008</w:t>
      </w:r>
    </w:p>
    <w:p>
      <w:pPr>
        <w:spacing w:after="0" w:line="102"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The following table sets forth consolidated results of operations for the two-month period ended December 31, 2009, the ten-month period ended October 25, 2009 and the year ended December 31, 2008:</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left="208"/>
              <w:spacing w:after="0"/>
              <w:rPr>
                <w:sz w:val="20"/>
                <w:szCs w:val="20"/>
                <w:color w:val="auto"/>
              </w:rPr>
            </w:pPr>
            <w:r>
              <w:rPr>
                <w:rFonts w:ascii="Arial" w:cs="Arial" w:eastAsia="Arial" w:hAnsi="Arial"/>
                <w:sz w:val="10"/>
                <w:szCs w:val="10"/>
                <w:b w:val="1"/>
                <w:bCs w:val="1"/>
                <w:color w:val="auto"/>
              </w:rPr>
              <w:t>Successor</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0"/>
                <w:szCs w:val="10"/>
                <w:b w:val="1"/>
                <w:bCs w:val="1"/>
                <w:color w:val="auto"/>
              </w:rPr>
              <w:t>Company</w:t>
            </w:r>
          </w:p>
        </w:tc>
        <w:tc>
          <w:tcPr>
            <w:tcW w:w="40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0"/>
                <w:szCs w:val="10"/>
                <w:b w:val="1"/>
                <w:bCs w:val="1"/>
                <w:color w:val="auto"/>
              </w:rPr>
              <w:t>Predecessor Company</w:t>
            </w:r>
          </w:p>
        </w:tc>
        <w:tc>
          <w:tcPr>
            <w:tcW w:w="4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left="208"/>
              <w:spacing w:after="0" w:line="100" w:lineRule="exact"/>
              <w:rPr>
                <w:sz w:val="20"/>
                <w:szCs w:val="20"/>
                <w:color w:val="auto"/>
              </w:rPr>
            </w:pPr>
            <w:r>
              <w:rPr>
                <w:rFonts w:ascii="Arial" w:cs="Arial" w:eastAsia="Arial" w:hAnsi="Arial"/>
                <w:sz w:val="10"/>
                <w:szCs w:val="10"/>
                <w:b w:val="1"/>
                <w:bCs w:val="1"/>
                <w:color w:val="auto"/>
              </w:rPr>
              <w:t>Two-Month</w:t>
            </w:r>
          </w:p>
        </w:tc>
        <w:tc>
          <w:tcPr>
            <w:tcW w:w="4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0"/>
                <w:szCs w:val="10"/>
                <w:b w:val="1"/>
                <w:bCs w:val="1"/>
                <w:color w:val="auto"/>
              </w:rPr>
              <w:t>Ten-Month</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8"/>
              <w:spacing w:after="0"/>
              <w:rPr>
                <w:sz w:val="20"/>
                <w:szCs w:val="20"/>
                <w:color w:val="auto"/>
              </w:rPr>
            </w:pPr>
            <w:r>
              <w:rPr>
                <w:rFonts w:ascii="Arial" w:cs="Arial" w:eastAsia="Arial" w:hAnsi="Arial"/>
                <w:sz w:val="10"/>
                <w:szCs w:val="10"/>
                <w:b w:val="1"/>
                <w:bCs w:val="1"/>
                <w:color w:val="auto"/>
              </w:rPr>
              <w:t>Period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jc w:val="center"/>
              <w:ind w:right="8"/>
              <w:spacing w:after="0"/>
              <w:rPr>
                <w:sz w:val="20"/>
                <w:szCs w:val="20"/>
                <w:color w:val="auto"/>
              </w:rPr>
            </w:pPr>
            <w:r>
              <w:rPr>
                <w:rFonts w:ascii="Arial" w:cs="Arial" w:eastAsia="Arial" w:hAnsi="Arial"/>
                <w:sz w:val="10"/>
                <w:szCs w:val="10"/>
                <w:b w:val="1"/>
                <w:bCs w:val="1"/>
                <w:color w:val="auto"/>
              </w:rPr>
              <w:t>Year</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8"/>
              <w:spacing w:after="0"/>
              <w:rPr>
                <w:sz w:val="20"/>
                <w:szCs w:val="20"/>
                <w:color w:val="auto"/>
              </w:rPr>
            </w:pPr>
            <w:r>
              <w:rPr>
                <w:rFonts w:ascii="Arial" w:cs="Arial" w:eastAsia="Arial" w:hAnsi="Arial"/>
                <w:sz w:val="10"/>
                <w:szCs w:val="10"/>
                <w:b w:val="1"/>
                <w:bCs w:val="1"/>
                <w:color w:val="auto"/>
              </w:rPr>
              <w:t>Ended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left="268"/>
              <w:spacing w:after="0"/>
              <w:rPr>
                <w:sz w:val="20"/>
                <w:szCs w:val="20"/>
                <w:color w:val="auto"/>
              </w:rPr>
            </w:pPr>
            <w:r>
              <w:rPr>
                <w:rFonts w:ascii="Arial" w:cs="Arial" w:eastAsia="Arial" w:hAnsi="Arial"/>
                <w:sz w:val="10"/>
                <w:szCs w:val="10"/>
                <w:b w:val="1"/>
                <w:bCs w:val="1"/>
                <w:color w:val="auto"/>
              </w:rPr>
              <w:t>Ended</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Borders>
              <w:right w:val="single" w:sz="8" w:color="auto"/>
            </w:tcBorders>
            <w:gridSpan w:val="4"/>
          </w:tcPr>
          <w:p>
            <w:pPr>
              <w:jc w:val="center"/>
              <w:ind w:right="40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rPr>
              <w:t>October 25,</w:t>
            </w:r>
          </w:p>
        </w:tc>
        <w:tc>
          <w:tcPr>
            <w:tcW w:w="120" w:type="dxa"/>
            <w:vAlign w:val="bottom"/>
          </w:tcPr>
          <w:p>
            <w:pPr>
              <w:spacing w:after="0"/>
              <w:rPr>
                <w:sz w:val="10"/>
                <w:szCs w:val="10"/>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0"/>
                <w:szCs w:val="10"/>
                <w:b w:val="1"/>
                <w:bCs w:val="1"/>
                <w:color w:val="auto"/>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4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0"/>
                <w:szCs w:val="10"/>
                <w:b w:val="1"/>
                <w:bCs w:val="1"/>
                <w:color w:val="auto"/>
              </w:rPr>
              <w:t>Amount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20" w:type="dxa"/>
            <w:vAlign w:val="bottom"/>
          </w:tcPr>
          <w:p>
            <w:pPr>
              <w:spacing w:after="0"/>
              <w:rPr>
                <w:sz w:val="12"/>
                <w:szCs w:val="12"/>
                <w:color w:val="auto"/>
              </w:rPr>
            </w:pPr>
          </w:p>
        </w:tc>
        <w:tc>
          <w:tcPr>
            <w:tcW w:w="720" w:type="dxa"/>
            <w:vAlign w:val="bottom"/>
            <w:gridSpan w:val="2"/>
          </w:tcPr>
          <w:p>
            <w:pPr>
              <w:jc w:val="right"/>
              <w:ind w:right="148"/>
              <w:spacing w:after="0"/>
              <w:rPr>
                <w:sz w:val="20"/>
                <w:szCs w:val="20"/>
                <w:color w:val="auto"/>
              </w:rPr>
            </w:pPr>
            <w:r>
              <w:rPr>
                <w:rFonts w:ascii="Arial" w:cs="Arial" w:eastAsia="Arial" w:hAnsi="Arial"/>
                <w:sz w:val="10"/>
                <w:szCs w:val="10"/>
                <w:b w:val="1"/>
                <w:bCs w:val="1"/>
                <w:color w:val="auto"/>
              </w:rPr>
              <w:t>Amount</w:t>
            </w:r>
          </w:p>
        </w:tc>
        <w:tc>
          <w:tcPr>
            <w:tcW w:w="6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2"/>
                <w:szCs w:val="12"/>
                <w:color w:val="auto"/>
              </w:rPr>
            </w:pPr>
          </w:p>
        </w:tc>
        <w:tc>
          <w:tcPr>
            <w:tcW w:w="540" w:type="dxa"/>
            <w:vAlign w:val="bottom"/>
            <w:gridSpan w:val="3"/>
          </w:tcPr>
          <w:p>
            <w:pPr>
              <w:ind w:left="1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Net sales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111.1</w:t>
            </w:r>
          </w:p>
        </w:tc>
        <w:tc>
          <w:tcPr>
            <w:tcW w:w="6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449.0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601.7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Cost of sales</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90.4</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81.4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311.1</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69.3</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445.3</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74.0</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Gross profit</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20.7</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18.6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137.8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30.7</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156.4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26.0</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Selling, general and administrative expenses</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14.5</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13.1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56.3</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12.5</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81.3</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13.5</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(10.5)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 expenses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14.7</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13.3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56.1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12.5</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89.5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Restructuring and impairment charges</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0.4</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0.1</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13.4</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(12.9)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Operating income (loss) from continuing operations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88"/>
              <w:spacing w:after="0"/>
              <w:rPr>
                <w:sz w:val="20"/>
                <w:szCs w:val="20"/>
                <w:color w:val="auto"/>
              </w:rPr>
            </w:pPr>
            <w:r>
              <w:rPr>
                <w:rFonts w:ascii="Arial" w:cs="Arial" w:eastAsia="Arial" w:hAnsi="Arial"/>
                <w:sz w:val="10"/>
                <w:szCs w:val="10"/>
                <w:color w:val="auto"/>
              </w:rPr>
              <w:t>(8.6)</w:t>
            </w:r>
          </w:p>
        </w:tc>
        <w:tc>
          <w:tcPr>
            <w:tcW w:w="6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25.0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5.6</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(27.7)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44.1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Interest expense, net</w:t>
            </w:r>
          </w:p>
        </w:tc>
        <w:tc>
          <w:tcPr>
            <w:tcW w:w="140" w:type="dxa"/>
            <w:vAlign w:val="bottom"/>
          </w:tcPr>
          <w:p>
            <w:pPr>
              <w:spacing w:after="0"/>
              <w:rPr>
                <w:sz w:val="10"/>
                <w:szCs w:val="10"/>
                <w:color w:val="auto"/>
              </w:rPr>
            </w:pP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(1.3)</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68"/>
              <w:spacing w:after="0"/>
              <w:rPr>
                <w:sz w:val="20"/>
                <w:szCs w:val="20"/>
                <w:color w:val="auto"/>
              </w:rPr>
            </w:pPr>
            <w:r>
              <w:rPr>
                <w:rFonts w:ascii="Arial" w:cs="Arial" w:eastAsia="Arial" w:hAnsi="Arial"/>
                <w:sz w:val="10"/>
                <w:szCs w:val="10"/>
                <w:color w:val="auto"/>
              </w:rPr>
              <w:t>(31.2)</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(6.9)</w:t>
            </w:r>
          </w:p>
        </w:tc>
        <w:tc>
          <w:tcPr>
            <w:tcW w:w="120" w:type="dxa"/>
            <w:vAlign w:val="bottom"/>
          </w:tcPr>
          <w:p>
            <w:pPr>
              <w:spacing w:after="0"/>
              <w:rPr>
                <w:sz w:val="10"/>
                <w:szCs w:val="10"/>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(76.1)</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(12.7)</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Foreign currency gain (loss), net</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9.3</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8.4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43.4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9.7</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(210.4)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(35.0)</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263.2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Reorganization items, net</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804.6</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179.2</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804.6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8.1</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816.8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181.9</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(286.5)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(47.6)</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1,111.5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Income (loss) continuing operations before income taxes</w:t>
            </w:r>
          </w:p>
        </w:tc>
        <w:tc>
          <w:tcPr>
            <w:tcW w:w="140" w:type="dxa"/>
            <w:vAlign w:val="bottom"/>
          </w:tcPr>
          <w:p>
            <w:pPr>
              <w:spacing w:after="0"/>
              <w:rPr>
                <w:sz w:val="10"/>
                <w:szCs w:val="10"/>
                <w:color w:val="auto"/>
              </w:rPr>
            </w:pP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(0.5)</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841.8</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187.5</w:t>
            </w:r>
          </w:p>
        </w:tc>
        <w:tc>
          <w:tcPr>
            <w:tcW w:w="120" w:type="dxa"/>
            <w:vAlign w:val="bottom"/>
          </w:tcPr>
          <w:p>
            <w:pPr>
              <w:spacing w:after="0"/>
              <w:rPr>
                <w:sz w:val="10"/>
                <w:szCs w:val="10"/>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(314.3)</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(52.2)</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1,155.5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expenses (benefits)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1.9</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7.3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11.6</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Income (loss) from continuing operations</w:t>
            </w:r>
          </w:p>
        </w:tc>
        <w:tc>
          <w:tcPr>
            <w:tcW w:w="140" w:type="dxa"/>
            <w:vAlign w:val="bottom"/>
          </w:tcPr>
          <w:p>
            <w:pPr>
              <w:spacing w:after="0"/>
              <w:rPr>
                <w:sz w:val="10"/>
                <w:szCs w:val="10"/>
                <w:color w:val="auto"/>
              </w:rPr>
            </w:pP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(2.5)</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834.5</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185.9</w:t>
            </w:r>
          </w:p>
        </w:tc>
        <w:tc>
          <w:tcPr>
            <w:tcW w:w="120" w:type="dxa"/>
            <w:vAlign w:val="bottom"/>
          </w:tcPr>
          <w:p>
            <w:pPr>
              <w:spacing w:after="0"/>
              <w:rPr>
                <w:sz w:val="10"/>
                <w:szCs w:val="10"/>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(325.8)</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(54.2)</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1,157.9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discontinued operations, net of taxes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0.5</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0.5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6.6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(91.5)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Net income (loss)</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(2.0)</w:t>
            </w: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841.1</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187.3%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(417.3)</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(69.4)%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1,256.4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228"/>
              <w:spacing w:after="0"/>
              <w:rPr>
                <w:sz w:val="20"/>
                <w:szCs w:val="20"/>
                <w:color w:val="auto"/>
              </w:rPr>
            </w:pPr>
            <w:r>
              <w:rPr>
                <w:rFonts w:ascii="Arial" w:cs="Arial" w:eastAsia="Arial" w:hAnsi="Arial"/>
                <w:sz w:val="10"/>
                <w:szCs w:val="10"/>
                <w:b w:val="1"/>
                <w:bCs w:val="1"/>
                <w:color w:val="auto"/>
              </w:rPr>
              <w:t>Successor</w:t>
            </w: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0"/>
                <w:szCs w:val="10"/>
                <w:b w:val="1"/>
                <w:bCs w:val="1"/>
                <w:color w:val="auto"/>
              </w:rPr>
              <w:t>Company</w:t>
            </w:r>
          </w:p>
        </w:tc>
        <w:tc>
          <w:tcPr>
            <w:tcW w:w="42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rPr>
              <w:t>Predecessor Company</w:t>
            </w:r>
          </w:p>
        </w:tc>
        <w:tc>
          <w:tcPr>
            <w:tcW w:w="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left="228"/>
              <w:spacing w:after="0" w:line="100" w:lineRule="exact"/>
              <w:rPr>
                <w:sz w:val="20"/>
                <w:szCs w:val="20"/>
                <w:color w:val="auto"/>
              </w:rPr>
            </w:pPr>
            <w:r>
              <w:rPr>
                <w:rFonts w:ascii="Arial" w:cs="Arial" w:eastAsia="Arial" w:hAnsi="Arial"/>
                <w:sz w:val="10"/>
                <w:szCs w:val="10"/>
                <w:b w:val="1"/>
                <w:bCs w:val="1"/>
                <w:color w:val="auto"/>
              </w:rPr>
              <w:t>Two-Month</w:t>
            </w:r>
          </w:p>
        </w:tc>
        <w:tc>
          <w:tcPr>
            <w:tcW w:w="4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0"/>
                <w:szCs w:val="10"/>
                <w:b w:val="1"/>
                <w:bCs w:val="1"/>
                <w:color w:val="auto"/>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28"/>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8"/>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left="108"/>
              <w:spacing w:after="0"/>
              <w:rPr>
                <w:sz w:val="20"/>
                <w:szCs w:val="20"/>
                <w:color w:val="auto"/>
              </w:rPr>
            </w:pPr>
            <w:r>
              <w:rPr>
                <w:rFonts w:ascii="Arial" w:cs="Arial" w:eastAsia="Arial" w:hAnsi="Arial"/>
                <w:sz w:val="10"/>
                <w:szCs w:val="10"/>
                <w:b w:val="1"/>
                <w:bCs w:val="1"/>
                <w:color w:val="auto"/>
              </w:rPr>
              <w:t>Year Ended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rPr>
              <w:t>October 25,</w:t>
            </w:r>
          </w:p>
        </w:tc>
        <w:tc>
          <w:tcPr>
            <w:tcW w:w="140" w:type="dxa"/>
            <w:vAlign w:val="bottom"/>
          </w:tcPr>
          <w:p>
            <w:pPr>
              <w:spacing w:after="0"/>
              <w:rPr>
                <w:sz w:val="10"/>
                <w:szCs w:val="10"/>
                <w:color w:val="auto"/>
              </w:rPr>
            </w:pPr>
          </w:p>
        </w:tc>
        <w:tc>
          <w:tcPr>
            <w:tcW w:w="840" w:type="dxa"/>
            <w:vAlign w:val="bottom"/>
            <w:gridSpan w:val="2"/>
          </w:tcPr>
          <w:p>
            <w:pPr>
              <w:jc w:val="center"/>
              <w:ind w:left="108"/>
              <w:spacing w:after="0"/>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0"/>
                <w:szCs w:val="10"/>
                <w:b w:val="1"/>
                <w:bCs w:val="1"/>
                <w:color w:val="auto"/>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0"/>
                <w:szCs w:val="10"/>
                <w:b w:val="1"/>
                <w:bCs w:val="1"/>
                <w:color w:val="auto"/>
              </w:rPr>
              <w:t>2008</w:t>
            </w:r>
          </w:p>
        </w:tc>
        <w:tc>
          <w:tcPr>
            <w:tcW w:w="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Amount</w:t>
            </w:r>
          </w:p>
        </w:tc>
        <w:tc>
          <w:tcPr>
            <w:tcW w:w="6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4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net sales</w:t>
            </w:r>
          </w:p>
        </w:tc>
        <w:tc>
          <w:tcPr>
            <w:tcW w:w="14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Display Solutions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0"/>
                <w:szCs w:val="10"/>
                <w:color w:val="auto"/>
              </w:rPr>
              <w:t>51.0</w:t>
            </w: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46.0%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231.9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51.6%</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304.1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50.5%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20"/>
                <w:szCs w:val="20"/>
                <w:color w:val="auto"/>
              </w:rPr>
            </w:pPr>
            <w:r>
              <w:rPr>
                <w:rFonts w:ascii="Arial" w:cs="Arial" w:eastAsia="Arial" w:hAnsi="Arial"/>
                <w:sz w:val="10"/>
                <w:szCs w:val="10"/>
                <w:color w:val="auto"/>
              </w:rPr>
              <w:t>Power Solutions</w:t>
            </w:r>
          </w:p>
        </w:tc>
        <w:tc>
          <w:tcPr>
            <w:tcW w:w="140" w:type="dxa"/>
            <w:vAlign w:val="bottom"/>
          </w:tcPr>
          <w:p>
            <w:pPr>
              <w:spacing w:after="0"/>
              <w:rPr>
                <w:sz w:val="10"/>
                <w:szCs w:val="10"/>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0"/>
                <w:szCs w:val="10"/>
                <w:color w:val="auto"/>
              </w:rPr>
              <w:t>4.7</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7.6</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1.7</w:t>
            </w:r>
          </w:p>
        </w:tc>
        <w:tc>
          <w:tcPr>
            <w:tcW w:w="140" w:type="dxa"/>
            <w:vAlign w:val="bottom"/>
          </w:tcPr>
          <w:p>
            <w:pPr>
              <w:spacing w:after="0"/>
              <w:rPr>
                <w:sz w:val="10"/>
                <w:szCs w:val="10"/>
                <w:color w:val="auto"/>
              </w:rPr>
            </w:pPr>
          </w:p>
        </w:tc>
        <w:tc>
          <w:tcPr>
            <w:tcW w:w="840" w:type="dxa"/>
            <w:vAlign w:val="bottom"/>
            <w:gridSpan w:val="2"/>
          </w:tcPr>
          <w:p>
            <w:pPr>
              <w:jc w:val="right"/>
              <w:ind w:right="428"/>
              <w:spacing w:after="0"/>
              <w:rPr>
                <w:sz w:val="20"/>
                <w:szCs w:val="20"/>
                <w:color w:val="auto"/>
              </w:rPr>
            </w:pPr>
            <w:r>
              <w:rPr>
                <w:rFonts w:ascii="Arial" w:cs="Arial" w:eastAsia="Arial" w:hAnsi="Arial"/>
                <w:sz w:val="10"/>
                <w:szCs w:val="10"/>
                <w:color w:val="auto"/>
              </w:rPr>
              <w:t>5.4</w:t>
            </w: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0.9</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Semiconductor Manufacturing Services</w:t>
            </w:r>
          </w:p>
        </w:tc>
        <w:tc>
          <w:tcPr>
            <w:tcW w:w="1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0"/>
                <w:szCs w:val="10"/>
                <w:color w:val="auto"/>
              </w:rPr>
              <w:t>54.8</w:t>
            </w:r>
          </w:p>
        </w:tc>
        <w:tc>
          <w:tcPr>
            <w:tcW w:w="6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49.3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206.7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46.0</w:t>
            </w:r>
          </w:p>
        </w:tc>
        <w:tc>
          <w:tcPr>
            <w:tcW w:w="1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287.1</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47.7</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(25.7)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20"/>
                <w:szCs w:val="20"/>
                <w:color w:val="auto"/>
              </w:rPr>
            </w:pPr>
            <w:r>
              <w:rPr>
                <w:rFonts w:ascii="Arial" w:cs="Arial" w:eastAsia="Arial" w:hAnsi="Arial"/>
                <w:sz w:val="10"/>
                <w:szCs w:val="10"/>
                <w:color w:val="auto"/>
              </w:rPr>
              <w:t>All other</w:t>
            </w:r>
          </w:p>
        </w:tc>
        <w:tc>
          <w:tcPr>
            <w:tcW w:w="140" w:type="dxa"/>
            <w:vAlign w:val="bottom"/>
          </w:tcPr>
          <w:p>
            <w:pPr>
              <w:spacing w:after="0"/>
              <w:rPr>
                <w:sz w:val="10"/>
                <w:szCs w:val="10"/>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0"/>
                <w:szCs w:val="10"/>
                <w:color w:val="auto"/>
              </w:rPr>
              <w:t>0.5</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2.8</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0.6</w:t>
            </w:r>
          </w:p>
        </w:tc>
        <w:tc>
          <w:tcPr>
            <w:tcW w:w="140" w:type="dxa"/>
            <w:vAlign w:val="bottom"/>
          </w:tcPr>
          <w:p>
            <w:pPr>
              <w:spacing w:after="0"/>
              <w:rPr>
                <w:sz w:val="10"/>
                <w:szCs w:val="10"/>
                <w:color w:val="auto"/>
              </w:rPr>
            </w:pPr>
          </w:p>
        </w:tc>
        <w:tc>
          <w:tcPr>
            <w:tcW w:w="840" w:type="dxa"/>
            <w:vAlign w:val="bottom"/>
            <w:gridSpan w:val="2"/>
          </w:tcPr>
          <w:p>
            <w:pPr>
              <w:jc w:val="right"/>
              <w:ind w:right="428"/>
              <w:spacing w:after="0"/>
              <w:rPr>
                <w:sz w:val="20"/>
                <w:szCs w:val="20"/>
                <w:color w:val="auto"/>
              </w:rPr>
            </w:pPr>
            <w:r>
              <w:rPr>
                <w:rFonts w:ascii="Arial" w:cs="Arial" w:eastAsia="Arial" w:hAnsi="Arial"/>
                <w:sz w:val="10"/>
                <w:szCs w:val="10"/>
                <w:color w:val="auto"/>
              </w:rPr>
              <w:t>5.0</w:t>
            </w: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0"/>
                <w:szCs w:val="10"/>
                <w:color w:val="auto"/>
              </w:rPr>
              <w:t>111.1</w:t>
            </w: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449.0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601.</w:t>
            </w:r>
            <w:r>
              <w:rPr>
                <w:rFonts w:ascii="Arial" w:cs="Arial" w:eastAsia="Arial" w:hAnsi="Arial"/>
                <w:sz w:val="10"/>
                <w:szCs w:val="10"/>
                <w:u w:val="single" w:color="auto"/>
                <w:color w:val="auto"/>
              </w:rPr>
              <w:t>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8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600" w:firstLine="499"/>
        <w:spacing w:after="0" w:line="248" w:lineRule="auto"/>
        <w:rPr>
          <w:sz w:val="20"/>
          <w:szCs w:val="20"/>
          <w:color w:val="auto"/>
        </w:rPr>
      </w:pPr>
      <w:r>
        <w:rPr>
          <w:rFonts w:ascii="Arial" w:cs="Arial" w:eastAsia="Arial" w:hAnsi="Arial"/>
          <w:sz w:val="13"/>
          <w:szCs w:val="13"/>
          <w:color w:val="auto"/>
        </w:rPr>
        <w:t>Net sales were $111.1 million for the two-month period ended December 31, 2009 and $449.0 million for the ten-month period ended October 25, 2009, or $560.1 million in aggregate, a</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$41.6 million, or 6.9%, decrease, compared to $601.7 million in 2008. Net sales generated in our three operating segments during 2009 in aggregate were $ 556.7 million, a decrease of $39.9 million, or 6.7%, from 2008. This decrease was principally due to the impact of the depreciation of the Korean won against the U.S. dollar in the amount of $17.6 million and a decrease in average selling prices of our products, both of which were partially offset by increases in product sales volume. Among our segments, net sales decreased for our Display Solutions and our Semiconductor Manufacturing Service segments which was offset in part by an increase in net sales from our Power Solutions segment.</w:t>
      </w:r>
    </w:p>
    <w:p>
      <w:pPr>
        <w:spacing w:after="0" w:line="65"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Display Solutions were $51.0 million for the two-month period ended December 31, 2009 and $231.9 million for the ten-month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ended October 25, 2009, or $282.9 million in aggregate, a $21.2 million, or 7.0%, decrease from $304.1 million for 2008. The decrease resulted from a 24.9% decrease in average selling prices, primarily from display driver products for LCD televisions, PC monitors and mobile devices. The reduction in average selling prices in 2009 resulted in part from reduced demand for consumer electronics products generally, and new products in particular, during the first half of 2009 as a result of the worldwide economic slowdown. These decreases in average selling prices were partially offset by a 24.6% increase in sales volume. Volume increased in the second half of 2009 as the consumer electronics industry began to recover from the economic slowdown as demand and shipments for consumer electronics products such as digital televisions, PCs, and smartphones increased.</w:t>
      </w:r>
    </w:p>
    <w:p>
      <w:pPr>
        <w:spacing w:after="0" w:line="65"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Power Solutions were $4.7 million for the two-month period ended December 31, 2009 and $7.6 million for the ten-month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October 25, 2009, or $12.4 million in aggregate, a $6.9 million, or 127.6%, increase from $5.4 million for 2008. The increase resulted from a 221.3% increase in sales volume, most of which was attributable to higher demand for MOSFET products driven by our existing and new customers. Such increases in volume were partially offset by a 29.4% decrease in average sales prices. We were able to attract new customers, largely due to MOSFET products utilized in high voltage technologies and computing solutions.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Semiconductor Manufacturing Services were $54.8 million for the two-month period ended</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2009 and $206.7 million for the ten-month period ended October 25, 2009, or $261.4 million in aggregate, a $25.7 million, or 8.9%, decrease compared to net</w:t>
      </w:r>
    </w:p>
    <w:p>
      <w:pPr>
        <w:ind w:left="680"/>
        <w:spacing w:after="0" w:line="236" w:lineRule="auto"/>
        <w:rPr>
          <w:sz w:val="20"/>
          <w:szCs w:val="20"/>
          <w:color w:val="auto"/>
        </w:rPr>
      </w:pPr>
      <w:r>
        <w:rPr>
          <w:rFonts w:ascii="Arial" w:cs="Arial" w:eastAsia="Arial" w:hAnsi="Arial"/>
          <w:sz w:val="13"/>
          <w:szCs w:val="13"/>
          <w:color w:val="auto"/>
        </w:rPr>
        <w:t>sales of $287.1 million for 2008. This decrease was primarily due to a 0.5% decrease in sales volume and 3.4% decrease in average selling price of eight-inch equivalent</w:t>
      </w:r>
    </w:p>
    <w:p>
      <w:pPr>
        <w:ind w:left="680"/>
        <w:spacing w:after="0"/>
        <w:rPr>
          <w:sz w:val="20"/>
          <w:szCs w:val="20"/>
          <w:color w:val="auto"/>
        </w:rPr>
      </w:pPr>
      <w:r>
        <w:rPr>
          <w:rFonts w:ascii="Arial" w:cs="Arial" w:eastAsia="Arial" w:hAnsi="Arial"/>
          <w:sz w:val="13"/>
          <w:szCs w:val="13"/>
          <w:color w:val="auto"/>
        </w:rPr>
        <w:t>wafers given decreased market demand for such products.</w:t>
      </w:r>
    </w:p>
    <w:p>
      <w:pPr>
        <w:spacing w:after="0" w:line="70" w:lineRule="exact"/>
        <w:rPr>
          <w:sz w:val="20"/>
          <w:szCs w:val="20"/>
          <w:color w:val="auto"/>
        </w:rPr>
      </w:pPr>
    </w:p>
    <w:p>
      <w:pPr>
        <w:ind w:left="680" w:right="3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two-month period ended December 31, 2009 and $2.8 million for the ten-month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October 25, 2009, or $3.3 million in aggregate compared to $5.0 million for 2008. This decrease of $1.7 million, or 33.6%, resulted from lower rental income due to the relocation of one of the lessees of one of our buildings.</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2" w:lineRule="exact"/>
        <w:rPr>
          <w:sz w:val="20"/>
          <w:szCs w:val="20"/>
          <w:color w:val="auto"/>
        </w:rPr>
      </w:pPr>
    </w:p>
    <w:p>
      <w:pPr>
        <w:ind w:left="680" w:right="300" w:firstLine="499"/>
        <w:spacing w:after="0" w:line="248"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two-month period ended December 31, 2009, the ten-month period ended October 25, 2009 and the year ended December 31, 2008:</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24"/>
              <w:spacing w:after="0"/>
              <w:rPr>
                <w:sz w:val="20"/>
                <w:szCs w:val="20"/>
                <w:color w:val="auto"/>
              </w:rPr>
            </w:pPr>
            <w:r>
              <w:rPr>
                <w:rFonts w:ascii="Arial" w:cs="Arial" w:eastAsia="Arial" w:hAnsi="Arial"/>
                <w:sz w:val="10"/>
                <w:szCs w:val="10"/>
                <w:b w:val="1"/>
                <w:bCs w:val="1"/>
                <w:color w:val="auto"/>
              </w:rPr>
              <w:t>Successor</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Company</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0"/>
                <w:szCs w:val="10"/>
                <w:b w:val="1"/>
                <w:bCs w:val="1"/>
                <w:color w:val="auto"/>
              </w:rPr>
              <w:t>Predecessor Company</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center"/>
              <w:ind w:left="224"/>
              <w:spacing w:after="0" w:line="100" w:lineRule="exact"/>
              <w:rPr>
                <w:sz w:val="20"/>
                <w:szCs w:val="20"/>
                <w:color w:val="auto"/>
              </w:rPr>
            </w:pPr>
            <w:r>
              <w:rPr>
                <w:rFonts w:ascii="Arial" w:cs="Arial" w:eastAsia="Arial" w:hAnsi="Arial"/>
                <w:sz w:val="10"/>
                <w:szCs w:val="10"/>
                <w:b w:val="1"/>
                <w:bCs w:val="1"/>
                <w:color w:val="auto"/>
              </w:rPr>
              <w:t>Two-Month</w:t>
            </w:r>
          </w:p>
        </w:tc>
        <w:tc>
          <w:tcPr>
            <w:tcW w:w="4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4"/>
          </w:tcPr>
          <w:p>
            <w:pPr>
              <w:jc w:val="center"/>
              <w:ind w:right="200"/>
              <w:spacing w:after="0" w:line="100" w:lineRule="exact"/>
              <w:rPr>
                <w:sz w:val="20"/>
                <w:szCs w:val="20"/>
                <w:color w:val="auto"/>
              </w:rPr>
            </w:pPr>
            <w:r>
              <w:rPr>
                <w:rFonts w:ascii="Arial" w:cs="Arial" w:eastAsia="Arial" w:hAnsi="Arial"/>
                <w:sz w:val="10"/>
                <w:szCs w:val="10"/>
                <w:b w:val="1"/>
                <w:bCs w:val="1"/>
                <w:color w:val="auto"/>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Period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Ended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Year Ended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24"/>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rPr>
              <w:t>October 25,</w:t>
            </w: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left="224"/>
              <w:spacing w:after="0"/>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gridSpan w:val="2"/>
          </w:tcPr>
          <w:p>
            <w:pPr>
              <w:jc w:val="center"/>
              <w:ind w:left="364"/>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0"/>
                <w:szCs w:val="10"/>
                <w:b w:val="1"/>
                <w:bCs w:val="1"/>
                <w:color w:val="auto"/>
                <w:w w:val="98"/>
              </w:rPr>
              <w:t>2008</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3"/>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40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2"/>
                <w:szCs w:val="12"/>
                <w:color w:val="auto"/>
              </w:rPr>
            </w:pP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40" w:type="dxa"/>
            <w:vAlign w:val="bottom"/>
          </w:tcPr>
          <w:p>
            <w:pPr>
              <w:spacing w:after="0"/>
              <w:rPr>
                <w:sz w:val="12"/>
                <w:szCs w:val="12"/>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Amount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net sales</w:t>
            </w:r>
          </w:p>
        </w:tc>
        <w:tc>
          <w:tcPr>
            <w:tcW w:w="14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Korea</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w w:val="94"/>
              </w:rPr>
              <w:t>$ 244.3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301.0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Asia Pacific</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25.6</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23.0</w:t>
            </w:r>
          </w:p>
        </w:tc>
        <w:tc>
          <w:tcPr>
            <w:tcW w:w="100" w:type="dxa"/>
            <w:vAlign w:val="bottom"/>
          </w:tcPr>
          <w:p>
            <w:pPr>
              <w:spacing w:after="0"/>
              <w:rPr>
                <w:sz w:val="11"/>
                <w:szCs w:val="11"/>
                <w:color w:val="auto"/>
              </w:rPr>
            </w:pPr>
          </w:p>
        </w:tc>
        <w:tc>
          <w:tcPr>
            <w:tcW w:w="760" w:type="dxa"/>
            <w:vAlign w:val="bottom"/>
            <w:gridSpan w:val="2"/>
          </w:tcPr>
          <w:p>
            <w:pPr>
              <w:jc w:val="right"/>
              <w:ind w:right="308"/>
              <w:spacing w:after="0"/>
              <w:rPr>
                <w:sz w:val="20"/>
                <w:szCs w:val="20"/>
                <w:color w:val="auto"/>
              </w:rPr>
            </w:pPr>
            <w:r>
              <w:rPr>
                <w:rFonts w:ascii="Arial" w:cs="Arial" w:eastAsia="Arial" w:hAnsi="Arial"/>
                <w:sz w:val="12"/>
                <w:szCs w:val="12"/>
                <w:color w:val="auto"/>
              </w:rPr>
              <w:t>116.9</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26.0</w:t>
            </w:r>
          </w:p>
        </w:tc>
        <w:tc>
          <w:tcPr>
            <w:tcW w:w="140" w:type="dxa"/>
            <w:vAlign w:val="bottom"/>
          </w:tcPr>
          <w:p>
            <w:pPr>
              <w:spacing w:after="0"/>
              <w:rPr>
                <w:sz w:val="11"/>
                <w:szCs w:val="11"/>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144.5</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24.0</w:t>
            </w:r>
          </w:p>
        </w:tc>
        <w:tc>
          <w:tcPr>
            <w:tcW w:w="14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31.6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79.9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13.3</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North America</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14.9</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1"/>
                <w:szCs w:val="11"/>
                <w:color w:val="auto"/>
              </w:rPr>
            </w:pPr>
          </w:p>
        </w:tc>
        <w:tc>
          <w:tcPr>
            <w:tcW w:w="760" w:type="dxa"/>
            <w:vAlign w:val="bottom"/>
            <w:gridSpan w:val="2"/>
          </w:tcPr>
          <w:p>
            <w:pPr>
              <w:jc w:val="right"/>
              <w:ind w:right="308"/>
              <w:spacing w:after="0"/>
              <w:rPr>
                <w:sz w:val="20"/>
                <w:szCs w:val="20"/>
                <w:color w:val="auto"/>
              </w:rPr>
            </w:pPr>
            <w:r>
              <w:rPr>
                <w:rFonts w:ascii="Arial" w:cs="Arial" w:eastAsia="Arial" w:hAnsi="Arial"/>
                <w:sz w:val="12"/>
                <w:szCs w:val="12"/>
                <w:color w:val="auto"/>
              </w:rPr>
              <w:t>48.5</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1"/>
                <w:szCs w:val="11"/>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61.3</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Europe</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3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14.9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0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111.1</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$ 449.0</w:t>
            </w:r>
          </w:p>
        </w:tc>
        <w:tc>
          <w:tcPr>
            <w:tcW w:w="3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601.</w:t>
            </w:r>
            <w:r>
              <w:rPr>
                <w:rFonts w:ascii="Arial" w:cs="Arial" w:eastAsia="Arial" w:hAnsi="Arial"/>
                <w:sz w:val="12"/>
                <w:szCs w:val="12"/>
                <w:u w:val="single" w:color="auto"/>
                <w:color w:val="auto"/>
              </w:rPr>
              <w:t>7</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100.0%</w:t>
            </w:r>
          </w:p>
        </w:tc>
        <w:tc>
          <w:tcPr>
            <w:tcW w:w="140" w:type="dxa"/>
            <w:vAlign w:val="bottom"/>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(41.6)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-641985</wp:posOffset>
            </wp:positionV>
            <wp:extent cx="635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Net sales in Japan in 2009 declined as a percentage of total net sales principally as a result of declines in customer sales relating to electronic games due to the overall slowness in that market.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204"/>
              <w:spacing w:after="0"/>
              <w:rPr>
                <w:sz w:val="20"/>
                <w:szCs w:val="20"/>
                <w:color w:val="auto"/>
              </w:rPr>
            </w:pPr>
            <w:r>
              <w:rPr>
                <w:rFonts w:ascii="Arial" w:cs="Arial" w:eastAsia="Arial" w:hAnsi="Arial"/>
                <w:sz w:val="10"/>
                <w:szCs w:val="10"/>
                <w:b w:val="1"/>
                <w:bCs w:val="1"/>
                <w:color w:val="auto"/>
              </w:rPr>
              <w:t>Successor</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Company</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0"/>
                <w:szCs w:val="10"/>
                <w:b w:val="1"/>
                <w:bCs w:val="1"/>
                <w:color w:val="auto"/>
              </w:rPr>
              <w:t>Predecessor Company</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left="204"/>
              <w:spacing w:after="0" w:line="100" w:lineRule="exact"/>
              <w:rPr>
                <w:sz w:val="20"/>
                <w:szCs w:val="20"/>
                <w:color w:val="auto"/>
              </w:rPr>
            </w:pPr>
            <w:r>
              <w:rPr>
                <w:rFonts w:ascii="Arial" w:cs="Arial" w:eastAsia="Arial" w:hAnsi="Arial"/>
                <w:sz w:val="10"/>
                <w:szCs w:val="10"/>
                <w:b w:val="1"/>
                <w:bCs w:val="1"/>
                <w:color w:val="auto"/>
              </w:rPr>
              <w:t>Two-Month</w:t>
            </w:r>
          </w:p>
        </w:tc>
        <w:tc>
          <w:tcPr>
            <w:tcW w:w="4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4"/>
          </w:tcPr>
          <w:p>
            <w:pPr>
              <w:jc w:val="center"/>
              <w:ind w:right="280"/>
              <w:spacing w:after="0" w:line="100" w:lineRule="exact"/>
              <w:rPr>
                <w:sz w:val="20"/>
                <w:szCs w:val="20"/>
                <w:color w:val="auto"/>
              </w:rPr>
            </w:pPr>
            <w:r>
              <w:rPr>
                <w:rFonts w:ascii="Arial" w:cs="Arial" w:eastAsia="Arial" w:hAnsi="Arial"/>
                <w:sz w:val="10"/>
                <w:szCs w:val="10"/>
                <w:b w:val="1"/>
                <w:bCs w:val="1"/>
                <w:color w:val="auto"/>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Period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Ended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Year Ended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204"/>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left="204"/>
              <w:spacing w:after="0"/>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center"/>
              <w:ind w:left="284"/>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0"/>
                <w:szCs w:val="10"/>
                <w:b w:val="1"/>
                <w:bCs w:val="1"/>
                <w:color w:val="auto"/>
                <w:w w:val="98"/>
              </w:rPr>
              <w:t>2008</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3"/>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40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40" w:type="dxa"/>
            <w:vAlign w:val="bottom"/>
          </w:tcPr>
          <w:p>
            <w:pPr>
              <w:spacing w:after="0"/>
              <w:rPr>
                <w:sz w:val="12"/>
                <w:szCs w:val="12"/>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Amount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net sales</w:t>
            </w:r>
          </w:p>
        </w:tc>
        <w:tc>
          <w:tcPr>
            <w:tcW w:w="14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Display Solutions</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2"/>
                <w:szCs w:val="12"/>
                <w:color w:val="auto"/>
              </w:rPr>
              <w:t>8.7</w:t>
            </w: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61.8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57.4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Power Solutions</w:t>
            </w:r>
          </w:p>
        </w:tc>
        <w:tc>
          <w:tcPr>
            <w:tcW w:w="160" w:type="dxa"/>
            <w:vAlign w:val="bottom"/>
          </w:tcPr>
          <w:p>
            <w:pPr>
              <w:spacing w:after="0"/>
              <w:rPr>
                <w:sz w:val="11"/>
                <w:szCs w:val="11"/>
                <w:color w:val="auto"/>
              </w:rPr>
            </w:pPr>
          </w:p>
        </w:tc>
        <w:tc>
          <w:tcPr>
            <w:tcW w:w="940" w:type="dxa"/>
            <w:vAlign w:val="bottom"/>
            <w:gridSpan w:val="2"/>
          </w:tcPr>
          <w:p>
            <w:pPr>
              <w:jc w:val="right"/>
              <w:ind w:right="528"/>
              <w:spacing w:after="0"/>
              <w:rPr>
                <w:sz w:val="20"/>
                <w:szCs w:val="20"/>
                <w:color w:val="auto"/>
              </w:rPr>
            </w:pPr>
            <w:r>
              <w:rPr>
                <w:rFonts w:ascii="Arial" w:cs="Arial" w:eastAsia="Arial" w:hAnsi="Arial"/>
                <w:sz w:val="12"/>
                <w:szCs w:val="12"/>
                <w:color w:val="auto"/>
              </w:rPr>
              <w:t>0.7</w:t>
            </w: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08"/>
              <w:spacing w:after="0"/>
              <w:rPr>
                <w:sz w:val="20"/>
                <w:szCs w:val="20"/>
                <w:color w:val="auto"/>
              </w:rPr>
            </w:pPr>
            <w:r>
              <w:rPr>
                <w:rFonts w:ascii="Arial" w:cs="Arial" w:eastAsia="Arial" w:hAnsi="Arial"/>
                <w:sz w:val="12"/>
                <w:szCs w:val="12"/>
                <w:color w:val="auto"/>
              </w:rPr>
              <w:t>1.4</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18.8</w:t>
            </w:r>
          </w:p>
        </w:tc>
        <w:tc>
          <w:tcPr>
            <w:tcW w:w="140" w:type="dxa"/>
            <w:vAlign w:val="bottom"/>
          </w:tcPr>
          <w:p>
            <w:pPr>
              <w:spacing w:after="0"/>
              <w:rPr>
                <w:sz w:val="11"/>
                <w:szCs w:val="11"/>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2"/>
                <w:szCs w:val="12"/>
                <w:color w:val="auto"/>
              </w:rPr>
              <w:t>(4.3)</w:t>
            </w: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w w:val="95"/>
              </w:rPr>
              <w:t>(78.6)</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6.4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Semiconductor Manufacturing Services</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2"/>
                <w:szCs w:val="12"/>
                <w:color w:val="auto"/>
              </w:rPr>
              <w:t>10.7</w:t>
            </w: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71.8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98.4</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34.3</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All other</w:t>
            </w:r>
          </w:p>
        </w:tc>
        <w:tc>
          <w:tcPr>
            <w:tcW w:w="1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0.5</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2.8</w:t>
            </w:r>
          </w:p>
        </w:tc>
        <w:tc>
          <w:tcPr>
            <w:tcW w:w="36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1"/>
                <w:szCs w:val="11"/>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4.9</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97.3</w:t>
            </w:r>
          </w:p>
        </w:tc>
        <w:tc>
          <w:tcPr>
            <w:tcW w:w="14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137.8</w:t>
            </w:r>
          </w:p>
        </w:tc>
        <w:tc>
          <w:tcPr>
            <w:tcW w:w="3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156.4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-554990</wp:posOffset>
            </wp:positionV>
            <wp:extent cx="635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80" w:firstLine="499"/>
        <w:spacing w:after="0" w:line="238" w:lineRule="auto"/>
        <w:rPr>
          <w:sz w:val="20"/>
          <w:szCs w:val="20"/>
          <w:color w:val="auto"/>
        </w:rPr>
      </w:pPr>
      <w:r>
        <w:rPr>
          <w:rFonts w:ascii="Arial" w:cs="Arial" w:eastAsia="Arial" w:hAnsi="Arial"/>
          <w:sz w:val="13"/>
          <w:szCs w:val="13"/>
          <w:color w:val="auto"/>
        </w:rPr>
        <w:t>Total gross profit was $20.7 million for the two-month period ended December 31, 2009 and $137.8 million for the ten-month period ended October 25, 2009, or $158.5 million in aggregate as compared to $156.4 million for 2008, a $2.1 million, or 1.3%, increase. Gross margin, or gross profit as a percentage of net sales, in 2009 was 28.3%, an increase of 2.3% from 26.0% for the year ended December 31, 2008. This increase in gross margin was primarily attributable to a $22.8 million favorable impact resulting from the depreciation of the Korean won against the U.S. dollar and an increase in sales volume. These increases were partially offset by lower average selling prices and the impact of a $17.2 million increase in our cost of sales as a result of the write-up of our inventory in accordance with the principles of fresh-start accounting upon the consummation of our reorganization proceedings. Cost of sales for the combined twelve-month period ended December 31, 2009 decreased by $43.7 million compared to 2008. The decreases in cost of sales were primarily due to a</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$40.4 million favorable impact resulting from the depreciation of the Korean won against the U.S. dollar, a $10.2 million decrease in labor costs, a $9.6 million decrease in subcontractor costs and a $3.2 million decrease in depreciation, which were partially offset by a $6.4 million increase in material costs resulting from the increase in sales volume and a $1.8 million increase of overhead costs. Gross margin for the two-month period ended December 31, 2009 was 18.6% as compared to 30.7% for the ten-month period ended October 25, 2009. Gross margin was higher in the ten-month period ended October 25, 2009 compared to the two-month period ended December 31, 2009 principally due to a $17.2 million one-time impact on cost of sales which is recorded in the two-month period ended December 31, 2009 associated with the step up of our inventory as a result of adoption of fresh-start accounting. As of December 31, 2009, $0.7 million of the total increase in inventory valuation remained. We expect to include the remaining increase in inventory valuation in cost of sales for the quarter ending March 31, 2010. As a result, we expect gross margin in future periods to return to historical levels, excluding foreign currency fluctuation impacts.</w:t>
      </w:r>
    </w:p>
    <w:p>
      <w:pPr>
        <w:spacing w:after="0" w:line="66"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Display Solutions for the combined twelve-month period ended December 31, 2009 improved to 24.9% compared to 18.9%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a decrease in unit costs resulting from a 24.6% increase in sales volume compared to 2008 offset in part by lower average selling prices and the impact of the write-up of our inventory in accordance with fresh-start accounting. Cost of sales for the combined twelve-month period ended December 31, 2009 decreased by $34.3 million compared to 2008, primarily due to a $17.8 million favorable impact resulting from the depreciation of the Korean won against the U.S. dollar, a $7.1 million decrease in labor costs, a $8.2 million decrease in subcontractor costs and a $ 3.8 million decrease in depreciation, which were partially offset by a $3.8 million increase in material costs due to increased sales volume and a $7.2 million increase resulting from the step-up of our inventory valuation as a result of our adoption of fresh-start accounting.</w:t>
      </w:r>
    </w:p>
    <w:p>
      <w:pPr>
        <w:spacing w:after="0" w:line="65"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Power Solutions for the combined twelve-month period ended December 31, 2009 improved to 17.5% compared to (78.6)%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lower unit costs resulting from the 221.3% increase in sales volume offset in part by lower average selling prices and the impact of the write-up of our inventory in accordance with fresh-start accounting. Cost of sales for the combined twelve-month period ended December 31, 2009 increased by $0.5 million compared to 2008, primarily due to a $2.3 million increase in material costs and a $1.1 million increase in overhead costs, which were partially offset by a $0.7 million favorable impact resulting from of the depreciation of the Korean won against the U.S. dollar. Gross margin was negative in 2008 as we first began operating the segment in late 2007 and had not yet achieved sales volumes required to generate a positive gross margin.</w:t>
      </w:r>
    </w:p>
    <w:p>
      <w:pPr>
        <w:spacing w:after="0" w:line="61" w:lineRule="exact"/>
        <w:rPr>
          <w:sz w:val="20"/>
          <w:szCs w:val="20"/>
          <w:color w:val="auto"/>
        </w:rPr>
      </w:pPr>
    </w:p>
    <w:p>
      <w:pPr>
        <w:ind w:left="680" w:right="60" w:firstLine="499"/>
        <w:spacing w:after="0" w:line="244"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Semiconductor Manufacturing Services decreased to 31.6% in the combined twelve-month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2009 from 34.3% in the year ended December 31, 2008. This decrease was primarily due to an overall decrease in production volume and average selling prices in an aggregate amount of $29.5 million, partially offset by a $13.6 million favorable impact resulting from the depreciation of the Korean won against the U.S. dollar. Cost of sales for the combined twelve-month period ended December 31, 2009 decreased by $9.8 million compared to 2008, which was primarily attributable to a $21.9 million favorable impact resulting from the depreciation of the Korean won against the U.S. dollar, which was offset in part by a $0.4 million increase in material costs and a $10.9 million increase resulting from the step-up of our inventory valuation as a result of our adoption of fresh-start accounting.</w:t>
      </w:r>
    </w:p>
    <w:p>
      <w:pPr>
        <w:spacing w:after="0" w:line="61" w:lineRule="exact"/>
        <w:rPr>
          <w:sz w:val="20"/>
          <w:szCs w:val="20"/>
          <w:color w:val="auto"/>
        </w:rPr>
      </w:pPr>
    </w:p>
    <w:p>
      <w:pPr>
        <w:ind w:left="680" w:right="100" w:firstLine="499"/>
        <w:spacing w:after="0" w:line="25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combined twelve-month period ended December 31, 2009 increased to 100.0% from 97.3%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All net sales included in All other in 2009 represent rent revenues for which there is no cost of sales. For 2008, All other included limited revenue from unit processing which resulted in a gross margin of 97.3%.</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6" w:lineRule="exact"/>
        <w:rPr>
          <w:sz w:val="20"/>
          <w:szCs w:val="20"/>
          <w:color w:val="auto"/>
        </w:rPr>
      </w:pPr>
    </w:p>
    <w:p>
      <w:pPr>
        <w:ind w:left="680" w:right="20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$70.8 million, or 12.6%, of net sales for the combined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twelve-month period ended December 31, 2009 compared to $81.3 million, or 13.5%, for 2008. The decrease of $10.5 million, or 12.9%, from the prior-year period was attributable to a decrease of $7.2 million due to the depreciation of the Korean won against the U.S. dollar and a decrease of $3.6 million due to a reduction in headcount and a short-term decrease in salaries and related expenses in connection with our cost-reduction efforts in 2009 as well as a decrease in depreciation and amortization expenses of $4.9 million. These decreases were partially offset by a $6.1 million increase in outside service expenses.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combined twelve-month period ended December 31, 2009 were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$70.9 million, a decrease of $18.6 million, or 20.8%, from $89.5 million for the year ended December 31, 2008. This decrease was due to the depreciation of the Korean</w:t>
      </w:r>
    </w:p>
    <w:p>
      <w:pPr>
        <w:ind w:left="680"/>
        <w:spacing w:after="0" w:line="236" w:lineRule="auto"/>
        <w:rPr>
          <w:sz w:val="20"/>
          <w:szCs w:val="20"/>
          <w:color w:val="auto"/>
        </w:rPr>
      </w:pPr>
      <w:r>
        <w:rPr>
          <w:rFonts w:ascii="Arial" w:cs="Arial" w:eastAsia="Arial" w:hAnsi="Arial"/>
          <w:sz w:val="13"/>
          <w:szCs w:val="13"/>
          <w:color w:val="auto"/>
        </w:rPr>
        <w:t>won against the U.S. dollar of $8.5 million, a $3.2 million decrease in salaries and related expenses due to lower headcount and our short-term decrease in salaries.</w:t>
      </w:r>
    </w:p>
    <w:p>
      <w:pPr>
        <w:ind w:left="680"/>
        <w:spacing w:after="0" w:line="237" w:lineRule="auto"/>
        <w:rPr>
          <w:sz w:val="20"/>
          <w:szCs w:val="20"/>
          <w:color w:val="auto"/>
        </w:rPr>
      </w:pPr>
      <w:r>
        <w:rPr>
          <w:rFonts w:ascii="Arial" w:cs="Arial" w:eastAsia="Arial" w:hAnsi="Arial"/>
          <w:sz w:val="13"/>
          <w:szCs w:val="13"/>
          <w:color w:val="auto"/>
        </w:rPr>
        <w:t>Through our cost reduction initiatives, material costs decreased by $4.8 million and outside service fees decreased by $2.6 million. The remaining decrease in research and</w:t>
      </w:r>
    </w:p>
    <w:p>
      <w:pPr>
        <w:ind w:left="680"/>
        <w:spacing w:after="0" w:line="237" w:lineRule="auto"/>
        <w:rPr>
          <w:sz w:val="20"/>
          <w:szCs w:val="20"/>
          <w:color w:val="auto"/>
        </w:rPr>
      </w:pPr>
      <w:r>
        <w:rPr>
          <w:rFonts w:ascii="Arial" w:cs="Arial" w:eastAsia="Arial" w:hAnsi="Arial"/>
          <w:sz w:val="13"/>
          <w:szCs w:val="13"/>
          <w:color w:val="auto"/>
        </w:rPr>
        <w:t>development expenses was attributable to reductions in various overhead expenses. Research and development expenses as a percentage of net sales were 12.7% in</w:t>
      </w:r>
    </w:p>
    <w:p>
      <w:pPr>
        <w:ind w:left="680"/>
        <w:spacing w:after="0"/>
        <w:rPr>
          <w:sz w:val="20"/>
          <w:szCs w:val="20"/>
          <w:color w:val="auto"/>
        </w:rPr>
      </w:pPr>
      <w:r>
        <w:rPr>
          <w:rFonts w:ascii="Arial" w:cs="Arial" w:eastAsia="Arial" w:hAnsi="Arial"/>
          <w:sz w:val="13"/>
          <w:szCs w:val="13"/>
          <w:color w:val="auto"/>
        </w:rPr>
        <w:t>2009, compared to 14.9% in 2008.</w:t>
      </w:r>
    </w:p>
    <w:p>
      <w:pPr>
        <w:spacing w:after="0" w:line="70" w:lineRule="exact"/>
        <w:rPr>
          <w:sz w:val="20"/>
          <w:szCs w:val="20"/>
          <w:color w:val="auto"/>
        </w:rPr>
      </w:pPr>
    </w:p>
    <w:p>
      <w:pPr>
        <w:ind w:left="680" w:right="60" w:firstLine="499"/>
        <w:spacing w:after="0" w:line="245"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decreased by $12.9 million in the combined twelve-month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compared to the year ended December 31, 2008. Restructuring charges of $0.4 million recorded in the ten-month period ended October 25, 2009 were related to the closure of one of our research and development facilities in Japan. Restructuring charges of $13.4 million for the year ended December 31, 2008 reflected an impairment charge of $14.2 million as a result of the significant reduction in net sales attributable to our Display Solutions products, offset in part by an $0.9 million reversal of unused accrued restructuring charges from prior periods.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6"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$32.4 million during the combined twelve-month period ended December 31, 2009, a decrease of $43.7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$76.1 million for the year ended December 31, 2008. Interest expense was incurred under our $ 750 million principal amount of notes and our senior secured credit facility. From June 12, 2009, the date of our initial reorganization filing, to October 25, 2009, we did not accrue interest expenses related to our notes, which were categorized as liabilities subject to compromise. Upon our emergence from our reorganization proceedings, our $750.0 million notes were discharged pursuant to the reorganization plan. Net interest expense in 2008 included a write-off of remaining debt issuance costs of $12.3 million related to our notes since we were not compliant with certain financial covenants under the terms of our notes and therefore, amounts outstanding were reclassified as current portion of long-term debt in our balance sheet as of December 31, 2008.</w:t>
      </w:r>
    </w:p>
    <w:p>
      <w:pPr>
        <w:spacing w:after="0" w:line="65"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combined twelve-month period ended December 31, 2009 was $52.8 million,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foreign exchange loss of $210.4 million for the year ended December 31, 2008.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1,167.6:1 and 1,262.0:1 using the first base rate as of December 31, 2009 as quoted by the Korea Exchange Bank and the noon buying rate in effect as of December 31, 2008 as quoted by the Federal</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Reserve Bank of New York, respectively. The exchange rate quotation from the Federal Reserve Bank was available on or before December 31, 2008.</w:t>
      </w:r>
    </w:p>
    <w:p>
      <w:pPr>
        <w:spacing w:after="0" w:line="70"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Reorganization items, net. </w:t>
      </w:r>
      <w:r>
        <w:rPr>
          <w:rFonts w:ascii="Arial" w:cs="Arial" w:eastAsia="Arial" w:hAnsi="Arial"/>
          <w:sz w:val="13"/>
          <w:szCs w:val="13"/>
          <w:color w:val="auto"/>
        </w:rPr>
        <w:t>Net reorganization gain of $ 804.6 million in the ten-month period ended October 25, 2009 represents the impact of non-cash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reorganization income and expense items directly associated with our reorganization proceedings and primarily reflects the discharge of liabilities of $798.0 million. Net reorganization gain also includes professional fees, the revaluation of assets and the write-off of debt issuance costs. These items are related primarily to our reorganization proceedings, and are not the result of our current operations. Accordingly, we do not expect these items to continue on an ongoing basis. Further information on reorganization related items is discussed in note 5 to the consolidated financial statements of MagnaChip Semiconductor LLC for the ten-month period ended October 25, 2009 and the two-month period ended December 31, 2009 included elsewhere in this prospectus.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6"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combined twelve-month period ended December 31, 2009 were $ 9.2 million, compared to income tax</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expenses of $ 11.6 million for the year ended December 31, 2008. Income tax expense for 2009 was comprised of $6.7 million of withholding taxes mostly paid on intercompany interest payments, $0.8 million of current income taxes incurred in various jurisdictions in which we operate and a $1.7 million income tax effect from the change of deferred tax assets. Due to the uncertainty of the utilization of foreign tax credits, we did not recognize these withholding taxes as deferred tax assets.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6" w:lineRule="exact"/>
        <w:rPr>
          <w:sz w:val="20"/>
          <w:szCs w:val="20"/>
          <w:color w:val="auto"/>
        </w:rPr>
      </w:pPr>
    </w:p>
    <w:p>
      <w:pPr>
        <w:ind w:left="680" w:right="14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recognizing a net loss of $91.5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discontinued operations, of which $15.9 million was from negative gross margin, $ 37.5 million was from research and development cost and $34.2 million was attributable to restructuring and impairment charges incurred during the third quarter of 2008. During the combined twelve-month period ended December 31, 2009, we recognized net income of $7.1 million relating to our discontinued operations, largely due to the sale of patents related to our closed Imaging Solutions business segment, which resulted in a $8.3 million gain.</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2008 and December 31, 2007</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years ended December 31, 2008 and December 31, 2007:</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4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3"/>
                <w:szCs w:val="13"/>
                <w:b w:val="1"/>
                <w:bCs w:val="1"/>
                <w:color w:val="auto"/>
              </w:rPr>
              <w:t>Predecessor Company</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6"/>
          </w:tcPr>
          <w:p>
            <w:pPr>
              <w:jc w:val="right"/>
              <w:ind w:right="634"/>
              <w:spacing w:after="0" w:line="121" w:lineRule="exact"/>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4"/>
          </w:tcPr>
          <w:p>
            <w:pPr>
              <w:jc w:val="right"/>
              <w:ind w:right="20"/>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6"/>
          </w:tcPr>
          <w:p>
            <w:pPr>
              <w:jc w:val="right"/>
              <w:ind w:right="414"/>
              <w:spacing w:after="0"/>
              <w:rPr>
                <w:sz w:val="20"/>
                <w:szCs w:val="20"/>
                <w:color w:val="auto"/>
              </w:rPr>
            </w:pPr>
            <w:r>
              <w:rPr>
                <w:rFonts w:ascii="Arial" w:cs="Arial" w:eastAsia="Arial" w:hAnsi="Arial"/>
                <w:sz w:val="13"/>
                <w:szCs w:val="13"/>
                <w:b w:val="1"/>
                <w:bCs w:val="1"/>
                <w:color w:val="auto"/>
              </w:rPr>
              <w:t>December 31, 2008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8"/>
          </w:tcPr>
          <w:p>
            <w:pPr>
              <w:jc w:val="right"/>
              <w:ind w:right="820"/>
              <w:spacing w:after="0"/>
              <w:rPr>
                <w:sz w:val="20"/>
                <w:szCs w:val="20"/>
                <w:color w:val="auto"/>
              </w:rPr>
            </w:pPr>
            <w:r>
              <w:rPr>
                <w:rFonts w:ascii="Arial" w:cs="Arial" w:eastAsia="Arial" w:hAnsi="Arial"/>
                <w:sz w:val="13"/>
                <w:szCs w:val="13"/>
                <w:b w:val="1"/>
                <w:bCs w:val="1"/>
                <w:color w:val="auto"/>
              </w:rPr>
              <w:t>December 31, 2007</w:t>
            </w:r>
          </w:p>
        </w:tc>
        <w:tc>
          <w:tcPr>
            <w:tcW w:w="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114"/>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4"/>
          </w:tcPr>
          <w:p>
            <w:pPr>
              <w:jc w:val="right"/>
              <w:spacing w:after="0"/>
              <w:rPr>
                <w:sz w:val="20"/>
                <w:szCs w:val="20"/>
                <w:color w:val="auto"/>
              </w:rPr>
            </w:pPr>
            <w:r>
              <w:rPr>
                <w:rFonts w:ascii="Arial" w:cs="Arial" w:eastAsia="Arial" w:hAnsi="Arial"/>
                <w:sz w:val="13"/>
                <w:szCs w:val="13"/>
                <w:b w:val="1"/>
                <w:bCs w:val="1"/>
                <w:color w:val="auto"/>
              </w:rPr>
              <w:t>net sales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net sales</w:t>
            </w:r>
          </w:p>
        </w:tc>
        <w:tc>
          <w:tcPr>
            <w:tcW w:w="8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601.7</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709.5</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445.3</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74.0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578.9</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81.6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(133.6)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156.4</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26.0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130.7</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18.4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81.3</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13.5</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82.7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11.7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89.5</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14.9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90.8</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12.8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13.4</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2.2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12.1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(27.7)</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(54.9)</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Interest expense, net</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(76.1)</w:t>
            </w:r>
          </w:p>
        </w:tc>
        <w:tc>
          <w:tcPr>
            <w:tcW w:w="200" w:type="dxa"/>
            <w:vAlign w:val="bottom"/>
          </w:tcPr>
          <w:p>
            <w:pPr>
              <w:spacing w:after="0"/>
              <w:rPr>
                <w:sz w:val="12"/>
                <w:szCs w:val="12"/>
                <w:color w:val="auto"/>
              </w:rPr>
            </w:pPr>
          </w:p>
        </w:tc>
        <w:tc>
          <w:tcPr>
            <w:tcW w:w="98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(12.7)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(60.3)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Foreign currency gain (loss), net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(210.4)</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(35.0)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(4.7)</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(0.7)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(286.5)</w:t>
            </w:r>
          </w:p>
        </w:tc>
        <w:tc>
          <w:tcPr>
            <w:tcW w:w="200" w:type="dxa"/>
            <w:vAlign w:val="bottom"/>
          </w:tcPr>
          <w:p>
            <w:pPr>
              <w:spacing w:after="0"/>
              <w:rPr>
                <w:sz w:val="12"/>
                <w:szCs w:val="12"/>
                <w:color w:val="auto"/>
              </w:rPr>
            </w:pPr>
          </w:p>
        </w:tc>
        <w:tc>
          <w:tcPr>
            <w:tcW w:w="98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(47.6)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(65.0)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(221.5)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continuing operations before income taxes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(314.3)</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(52.2)</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(16.9)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Income tax expenses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11.6</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1.9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8.8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(325.8)</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(54.2)</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(128.8)</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(18.2)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(91.5)</w:t>
            </w:r>
          </w:p>
        </w:tc>
        <w:tc>
          <w:tcPr>
            <w:tcW w:w="200" w:type="dxa"/>
            <w:vAlign w:val="bottom"/>
          </w:tcPr>
          <w:p>
            <w:pPr>
              <w:spacing w:after="0"/>
              <w:rPr>
                <w:sz w:val="12"/>
                <w:szCs w:val="12"/>
                <w:color w:val="auto"/>
              </w:rPr>
            </w:pPr>
          </w:p>
        </w:tc>
        <w:tc>
          <w:tcPr>
            <w:tcW w:w="98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(15.2)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(51.7)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(417.3)</w:t>
            </w:r>
          </w:p>
        </w:tc>
        <w:tc>
          <w:tcPr>
            <w:tcW w:w="2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spacing w:after="0" w:line="148" w:lineRule="exact"/>
              <w:rPr>
                <w:sz w:val="20"/>
                <w:szCs w:val="20"/>
                <w:color w:val="auto"/>
              </w:rPr>
            </w:pPr>
            <w:r>
              <w:rPr>
                <w:rFonts w:ascii="Arial" w:cs="Arial" w:eastAsia="Arial" w:hAnsi="Arial"/>
                <w:sz w:val="13"/>
                <w:szCs w:val="13"/>
                <w:color w:val="auto"/>
              </w:rPr>
              <w:t>(69.4)%</w:t>
            </w:r>
          </w:p>
        </w:tc>
        <w:tc>
          <w:tcPr>
            <w:tcW w:w="5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(180.6)</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(236.7)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4520" w:type="dxa"/>
            <w:vAlign w:val="bottom"/>
          </w:tcPr>
          <w:p>
            <w:pPr>
              <w:spacing w:after="0"/>
              <w:rPr>
                <w:sz w:val="20"/>
                <w:szCs w:val="20"/>
                <w:color w:val="auto"/>
              </w:rPr>
            </w:pPr>
            <w:r>
              <w:rPr>
                <w:rFonts w:ascii="Arial" w:cs="Arial" w:eastAsia="Arial" w:hAnsi="Arial"/>
                <w:sz w:val="13"/>
                <w:szCs w:val="13"/>
                <w:b w:val="1"/>
                <w:bCs w:val="1"/>
                <w:i w:val="1"/>
                <w:iCs w:val="1"/>
                <w:color w:val="auto"/>
              </w:rPr>
              <w:t>Net Sales</w:t>
            </w: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10"/>
          </w:tcPr>
          <w:p>
            <w:pPr>
              <w:jc w:val="right"/>
              <w:ind w:right="400"/>
              <w:spacing w:after="0"/>
              <w:rPr>
                <w:sz w:val="20"/>
                <w:szCs w:val="20"/>
                <w:color w:val="auto"/>
              </w:rPr>
            </w:pPr>
            <w:r>
              <w:rPr>
                <w:rFonts w:ascii="Arial" w:cs="Arial" w:eastAsia="Arial" w:hAnsi="Arial"/>
                <w:sz w:val="13"/>
                <w:szCs w:val="13"/>
                <w:b w:val="1"/>
                <w:bCs w:val="1"/>
                <w:color w:val="auto"/>
              </w:rPr>
              <w:t>Predecessor Company</w:t>
            </w: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center"/>
              <w:ind w:left="74"/>
              <w:spacing w:after="0" w:line="121" w:lineRule="exact"/>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4"/>
          </w:tcPr>
          <w:p>
            <w:pPr>
              <w:jc w:val="right"/>
              <w:ind w:right="400"/>
              <w:spacing w:after="0" w:line="121" w:lineRule="exact"/>
              <w:rPr>
                <w:sz w:val="20"/>
                <w:szCs w:val="20"/>
                <w:color w:val="auto"/>
              </w:rPr>
            </w:pPr>
            <w:r>
              <w:rPr>
                <w:rFonts w:ascii="Arial" w:cs="Arial" w:eastAsia="Arial" w:hAnsi="Arial"/>
                <w:sz w:val="13"/>
                <w:szCs w:val="13"/>
                <w:b w:val="1"/>
                <w:bCs w:val="1"/>
                <w:color w:val="auto"/>
              </w:rPr>
              <w:t>Year Ended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right"/>
              <w:ind w:right="74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3"/>
                <w:szCs w:val="13"/>
                <w:b w:val="1"/>
                <w:bCs w:val="1"/>
                <w:color w:val="auto"/>
                <w:w w:val="96"/>
              </w:rPr>
              <w:t>2008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gridSpan w:val="3"/>
          </w:tcPr>
          <w:p>
            <w:pPr>
              <w:jc w:val="right"/>
              <w:ind w:right="14"/>
              <w:spacing w:after="0" w:line="121"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jc w:val="right"/>
              <w:ind w:right="80"/>
              <w:spacing w:after="0" w:line="121"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274"/>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Amount</w:t>
            </w:r>
          </w:p>
        </w:tc>
        <w:tc>
          <w:tcPr>
            <w:tcW w:w="102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Display Solutions</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304.1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50.5%</w:t>
            </w:r>
          </w:p>
        </w:tc>
        <w:tc>
          <w:tcPr>
            <w:tcW w:w="46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331.7</w:t>
            </w:r>
          </w:p>
        </w:tc>
        <w:tc>
          <w:tcPr>
            <w:tcW w:w="10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Power Solutions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94"/>
              <w:spacing w:after="0" w:line="148" w:lineRule="exact"/>
              <w:rPr>
                <w:sz w:val="20"/>
                <w:szCs w:val="20"/>
                <w:color w:val="auto"/>
              </w:rPr>
            </w:pPr>
            <w:r>
              <w:rPr>
                <w:rFonts w:ascii="Arial" w:cs="Arial" w:eastAsia="Arial" w:hAnsi="Arial"/>
                <w:sz w:val="13"/>
                <w:szCs w:val="13"/>
                <w:color w:val="auto"/>
              </w:rPr>
              <w:t>5.4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0.9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Semiconductor Manufacturing Services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287.1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47.7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321.0</w:t>
            </w:r>
          </w:p>
        </w:tc>
        <w:tc>
          <w:tcPr>
            <w:tcW w:w="1020" w:type="dxa"/>
            <w:vAlign w:val="bottom"/>
            <w:gridSpan w:val="3"/>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45.2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(33.9)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All other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5.0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0.8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56.8</w:t>
            </w:r>
          </w:p>
        </w:tc>
        <w:tc>
          <w:tcPr>
            <w:tcW w:w="220" w:type="dxa"/>
            <w:vAlign w:val="bottom"/>
          </w:tcPr>
          <w:p>
            <w:pPr>
              <w:spacing w:after="0"/>
              <w:rPr>
                <w:sz w:val="12"/>
                <w:szCs w:val="12"/>
                <w:color w:val="auto"/>
              </w:rPr>
            </w:pP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8.0</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601.7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9"/>
              </w:rPr>
              <w:t>100.0%</w:t>
            </w:r>
          </w:p>
        </w:tc>
        <w:tc>
          <w:tcPr>
            <w:tcW w:w="46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709.5</w:t>
            </w:r>
          </w:p>
        </w:tc>
        <w:tc>
          <w:tcPr>
            <w:tcW w:w="10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-3107690</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-3107690</wp:posOffset>
            </wp:positionV>
            <wp:extent cx="63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-3107690</wp:posOffset>
            </wp:positionV>
            <wp:extent cx="63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-3107690</wp:posOffset>
            </wp:positionV>
            <wp:extent cx="63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-3107690</wp:posOffset>
            </wp:positionV>
            <wp:extent cx="63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-623570</wp:posOffset>
            </wp:positionV>
            <wp:extent cx="63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-623570</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-623570</wp:posOffset>
            </wp:positionV>
            <wp:extent cx="635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Net sales for the year ended December 31, 2008 decreased $107.8 million, or 15.2%, compared to 2007. Net sales generated in our three operating segments during the year ended December 31,</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were $596.6 million, a decrease of $56.1 million, or 8.6%, from the net sales for 2007, primarily due to a $27.6 million, or 8.3%, decrease in net sales from our Display</w:t>
      </w:r>
    </w:p>
    <w:p>
      <w:pPr>
        <w:ind w:left="680"/>
        <w:spacing w:after="0" w:line="236" w:lineRule="auto"/>
        <w:rPr>
          <w:sz w:val="20"/>
          <w:szCs w:val="20"/>
          <w:color w:val="auto"/>
        </w:rPr>
      </w:pPr>
      <w:r>
        <w:rPr>
          <w:rFonts w:ascii="Arial" w:cs="Arial" w:eastAsia="Arial" w:hAnsi="Arial"/>
          <w:sz w:val="13"/>
          <w:szCs w:val="13"/>
          <w:color w:val="auto"/>
        </w:rPr>
        <w:t>Solutions segment and a $33.9 million, or 10.6%, decrease in net sales from our Semiconductor Manufacturing Services segment. Net sales from All other decreased</w:t>
      </w:r>
    </w:p>
    <w:p>
      <w:pPr>
        <w:ind w:left="680"/>
        <w:spacing w:after="0" w:line="237" w:lineRule="auto"/>
        <w:rPr>
          <w:sz w:val="20"/>
          <w:szCs w:val="20"/>
          <w:color w:val="auto"/>
        </w:rPr>
      </w:pPr>
      <w:r>
        <w:rPr>
          <w:rFonts w:ascii="Arial" w:cs="Arial" w:eastAsia="Arial" w:hAnsi="Arial"/>
          <w:sz w:val="13"/>
          <w:szCs w:val="13"/>
          <w:color w:val="auto"/>
        </w:rPr>
        <w:t>$51.8 million, or 91.2%, compared to the year ended December 31, 2007. Our Korean-based net sales were also lower due to a $21.8 million unfavorable impact resulting</w:t>
      </w:r>
    </w:p>
    <w:p>
      <w:pPr>
        <w:ind w:left="680"/>
        <w:spacing w:after="0"/>
        <w:rPr>
          <w:sz w:val="20"/>
          <w:szCs w:val="20"/>
          <w:color w:val="auto"/>
        </w:rPr>
      </w:pPr>
      <w:r>
        <w:rPr>
          <w:rFonts w:ascii="Arial" w:cs="Arial" w:eastAsia="Arial" w:hAnsi="Arial"/>
          <w:sz w:val="13"/>
          <w:szCs w:val="13"/>
          <w:color w:val="auto"/>
        </w:rPr>
        <w:t>from the depreciation of the Korean won against the U.S. dollar.</w:t>
      </w:r>
    </w:p>
    <w:p>
      <w:pPr>
        <w:spacing w:after="0" w:line="70" w:lineRule="exact"/>
        <w:rPr>
          <w:sz w:val="20"/>
          <w:szCs w:val="20"/>
          <w:color w:val="auto"/>
        </w:rPr>
      </w:pPr>
    </w:p>
    <w:p>
      <w:pPr>
        <w:ind w:left="680" w:right="140" w:firstLine="499"/>
        <w:spacing w:after="0" w:line="255"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for the year ended December 31, 2008 were $304.1 million, a $27.6 million, or 8.3%, decrease,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$331.7 million for 2007. The decrease resulted primarily from a 15.6% decline in average selling prices which was due to a higher percentage of our net sales of products with lower sales prices and a 4.6% decline in sales volume.</w:t>
      </w:r>
    </w:p>
    <w:p>
      <w:pPr>
        <w:spacing w:after="0" w:line="54" w:lineRule="exact"/>
        <w:rPr>
          <w:sz w:val="20"/>
          <w:szCs w:val="20"/>
          <w:color w:val="auto"/>
        </w:rPr>
      </w:pPr>
    </w:p>
    <w:p>
      <w:pPr>
        <w:ind w:left="680" w:right="2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for the year ended December 31, 2008 were $5.4 million. No sales occurred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2007 as our Power Solutions segment was launched in late 2007 and did not start making sales until 2008.</w:t>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for the year ended December 31, 2008 were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$287.1 million, a $33.9 million, or 10.6%, decrease compared to net sales of $321.0 million for 2007. This decrease was primarily due to a 5.5% decrease in average selling</w:t>
      </w:r>
    </w:p>
    <w:p>
      <w:pPr>
        <w:ind w:left="680"/>
        <w:spacing w:after="0"/>
        <w:rPr>
          <w:sz w:val="20"/>
          <w:szCs w:val="20"/>
          <w:color w:val="auto"/>
        </w:rPr>
      </w:pPr>
      <w:r>
        <w:rPr>
          <w:rFonts w:ascii="Arial" w:cs="Arial" w:eastAsia="Arial" w:hAnsi="Arial"/>
          <w:sz w:val="13"/>
          <w:szCs w:val="13"/>
          <w:color w:val="auto"/>
        </w:rPr>
        <w:t>prices and 3.0% decrease in sales volume. During the fourth quarter of 2008 our net sales were adversely impacted by the worldwide economic slowdown.</w:t>
      </w:r>
    </w:p>
    <w:p>
      <w:pPr>
        <w:spacing w:after="0" w:line="70" w:lineRule="exact"/>
        <w:rPr>
          <w:sz w:val="20"/>
          <w:szCs w:val="20"/>
          <w:color w:val="auto"/>
        </w:rPr>
      </w:pPr>
    </w:p>
    <w:p>
      <w:pPr>
        <w:ind w:left="680" w:right="120" w:firstLine="499"/>
        <w:spacing w:after="0" w:line="273"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for 2008 were $5.0 million compared to $56.8 million for 2007. This decrease of $51.8 million, or 91.2%, represents the revenue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from our unit processing services as such services were no longer required by our sole customer for the service.</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years ended</w:t>
      </w:r>
    </w:p>
    <w:p>
      <w:pPr>
        <w:ind w:left="680"/>
        <w:spacing w:after="0"/>
        <w:rPr>
          <w:sz w:val="20"/>
          <w:szCs w:val="20"/>
          <w:color w:val="auto"/>
        </w:rPr>
      </w:pPr>
      <w:r>
        <w:rPr>
          <w:rFonts w:ascii="Arial" w:cs="Arial" w:eastAsia="Arial" w:hAnsi="Arial"/>
          <w:sz w:val="13"/>
          <w:szCs w:val="13"/>
          <w:color w:val="auto"/>
        </w:rPr>
        <w:t>December 31, 2008 and December 31, 2007:</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Predecessor Company</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1"/>
        </w:trPr>
        <w:tc>
          <w:tcPr>
            <w:tcW w:w="4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420"/>
              <w:spacing w:after="0" w:line="121" w:lineRule="exact"/>
              <w:rPr>
                <w:sz w:val="20"/>
                <w:szCs w:val="20"/>
                <w:color w:val="auto"/>
              </w:rPr>
            </w:pPr>
            <w:r>
              <w:rPr>
                <w:rFonts w:ascii="Arial" w:cs="Arial" w:eastAsia="Arial" w:hAnsi="Arial"/>
                <w:sz w:val="13"/>
                <w:szCs w:val="13"/>
                <w:b w:val="1"/>
                <w:bCs w:val="1"/>
                <w:color w:val="auto"/>
              </w:rPr>
              <w:t>Year Ended</w:t>
            </w: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jc w:val="center"/>
              <w:ind w:left="234"/>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4"/>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December 31, 2008</w:t>
            </w: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3"/>
                <w:szCs w:val="13"/>
                <w:b w:val="1"/>
                <w:bCs w:val="1"/>
                <w:color w:val="auto"/>
              </w:rPr>
              <w:t>December 31, 2007</w:t>
            </w:r>
          </w:p>
        </w:tc>
        <w:tc>
          <w:tcPr>
            <w:tcW w:w="42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3"/>
                <w:szCs w:val="13"/>
                <w:b w:val="1"/>
                <w:bCs w:val="1"/>
                <w:color w:val="auto"/>
              </w:rPr>
              <w:t>Change</w:t>
            </w:r>
          </w:p>
        </w:tc>
      </w:tr>
      <w:tr>
        <w:trPr>
          <w:trHeight w:val="140"/>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260" w:type="dxa"/>
            <w:vAlign w:val="bottom"/>
          </w:tcPr>
          <w:p>
            <w:pPr>
              <w:spacing w:after="0"/>
              <w:rPr>
                <w:sz w:val="12"/>
                <w:szCs w:val="12"/>
                <w:color w:val="auto"/>
              </w:rPr>
            </w:pPr>
          </w:p>
        </w:tc>
        <w:tc>
          <w:tcPr>
            <w:tcW w:w="1180" w:type="dxa"/>
            <w:vAlign w:val="bottom"/>
            <w:gridSpan w:val="2"/>
          </w:tcPr>
          <w:p>
            <w:pPr>
              <w:ind w:left="100"/>
              <w:spacing w:after="0" w:line="141" w:lineRule="exact"/>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840" w:type="dxa"/>
            <w:vAlign w:val="bottom"/>
            <w:gridSpan w:val="3"/>
          </w:tcPr>
          <w:p>
            <w:pPr>
              <w:ind w:left="340"/>
              <w:spacing w:after="0" w:line="141" w:lineRule="exact"/>
              <w:rPr>
                <w:sz w:val="20"/>
                <w:szCs w:val="20"/>
                <w:color w:val="auto"/>
              </w:rPr>
            </w:pPr>
            <w:r>
              <w:rPr>
                <w:rFonts w:ascii="Arial" w:cs="Arial" w:eastAsia="Arial" w:hAnsi="Arial"/>
                <w:sz w:val="13"/>
                <w:szCs w:val="13"/>
                <w:b w:val="1"/>
                <w:bCs w:val="1"/>
                <w:color w:val="auto"/>
                <w:w w:val="97"/>
              </w:rPr>
              <w:t>Amount</w:t>
            </w:r>
          </w:p>
        </w:tc>
      </w:tr>
      <w:tr>
        <w:trPr>
          <w:trHeight w:val="173"/>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7"/>
        </w:trPr>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Korea</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301.0</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404.3</w:t>
            </w:r>
          </w:p>
        </w:tc>
        <w:tc>
          <w:tcPr>
            <w:tcW w:w="96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57.0%</w:t>
            </w:r>
          </w:p>
        </w:tc>
        <w:tc>
          <w:tcPr>
            <w:tcW w:w="7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2"/>
                <w:szCs w:val="12"/>
                <w:color w:val="auto"/>
              </w:rPr>
            </w:pPr>
          </w:p>
        </w:tc>
      </w:tr>
      <w:tr>
        <w:trPr>
          <w:trHeight w:val="147"/>
        </w:trPr>
        <w:tc>
          <w:tcPr>
            <w:tcW w:w="4420" w:type="dxa"/>
            <w:vAlign w:val="bottom"/>
          </w:tcPr>
          <w:p>
            <w:pPr>
              <w:spacing w:after="0" w:line="148" w:lineRule="exact"/>
              <w:rPr>
                <w:sz w:val="20"/>
                <w:szCs w:val="20"/>
                <w:color w:val="auto"/>
              </w:rPr>
            </w:pPr>
            <w:r>
              <w:rPr>
                <w:rFonts w:ascii="Arial" w:cs="Arial" w:eastAsia="Arial" w:hAnsi="Arial"/>
                <w:sz w:val="13"/>
                <w:szCs w:val="13"/>
                <w:color w:val="auto"/>
              </w:rPr>
              <w:t>Asia Pacific</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144.5</w:t>
            </w:r>
          </w:p>
        </w:tc>
        <w:tc>
          <w:tcPr>
            <w:tcW w:w="720" w:type="dxa"/>
            <w:vAlign w:val="bottom"/>
          </w:tcPr>
          <w:p>
            <w:pPr>
              <w:spacing w:after="0"/>
              <w:rPr>
                <w:sz w:val="12"/>
                <w:szCs w:val="12"/>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24.0</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155.5</w:t>
            </w:r>
          </w:p>
        </w:tc>
        <w:tc>
          <w:tcPr>
            <w:tcW w:w="9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21.9</w:t>
            </w:r>
          </w:p>
        </w:tc>
        <w:tc>
          <w:tcPr>
            <w:tcW w:w="7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(11.0)</w:t>
            </w:r>
          </w:p>
        </w:tc>
        <w:tc>
          <w:tcPr>
            <w:tcW w:w="60" w:type="dxa"/>
            <w:vAlign w:val="bottom"/>
          </w:tcPr>
          <w:p>
            <w:pPr>
              <w:spacing w:after="0"/>
              <w:rPr>
                <w:sz w:val="12"/>
                <w:szCs w:val="12"/>
                <w:color w:val="auto"/>
              </w:rPr>
            </w:pPr>
          </w:p>
        </w:tc>
      </w:tr>
      <w:tr>
        <w:trPr>
          <w:trHeight w:val="147"/>
        </w:trPr>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Japan</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13.3</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71.2</w:t>
            </w:r>
          </w:p>
        </w:tc>
        <w:tc>
          <w:tcPr>
            <w:tcW w:w="9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10.0</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r>
      <w:tr>
        <w:trPr>
          <w:trHeight w:val="147"/>
        </w:trPr>
        <w:tc>
          <w:tcPr>
            <w:tcW w:w="4420" w:type="dxa"/>
            <w:vAlign w:val="bottom"/>
          </w:tcPr>
          <w:p>
            <w:pPr>
              <w:spacing w:after="0" w:line="148" w:lineRule="exact"/>
              <w:rPr>
                <w:sz w:val="20"/>
                <w:szCs w:val="20"/>
                <w:color w:val="auto"/>
              </w:rPr>
            </w:pPr>
            <w:r>
              <w:rPr>
                <w:rFonts w:ascii="Arial" w:cs="Arial" w:eastAsia="Arial" w:hAnsi="Arial"/>
                <w:sz w:val="13"/>
                <w:szCs w:val="13"/>
                <w:color w:val="auto"/>
              </w:rPr>
              <w:t>North America</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61.3</w:t>
            </w:r>
          </w:p>
        </w:tc>
        <w:tc>
          <w:tcPr>
            <w:tcW w:w="720" w:type="dxa"/>
            <w:vAlign w:val="bottom"/>
          </w:tcPr>
          <w:p>
            <w:pPr>
              <w:spacing w:after="0"/>
              <w:rPr>
                <w:sz w:val="12"/>
                <w:szCs w:val="12"/>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10.2</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58.5</w:t>
            </w:r>
          </w:p>
        </w:tc>
        <w:tc>
          <w:tcPr>
            <w:tcW w:w="9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8.2</w:t>
            </w: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r>
      <w:tr>
        <w:trPr>
          <w:trHeight w:val="147"/>
        </w:trPr>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Europe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2.5</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w:t>
            </w:r>
          </w:p>
        </w:tc>
        <w:tc>
          <w:tcPr>
            <w:tcW w:w="7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2.8</w:t>
            </w:r>
          </w:p>
        </w:tc>
        <w:tc>
          <w:tcPr>
            <w:tcW w:w="7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(5.1)</w:t>
            </w:r>
          </w:p>
        </w:tc>
        <w:tc>
          <w:tcPr>
            <w:tcW w:w="60" w:type="dxa"/>
            <w:vAlign w:val="bottom"/>
          </w:tcPr>
          <w:p>
            <w:pPr>
              <w:spacing w:after="0"/>
              <w:rPr>
                <w:sz w:val="12"/>
                <w:szCs w:val="12"/>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7"/>
        </w:trPr>
        <w:tc>
          <w:tcPr>
            <w:tcW w:w="4420" w:type="dxa"/>
            <w:vAlign w:val="bottom"/>
          </w:tcPr>
          <w:p>
            <w:pPr>
              <w:ind w:left="140"/>
              <w:spacing w:after="0" w:line="148" w:lineRule="exact"/>
              <w:rPr>
                <w:sz w:val="20"/>
                <w:szCs w:val="20"/>
                <w:color w:val="auto"/>
              </w:rPr>
            </w:pPr>
            <w:r>
              <w:rPr>
                <w:rFonts w:ascii="Arial" w:cs="Arial" w:eastAsia="Arial" w:hAnsi="Arial"/>
                <w:sz w:val="13"/>
                <w:szCs w:val="13"/>
                <w:color w:val="auto"/>
              </w:rPr>
              <w:t>Total net revenues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601.7</w:t>
            </w:r>
          </w:p>
        </w:tc>
        <w:tc>
          <w:tcPr>
            <w:tcW w:w="720" w:type="dxa"/>
            <w:vAlign w:val="bottom"/>
          </w:tcPr>
          <w:p>
            <w:pPr>
              <w:spacing w:after="0"/>
              <w:rPr>
                <w:sz w:val="12"/>
                <w:szCs w:val="12"/>
                <w:color w:val="auto"/>
              </w:rPr>
            </w:pP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100.0%</w:t>
            </w:r>
          </w:p>
        </w:tc>
        <w:tc>
          <w:tcPr>
            <w:tcW w:w="260" w:type="dxa"/>
            <w:vAlign w:val="bottom"/>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709.5</w:t>
            </w:r>
          </w:p>
        </w:tc>
        <w:tc>
          <w:tcPr>
            <w:tcW w:w="740" w:type="dxa"/>
            <w:vAlign w:val="bottom"/>
          </w:tcPr>
          <w:p>
            <w:pPr>
              <w:spacing w:after="0"/>
              <w:rPr>
                <w:sz w:val="12"/>
                <w:szCs w:val="12"/>
                <w:color w:val="auto"/>
              </w:rPr>
            </w:pPr>
          </w:p>
        </w:tc>
        <w:tc>
          <w:tcPr>
            <w:tcW w:w="96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7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r>
      <w:tr>
        <w:trPr>
          <w:trHeight w:val="29"/>
        </w:trPr>
        <w:tc>
          <w:tcPr>
            <w:tcW w:w="4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-716915</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-716915</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-716915</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-716915</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-716915</wp:posOffset>
            </wp:positionV>
            <wp:extent cx="63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Net sales in Korea in 2008 declined as a percentage of total net sales, principally due to reduced revenue from unit processing services and the overall slowness in the semiconductor manufacturing market. The sales were also affected by lower demand for large display driver products.</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5">
              <w:r>
                <w:rPr>
                  <w:rFonts w:ascii="Arial" w:cs="Arial" w:eastAsia="Arial" w:hAnsi="Arial"/>
                  <w:sz w:val="13"/>
                  <w:szCs w:val="13"/>
                  <w:b w:val="1"/>
                  <w:bCs w:val="1"/>
                  <w:color w:val="0000EE"/>
                  <w:w w:val="87"/>
                </w:rPr>
                <w:t>Table of Contents</w:t>
              </w:r>
            </w:hyperlink>
          </w:p>
        </w:tc>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6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Gross Profit</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Predecessor Company</w:t>
            </w:r>
          </w:p>
        </w:tc>
        <w:tc>
          <w:tcPr>
            <w:tcW w:w="5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40"/>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380"/>
              <w:spacing w:after="0" w:line="121" w:lineRule="exact"/>
              <w:rPr>
                <w:sz w:val="20"/>
                <w:szCs w:val="20"/>
                <w:color w:val="auto"/>
              </w:rPr>
            </w:pPr>
            <w:r>
              <w:rPr>
                <w:rFonts w:ascii="Arial" w:cs="Arial" w:eastAsia="Arial" w:hAnsi="Arial"/>
                <w:sz w:val="13"/>
                <w:szCs w:val="13"/>
                <w:b w:val="1"/>
                <w:bCs w:val="1"/>
                <w:color w:val="auto"/>
                <w:w w:val="97"/>
              </w:rPr>
              <w:t>Year Ended</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December 31, 2008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3"/>
                <w:szCs w:val="13"/>
                <w:b w:val="1"/>
                <w:bCs w:val="1"/>
                <w:color w:val="auto"/>
              </w:rPr>
              <w:t>December 31, 2007</w:t>
            </w:r>
          </w:p>
        </w:tc>
        <w:tc>
          <w:tcPr>
            <w:tcW w:w="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20"/>
              <w:spacing w:after="0" w:line="121"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 sales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net sales</w:t>
            </w:r>
          </w:p>
        </w:tc>
        <w:tc>
          <w:tcPr>
            <w:tcW w:w="8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4"/>
          </w:tcPr>
          <w:p>
            <w:pPr>
              <w:ind w:left="12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Display Solutions</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57.4</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18.9%</w:t>
            </w:r>
          </w:p>
        </w:tc>
        <w:tc>
          <w:tcPr>
            <w:tcW w:w="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41.5</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tcPr>
          <w:p>
            <w:pPr>
              <w:spacing w:after="0" w:line="148" w:lineRule="exact"/>
              <w:rPr>
                <w:sz w:val="20"/>
                <w:szCs w:val="20"/>
                <w:color w:val="auto"/>
              </w:rPr>
            </w:pPr>
            <w:r>
              <w:rPr>
                <w:rFonts w:ascii="Arial" w:cs="Arial" w:eastAsia="Arial" w:hAnsi="Arial"/>
                <w:sz w:val="13"/>
                <w:szCs w:val="13"/>
                <w:color w:val="auto"/>
              </w:rPr>
              <w:t>Power Solutions</w:t>
            </w:r>
          </w:p>
        </w:tc>
        <w:tc>
          <w:tcPr>
            <w:tcW w:w="22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(4.3)</w:t>
            </w: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(78.6)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Semiconductor Manufacturing Services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98.4</w:t>
            </w:r>
          </w:p>
        </w:tc>
        <w:tc>
          <w:tcPr>
            <w:tcW w:w="8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34.3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9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tcPr>
          <w:p>
            <w:pPr>
              <w:spacing w:after="0" w:line="148" w:lineRule="exact"/>
              <w:rPr>
                <w:sz w:val="20"/>
                <w:szCs w:val="20"/>
                <w:color w:val="auto"/>
              </w:rPr>
            </w:pPr>
            <w:r>
              <w:rPr>
                <w:rFonts w:ascii="Arial" w:cs="Arial" w:eastAsia="Arial" w:hAnsi="Arial"/>
                <w:sz w:val="13"/>
                <w:szCs w:val="13"/>
                <w:color w:val="auto"/>
              </w:rPr>
              <w:t>All other</w:t>
            </w:r>
          </w:p>
        </w:tc>
        <w:tc>
          <w:tcPr>
            <w:tcW w:w="220" w:type="dxa"/>
            <w:vAlign w:val="bottom"/>
          </w:tcPr>
          <w:p>
            <w:pPr>
              <w:spacing w:after="0"/>
              <w:rPr>
                <w:sz w:val="12"/>
                <w:szCs w:val="12"/>
                <w:color w:val="auto"/>
              </w:rPr>
            </w:pPr>
          </w:p>
        </w:tc>
        <w:tc>
          <w:tcPr>
            <w:tcW w:w="1120" w:type="dxa"/>
            <w:vAlign w:val="bottom"/>
            <w:gridSpan w:val="2"/>
          </w:tcPr>
          <w:p>
            <w:pPr>
              <w:jc w:val="right"/>
              <w:ind w:right="640"/>
              <w:spacing w:after="0" w:line="148" w:lineRule="exact"/>
              <w:rPr>
                <w:sz w:val="20"/>
                <w:szCs w:val="20"/>
                <w:color w:val="auto"/>
              </w:rPr>
            </w:pPr>
            <w:r>
              <w:rPr>
                <w:rFonts w:ascii="Arial" w:cs="Arial" w:eastAsia="Arial" w:hAnsi="Arial"/>
                <w:sz w:val="13"/>
                <w:szCs w:val="13"/>
                <w:color w:val="auto"/>
              </w:rPr>
              <w:t>4.9</w:t>
            </w:r>
          </w:p>
        </w:tc>
        <w:tc>
          <w:tcPr>
            <w:tcW w:w="8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97.3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22.0</w:t>
            </w: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38.7</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156.4</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26.0%</w:t>
            </w:r>
          </w:p>
        </w:tc>
        <w:tc>
          <w:tcPr>
            <w:tcW w:w="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130.7</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-623570</wp:posOffset>
            </wp:positionV>
            <wp:extent cx="63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-623570</wp:posOffset>
            </wp:positionV>
            <wp:extent cx="63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-623570</wp:posOffset>
            </wp:positionV>
            <wp:extent cx="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-623570</wp:posOffset>
            </wp:positionV>
            <wp:extent cx="63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-623570</wp:posOffset>
            </wp:positionV>
            <wp:extent cx="63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Total gross profit increased $25.8 million for the year ended December 31, 2008, or 19.7%, compared to the gross profit generated for the year ended</w:t>
      </w:r>
    </w:p>
    <w:p>
      <w:pPr>
        <w:ind w:left="680"/>
        <w:spacing w:after="0" w:line="236" w:lineRule="auto"/>
        <w:rPr>
          <w:sz w:val="20"/>
          <w:szCs w:val="20"/>
          <w:color w:val="auto"/>
        </w:rPr>
      </w:pPr>
      <w:r>
        <w:rPr>
          <w:rFonts w:ascii="Arial" w:cs="Arial" w:eastAsia="Arial" w:hAnsi="Arial"/>
          <w:sz w:val="13"/>
          <w:szCs w:val="13"/>
          <w:color w:val="auto"/>
        </w:rPr>
        <w:t>December 31, 2007. Gross margin for the year ended December 31, 2008 was 26.0% of net sales, an increase of 7.6% from 18.4% for the year ended December 31, 2007.</w:t>
      </w:r>
    </w:p>
    <w:p>
      <w:pPr>
        <w:ind w:left="680"/>
        <w:spacing w:after="0" w:line="237" w:lineRule="auto"/>
        <w:rPr>
          <w:sz w:val="20"/>
          <w:szCs w:val="20"/>
          <w:color w:val="auto"/>
        </w:rPr>
      </w:pPr>
      <w:r>
        <w:rPr>
          <w:rFonts w:ascii="Arial" w:cs="Arial" w:eastAsia="Arial" w:hAnsi="Arial"/>
          <w:sz w:val="13"/>
          <w:szCs w:val="13"/>
          <w:color w:val="auto"/>
        </w:rPr>
        <w:t>This increase in gross margin was attributable to a $30.9 favorable impact due to the depreciation of the Korean won against the U.S. dollar and an overall decrease in unit</w:t>
      </w:r>
    </w:p>
    <w:p>
      <w:pPr>
        <w:ind w:left="680"/>
        <w:spacing w:after="0" w:line="237" w:lineRule="auto"/>
        <w:rPr>
          <w:sz w:val="20"/>
          <w:szCs w:val="20"/>
          <w:color w:val="auto"/>
        </w:rPr>
      </w:pPr>
      <w:r>
        <w:rPr>
          <w:rFonts w:ascii="Arial" w:cs="Arial" w:eastAsia="Arial" w:hAnsi="Arial"/>
          <w:sz w:val="13"/>
          <w:szCs w:val="13"/>
          <w:color w:val="auto"/>
        </w:rPr>
        <w:t>costs which offset lower average sales prices. Cost of sales in 2008 decreased by $133.6 million compared to 2007, primarily due to a $52.7 million favorable impact</w:t>
      </w:r>
    </w:p>
    <w:p>
      <w:pPr>
        <w:ind w:left="680"/>
        <w:spacing w:after="0" w:line="236" w:lineRule="auto"/>
        <w:rPr>
          <w:sz w:val="20"/>
          <w:szCs w:val="20"/>
          <w:color w:val="auto"/>
        </w:rPr>
      </w:pPr>
      <w:r>
        <w:rPr>
          <w:rFonts w:ascii="Arial" w:cs="Arial" w:eastAsia="Arial" w:hAnsi="Arial"/>
          <w:sz w:val="13"/>
          <w:szCs w:val="13"/>
          <w:color w:val="auto"/>
        </w:rPr>
        <w:t>resulting from the depreciation of Korean won against U.S. dollar, a $17.4 million decrease in depreciation and a $11.2 million decrease in overhead costs, which were</w:t>
      </w:r>
    </w:p>
    <w:p>
      <w:pPr>
        <w:ind w:left="680"/>
        <w:spacing w:after="0" w:line="237" w:lineRule="auto"/>
        <w:rPr>
          <w:sz w:val="20"/>
          <w:szCs w:val="20"/>
          <w:color w:val="auto"/>
        </w:rPr>
      </w:pPr>
      <w:r>
        <w:rPr>
          <w:rFonts w:ascii="Arial" w:cs="Arial" w:eastAsia="Arial" w:hAnsi="Arial"/>
          <w:sz w:val="13"/>
          <w:szCs w:val="13"/>
          <w:color w:val="auto"/>
        </w:rPr>
        <w:t>partially offset by a $6.3 million increase in labor costs. In addition, $34.2 million in cost of sales for unit processing services which were incurred during 2007 were not</w:t>
      </w:r>
    </w:p>
    <w:p>
      <w:pPr>
        <w:ind w:left="680"/>
        <w:spacing w:after="0"/>
        <w:rPr>
          <w:sz w:val="20"/>
          <w:szCs w:val="20"/>
          <w:color w:val="auto"/>
        </w:rPr>
      </w:pPr>
      <w:r>
        <w:rPr>
          <w:rFonts w:ascii="Arial" w:cs="Arial" w:eastAsia="Arial" w:hAnsi="Arial"/>
          <w:sz w:val="13"/>
          <w:szCs w:val="13"/>
          <w:color w:val="auto"/>
        </w:rPr>
        <w:t>incurred in 2008 as we no longer rendered the services.</w:t>
      </w:r>
    </w:p>
    <w:p>
      <w:pPr>
        <w:spacing w:after="0" w:line="70" w:lineRule="exact"/>
        <w:rPr>
          <w:sz w:val="20"/>
          <w:szCs w:val="20"/>
          <w:color w:val="auto"/>
        </w:rPr>
      </w:pPr>
    </w:p>
    <w:p>
      <w:pPr>
        <w:jc w:val="both"/>
        <w:ind w:left="680" w:right="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our Display Solutions segment for the year ended December 31, 2008 increased to 18.9% compared to 12.5% for 2007.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was primarily due to a $18.3 million favorable impact resulting from the depreciation of the Korean won against the U.S. dollar. Cost of sales for 2008 decreased by $43.5 million compared to 2007, which was primarily attributable to a $24.8 million favorable impact resulting from the depreciation of Korean won against U.S. dollar and a $5.5 million decrease in depreciation and a $9.6 million decrease in subcontractor costs which were offset in part by a $5.7 million increase in labor costs.</w:t>
      </w:r>
    </w:p>
    <w:p>
      <w:pPr>
        <w:spacing w:after="0" w:line="58" w:lineRule="exact"/>
        <w:rPr>
          <w:sz w:val="20"/>
          <w:szCs w:val="20"/>
          <w:color w:val="auto"/>
        </w:rPr>
      </w:pPr>
    </w:p>
    <w:p>
      <w:pPr>
        <w:ind w:left="680" w:right="300" w:firstLine="499"/>
        <w:spacing w:after="0" w:line="273"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year ended December 31, 2008 was (78.6)%. This negative gross margin was due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 fixed production costs per unit resulting from low production volume as we commenced sales in our Power Solutions segment in 2008.</w:t>
      </w:r>
    </w:p>
    <w:p>
      <w:pPr>
        <w:spacing w:after="0" w:line="43" w:lineRule="exact"/>
        <w:rPr>
          <w:sz w:val="20"/>
          <w:szCs w:val="20"/>
          <w:color w:val="auto"/>
        </w:rPr>
      </w:pPr>
    </w:p>
    <w:p>
      <w:pPr>
        <w:ind w:left="680" w:right="26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increased to 34.3% in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from 20.9% for 2007. This increase was due to a decrease in cost of sales, primarily due to a $13.0 million favorable impact resulting from the depreciation of the Korean won against the U.S. dollar. Cost of sales for 2008 decreased by $65.2 million compared to 2007. The decrease was primarily attributable to a $26.9 million favorable impact resulting from the depreciation of Korean won against U.S. dollar, a $12.3 million decrease in depreciation and a $11.6 million decrease in overhead costs, which were partially offset by a $1.3 million increase in material costs.</w:t>
      </w:r>
    </w:p>
    <w:p>
      <w:pPr>
        <w:spacing w:after="0" w:line="63" w:lineRule="exact"/>
        <w:rPr>
          <w:sz w:val="20"/>
          <w:szCs w:val="20"/>
          <w:color w:val="auto"/>
        </w:rPr>
      </w:pPr>
    </w:p>
    <w:p>
      <w:pPr>
        <w:ind w:left="680" w:right="160" w:firstLine="499"/>
        <w:spacing w:after="0" w:line="273"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year ended December 31, 2008 increased to 97.3% from 38.7% for 2007. The improvement was primarily attributable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a decrease in sales volume for unit processing while rental revenue, for which there are no allocated cost of sales, remained comparable to the prior year.</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34" w:right="95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6"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$81.3 million, or 13.5%, of net sales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compared to $82.7 million, or 11.7%, for 2007. The decrease of $1.4 million, or 1.7%, was primarily attributable to a $10.4 million favorable impact resulting from the depreciation of the Korean won against the U.S. dollar and a $3.1 million decrease in depreciation and amortization expenses. These decreases were partially offset by a $9.9 million increase in outside service fees and a $3.6 million increase in salaries.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year ended December 31, 2008 were $89.5 million, a decrease of</w:t>
      </w:r>
    </w:p>
    <w:p>
      <w:pPr>
        <w:spacing w:after="0" w:line="14"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$1.4 million, or 1.5%, from $90.8 million for 2007. This decrease was primarily attributable to a $11.3 million favorable impact resulting from the depreciation of the Korean won against the U.S. dollar partially offset by a $7.1 million increase in salaries and a $1.9 million increase in outside service fees.</w:t>
      </w:r>
    </w:p>
    <w:p>
      <w:pPr>
        <w:spacing w:after="0" w:line="58" w:lineRule="exact"/>
        <w:rPr>
          <w:sz w:val="20"/>
          <w:szCs w:val="20"/>
          <w:color w:val="auto"/>
        </w:rPr>
      </w:pPr>
    </w:p>
    <w:p>
      <w:pPr>
        <w:ind w:left="680" w:right="3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for the year ended December 31, 2008 included an impairment charge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$14.2 million related to our Display Solutions segment. During the three months ended July 1, 2007, we recognized $ 2.0 million of restructuring accruals related to the closure of our five-inch wafer fabrication facilities, including termination benefits and other associated costs. Through the first quarter of 2008, actual payments of</w:t>
      </w:r>
    </w:p>
    <w:p>
      <w:pPr>
        <w:ind w:left="680" w:right="20"/>
        <w:spacing w:after="0" w:line="248" w:lineRule="auto"/>
        <w:rPr>
          <w:sz w:val="20"/>
          <w:szCs w:val="20"/>
          <w:color w:val="auto"/>
        </w:rPr>
      </w:pPr>
      <w:r>
        <w:rPr>
          <w:rFonts w:ascii="Arial" w:cs="Arial" w:eastAsia="Arial" w:hAnsi="Arial"/>
          <w:sz w:val="13"/>
          <w:szCs w:val="13"/>
          <w:color w:val="auto"/>
        </w:rPr>
        <w:t>$1.1 million were charged against the restructuring accruals. As of March 30, 2008, the restructuring activities were substantially completed and we reversed $0.9 million of unused restructuring accruals.</w:t>
      </w:r>
    </w:p>
    <w:p>
      <w:pPr>
        <w:spacing w:after="0" w:line="74"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During the year ended December 31, 2007, we recognized restructuring and impairment charges of $12.1 million, which consisted of $10.1 million of impairment charges and $2.0 million of restructuring charges. The impairment charges recorded related to the closure of our five-inch wafer fabrication facility.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6"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$76.1 million during the year ended December 31, 2008, compared to $60.3 million for 2007. Interest expense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was incurred to service our notes and our senior secured credit facility. At December 31, 2008, the notes and our senior secured credit facility bore interest at a weighted average interest rate of 7.14% and 7.90%, respectively. The increase in net interest expense was mainly due to a write-off of remaining debt issuance costs of $12.3 million related to our notes as of December 31, 2008 since we were not in compliance with certain financial covenants under the terms of our notes and therefore, amounts outstanding were reclassified as current in our balance sheet as of December 31, 2008.</w:t>
      </w:r>
    </w:p>
    <w:p>
      <w:pPr>
        <w:spacing w:after="0" w:line="63"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loss for the year ended December 31, 2008 was $210.4 million, compared to net foreign exchange loss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$4.7 million for the year ended December 31, 2007.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1,262.0:1 and 935.8:1 using the noon buying rate in effect as of December 31, 2008 and December 31, 2007, respectively, as quoted by the Federal Reserve Bank of New York.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6" w:lineRule="exact"/>
        <w:rPr>
          <w:sz w:val="20"/>
          <w:szCs w:val="20"/>
          <w:color w:val="auto"/>
        </w:rPr>
      </w:pPr>
    </w:p>
    <w:p>
      <w:pPr>
        <w:jc w:val="both"/>
        <w:ind w:left="680" w:right="2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year ended December 31, 2008 were $11.6 million, compared to income tax expenses of $8.8 million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2007. Income tax expenses for 2008 were comprised of $ 6.1 million of withholding taxes mostly paid on intercompany interest payments, $4.0 million of current income taxes incurred in various jurisdictions in which we operate and a</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080"/>
        <w:spacing w:after="0" w:line="248" w:lineRule="auto"/>
        <w:rPr>
          <w:sz w:val="20"/>
          <w:szCs w:val="20"/>
          <w:color w:val="auto"/>
        </w:rPr>
      </w:pPr>
      <w:r>
        <w:rPr>
          <w:rFonts w:ascii="Arial" w:cs="Arial" w:eastAsia="Arial" w:hAnsi="Arial"/>
          <w:sz w:val="13"/>
          <w:szCs w:val="13"/>
          <w:color w:val="auto"/>
        </w:rPr>
        <w:t>$1.5 million income tax effect from a change of deferred tax assets. Due to the uncertainty of the utilization of foreign tax credits, we did not recognize these withholding taxes as deferred tax assets.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from discontinued operations, net of taxes</w:t>
      </w:r>
    </w:p>
    <w:p>
      <w:pPr>
        <w:spacing w:after="0" w:line="86" w:lineRule="exact"/>
        <w:rPr>
          <w:sz w:val="20"/>
          <w:szCs w:val="20"/>
          <w:color w:val="auto"/>
        </w:rPr>
      </w:pPr>
    </w:p>
    <w:p>
      <w:pPr>
        <w:ind w:left="680" w:right="1260" w:firstLine="499"/>
        <w:spacing w:after="0" w:line="249" w:lineRule="auto"/>
        <w:rPr>
          <w:sz w:val="20"/>
          <w:szCs w:val="20"/>
          <w:color w:val="auto"/>
        </w:rPr>
      </w:pPr>
      <w:r>
        <w:rPr>
          <w:rFonts w:ascii="Arial" w:cs="Arial" w:eastAsia="Arial" w:hAnsi="Arial"/>
          <w:sz w:val="13"/>
          <w:szCs w:val="13"/>
          <w:b w:val="1"/>
          <w:bCs w:val="1"/>
          <w:i w:val="1"/>
          <w:iCs w:val="1"/>
          <w:color w:val="auto"/>
        </w:rPr>
        <w:t xml:space="preserve">Loss from discontinued operations, net of taxes. </w:t>
      </w:r>
      <w:r>
        <w:rPr>
          <w:rFonts w:ascii="Arial" w:cs="Arial" w:eastAsia="Arial" w:hAnsi="Arial"/>
          <w:sz w:val="13"/>
          <w:szCs w:val="13"/>
          <w:color w:val="auto"/>
        </w:rPr>
        <w:t>During 2008, we closed our Imaging Solutions business segment that was classified as a discontinued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 recognizing net losses of $91.5 million and $51.7 million from discontinued operations for 2008 and for 2007, respectively. Of the recorded net loss of $91.5 million in 2008, $15.9 million was from negative gross margin, $ 37.5 million was from research and development costs and $34.2 million was attributable to restructuring and impairment charges incurred during the third quarter of 2008.</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Periodic Results of Operations</w:t>
      </w:r>
    </w:p>
    <w:p>
      <w:pPr>
        <w:spacing w:after="0" w:line="102" w:lineRule="exact"/>
        <w:rPr>
          <w:sz w:val="20"/>
          <w:szCs w:val="20"/>
          <w:color w:val="auto"/>
        </w:rPr>
      </w:pPr>
    </w:p>
    <w:p>
      <w:pPr>
        <w:ind w:left="680" w:right="900" w:firstLine="499"/>
        <w:spacing w:after="0" w:line="239" w:lineRule="auto"/>
        <w:rPr>
          <w:sz w:val="20"/>
          <w:szCs w:val="20"/>
          <w:color w:val="auto"/>
        </w:rPr>
      </w:pPr>
      <w:r>
        <w:rPr>
          <w:rFonts w:ascii="Arial" w:cs="Arial" w:eastAsia="Arial" w:hAnsi="Arial"/>
          <w:sz w:val="13"/>
          <w:szCs w:val="13"/>
          <w:color w:val="auto"/>
        </w:rPr>
        <w:t>The following tables set forth unaudited selected consolidated financial data for each of the quarters in the five-quarter period ended March 31, 2010. The information for each of these periods has been prepared on the same basis as the audited financial statements included elsewhere in this prospectus and, in the opinion of management, includes adjustments for normal recurring items, necessary for the fair statement of the results of operations for these periods. This data should be read in conjunction with our audited consolidated financial statements and related notes included elsewhere in this prospectus. These operating results are not necessarily indicative of our operating results for any future period.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Borders>
              <w:right w:val="single" w:sz="8" w:color="auto"/>
            </w:tcBorders>
            <w:gridSpan w:val="5"/>
          </w:tcPr>
          <w:p>
            <w:pPr>
              <w:jc w:val="right"/>
              <w:ind w:right="880"/>
              <w:spacing w:after="0"/>
              <w:rPr>
                <w:sz w:val="20"/>
                <w:szCs w:val="20"/>
                <w:color w:val="auto"/>
              </w:rPr>
            </w:pPr>
            <w:r>
              <w:rPr>
                <w:rFonts w:ascii="Arial" w:cs="Arial" w:eastAsia="Arial" w:hAnsi="Arial"/>
                <w:sz w:val="9"/>
                <w:szCs w:val="9"/>
                <w:b w:val="1"/>
                <w:bCs w:val="1"/>
                <w:color w:val="auto"/>
              </w:rPr>
              <w:t>Successor(1)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Predecessor(1)</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340"/>
              <w:spacing w:after="0" w:line="84" w:lineRule="exact"/>
              <w:rPr>
                <w:sz w:val="20"/>
                <w:szCs w:val="20"/>
                <w:color w:val="auto"/>
              </w:rPr>
            </w:pPr>
            <w:r>
              <w:rPr>
                <w:rFonts w:ascii="Arial" w:cs="Arial" w:eastAsia="Arial" w:hAnsi="Arial"/>
                <w:sz w:val="9"/>
                <w:szCs w:val="9"/>
                <w:b w:val="1"/>
                <w:bCs w:val="1"/>
                <w:color w:val="auto"/>
              </w:rPr>
              <w:t>Three Months</w:t>
            </w: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ind w:right="18"/>
              <w:spacing w:after="0" w:line="84" w:lineRule="exact"/>
              <w:rPr>
                <w:sz w:val="20"/>
                <w:szCs w:val="20"/>
                <w:color w:val="auto"/>
              </w:rPr>
            </w:pPr>
            <w:r>
              <w:rPr>
                <w:rFonts w:ascii="Arial" w:cs="Arial" w:eastAsia="Arial" w:hAnsi="Arial"/>
                <w:sz w:val="9"/>
                <w:szCs w:val="9"/>
                <w:b w:val="1"/>
                <w:bCs w:val="1"/>
                <w:color w:val="auto"/>
                <w:w w:val="99"/>
              </w:rPr>
              <w:t>Two-Month</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One-Month</w:t>
            </w:r>
          </w:p>
        </w:tc>
        <w:tc>
          <w:tcPr>
            <w:tcW w:w="100" w:type="dxa"/>
            <w:vAlign w:val="bottom"/>
            <w:tcBorders>
              <w:top w:val="single" w:sz="8" w:color="auto"/>
            </w:tcBorders>
          </w:tcPr>
          <w:p>
            <w:pPr>
              <w:spacing w:after="0"/>
              <w:rPr>
                <w:sz w:val="7"/>
                <w:szCs w:val="7"/>
                <w:color w:val="auto"/>
              </w:rPr>
            </w:pPr>
          </w:p>
        </w:tc>
        <w:tc>
          <w:tcPr>
            <w:tcW w:w="1680" w:type="dxa"/>
            <w:vAlign w:val="bottom"/>
            <w:tcBorders>
              <w:top w:val="single" w:sz="8" w:color="auto"/>
            </w:tcBorders>
            <w:gridSpan w:val="5"/>
            <w:vMerge w:val="restart"/>
          </w:tcPr>
          <w:p>
            <w:pPr>
              <w:jc w:val="right"/>
              <w:ind w:right="140"/>
              <w:spacing w:after="0"/>
              <w:rPr>
                <w:sz w:val="20"/>
                <w:szCs w:val="20"/>
                <w:color w:val="auto"/>
              </w:rPr>
            </w:pPr>
            <w:r>
              <w:rPr>
                <w:rFonts w:ascii="Arial" w:cs="Arial" w:eastAsia="Arial" w:hAnsi="Arial"/>
                <w:sz w:val="9"/>
                <w:szCs w:val="9"/>
                <w:b w:val="1"/>
                <w:bCs w:val="1"/>
                <w:color w:val="auto"/>
              </w:rPr>
              <w:t>Three Months Ended</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rPr>
              <w:t>Period Ended</w:t>
            </w:r>
          </w:p>
        </w:tc>
        <w:tc>
          <w:tcPr>
            <w:tcW w:w="1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5"/>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6"/>
                <w:szCs w:val="6"/>
                <w:color w:val="auto"/>
              </w:rPr>
            </w:pPr>
          </w:p>
        </w:tc>
        <w:tc>
          <w:tcPr>
            <w:tcW w:w="920" w:type="dxa"/>
            <w:vAlign w:val="bottom"/>
            <w:tcBorders>
              <w:right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December 31,</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October 25,</w:t>
            </w:r>
          </w:p>
        </w:tc>
        <w:tc>
          <w:tcPr>
            <w:tcW w:w="100" w:type="dxa"/>
            <w:vAlign w:val="bottom"/>
          </w:tcPr>
          <w:p>
            <w:pPr>
              <w:spacing w:after="0"/>
              <w:rPr>
                <w:sz w:val="6"/>
                <w:szCs w:val="6"/>
                <w:color w:val="auto"/>
              </w:rPr>
            </w:pPr>
          </w:p>
        </w:tc>
        <w:tc>
          <w:tcPr>
            <w:tcW w:w="980" w:type="dxa"/>
            <w:vAlign w:val="bottom"/>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September 27,</w:t>
            </w:r>
          </w:p>
        </w:tc>
        <w:tc>
          <w:tcPr>
            <w:tcW w:w="700" w:type="dxa"/>
            <w:vAlign w:val="bottom"/>
            <w:gridSpan w:val="3"/>
          </w:tcPr>
          <w:p>
            <w:pPr>
              <w:jc w:val="center"/>
              <w:ind w:right="180"/>
              <w:spacing w:after="0" w:line="74" w:lineRule="exact"/>
              <w:rPr>
                <w:sz w:val="20"/>
                <w:szCs w:val="20"/>
                <w:color w:val="auto"/>
              </w:rPr>
            </w:pPr>
            <w:r>
              <w:rPr>
                <w:rFonts w:ascii="Arial" w:cs="Arial" w:eastAsia="Arial" w:hAnsi="Arial"/>
                <w:sz w:val="8"/>
                <w:szCs w:val="8"/>
                <w:b w:val="1"/>
                <w:bCs w:val="1"/>
                <w:color w:val="auto"/>
              </w:rPr>
              <w:t>June 28,</w:t>
            </w:r>
          </w:p>
        </w:tc>
        <w:tc>
          <w:tcPr>
            <w:tcW w:w="80" w:type="dxa"/>
            <w:vAlign w:val="bottom"/>
          </w:tcPr>
          <w:p>
            <w:pPr>
              <w:spacing w:after="0"/>
              <w:rPr>
                <w:sz w:val="6"/>
                <w:szCs w:val="6"/>
                <w:color w:val="auto"/>
              </w:rPr>
            </w:pPr>
          </w:p>
        </w:tc>
        <w:tc>
          <w:tcPr>
            <w:tcW w:w="500" w:type="dxa"/>
            <w:vAlign w:val="bottom"/>
          </w:tcPr>
          <w:p>
            <w:pPr>
              <w:jc w:val="center"/>
              <w:ind w:right="17"/>
              <w:spacing w:after="0" w:line="74"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9"/>
                <w:szCs w:val="9"/>
                <w:b w:val="1"/>
                <w:bCs w:val="1"/>
                <w:color w:val="auto"/>
              </w:rPr>
              <w:t>2010*</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9"/>
                <w:szCs w:val="9"/>
                <w:b w:val="1"/>
                <w:bCs w:val="1"/>
                <w:color w:val="auto"/>
              </w:rPr>
              <w:t>2009**</w:t>
            </w: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9"/>
                <w:szCs w:val="9"/>
                <w:b w:val="1"/>
                <w:bCs w:val="1"/>
                <w:color w:val="auto"/>
              </w:rPr>
              <w:t>2009*</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9"/>
                <w:szCs w:val="9"/>
                <w:b w:val="1"/>
                <w:bCs w:val="1"/>
                <w:color w:val="auto"/>
              </w:rPr>
              <w:t>2009*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ind w:left="180"/>
              <w:spacing w:after="0" w:line="88" w:lineRule="exact"/>
              <w:rPr>
                <w:sz w:val="20"/>
                <w:szCs w:val="20"/>
                <w:color w:val="auto"/>
              </w:rPr>
            </w:pPr>
            <w:r>
              <w:rPr>
                <w:rFonts w:ascii="Arial" w:cs="Arial" w:eastAsia="Arial" w:hAnsi="Arial"/>
                <w:sz w:val="9"/>
                <w:szCs w:val="9"/>
                <w:b w:val="1"/>
                <w:bCs w:val="1"/>
                <w:color w:val="auto"/>
                <w:w w:val="79"/>
              </w:rPr>
              <w:t>(In millions)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Statements of Operations Data:</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Net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179.5</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111.1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51.2</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156.6</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130.1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80.6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49.4</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16.5</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52.2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48.3</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20.5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17.7</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16.2</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5.8</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17.3</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13.4</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Interest expense, net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(14.7)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Foreign currency gain (loss), net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21.6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45.4</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30.8</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Reorganization items, net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809.0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Others</w:t>
            </w: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815.4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(54.9)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30.1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821.2</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56.0</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31.0</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(66.3)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tax expenses (benefits)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53.5</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28.6</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62.4</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Data (unaudited):</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Adjusted EBITDA(2)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28.7</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22.1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10.6</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34.5</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Adjusted Net Income (Loss)(3)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(22.9)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9"/>
              <w:spacing w:after="0"/>
              <w:rPr>
                <w:sz w:val="20"/>
                <w:szCs w:val="20"/>
                <w:color w:val="auto"/>
              </w:rPr>
            </w:pPr>
            <w:r>
              <w:rPr>
                <w:rFonts w:ascii="Arial" w:cs="Arial" w:eastAsia="Arial" w:hAnsi="Arial"/>
                <w:sz w:val="13"/>
                <w:szCs w:val="13"/>
                <w:color w:val="auto"/>
              </w:rPr>
              <w:t>84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44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85" w:lineRule="exact"/>
        <w:rPr>
          <w:sz w:val="20"/>
          <w:szCs w:val="20"/>
          <w:color w:val="auto"/>
        </w:rPr>
      </w:pPr>
    </w:p>
    <w:p>
      <w:pPr>
        <w:ind w:left="880" w:right="5560" w:firstLine="61"/>
        <w:spacing w:after="0" w:line="299" w:lineRule="auto"/>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spacing w:after="0" w:line="1" w:lineRule="exact"/>
        <w:rPr>
          <w:sz w:val="20"/>
          <w:szCs w:val="20"/>
          <w:color w:val="auto"/>
        </w:rPr>
      </w:pPr>
    </w:p>
    <w:p>
      <w:pPr>
        <w:ind w:left="1080" w:right="140" w:hanging="248"/>
        <w:spacing w:after="0"/>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As of October 25, 2009, the fresh-start adoption date, we adopted fresh-start accounting for our consolidated financial statements. Because of the emergence from reorganization proceedings and adoption of fresh-start accounting, the historical financial information for periods after October 25, 2009 is not fully comparable to periods before October 25, 2009. See “Management’s Discussion and Analysis of Financial Condition and Results of Operations — Recent Changes to Our Business.”</w:t>
      </w:r>
    </w:p>
    <w:p>
      <w:pPr>
        <w:spacing w:after="0" w:line="31" w:lineRule="exact"/>
        <w:rPr>
          <w:rFonts w:ascii="Arial" w:cs="Arial" w:eastAsia="Arial" w:hAnsi="Arial"/>
          <w:sz w:val="13"/>
          <w:szCs w:val="13"/>
          <w:color w:val="auto"/>
        </w:rPr>
      </w:pPr>
    </w:p>
    <w:p>
      <w:pPr>
        <w:ind w:left="1080" w:right="40" w:hanging="248"/>
        <w:spacing w:after="0" w:line="239"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expenses (benefits), (iv) restructuring and impairment charges, (v) other restructuring charges, (vi) abandoned IPO expenses, (vii) subcontractor claim settlement, (viii) the increase in cost of sales resulting from the fresh-start inventory accounting step-up, (ix) equity-based compensation expense, (x) reorganization items, net and (xi) foreign currency gain (loss), net. A reconciliation of net income (loss) to Adjusted EBITDA is as follows:</w:t>
      </w:r>
    </w:p>
    <w:p>
      <w:pPr>
        <w:spacing w:after="0" w:line="77"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Successor</w:t>
            </w:r>
          </w:p>
        </w:tc>
        <w:tc>
          <w:tcPr>
            <w:tcW w:w="720" w:type="dxa"/>
            <w:vAlign w:val="bottom"/>
            <w:tcBorders>
              <w:bottom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9"/>
                <w:szCs w:val="9"/>
                <w:b w:val="1"/>
                <w:bCs w:val="1"/>
                <w:color w:val="auto"/>
              </w:rPr>
              <w:t>Predecessor</w:t>
            </w: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tcPr>
          <w:p>
            <w:pPr>
              <w:jc w:val="center"/>
              <w:ind w:right="340"/>
              <w:spacing w:after="0" w:line="84" w:lineRule="exact"/>
              <w:rPr>
                <w:sz w:val="20"/>
                <w:szCs w:val="20"/>
                <w:color w:val="auto"/>
              </w:rPr>
            </w:pPr>
            <w:r>
              <w:rPr>
                <w:rFonts w:ascii="Arial" w:cs="Arial" w:eastAsia="Arial" w:hAnsi="Arial"/>
                <w:sz w:val="9"/>
                <w:szCs w:val="9"/>
                <w:b w:val="1"/>
                <w:bCs w:val="1"/>
                <w:color w:val="auto"/>
              </w:rPr>
              <w:t>Three Months</w:t>
            </w:r>
          </w:p>
        </w:tc>
        <w:tc>
          <w:tcPr>
            <w:tcW w:w="80" w:type="dxa"/>
            <w:vAlign w:val="bottom"/>
          </w:tcPr>
          <w:p>
            <w:pPr>
              <w:spacing w:after="0"/>
              <w:rPr>
                <w:sz w:val="7"/>
                <w:szCs w:val="7"/>
                <w:color w:val="auto"/>
              </w:rPr>
            </w:pPr>
          </w:p>
        </w:tc>
        <w:tc>
          <w:tcPr>
            <w:tcW w:w="720" w:type="dxa"/>
            <w:vAlign w:val="bottom"/>
          </w:tcPr>
          <w:p>
            <w:pPr>
              <w:jc w:val="center"/>
              <w:ind w:right="19"/>
              <w:spacing w:after="0" w:line="84" w:lineRule="exact"/>
              <w:rPr>
                <w:sz w:val="20"/>
                <w:szCs w:val="20"/>
                <w:color w:val="auto"/>
              </w:rPr>
            </w:pPr>
            <w:r>
              <w:rPr>
                <w:rFonts w:ascii="Arial" w:cs="Arial" w:eastAsia="Arial" w:hAnsi="Arial"/>
                <w:sz w:val="9"/>
                <w:szCs w:val="9"/>
                <w:b w:val="1"/>
                <w:bCs w:val="1"/>
                <w:color w:val="auto"/>
                <w:w w:val="99"/>
              </w:rPr>
              <w:t>Two-Month</w:t>
            </w: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One-Month</w:t>
            </w:r>
          </w:p>
        </w:tc>
        <w:tc>
          <w:tcPr>
            <w:tcW w:w="100" w:type="dxa"/>
            <w:vAlign w:val="bottom"/>
          </w:tcPr>
          <w:p>
            <w:pPr>
              <w:spacing w:after="0"/>
              <w:rPr>
                <w:sz w:val="7"/>
                <w:szCs w:val="7"/>
                <w:color w:val="auto"/>
              </w:rPr>
            </w:pPr>
          </w:p>
        </w:tc>
        <w:tc>
          <w:tcPr>
            <w:tcW w:w="1680" w:type="dxa"/>
            <w:vAlign w:val="bottom"/>
            <w:gridSpan w:val="5"/>
            <w:vMerge w:val="restart"/>
          </w:tcPr>
          <w:p>
            <w:pPr>
              <w:jc w:val="center"/>
              <w:ind w:left="319"/>
              <w:spacing w:after="0"/>
              <w:rPr>
                <w:sz w:val="20"/>
                <w:szCs w:val="20"/>
                <w:color w:val="auto"/>
              </w:rPr>
            </w:pPr>
            <w:r>
              <w:rPr>
                <w:rFonts w:ascii="Arial" w:cs="Arial" w:eastAsia="Arial" w:hAnsi="Arial"/>
                <w:sz w:val="9"/>
                <w:szCs w:val="9"/>
                <w:b w:val="1"/>
                <w:bCs w:val="1"/>
                <w:color w:val="auto"/>
              </w:rPr>
              <w:t>Three Months Ended</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rPr>
              <w:t>Period Ended</w:t>
            </w:r>
          </w:p>
        </w:tc>
        <w:tc>
          <w:tcPr>
            <w:tcW w:w="80" w:type="dxa"/>
            <w:vAlign w:val="bottom"/>
          </w:tcPr>
          <w:p>
            <w:pPr>
              <w:spacing w:after="0"/>
              <w:rPr>
                <w:sz w:val="8"/>
                <w:szCs w:val="8"/>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rPr>
              <w:t>Period Ended</w:t>
            </w:r>
          </w:p>
        </w:tc>
        <w:tc>
          <w:tcPr>
            <w:tcW w:w="1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5"/>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6"/>
                <w:szCs w:val="6"/>
                <w:color w:val="auto"/>
              </w:rPr>
            </w:pPr>
          </w:p>
        </w:tc>
        <w:tc>
          <w:tcPr>
            <w:tcW w:w="920" w:type="dxa"/>
            <w:vAlign w:val="bottom"/>
            <w:tcBorders>
              <w:right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October 25,</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September 27,</w:t>
            </w:r>
          </w:p>
        </w:tc>
        <w:tc>
          <w:tcPr>
            <w:tcW w:w="700" w:type="dxa"/>
            <w:vAlign w:val="bottom"/>
            <w:gridSpan w:val="3"/>
          </w:tcPr>
          <w:p>
            <w:pPr>
              <w:jc w:val="right"/>
              <w:ind w:right="260"/>
              <w:spacing w:after="0" w:line="74" w:lineRule="exact"/>
              <w:rPr>
                <w:sz w:val="20"/>
                <w:szCs w:val="20"/>
                <w:color w:val="auto"/>
              </w:rPr>
            </w:pPr>
            <w:r>
              <w:rPr>
                <w:rFonts w:ascii="Arial" w:cs="Arial" w:eastAsia="Arial" w:hAnsi="Arial"/>
                <w:sz w:val="8"/>
                <w:szCs w:val="8"/>
                <w:b w:val="1"/>
                <w:bCs w:val="1"/>
                <w:color w:val="auto"/>
              </w:rPr>
              <w:t>June 28,</w:t>
            </w:r>
          </w:p>
        </w:tc>
        <w:tc>
          <w:tcPr>
            <w:tcW w:w="48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9"/>
                <w:szCs w:val="9"/>
                <w:b w:val="1"/>
                <w:bCs w:val="1"/>
                <w:color w:val="auto"/>
                <w:w w:val="99"/>
              </w:rPr>
              <w:t>2010</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9"/>
                <w:szCs w:val="9"/>
                <w:b w:val="1"/>
                <w:bCs w:val="1"/>
                <w:color w:val="auto"/>
                <w:w w:val="99"/>
              </w:rPr>
              <w:t>2009</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2009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(In millions)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(69.7)</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Less: Income (loss) from discontinued operations, net of taxes</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8.9</w:t>
            </w:r>
          </w:p>
        </w:tc>
        <w:tc>
          <w:tcPr>
            <w:tcW w:w="120" w:type="dxa"/>
            <w:vAlign w:val="bottom"/>
          </w:tcPr>
          <w:p>
            <w:pPr>
              <w:spacing w:after="0"/>
              <w:rPr>
                <w:sz w:val="12"/>
                <w:szCs w:val="12"/>
                <w:color w:val="auto"/>
              </w:rPr>
            </w:pPr>
          </w:p>
        </w:tc>
        <w:tc>
          <w:tcPr>
            <w:tcW w:w="5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53.5</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Adjustments: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Depreciation and amortization associated with continuing operations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12.8</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tax expenses (benefits)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Restructuring and impairment charges(a)</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0.3</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0.4</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restructuring charges(b)</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Reorganization items, net(c)</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(809.0)</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Inventory step-up(d)</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Equity based compensation expense(e)</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Foreign currency loss (gain), net(f)</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(45.4)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Adjusted EBITDA</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28.7</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22.1</w:t>
            </w:r>
          </w:p>
        </w:tc>
        <w:tc>
          <w:tcPr>
            <w:tcW w:w="8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34.5</w:t>
            </w:r>
          </w:p>
        </w:tc>
        <w:tc>
          <w:tcPr>
            <w:tcW w:w="1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152"/>
        </w:trPr>
        <w:tc>
          <w:tcPr>
            <w:tcW w:w="130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0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80" w:right="40" w:hanging="393"/>
        <w:spacing w:after="0"/>
        <w:tabs>
          <w:tab w:leader="none" w:pos="10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and (ii) for the three months ended June 28 and March 29, 2009, termination benefits and other related costs in connection with the closure of one of our research and development facilities in Japan.</w:t>
      </w:r>
    </w:p>
    <w:p>
      <w:pPr>
        <w:spacing w:after="0" w:line="31" w:lineRule="exact"/>
        <w:rPr>
          <w:rFonts w:ascii="Arial" w:cs="Arial" w:eastAsia="Arial" w:hAnsi="Arial"/>
          <w:sz w:val="13"/>
          <w:szCs w:val="13"/>
          <w:color w:val="auto"/>
        </w:rPr>
      </w:pPr>
    </w:p>
    <w:p>
      <w:pPr>
        <w:ind w:left="1080" w:right="60" w:hanging="393"/>
        <w:spacing w:after="0" w:line="248" w:lineRule="auto"/>
        <w:tabs>
          <w:tab w:leader="none" w:pos="10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080" w:right="860"/>
        <w:spacing w:after="0" w:line="248" w:lineRule="auto"/>
        <w:rPr>
          <w:sz w:val="20"/>
          <w:szCs w:val="20"/>
          <w:color w:val="auto"/>
        </w:rPr>
      </w:pPr>
      <w:r>
        <w:rPr>
          <w:rFonts w:ascii="Arial" w:cs="Arial" w:eastAsia="Arial" w:hAnsi="Arial"/>
          <w:sz w:val="13"/>
          <w:szCs w:val="13"/>
          <w:color w:val="auto"/>
        </w:rPr>
        <w:t>included in selling, general and administrative expenses in our consolidated statements of operations. These charges are restructuring-related professional fees and related expenses incurred during each period.</w:t>
      </w:r>
    </w:p>
    <w:p>
      <w:pPr>
        <w:spacing w:after="0" w:line="25" w:lineRule="exact"/>
        <w:rPr>
          <w:sz w:val="20"/>
          <w:szCs w:val="20"/>
          <w:color w:val="auto"/>
        </w:rPr>
      </w:pPr>
    </w:p>
    <w:p>
      <w:pPr>
        <w:ind w:left="1080" w:right="820" w:hanging="393"/>
        <w:spacing w:after="0" w:line="239" w:lineRule="auto"/>
        <w:tabs>
          <w:tab w:leader="none" w:pos="10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These items are comprised of the following: (i) for the one-month period ended October 25, 2009, our predecessor’s gain recognized upon the effectiveness of the reorganization plan which was primarily composed of debt discharge gains and net of reorganization related professional fees and other charges, and (ii) for three months ended September 27 and June 28, 2009, professional fees incurred in connection with our reorganization proceedings.</w:t>
      </w:r>
    </w:p>
    <w:p>
      <w:pPr>
        <w:spacing w:after="0" w:line="30" w:lineRule="exact"/>
        <w:rPr>
          <w:rFonts w:ascii="Arial" w:cs="Arial" w:eastAsia="Arial" w:hAnsi="Arial"/>
          <w:sz w:val="13"/>
          <w:szCs w:val="13"/>
          <w:color w:val="auto"/>
        </w:rPr>
      </w:pPr>
    </w:p>
    <w:p>
      <w:pPr>
        <w:ind w:left="1080" w:right="1400" w:hanging="393"/>
        <w:spacing w:after="0" w:line="248" w:lineRule="auto"/>
        <w:tabs>
          <w:tab w:leader="none" w:pos="10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080" w:hanging="393"/>
        <w:spacing w:after="0"/>
        <w:tabs>
          <w:tab w:leader="none" w:pos="10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w:t>
      </w:r>
    </w:p>
    <w:p>
      <w:pPr>
        <w:spacing w:after="0" w:line="37" w:lineRule="exact"/>
        <w:rPr>
          <w:rFonts w:ascii="Arial" w:cs="Arial" w:eastAsia="Arial" w:hAnsi="Arial"/>
          <w:sz w:val="13"/>
          <w:szCs w:val="13"/>
          <w:color w:val="auto"/>
        </w:rPr>
      </w:pPr>
    </w:p>
    <w:p>
      <w:pPr>
        <w:ind w:left="1080" w:right="800" w:hanging="393"/>
        <w:spacing w:after="0" w:line="248" w:lineRule="auto"/>
        <w:tabs>
          <w:tab w:leader="none" w:pos="10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w:t>
      </w:r>
    </w:p>
    <w:p>
      <w:pPr>
        <w:spacing w:after="0" w:line="35" w:lineRule="exact"/>
        <w:rPr>
          <w:rFonts w:ascii="Arial" w:cs="Arial" w:eastAsia="Arial" w:hAnsi="Arial"/>
          <w:sz w:val="13"/>
          <w:szCs w:val="13"/>
          <w:color w:val="auto"/>
        </w:rPr>
      </w:pPr>
    </w:p>
    <w:p>
      <w:pPr>
        <w:ind w:left="1000" w:right="840" w:hanging="267"/>
        <w:spacing w:after="0" w:line="239"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We define Adjusted Net Income as net income (loss) less income (loss) from discontinued operations, net of taxes, excluding (i) restructuring and impairment charges, (ii) 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 The following table summarizes the adjustments to net income (loss) that we make in order to calculate Adjusted Net Income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720"/>
              <w:spacing w:after="0"/>
              <w:rPr>
                <w:sz w:val="20"/>
                <w:szCs w:val="20"/>
                <w:color w:val="auto"/>
              </w:rPr>
            </w:pPr>
            <w:r>
              <w:rPr>
                <w:rFonts w:ascii="Arial" w:cs="Arial" w:eastAsia="Arial" w:hAnsi="Arial"/>
                <w:sz w:val="10"/>
                <w:szCs w:val="10"/>
                <w:b w:val="1"/>
                <w:bCs w:val="1"/>
                <w:color w:val="auto"/>
              </w:rPr>
              <w:t>Successor</w:t>
            </w:r>
          </w:p>
        </w:tc>
        <w:tc>
          <w:tcPr>
            <w:tcW w:w="84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Predecessor</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rPr>
              <w:t>Three Months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center"/>
              <w:ind w:right="98"/>
              <w:spacing w:after="0" w:line="109" w:lineRule="exact"/>
              <w:rPr>
                <w:sz w:val="20"/>
                <w:szCs w:val="20"/>
                <w:color w:val="auto"/>
              </w:rPr>
            </w:pPr>
            <w:r>
              <w:rPr>
                <w:rFonts w:ascii="Arial" w:cs="Arial" w:eastAsia="Arial" w:hAnsi="Arial"/>
                <w:sz w:val="10"/>
                <w:szCs w:val="10"/>
                <w:b w:val="1"/>
                <w:bCs w:val="1"/>
                <w:color w:val="auto"/>
              </w:rPr>
              <w:t>Two-Month</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9" w:lineRule="exact"/>
              <w:rPr>
                <w:sz w:val="20"/>
                <w:szCs w:val="20"/>
                <w:color w:val="auto"/>
              </w:rPr>
            </w:pPr>
            <w:r>
              <w:rPr>
                <w:rFonts w:ascii="Arial" w:cs="Arial" w:eastAsia="Arial" w:hAnsi="Arial"/>
                <w:sz w:val="10"/>
                <w:szCs w:val="10"/>
                <w:b w:val="1"/>
                <w:bCs w:val="1"/>
                <w:color w:val="auto"/>
              </w:rPr>
              <w:t>One-Month</w:t>
            </w:r>
          </w:p>
        </w:tc>
        <w:tc>
          <w:tcPr>
            <w:tcW w:w="100" w:type="dxa"/>
            <w:vAlign w:val="bottom"/>
          </w:tcPr>
          <w:p>
            <w:pPr>
              <w:spacing w:after="0"/>
              <w:rPr>
                <w:sz w:val="9"/>
                <w:szCs w:val="9"/>
                <w:color w:val="auto"/>
              </w:rPr>
            </w:pPr>
          </w:p>
        </w:tc>
        <w:tc>
          <w:tcPr>
            <w:tcW w:w="1880" w:type="dxa"/>
            <w:vAlign w:val="bottom"/>
            <w:gridSpan w:val="5"/>
            <w:vMerge w:val="restart"/>
          </w:tcPr>
          <w:p>
            <w:pPr>
              <w:jc w:val="right"/>
              <w:ind w:right="18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rPr>
              <w:t>Period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5"/>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0"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right w:val="single" w:sz="8" w:color="auto"/>
            </w:tcBorders>
            <w:gridSpan w:val="2"/>
          </w:tcPr>
          <w:p>
            <w:pPr>
              <w:jc w:val="center"/>
              <w:ind w:right="360"/>
              <w:spacing w:after="0" w:line="100" w:lineRule="exact"/>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100" w:lineRule="exact"/>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8"/>
                <w:szCs w:val="8"/>
                <w:color w:val="auto"/>
              </w:rPr>
            </w:pPr>
          </w:p>
        </w:tc>
        <w:tc>
          <w:tcPr>
            <w:tcW w:w="1080" w:type="dxa"/>
            <w:vAlign w:val="bottom"/>
            <w:gridSpan w:val="2"/>
          </w:tcPr>
          <w:p>
            <w:pPr>
              <w:jc w:val="right"/>
              <w:ind w:right="320"/>
              <w:spacing w:after="0" w:line="100" w:lineRule="exact"/>
              <w:rPr>
                <w:sz w:val="20"/>
                <w:szCs w:val="20"/>
                <w:color w:val="auto"/>
              </w:rPr>
            </w:pPr>
            <w:r>
              <w:rPr>
                <w:rFonts w:ascii="Arial" w:cs="Arial" w:eastAsia="Arial" w:hAnsi="Arial"/>
                <w:sz w:val="10"/>
                <w:szCs w:val="10"/>
                <w:b w:val="1"/>
                <w:bCs w:val="1"/>
                <w:color w:val="auto"/>
              </w:rPr>
              <w:t>September 27,</w:t>
            </w:r>
          </w:p>
        </w:tc>
        <w:tc>
          <w:tcPr>
            <w:tcW w:w="80" w:type="dxa"/>
            <w:vAlign w:val="bottom"/>
          </w:tcPr>
          <w:p>
            <w:pPr>
              <w:spacing w:after="0"/>
              <w:rPr>
                <w:sz w:val="8"/>
                <w:szCs w:val="8"/>
                <w:color w:val="auto"/>
              </w:rPr>
            </w:pPr>
          </w:p>
        </w:tc>
        <w:tc>
          <w:tcPr>
            <w:tcW w:w="720" w:type="dxa"/>
            <w:vAlign w:val="bottom"/>
            <w:gridSpan w:val="2"/>
          </w:tcPr>
          <w:p>
            <w:pPr>
              <w:jc w:val="center"/>
              <w:ind w:right="260"/>
              <w:spacing w:after="0" w:line="100" w:lineRule="exact"/>
              <w:rPr>
                <w:sz w:val="20"/>
                <w:szCs w:val="20"/>
                <w:color w:val="auto"/>
              </w:rPr>
            </w:pPr>
            <w:r>
              <w:rPr>
                <w:rFonts w:ascii="Arial" w:cs="Arial" w:eastAsia="Arial" w:hAnsi="Arial"/>
                <w:sz w:val="10"/>
                <w:szCs w:val="10"/>
                <w:b w:val="1"/>
                <w:bCs w:val="1"/>
                <w:color w:val="auto"/>
              </w:rPr>
              <w:t>June 28,</w:t>
            </w:r>
          </w:p>
        </w:tc>
        <w:tc>
          <w:tcPr>
            <w:tcW w:w="580" w:type="dxa"/>
            <w:vAlign w:val="bottom"/>
            <w:gridSpan w:val="2"/>
          </w:tcPr>
          <w:p>
            <w:pPr>
              <w:jc w:val="center"/>
              <w:spacing w:after="0" w:line="100"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rPr>
              <w:t>2009</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ind w:left="180"/>
              <w:spacing w:after="0" w:line="108" w:lineRule="exact"/>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31.1</w:t>
            </w:r>
          </w:p>
        </w:tc>
        <w:tc>
          <w:tcPr>
            <w:tcW w:w="26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62.4</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7" w:lineRule="exact"/>
              <w:rPr>
                <w:sz w:val="20"/>
                <w:szCs w:val="20"/>
                <w:color w:val="auto"/>
              </w:rPr>
            </w:pPr>
            <w:r>
              <w:rPr>
                <w:rFonts w:ascii="Arial" w:cs="Arial" w:eastAsia="Arial" w:hAnsi="Arial"/>
                <w:sz w:val="13"/>
                <w:szCs w:val="13"/>
                <w:color w:val="auto"/>
              </w:rPr>
              <w:t>Less: Income (loss) from discontinued operations, net of</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taxes</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8.9</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53.5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Adjustments: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charges(a)</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Other restructuring charges(b)</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3.7</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Reorganization items, net(c)</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(809.0)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Inventory step-up(d)</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Equity based compensation expense(e)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7" w:lineRule="exact"/>
              <w:rPr>
                <w:sz w:val="20"/>
                <w:szCs w:val="20"/>
                <w:color w:val="auto"/>
              </w:rPr>
            </w:pPr>
            <w:r>
              <w:rPr>
                <w:rFonts w:ascii="Arial" w:cs="Arial" w:eastAsia="Arial" w:hAnsi="Arial"/>
                <w:sz w:val="13"/>
                <w:szCs w:val="13"/>
                <w:color w:val="auto"/>
              </w:rPr>
              <w:t>Amortization of intangibles associated with continuing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operations(f)</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0.9</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2.8</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Foreign currency loss (gain), net(g)</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Adjusted Net Income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19.9</w:t>
            </w:r>
          </w:p>
        </w:tc>
        <w:tc>
          <w:tcPr>
            <w:tcW w:w="260" w:type="dxa"/>
            <w:vAlign w:val="bottom"/>
            <w:gridSpan w:val="2"/>
          </w:tcPr>
          <w:p>
            <w:pPr>
              <w:jc w:val="center"/>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13.3</w:t>
            </w:r>
          </w:p>
        </w:tc>
        <w:tc>
          <w:tcPr>
            <w:tcW w:w="8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6.9</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20.4</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13"/>
                <w:szCs w:val="13"/>
                <w:color w:val="auto"/>
                <w:w w:val="96"/>
              </w:rPr>
              <w:t>86</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7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85" w:lineRule="exact"/>
        <w:rPr>
          <w:sz w:val="20"/>
          <w:szCs w:val="20"/>
          <w:color w:val="auto"/>
        </w:rPr>
      </w:pPr>
    </w:p>
    <w:p>
      <w:pPr>
        <w:ind w:left="1080" w:right="40" w:hanging="393"/>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and (ii) for the three months ended June 28 and March 29, 2009, termination benefits and other related costs in connection with the closure of one of our research and development facilities in Japan.</w:t>
      </w:r>
    </w:p>
    <w:p>
      <w:pPr>
        <w:spacing w:after="0" w:line="31" w:lineRule="exact"/>
        <w:rPr>
          <w:rFonts w:ascii="Arial" w:cs="Arial" w:eastAsia="Arial" w:hAnsi="Arial"/>
          <w:sz w:val="13"/>
          <w:szCs w:val="13"/>
          <w:color w:val="auto"/>
        </w:rPr>
      </w:pPr>
    </w:p>
    <w:p>
      <w:pPr>
        <w:jc w:val="both"/>
        <w:ind w:left="1080" w:right="60" w:hanging="393"/>
        <w:spacing w:after="0" w:line="242" w:lineRule="auto"/>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restructuring-related professional fees and related expenses incurred during each period.</w:t>
      </w:r>
    </w:p>
    <w:p>
      <w:pPr>
        <w:spacing w:after="0" w:line="29" w:lineRule="exact"/>
        <w:rPr>
          <w:rFonts w:ascii="Arial" w:cs="Arial" w:eastAsia="Arial" w:hAnsi="Arial"/>
          <w:sz w:val="13"/>
          <w:szCs w:val="13"/>
          <w:color w:val="auto"/>
        </w:rPr>
      </w:pPr>
    </w:p>
    <w:p>
      <w:pPr>
        <w:ind w:left="1080" w:right="20" w:hanging="393"/>
        <w:spacing w:after="0" w:line="239" w:lineRule="auto"/>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These items are comprised of the following: (i) for the one-month period ended October 25, 2009, our predecessor’s gain recognized upon the effectiveness of the reorganization plan which was primarily composed of debt discharge gains and net of reorganization related professional fees and other charges, and (ii) for three months ended September 27 and June 28, 2009, professional fees incurred in connection with our reorganization proceedings.</w:t>
      </w:r>
    </w:p>
    <w:p>
      <w:pPr>
        <w:spacing w:after="0" w:line="30" w:lineRule="exact"/>
        <w:rPr>
          <w:rFonts w:ascii="Arial" w:cs="Arial" w:eastAsia="Arial" w:hAnsi="Arial"/>
          <w:sz w:val="13"/>
          <w:szCs w:val="13"/>
          <w:color w:val="auto"/>
        </w:rPr>
      </w:pPr>
    </w:p>
    <w:p>
      <w:pPr>
        <w:ind w:left="1080" w:right="600" w:hanging="393"/>
        <w:spacing w:after="0" w:line="248" w:lineRule="auto"/>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080" w:right="60" w:hanging="393"/>
        <w:spacing w:after="0" w:line="242" w:lineRule="auto"/>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9" w:lineRule="exact"/>
        <w:rPr>
          <w:rFonts w:ascii="Arial" w:cs="Arial" w:eastAsia="Arial" w:hAnsi="Arial"/>
          <w:sz w:val="13"/>
          <w:szCs w:val="13"/>
          <w:color w:val="auto"/>
        </w:rPr>
      </w:pPr>
    </w:p>
    <w:p>
      <w:pPr>
        <w:ind w:left="1080" w:hanging="393"/>
        <w:spacing w:after="0" w:line="248" w:lineRule="auto"/>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w:t>
      </w:r>
    </w:p>
    <w:p>
      <w:pPr>
        <w:spacing w:after="0" w:line="25" w:lineRule="exact"/>
        <w:rPr>
          <w:rFonts w:ascii="Arial" w:cs="Arial" w:eastAsia="Arial" w:hAnsi="Arial"/>
          <w:sz w:val="13"/>
          <w:szCs w:val="13"/>
          <w:color w:val="auto"/>
        </w:rPr>
      </w:pPr>
    </w:p>
    <w:p>
      <w:pPr>
        <w:ind w:left="1080" w:hanging="393"/>
        <w:spacing w:after="0" w:line="248" w:lineRule="auto"/>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w:t>
      </w:r>
    </w:p>
    <w:p>
      <w:pPr>
        <w:spacing w:after="0" w:line="74"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Net sales have increased quarter over quarter since the first quarter of 2009, primarily as a result of increases in sales volume resulting from increased demand as the consumer electronics industry began to recover from the economic slowdown. Net sales increased 37.7% from the three months ended March 29, 2009 to the three months June 28, 2009 partially due to the fact that the first quarter is traditionally a seasonally slow quarter for us due to reduced demand for consumer products after the end of the holiday season. Our net sales for the three months ended March 31, 2010 increased by 10.6% from the combined three-month period ended December 31, 2009 as the overall recovery from the economic slowdown had a greater impact than our typical seasonal weakness.</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Gross margin increased to 34.6% and 33.3% in the three months ended June 28 and September 27, 2009, respectively, from 20.6% in the three months ended March 29, 2009. The increase was primarily related to an increase in sales volume resulting from increased demand in connection with the global economic recovery and the impact of our cost reduction efforts. Gross margin in the combined three-month period ended December 31, 2009 decreased primarily due to a $17.2 million unfavorable impact which resulted from the write-up of our inventory in accordance with</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42" w:lineRule="auto"/>
        <w:rPr>
          <w:sz w:val="20"/>
          <w:szCs w:val="20"/>
          <w:color w:val="auto"/>
        </w:rPr>
      </w:pPr>
      <w:r>
        <w:rPr>
          <w:rFonts w:ascii="Arial" w:cs="Arial" w:eastAsia="Arial" w:hAnsi="Arial"/>
          <w:sz w:val="13"/>
          <w:szCs w:val="13"/>
          <w:color w:val="auto"/>
        </w:rPr>
        <w:t>the principles of fresh-start accounting upon our emergence from reorganization proceedings. Gross margin in the three months ended March 31, 2010 improved as compared to the combined three-month period ended December 31, 2009 as the unfavorable impact from the inventory write-up of our inventory was limited to $0.9 million which had not yet been recognized as of December 31, 2009.</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Selling, general and administrative expenses for the three months ended June 28 and September 27, 2009 increased compared to the three months ended March 29, 2009 primarily due to the increase in outside service fees for restructuring-related professional fees and related expenses. Selling, general and administrative expenses for the combined three-month period ended December 31, 2009 increased compared to the three months ended September 27, 2009 due to an increase in salaries resulting from incentive payments made to our employees following our successful emergence from our reorganization proceedings and an increase in amortization expenses resulting from the write-up of certain intangible assets in accordance with the application of fresh-start accounting.</w:t>
      </w:r>
    </w:p>
    <w:p>
      <w:pPr>
        <w:spacing w:after="0" w:line="81" w:lineRule="exact"/>
        <w:rPr>
          <w:sz w:val="20"/>
          <w:szCs w:val="20"/>
          <w:color w:val="auto"/>
        </w:rPr>
      </w:pPr>
    </w:p>
    <w:p>
      <w:pPr>
        <w:ind w:left="680" w:right="200" w:firstLine="499"/>
        <w:spacing w:after="0" w:line="242" w:lineRule="auto"/>
        <w:rPr>
          <w:sz w:val="20"/>
          <w:szCs w:val="20"/>
          <w:color w:val="auto"/>
        </w:rPr>
      </w:pPr>
      <w:r>
        <w:rPr>
          <w:rFonts w:ascii="Arial" w:cs="Arial" w:eastAsia="Arial" w:hAnsi="Arial"/>
          <w:sz w:val="13"/>
          <w:szCs w:val="13"/>
          <w:color w:val="auto"/>
        </w:rPr>
        <w:t>Research and development expenses remained relatively constant in absolute dollars over the five quarter period. Research and development expense as a percentage of net sales was 16.7% in the three months ended March 29, 2009, which was higher than other quarters due to the substantially lower net sales in the three months ended March 29, 2009.</w:t>
      </w:r>
    </w:p>
    <w:p>
      <w:pPr>
        <w:spacing w:after="0" w:line="79" w:lineRule="exact"/>
        <w:rPr>
          <w:sz w:val="20"/>
          <w:szCs w:val="20"/>
          <w:color w:val="auto"/>
        </w:rPr>
      </w:pPr>
    </w:p>
    <w:p>
      <w:pPr>
        <w:ind w:left="680" w:right="560" w:firstLine="499"/>
        <w:spacing w:after="0" w:line="248" w:lineRule="auto"/>
        <w:rPr>
          <w:sz w:val="20"/>
          <w:szCs w:val="20"/>
          <w:color w:val="auto"/>
        </w:rPr>
      </w:pPr>
      <w:r>
        <w:rPr>
          <w:rFonts w:ascii="Arial" w:cs="Arial" w:eastAsia="Arial" w:hAnsi="Arial"/>
          <w:sz w:val="13"/>
          <w:szCs w:val="13"/>
          <w:color w:val="auto"/>
        </w:rPr>
        <w:t>Reorganization items, net were incurred from the reorganization proceedings, implementation of our plan of reorganization, and the adoption of fresh-start reporting, and consisted mainly of the discharge of liabilities subject to compromise.</w:t>
      </w:r>
    </w:p>
    <w:p>
      <w:pPr>
        <w:spacing w:after="0" w:line="74"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Interest expense, net decreased in the three months ended September 27, 2009 as we did not accrue for interest expense related to our $750.0 million notes from June 12, 2009, the date of our initial reorganization filing, to October 25, 2009, as they were categorized as liabilities subject to compromise. These notes were discharged pursuant to the reorganization plan upon our emergence from our reorganization proceedings. As a result of our April 2010 senior notes offering, our interest expense will increase to approximately $6.8 million per quarter.</w:t>
      </w:r>
    </w:p>
    <w:p>
      <w:pPr>
        <w:spacing w:after="0" w:line="80"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 substantial portion of our net foreign currency gain or loss is non-cash translation gain or loss recorded for intercompany borrowing at our Korean subsidiary and is affected by changes in the exchange rate between Korean won and the U.S. dollar. During the first quarter of 2009, foreign currency loss was recognized due to the depreciation of the Korean won against the U.S. dollar. From the three months ended June 28, 2009 to three months ended March 31, 2010, foreign currency gains have been recognized due to the appreciation of the Korean won against the U.S. dollar.</w:t>
      </w:r>
    </w:p>
    <w:p>
      <w:pPr>
        <w:spacing w:after="0" w:line="80" w:lineRule="exact"/>
        <w:rPr>
          <w:sz w:val="20"/>
          <w:szCs w:val="20"/>
          <w:color w:val="auto"/>
        </w:rPr>
      </w:pPr>
    </w:p>
    <w:p>
      <w:pPr>
        <w:ind w:left="680" w:right="260" w:firstLine="499"/>
        <w:spacing w:after="0" w:line="242" w:lineRule="auto"/>
        <w:rPr>
          <w:sz w:val="20"/>
          <w:szCs w:val="20"/>
          <w:color w:val="auto"/>
        </w:rPr>
      </w:pPr>
      <w:r>
        <w:rPr>
          <w:rFonts w:ascii="Arial" w:cs="Arial" w:eastAsia="Arial" w:hAnsi="Arial"/>
          <w:sz w:val="13"/>
          <w:szCs w:val="13"/>
          <w:color w:val="auto"/>
        </w:rPr>
        <w:t>Income tax expense for 2009 was primarily comprised of withholding taxes paid on intercompany interest payments, current income taxes incurred in various jurisdictions in which we operate and the income tax effect from the change of deferred tax assets. Income tax benefits in the three months ended March 31, 2010 were primarily derived from the reversal of liabilities for uncertain tax positions due to the lapse of the applicable statute of limitations.</w:t>
      </w:r>
    </w:p>
    <w:p>
      <w:pPr>
        <w:spacing w:after="0" w:line="7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Income (loss) from discontinued operations during 2009 related to our former Imaging Solutions business segment. Income from discontinued operations in the three months ended September 27, 2009 was primarily derived from the sale of patents related to Imaging Solutions business segment.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Our principal capital requirements are to invest in research and development and capital equipment, to make debt service payments and to fund working capital needs. We calculate working capital as current assets less current liabilities.</w:t>
      </w:r>
    </w:p>
    <w:p>
      <w:pPr>
        <w:spacing w:after="0" w:line="74" w:lineRule="exact"/>
        <w:rPr>
          <w:sz w:val="20"/>
          <w:szCs w:val="20"/>
          <w:color w:val="auto"/>
        </w:rPr>
      </w:pPr>
    </w:p>
    <w:p>
      <w:pPr>
        <w:ind w:left="680" w:right="400" w:firstLine="499"/>
        <w:spacing w:after="0" w:line="248" w:lineRule="auto"/>
        <w:rPr>
          <w:sz w:val="20"/>
          <w:szCs w:val="20"/>
          <w:color w:val="auto"/>
        </w:rPr>
      </w:pPr>
      <w:r>
        <w:rPr>
          <w:rFonts w:ascii="Arial" w:cs="Arial" w:eastAsia="Arial" w:hAnsi="Arial"/>
          <w:sz w:val="13"/>
          <w:szCs w:val="13"/>
          <w:color w:val="auto"/>
        </w:rPr>
        <w:t>Our principal sources of liquidity are our cash and cash equivalents, our cash flows from operations and our financing activities, including $46.1 million of net proceeds from the $250 million aggregate principal amount senior notes offering and a portion of the net proceeds from this offering. The principal</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purpose of the senior notes offering was to fund a $130.7 million distribution to our unitholders. Most of our current equity holders are former creditors and the distribution</w:t>
      </w:r>
    </w:p>
    <w:p>
      <w:pPr>
        <w:ind w:left="680"/>
        <w:spacing w:after="0" w:line="236" w:lineRule="auto"/>
        <w:rPr>
          <w:sz w:val="20"/>
          <w:szCs w:val="20"/>
          <w:color w:val="auto"/>
        </w:rPr>
      </w:pPr>
      <w:r>
        <w:rPr>
          <w:rFonts w:ascii="Arial" w:cs="Arial" w:eastAsia="Arial" w:hAnsi="Arial"/>
          <w:sz w:val="13"/>
          <w:szCs w:val="13"/>
          <w:color w:val="auto"/>
        </w:rPr>
        <w:t>allowed us to provide a return to creditors that supported us during our reorganization proceedings. The distribution to our unitholders was approved by our board of</w:t>
      </w:r>
    </w:p>
    <w:p>
      <w:pPr>
        <w:ind w:left="680"/>
        <w:spacing w:after="0" w:line="237" w:lineRule="auto"/>
        <w:rPr>
          <w:sz w:val="20"/>
          <w:szCs w:val="20"/>
          <w:color w:val="auto"/>
        </w:rPr>
      </w:pPr>
      <w:r>
        <w:rPr>
          <w:rFonts w:ascii="Arial" w:cs="Arial" w:eastAsia="Arial" w:hAnsi="Arial"/>
          <w:sz w:val="13"/>
          <w:szCs w:val="13"/>
          <w:color w:val="auto"/>
        </w:rPr>
        <w:t>directors and was not required due to any contractual or other obligation. In addition to the distribution, we used the proceeds of the senior notes offering to increase our</w:t>
      </w:r>
    </w:p>
    <w:p>
      <w:pPr>
        <w:ind w:left="680"/>
        <w:spacing w:after="0" w:line="237" w:lineRule="auto"/>
        <w:rPr>
          <w:sz w:val="20"/>
          <w:szCs w:val="20"/>
          <w:color w:val="auto"/>
        </w:rPr>
      </w:pPr>
      <w:r>
        <w:rPr>
          <w:rFonts w:ascii="Arial" w:cs="Arial" w:eastAsia="Arial" w:hAnsi="Arial"/>
          <w:sz w:val="13"/>
          <w:szCs w:val="13"/>
          <w:color w:val="auto"/>
        </w:rPr>
        <w:t>cash reserves and pay down current debt that was accruing interest at a higher rate than the notes. We funded the distribution and other uses of proceeds through the</w:t>
      </w:r>
    </w:p>
    <w:p>
      <w:pPr>
        <w:ind w:left="680"/>
        <w:spacing w:after="0" w:line="236" w:lineRule="auto"/>
        <w:rPr>
          <w:sz w:val="20"/>
          <w:szCs w:val="20"/>
          <w:color w:val="auto"/>
        </w:rPr>
      </w:pPr>
      <w:r>
        <w:rPr>
          <w:rFonts w:ascii="Arial" w:cs="Arial" w:eastAsia="Arial" w:hAnsi="Arial"/>
          <w:sz w:val="13"/>
          <w:szCs w:val="13"/>
          <w:color w:val="auto"/>
        </w:rPr>
        <w:t>senior notes offering because we believed that the debt market at the time would be receptive to the offering and because we could effect a debt offering faster than other</w:t>
      </w:r>
    </w:p>
    <w:p>
      <w:pPr>
        <w:ind w:left="680"/>
        <w:spacing w:after="0" w:line="237" w:lineRule="auto"/>
        <w:rPr>
          <w:sz w:val="20"/>
          <w:szCs w:val="20"/>
          <w:color w:val="auto"/>
        </w:rPr>
      </w:pPr>
      <w:r>
        <w:rPr>
          <w:rFonts w:ascii="Arial" w:cs="Arial" w:eastAsia="Arial" w:hAnsi="Arial"/>
          <w:sz w:val="13"/>
          <w:szCs w:val="13"/>
          <w:color w:val="auto"/>
        </w:rPr>
        <w:t>forms of financing, including equity financing. Although we currently anticipate these sources of liquidity will be sufficient to meet our cash needs through the next twelve</w:t>
      </w:r>
    </w:p>
    <w:p>
      <w:pPr>
        <w:ind w:left="680"/>
        <w:spacing w:after="0" w:line="237" w:lineRule="auto"/>
        <w:rPr>
          <w:sz w:val="20"/>
          <w:szCs w:val="20"/>
          <w:color w:val="auto"/>
        </w:rPr>
      </w:pPr>
      <w:r>
        <w:rPr>
          <w:rFonts w:ascii="Arial" w:cs="Arial" w:eastAsia="Arial" w:hAnsi="Arial"/>
          <w:sz w:val="13"/>
          <w:szCs w:val="13"/>
          <w:color w:val="auto"/>
        </w:rPr>
        <w:t>months, we were cash flow negative for the two-month period ended December 31, 2009 as well as for 2008 and 2007 and we may require or choose to obtain additional</w:t>
      </w:r>
    </w:p>
    <w:p>
      <w:pPr>
        <w:ind w:left="680"/>
        <w:spacing w:after="0" w:line="236" w:lineRule="auto"/>
        <w:rPr>
          <w:sz w:val="20"/>
          <w:szCs w:val="20"/>
          <w:color w:val="auto"/>
        </w:rPr>
      </w:pPr>
      <w:r>
        <w:rPr>
          <w:rFonts w:ascii="Arial" w:cs="Arial" w:eastAsia="Arial" w:hAnsi="Arial"/>
          <w:sz w:val="13"/>
          <w:szCs w:val="13"/>
          <w:color w:val="auto"/>
        </w:rPr>
        <w:t>financing. Our ability to obtain financing will depend, among other things, on our business plans, operating performance, and the condition of the capital markets at the time</w:t>
      </w:r>
    </w:p>
    <w:p>
      <w:pPr>
        <w:ind w:left="680"/>
        <w:spacing w:after="0" w:line="237" w:lineRule="auto"/>
        <w:rPr>
          <w:sz w:val="20"/>
          <w:szCs w:val="20"/>
          <w:color w:val="auto"/>
        </w:rPr>
      </w:pPr>
      <w:r>
        <w:rPr>
          <w:rFonts w:ascii="Arial" w:cs="Arial" w:eastAsia="Arial" w:hAnsi="Arial"/>
          <w:sz w:val="13"/>
          <w:szCs w:val="13"/>
          <w:color w:val="auto"/>
        </w:rPr>
        <w:t>we seek financing and could be adversely impacted by our 2009 reorganization proceedings and our non-compliance with bank covenants that preceded the filing. We</w:t>
      </w:r>
    </w:p>
    <w:p>
      <w:pPr>
        <w:ind w:left="680"/>
        <w:spacing w:after="0" w:line="237" w:lineRule="auto"/>
        <w:rPr>
          <w:sz w:val="20"/>
          <w:szCs w:val="20"/>
          <w:color w:val="auto"/>
        </w:rPr>
      </w:pPr>
      <w:r>
        <w:rPr>
          <w:rFonts w:ascii="Arial" w:cs="Arial" w:eastAsia="Arial" w:hAnsi="Arial"/>
          <w:sz w:val="13"/>
          <w:szCs w:val="13"/>
          <w:color w:val="auto"/>
        </w:rPr>
        <w:t>cannot assure you that additional financing will be available to us on favorable terms when required, or at all. The current rating of our senior notes is B2 by Moody’s and B+</w:t>
      </w:r>
    </w:p>
    <w:p>
      <w:pPr>
        <w:ind w:left="680"/>
        <w:spacing w:after="0" w:line="237" w:lineRule="auto"/>
        <w:rPr>
          <w:sz w:val="20"/>
          <w:szCs w:val="20"/>
          <w:color w:val="auto"/>
        </w:rPr>
      </w:pPr>
      <w:r>
        <w:rPr>
          <w:rFonts w:ascii="Arial" w:cs="Arial" w:eastAsia="Arial" w:hAnsi="Arial"/>
          <w:sz w:val="13"/>
          <w:szCs w:val="13"/>
          <w:color w:val="auto"/>
        </w:rPr>
        <w:t>by Standard and Poors, both of which are below investment grade. Any lowering of these ratings would adversely impact our ability to raise additional debt financing and</w:t>
      </w:r>
    </w:p>
    <w:p>
      <w:pPr>
        <w:ind w:left="680"/>
        <w:spacing w:after="0" w:line="236" w:lineRule="auto"/>
        <w:rPr>
          <w:sz w:val="20"/>
          <w:szCs w:val="20"/>
          <w:color w:val="auto"/>
        </w:rPr>
      </w:pPr>
      <w:r>
        <w:rPr>
          <w:rFonts w:ascii="Arial" w:cs="Arial" w:eastAsia="Arial" w:hAnsi="Arial"/>
          <w:sz w:val="13"/>
          <w:szCs w:val="13"/>
          <w:color w:val="auto"/>
        </w:rPr>
        <w:t>increase the cost of any such financing that is obtained. If we raise additional funds through the issuance of equity, equity-linked or debt securities, those securities may</w:t>
      </w:r>
    </w:p>
    <w:p>
      <w:pPr>
        <w:ind w:left="680"/>
        <w:spacing w:after="0" w:line="237" w:lineRule="auto"/>
        <w:rPr>
          <w:sz w:val="20"/>
          <w:szCs w:val="20"/>
          <w:color w:val="auto"/>
        </w:rPr>
      </w:pPr>
      <w:r>
        <w:rPr>
          <w:rFonts w:ascii="Arial" w:cs="Arial" w:eastAsia="Arial" w:hAnsi="Arial"/>
          <w:sz w:val="13"/>
          <w:szCs w:val="13"/>
          <w:color w:val="auto"/>
        </w:rPr>
        <w:t>have rights, preferences or privileges senior to the rights of our common stock, and our stockholders may experience dilution. If we need to raise additional funds in the</w:t>
      </w:r>
    </w:p>
    <w:p>
      <w:pPr>
        <w:ind w:left="680"/>
        <w:spacing w:after="0" w:line="237" w:lineRule="auto"/>
        <w:rPr>
          <w:sz w:val="20"/>
          <w:szCs w:val="20"/>
          <w:color w:val="auto"/>
        </w:rPr>
      </w:pPr>
      <w:r>
        <w:rPr>
          <w:rFonts w:ascii="Arial" w:cs="Arial" w:eastAsia="Arial" w:hAnsi="Arial"/>
          <w:sz w:val="13"/>
          <w:szCs w:val="13"/>
          <w:color w:val="auto"/>
        </w:rPr>
        <w:t>future and are unable to do so or obtain additional financing on unfavorable terms in the future, it is possible we would have to limit certain planned activities including sales</w:t>
      </w:r>
    </w:p>
    <w:p>
      <w:pPr>
        <w:ind w:left="680"/>
        <w:spacing w:after="0" w:line="236" w:lineRule="auto"/>
        <w:rPr>
          <w:sz w:val="20"/>
          <w:szCs w:val="20"/>
          <w:color w:val="auto"/>
        </w:rPr>
      </w:pPr>
      <w:r>
        <w:rPr>
          <w:rFonts w:ascii="Arial" w:cs="Arial" w:eastAsia="Arial" w:hAnsi="Arial"/>
          <w:sz w:val="13"/>
          <w:szCs w:val="13"/>
          <w:color w:val="auto"/>
        </w:rPr>
        <w:t>and marketing and research and development activities. As of March 31, 2010, our cash and cash equivalents balance was $82.7 million, a $17.8 million increase,</w:t>
      </w:r>
    </w:p>
    <w:p>
      <w:pPr>
        <w:ind w:left="680"/>
        <w:spacing w:after="0" w:line="237" w:lineRule="auto"/>
        <w:rPr>
          <w:sz w:val="20"/>
          <w:szCs w:val="20"/>
          <w:color w:val="auto"/>
        </w:rPr>
      </w:pPr>
      <w:r>
        <w:rPr>
          <w:rFonts w:ascii="Arial" w:cs="Arial" w:eastAsia="Arial" w:hAnsi="Arial"/>
          <w:sz w:val="13"/>
          <w:szCs w:val="13"/>
          <w:color w:val="auto"/>
        </w:rPr>
        <w:t>compared to $64.9 million as of December 31, 2009. The increase resulted from $14.9 million of cash inflow provided by operating activities primarily resulting from our</w:t>
      </w:r>
    </w:p>
    <w:p>
      <w:pPr>
        <w:ind w:left="680"/>
        <w:spacing w:after="0" w:line="237" w:lineRule="auto"/>
        <w:rPr>
          <w:sz w:val="20"/>
          <w:szCs w:val="20"/>
          <w:color w:val="auto"/>
        </w:rPr>
      </w:pPr>
      <w:r>
        <w:rPr>
          <w:rFonts w:ascii="Arial" w:cs="Arial" w:eastAsia="Arial" w:hAnsi="Arial"/>
          <w:sz w:val="13"/>
          <w:szCs w:val="13"/>
          <w:color w:val="auto"/>
        </w:rPr>
        <w:t>$31.1 million of net income during the period. As of December 31, 2009, our cash and cash equivalents balance was $64.9 million, a $49.1 million increase from our cash,</w:t>
      </w:r>
    </w:p>
    <w:p>
      <w:pPr>
        <w:ind w:left="680"/>
        <w:spacing w:after="0" w:line="236" w:lineRule="auto"/>
        <w:rPr>
          <w:sz w:val="20"/>
          <w:szCs w:val="20"/>
          <w:color w:val="auto"/>
        </w:rPr>
      </w:pPr>
      <w:r>
        <w:rPr>
          <w:rFonts w:ascii="Arial" w:cs="Arial" w:eastAsia="Arial" w:hAnsi="Arial"/>
          <w:sz w:val="13"/>
          <w:szCs w:val="13"/>
          <w:color w:val="auto"/>
        </w:rPr>
        <w:t>cash equivalents and restricted cash balance of $15.8 million as of December 31, 2008. The increase in cash and cash equivalents for the combined twelve-month period</w:t>
      </w:r>
    </w:p>
    <w:p>
      <w:pPr>
        <w:ind w:left="680"/>
        <w:spacing w:after="0" w:line="237" w:lineRule="auto"/>
        <w:rPr>
          <w:sz w:val="20"/>
          <w:szCs w:val="20"/>
          <w:color w:val="auto"/>
        </w:rPr>
      </w:pPr>
      <w:r>
        <w:rPr>
          <w:rFonts w:ascii="Arial" w:cs="Arial" w:eastAsia="Arial" w:hAnsi="Arial"/>
          <w:sz w:val="13"/>
          <w:szCs w:val="13"/>
          <w:color w:val="auto"/>
        </w:rPr>
        <w:t>ended December 31, 2009 was primarily attributable to a cash inflow of $41.5 million from operating activities, coupled with a cash inflow of $11.5 million from investing</w:t>
      </w:r>
    </w:p>
    <w:p>
      <w:pPr>
        <w:ind w:left="680"/>
        <w:spacing w:after="0"/>
        <w:rPr>
          <w:sz w:val="20"/>
          <w:szCs w:val="20"/>
          <w:color w:val="auto"/>
        </w:rPr>
      </w:pPr>
      <w:r>
        <w:rPr>
          <w:rFonts w:ascii="Arial" w:cs="Arial" w:eastAsia="Arial" w:hAnsi="Arial"/>
          <w:sz w:val="13"/>
          <w:szCs w:val="13"/>
          <w:color w:val="auto"/>
        </w:rPr>
        <w:t>activities.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Operating Activities</w:t>
      </w:r>
    </w:p>
    <w:p>
      <w:pPr>
        <w:spacing w:after="0" w:line="10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Cash inflows generated by operating activities totaled $14.9 million for the three months ended March 31, 2010, compared to $0.3 million of cash provided by operating activities in the three months ended March 29, 2009. The increase was primarily attributable to increase in gross profit of $28.5 million resulting from higher net sales. The net operating cash inflow for the three months ended March 31, 2010 principally reflects our net income of $31.1 million which was partially offset by $2.6 million of non-cash gains, net and an increase in net operating assets of $13.6 million.</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Cash flows generated by operating activities totaled $41.5 million in the combined twelve-month period ended December 31, 2009, compared to $18.4 million of cash used in operating activities in 2008. This increase in cash flows was primarily attributable to income from continuing operations which improved due to the restructuring of our operations and our reorganization plan as described above. The net operating cash inflow for the combined twelve-month period ended December 31, 2009 principally reflected our net income of $839.1 million adjusted by non-cash charges of $799.4 million, which mainly consisted of non-cash reorganization items derived from our reorganization plan.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300" w:firstLine="499"/>
        <w:spacing w:after="0" w:line="248" w:lineRule="auto"/>
        <w:rPr>
          <w:sz w:val="20"/>
          <w:szCs w:val="20"/>
          <w:color w:val="auto"/>
        </w:rPr>
      </w:pPr>
      <w:r>
        <w:rPr>
          <w:rFonts w:ascii="Arial" w:cs="Arial" w:eastAsia="Arial" w:hAnsi="Arial"/>
          <w:sz w:val="13"/>
          <w:szCs w:val="13"/>
          <w:color w:val="auto"/>
        </w:rPr>
        <w:t>In 2008, cash flows used in operating activities totaled $ 18.4 million, compared to $23.7 million in 2007. The decrease was primarily driven by lower operating results adjusted by non-cash charges, which mainly consisted of depreciation and amortization charges and loss on foreign currency translation.</w:t>
      </w:r>
    </w:p>
    <w:p>
      <w:pPr>
        <w:spacing w:after="0" w:line="74" w:lineRule="exact"/>
        <w:rPr>
          <w:sz w:val="20"/>
          <w:szCs w:val="20"/>
          <w:color w:val="auto"/>
        </w:rPr>
      </w:pPr>
    </w:p>
    <w:p>
      <w:pPr>
        <w:ind w:left="680" w:right="220" w:firstLine="499"/>
        <w:spacing w:after="0" w:line="242" w:lineRule="auto"/>
        <w:rPr>
          <w:sz w:val="20"/>
          <w:szCs w:val="20"/>
          <w:color w:val="auto"/>
        </w:rPr>
      </w:pPr>
      <w:r>
        <w:rPr>
          <w:rFonts w:ascii="Arial" w:cs="Arial" w:eastAsia="Arial" w:hAnsi="Arial"/>
          <w:sz w:val="13"/>
          <w:szCs w:val="13"/>
          <w:color w:val="auto"/>
        </w:rPr>
        <w:t>Our working capital balance as of March 31, 2010 was $ 154.9 million compared to $128.5 million as of December 31, 2009. The $26.4 million increase was primarily attributable to a $17.8 million increase in cash and cash equivalents provided by operating activities and a $30.3 million increase in accounts receivable due to increase in net sales, which was partially offset by a $18.2 million increase in accounts payable.</w:t>
      </w:r>
    </w:p>
    <w:p>
      <w:pPr>
        <w:spacing w:after="0" w:line="79"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Our working capital balance as of December 31, 2009 was $ 128.5 million, compared to negative $814.5 million as of December 31, 2008. The significant increase in our working capital balance was principally due to the discharge of $750.0 million in debt recorded in current liabilities resulting from our reorganization plan in 2009 as well as cash generated from operations and investing activities.</w:t>
      </w:r>
    </w:p>
    <w:p>
      <w:pPr>
        <w:spacing w:after="0" w:line="79" w:lineRule="exact"/>
        <w:rPr>
          <w:sz w:val="20"/>
          <w:szCs w:val="20"/>
          <w:color w:val="auto"/>
        </w:rPr>
      </w:pPr>
    </w:p>
    <w:p>
      <w:pPr>
        <w:jc w:val="both"/>
        <w:ind w:left="680" w:right="20" w:firstLine="499"/>
        <w:spacing w:after="0" w:line="242" w:lineRule="auto"/>
        <w:rPr>
          <w:sz w:val="20"/>
          <w:szCs w:val="20"/>
          <w:color w:val="auto"/>
        </w:rPr>
      </w:pPr>
      <w:r>
        <w:rPr>
          <w:rFonts w:ascii="Arial" w:cs="Arial" w:eastAsia="Arial" w:hAnsi="Arial"/>
          <w:sz w:val="13"/>
          <w:szCs w:val="13"/>
          <w:color w:val="auto"/>
        </w:rPr>
        <w:t>Our working capital balance as of December 31, 2008 was negative $814.5 million, compared to $55.6 million as of December 31, 2007. The significant decrease in our working capital balance was mainly due to the reclassification of long-term debt to current in 2008. In addition, as a result of our operating performance in the quarter ended December 31, 2008, our cash balances, accounts receivable and inventory were significantly lower as compared to December 31, 2007.</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Investing Activities</w:t>
      </w:r>
    </w:p>
    <w:p>
      <w:pPr>
        <w:spacing w:after="0" w:line="102"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Cash flows generated by investing activities totaled $0.2 million in the three months ended March 31, 2010, compared to $3.1 million of cash generated by investing activities in the three months ended March 29, 2009, which was primarily due to a decrease in restricted cash. There were no significant investing activities in the three months ended March 31, 2010.</w:t>
      </w:r>
    </w:p>
    <w:p>
      <w:pPr>
        <w:spacing w:after="0" w:line="79"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Cash flows generated by investing activities totaled $11.5 million in the combined twelve-month period ended December 31, 2009, compared to $39.6 million of cash used in investing activities in the 2008. In 2009, we had a decrease in capital expenditures of $20.5 million from $29.7 million in 2008 to $9.2 million in the combined twelve-month period ended December 31, 2009. In 2008, cash of $11.8 million was restricted pursuant to the terms of a forbearance agreement in relation to short-term borrowings; in 2009, it was released from restriction in connection with our reorganization plan. Cash flow from investing activities in 2009 also included cash proceeds of $9.4 million from the sale of intangible assets.</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2007, cash flows used in investing activities totaled $81.8 million, primarily due to capital expenditures of $86.6 million related to capacity expansion and technology improvements at a fabrication facility in anticipation of sales growth in future periods. A significant portion of this capital investment was originally targeted for use by our discontinued Imaging Solutions segment and has since been repurposed for the other segments of our business, allowing us to maintain a relatively low level of capital investment in 2008 and 2009.</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Financing Activities</w:t>
      </w:r>
    </w:p>
    <w:p>
      <w:pPr>
        <w:spacing w:after="0" w:line="102"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For the three months ended March 31, 2010, there were no significant financing activities other than quarterly installment repayment of our new term loan. There were no cash flows from financing activities during the three months ended March 29, 2009.</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Cash flows provided by financing activities totaled $2.0 million in the combined twelve-month period ended December 31, 2009, compared to $14.7 million in 2008. There were no significant financing activities in 2009 other than the repayment of short-term borrowings and the issuance of common units as part of our reorganization in 2009.</w:t>
      </w:r>
    </w:p>
    <w:p>
      <w:pPr>
        <w:spacing w:after="0" w:line="79"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During the year ended December 31, 2007, we borrowed $130.1 million under our senior secured credit facility which offset repayments under the same facility of $50.1 million during the same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0"/>
        <w:spacing w:after="0" w:line="248" w:lineRule="auto"/>
        <w:rPr>
          <w:sz w:val="20"/>
          <w:szCs w:val="20"/>
          <w:color w:val="auto"/>
        </w:rPr>
      </w:pPr>
      <w:r>
        <w:rPr>
          <w:rFonts w:ascii="Arial" w:cs="Arial" w:eastAsia="Arial" w:hAnsi="Arial"/>
          <w:sz w:val="13"/>
          <w:szCs w:val="13"/>
          <w:color w:val="auto"/>
        </w:rPr>
        <w:t>period. At December 31, 2007, we had borrowed $80.0 million under our senior secured credit facility and had additional letters of credit of $15.5 million issued under the facility.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routinely make capital expenditures to enhance our existing facilities and reinforce our global research and development capability.</w:t>
      </w:r>
    </w:p>
    <w:p>
      <w:pPr>
        <w:spacing w:after="0" w:line="86"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For the three months ended March 31, 2010, capital expenditures were $1.0 million, a $0.4 million, or 29.8%, decrease from $1.5 million in the three months ended March 29, 2009.</w:t>
      </w:r>
    </w:p>
    <w:p>
      <w:pPr>
        <w:spacing w:after="0" w:line="7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the combined twelve-month period ended December 31, 2009, capital expenditures were $9.2 million, a $20.5 million, or 69.0%, decrease from $29.7 million in</w:t>
      </w:r>
    </w:p>
    <w:p>
      <w:pPr>
        <w:ind w:left="680"/>
        <w:spacing w:after="0"/>
        <w:rPr>
          <w:sz w:val="20"/>
          <w:szCs w:val="20"/>
          <w:color w:val="auto"/>
        </w:rPr>
      </w:pPr>
      <w:r>
        <w:rPr>
          <w:rFonts w:ascii="Arial" w:cs="Arial" w:eastAsia="Arial" w:hAnsi="Arial"/>
          <w:sz w:val="13"/>
          <w:szCs w:val="13"/>
          <w:color w:val="auto"/>
        </w:rPr>
        <w:t>2008.</w:t>
      </w:r>
    </w:p>
    <w:p>
      <w:pPr>
        <w:spacing w:after="0" w:line="86"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For the year ended December 31, 2008, capital expenditures were $29.7 million, a $56.9 million, or 65.7%, decrease from $86.6 million in 2007. Significant capital expenditures in 2007 were used to support capacity expansion and technology improvements at our fabrication facilities in anticipation of sales growth in future periods. Since then, these expenditures have been reduced. This year-over-year decrease was a result of managing our capital expenditure timing in order to better support the growth of our business from new customers and to optimize asset utilization and return on capital investments.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Our net sales and number of distinct products sold are affected by market variations from quarter to quarter due to business cycles, and resulting product demand, of our customers. Our Display Solutions business typically experiences demand increases in the third and fourth calendar quarters due to increased holiday demand for the consumer products that serve as the end markets for our products. During the first quarter, by contrast, consumer products manufacturers generally reduce orders in order to reduce excess inventory remaining from the holiday season. In our Semiconductor Manufacturing Services business, the supply-demand cycle is usually one quarter ahead of the broader semiconductor market due to lead time from wafer input to shipment to our customers, so the demand for these products tends to peak in the third quarter and is slower in the fourth and first quarters.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summarizes our contractual obligations as of March 31, 2010:</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49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9"/>
                <w:szCs w:val="9"/>
                <w:b w:val="1"/>
                <w:bCs w:val="1"/>
                <w:color w:val="auto"/>
              </w:rPr>
              <w:t>Payments Due by Period</w:t>
            </w: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4920" w:type="dxa"/>
            <w:vAlign w:val="bottom"/>
          </w:tcPr>
          <w:p>
            <w:pPr>
              <w:spacing w:after="0"/>
              <w:rPr>
                <w:sz w:val="7"/>
                <w:szCs w:val="7"/>
                <w:color w:val="auto"/>
              </w:rPr>
            </w:pPr>
          </w:p>
        </w:tc>
        <w:tc>
          <w:tcPr>
            <w:tcW w:w="40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420" w:type="dxa"/>
            <w:vAlign w:val="bottom"/>
          </w:tcPr>
          <w:p>
            <w:pPr>
              <w:spacing w:after="0"/>
              <w:rPr>
                <w:sz w:val="7"/>
                <w:szCs w:val="7"/>
                <w:color w:val="auto"/>
              </w:rPr>
            </w:pPr>
          </w:p>
        </w:tc>
        <w:tc>
          <w:tcPr>
            <w:tcW w:w="400" w:type="dxa"/>
            <w:vAlign w:val="bottom"/>
            <w:tcBorders>
              <w:bottom w:val="single" w:sz="8" w:color="auto"/>
            </w:tcBorders>
          </w:tcPr>
          <w:p>
            <w:pPr>
              <w:jc w:val="right"/>
              <w:ind w:right="39"/>
              <w:spacing w:after="0" w:line="88" w:lineRule="exact"/>
              <w:rPr>
                <w:sz w:val="20"/>
                <w:szCs w:val="20"/>
                <w:color w:val="auto"/>
              </w:rPr>
            </w:pPr>
            <w:r>
              <w:rPr>
                <w:rFonts w:ascii="Arial" w:cs="Arial" w:eastAsia="Arial" w:hAnsi="Arial"/>
                <w:sz w:val="9"/>
                <w:szCs w:val="9"/>
                <w:b w:val="1"/>
                <w:bCs w:val="1"/>
                <w:color w:val="auto"/>
              </w:rPr>
              <w:t>2010</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2011</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auto"/>
            </w:tcBorders>
          </w:tcPr>
          <w:p>
            <w:pPr>
              <w:ind w:left="40"/>
              <w:spacing w:after="0" w:line="88" w:lineRule="exact"/>
              <w:rPr>
                <w:sz w:val="20"/>
                <w:szCs w:val="20"/>
                <w:color w:val="auto"/>
              </w:rPr>
            </w:pPr>
            <w:r>
              <w:rPr>
                <w:rFonts w:ascii="Arial" w:cs="Arial" w:eastAsia="Arial" w:hAnsi="Arial"/>
                <w:sz w:val="9"/>
                <w:szCs w:val="9"/>
                <w:b w:val="1"/>
                <w:bCs w:val="1"/>
                <w:color w:val="auto"/>
              </w:rPr>
              <w:t>2012</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2013</w:t>
            </w:r>
          </w:p>
        </w:tc>
        <w:tc>
          <w:tcPr>
            <w:tcW w:w="38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2014</w:t>
            </w:r>
          </w:p>
        </w:tc>
        <w:tc>
          <w:tcPr>
            <w:tcW w:w="400" w:type="dxa"/>
            <w:vAlign w:val="bottom"/>
          </w:tcPr>
          <w:p>
            <w:pPr>
              <w:spacing w:after="0"/>
              <w:rPr>
                <w:sz w:val="7"/>
                <w:szCs w:val="7"/>
                <w:color w:val="auto"/>
              </w:rPr>
            </w:pPr>
          </w:p>
        </w:tc>
        <w:tc>
          <w:tcPr>
            <w:tcW w:w="580" w:type="dxa"/>
            <w:vAlign w:val="bottom"/>
            <w:tcBorders>
              <w:bottom w:val="single" w:sz="8" w:color="auto"/>
            </w:tcBorders>
            <w:gridSpan w:val="2"/>
          </w:tcPr>
          <w:p>
            <w:pPr>
              <w:ind w:left="60"/>
              <w:spacing w:after="0" w:line="88" w:lineRule="exact"/>
              <w:rPr>
                <w:sz w:val="20"/>
                <w:szCs w:val="20"/>
                <w:color w:val="auto"/>
              </w:rPr>
            </w:pPr>
            <w:r>
              <w:rPr>
                <w:rFonts w:ascii="Arial" w:cs="Arial" w:eastAsia="Arial" w:hAnsi="Arial"/>
                <w:sz w:val="9"/>
                <w:szCs w:val="9"/>
                <w:b w:val="1"/>
                <w:bCs w:val="1"/>
                <w:color w:val="auto"/>
              </w:rPr>
              <w:t>Thereafter</w:t>
            </w:r>
          </w:p>
        </w:tc>
        <w:tc>
          <w:tcPr>
            <w:tcW w:w="100" w:type="dxa"/>
            <w:vAlign w:val="bottom"/>
          </w:tcPr>
          <w:p>
            <w:pPr>
              <w:spacing w:after="0"/>
              <w:rPr>
                <w:sz w:val="7"/>
                <w:szCs w:val="7"/>
                <w:color w:val="auto"/>
              </w:rPr>
            </w:pPr>
          </w:p>
        </w:tc>
      </w:tr>
      <w:tr>
        <w:trPr>
          <w:trHeight w:val="118"/>
        </w:trPr>
        <w:tc>
          <w:tcPr>
            <w:tcW w:w="4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ind w:left="260"/>
              <w:spacing w:after="0" w:line="99" w:lineRule="exact"/>
              <w:rPr>
                <w:sz w:val="20"/>
                <w:szCs w:val="20"/>
                <w:color w:val="auto"/>
              </w:rPr>
            </w:pPr>
            <w:r>
              <w:rPr>
                <w:rFonts w:ascii="Arial" w:cs="Arial" w:eastAsia="Arial" w:hAnsi="Arial"/>
                <w:sz w:val="9"/>
                <w:szCs w:val="9"/>
                <w:b w:val="1"/>
                <w:bCs w:val="1"/>
                <w:color w:val="auto"/>
                <w:w w:val="90"/>
              </w:rPr>
              <w:t>(In</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millions)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New term loan(1)(2)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$ 62.9</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$ 62.9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  —</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7"/>
        </w:trPr>
        <w:tc>
          <w:tcPr>
            <w:tcW w:w="4920" w:type="dxa"/>
            <w:vAlign w:val="bottom"/>
          </w:tcPr>
          <w:p>
            <w:pPr>
              <w:spacing w:after="0" w:line="148" w:lineRule="exact"/>
              <w:rPr>
                <w:sz w:val="20"/>
                <w:szCs w:val="20"/>
                <w:color w:val="auto"/>
              </w:rPr>
            </w:pPr>
            <w:r>
              <w:rPr>
                <w:rFonts w:ascii="Arial" w:cs="Arial" w:eastAsia="Arial" w:hAnsi="Arial"/>
                <w:sz w:val="13"/>
                <w:szCs w:val="13"/>
                <w:color w:val="auto"/>
              </w:rPr>
              <w:t>Operating lease(3)</w:t>
            </w: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51.3</w:t>
            </w:r>
          </w:p>
        </w:tc>
        <w:tc>
          <w:tcPr>
            <w:tcW w:w="80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4.9</w:t>
            </w:r>
          </w:p>
        </w:tc>
        <w:tc>
          <w:tcPr>
            <w:tcW w:w="3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2.2</w:t>
            </w:r>
          </w:p>
        </w:tc>
        <w:tc>
          <w:tcPr>
            <w:tcW w:w="106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1.9</w:t>
            </w:r>
          </w:p>
        </w:tc>
        <w:tc>
          <w:tcPr>
            <w:tcW w:w="6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1.9</w:t>
            </w:r>
          </w:p>
        </w:tc>
        <w:tc>
          <w:tcPr>
            <w:tcW w:w="70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1.9</w:t>
            </w:r>
          </w:p>
        </w:tc>
        <w:tc>
          <w:tcPr>
            <w:tcW w:w="2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38.5</w:t>
            </w:r>
          </w:p>
        </w:tc>
      </w:tr>
      <w:tr>
        <w:trPr>
          <w:trHeight w:val="147"/>
        </w:trPr>
        <w:tc>
          <w:tcPr>
            <w:tcW w:w="4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Others(4)</w:t>
            </w:r>
          </w:p>
        </w:tc>
        <w:tc>
          <w:tcPr>
            <w:tcW w:w="82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10.1</w:t>
            </w:r>
          </w:p>
        </w:tc>
        <w:tc>
          <w:tcPr>
            <w:tcW w:w="80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2.5</w:t>
            </w:r>
          </w:p>
        </w:tc>
        <w:tc>
          <w:tcPr>
            <w:tcW w:w="3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4.5</w:t>
            </w:r>
          </w:p>
        </w:tc>
        <w:tc>
          <w:tcPr>
            <w:tcW w:w="106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2.6</w:t>
            </w:r>
          </w:p>
        </w:tc>
        <w:tc>
          <w:tcPr>
            <w:tcW w:w="6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0.5</w:t>
            </w:r>
          </w:p>
        </w:tc>
        <w:tc>
          <w:tcPr>
            <w:tcW w:w="7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7" w:lineRule="exact"/>
        <w:rPr>
          <w:sz w:val="20"/>
          <w:szCs w:val="20"/>
          <w:color w:val="auto"/>
        </w:rPr>
      </w:pPr>
    </w:p>
    <w:p>
      <w:pPr>
        <w:ind w:left="1080" w:hanging="393"/>
        <w:spacing w:after="0"/>
        <w:tabs>
          <w:tab w:leader="none" w:pos="10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principal as well as interest payments, which were fully repaid in April 2010.</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Excludes $250 million aggregate principal amount of senior notes issued in April 2010, which bear interest at a rate of 10.500% per annum and mature in 2018.</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Assumes constant currency exchange rate for Korean won to U.S. dollars of 1,130.8:1.</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license agreements and other contractual obligations.</w:t>
      </w:r>
    </w:p>
    <w:p>
      <w:pPr>
        <w:spacing w:after="0" w:line="86"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New term loan amounts represent the scheduled maturity of debt as of March 31, 2010, assuming that no early optional redemptions occur. The new term loan was repaid in full in April 2010 with a portion of the proceeds from our $250 million senior notes offering. Of the remaining net proceeds of our senior notes offering, $130.7 million was used to make a distribution to our unitholders and $46.1 million was used to fund working capital and for general corporate purposes.</w:t>
      </w:r>
    </w:p>
    <w:p>
      <w:pPr>
        <w:spacing w:after="0" w:line="26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360"/>
        <w:spacing w:after="0" w:line="248" w:lineRule="auto"/>
        <w:rPr>
          <w:sz w:val="20"/>
          <w:szCs w:val="20"/>
          <w:color w:val="auto"/>
        </w:rPr>
      </w:pPr>
      <w:r>
        <w:rPr>
          <w:rFonts w:ascii="Arial" w:cs="Arial" w:eastAsia="Arial" w:hAnsi="Arial"/>
          <w:sz w:val="13"/>
          <w:szCs w:val="13"/>
          <w:color w:val="auto"/>
        </w:rPr>
        <w:t>The senior notes bear interest at a fixed rate of 10.500% as compared to our new term loan which bore interest at a rate of six-month LIBOR plus 12%, which equaled 12.4% at March 31, 2010.</w:t>
      </w:r>
    </w:p>
    <w:p>
      <w:pPr>
        <w:spacing w:after="0" w:line="74"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indenture relating to our $250 million senior notes contains covenants that limit our ability and the ability of our restricted subsidiaries to: (i) declare or pay any dividend or make any payment or distribution on account of or purchase or redeem our capital stock or equity interests of our restricted subsidiaries; (ii) make any principal payment on, or redeem or repurchase, prior to any scheduled repayment, sinking fund payment or maturity, any subordinated indebtedness; (iii) make certain investments, including capital expenditures; (iv) incur additional indebtedness and issue certain types of capital stock; (v) create or incur any lien (except for permitted liens) that secures obligations under any indebtedness or related guarantee; (vi) merge with or into or sell all or substantially all of our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make loans to us or other restricted subsidiaries or to transfer assets to us or other restricted subsidiaries; and (xi) designate unrestricted subsidiaries.</w:t>
      </w:r>
    </w:p>
    <w:p>
      <w:pPr>
        <w:spacing w:after="0" w:line="82"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We follow ASC guidance on uncertain tax positions. Our unrecognized tax benefits totaled $0.3 million as of March 31, 2010. These unrecognized tax benefits have been excluded from the above table because we cannot estimate the period of cash settlement with the respective taxing authorities.</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2" w:lineRule="exact"/>
        <w:rPr>
          <w:sz w:val="20"/>
          <w:szCs w:val="20"/>
          <w:color w:val="auto"/>
        </w:rPr>
      </w:pPr>
    </w:p>
    <w:p>
      <w:pPr>
        <w:jc w:val="both"/>
        <w:ind w:left="680" w:right="320" w:firstLine="499"/>
        <w:spacing w:after="0" w:line="242" w:lineRule="auto"/>
        <w:rPr>
          <w:sz w:val="20"/>
          <w:szCs w:val="20"/>
          <w:color w:val="auto"/>
        </w:rPr>
      </w:pPr>
      <w:r>
        <w:rPr>
          <w:rFonts w:ascii="Arial" w:cs="Arial" w:eastAsia="Arial" w:hAnsi="Arial"/>
          <w:sz w:val="13"/>
          <w:szCs w:val="13"/>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Exposures</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2010 for our Korean subsidiary, a 10% devaluation of the Korean won against the U.S. dollar would have resulted in a decrease of $1.5 million in our U.S. dollar financial instruments and cash balances. Based on the Japanese yen cash balance at March 31, 2010, a 10% devaluation of the Japanese yen against the U.S. dollar would have resulted in a decrease of $0.3 million in our U.S. dollar cash balance.</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Interest Rate Exposures</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The $61.6 million of total outstanding borrowings under our term loan was repaid on the same date. The $250 million 10.500% senior notes due 2018 are subject to changes in fair value due to interest rate changes. If the market interest rate increases by 10% and all other variables were held constant from their levels at April 9, 2010, we estimate that the fair value of this fixed rate note would decrease by $13.6 million and we would have additional interest expense costs over the market rate of $1.0 million (on a 360-day basis). If the market interest rate decreased by 10% and all other variables were held constant from their levels at April 9, 2010, we estimate that the fair value of this fixed rate note would increase by $14.6 million and we would have a reduction in interest expense costs over the market rate of $1.2 million (on a 360-day basis).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2"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Preparing financial statements in conformity with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believe that our significant accounting policies, which are described in notes 3 and 4 to the consolidated financial statements of MagnaChip Semiconductor LLC for the ten-month period ended October 25, 2009 and the two-month period ended December 31, 2009 included elsewhere in this prospectus,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 and Accounts Receivable Valuation</w:t>
      </w:r>
    </w:p>
    <w:p>
      <w:pPr>
        <w:spacing w:after="0" w:line="102" w:lineRule="exact"/>
        <w:rPr>
          <w:sz w:val="20"/>
          <w:szCs w:val="20"/>
          <w:color w:val="auto"/>
        </w:rPr>
      </w:pPr>
    </w:p>
    <w:p>
      <w:pPr>
        <w:ind w:left="680" w:right="300" w:firstLine="499"/>
        <w:spacing w:after="0" w:line="242" w:lineRule="auto"/>
        <w:rPr>
          <w:sz w:val="20"/>
          <w:szCs w:val="20"/>
          <w:color w:val="auto"/>
        </w:rPr>
      </w:pPr>
      <w:r>
        <w:rPr>
          <w:rFonts w:ascii="Arial" w:cs="Arial" w:eastAsia="Arial" w:hAnsi="Arial"/>
          <w:sz w:val="13"/>
          <w:szCs w:val="13"/>
          <w:color w:val="auto"/>
        </w:rPr>
        <w:t>Our revenue is primarily derived from the sale of semiconductor products that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7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recognize revenue upon shipment, upon delivery of the product at the customer’s location or upon customer acceptance depending on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we recognize revenue the earlier of the written notification or the pre-determined period from date of delivery. Specialty semiconductor manufacturing services are performed pursuant to manufacturing agreements and purchase orders. Standard products are shipped and sold based upon purchase orders from customers. Our revenue recognition policy is consistent across our product lines, marketing venues and all geographic areas.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81" w:lineRule="exact"/>
        <w:rPr>
          <w:sz w:val="20"/>
          <w:szCs w:val="20"/>
          <w:color w:val="auto"/>
        </w:rPr>
      </w:pPr>
    </w:p>
    <w:p>
      <w:pPr>
        <w:ind w:left="680" w:right="140" w:firstLine="499"/>
        <w:spacing w:after="0" w:line="242" w:lineRule="auto"/>
        <w:rPr>
          <w:sz w:val="20"/>
          <w:szCs w:val="20"/>
          <w:color w:val="auto"/>
        </w:rPr>
      </w:pPr>
      <w:r>
        <w:rPr>
          <w:rFonts w:ascii="Arial" w:cs="Arial" w:eastAsia="Arial" w:hAnsi="Arial"/>
          <w:sz w:val="13"/>
          <w:szCs w:val="13"/>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Accrual of Warranty Cost</w:t>
      </w:r>
    </w:p>
    <w:p>
      <w:pPr>
        <w:spacing w:after="0" w:line="102"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We record warranty liabilities for the estimated costs that may be incurred under limited warranties. Our warranties generally cover product defects based on compliance with our specifications and is normally applicable for twelve months from the date of product delivery.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380"/>
        <w:spacing w:after="0" w:line="248" w:lineRule="auto"/>
        <w:rPr>
          <w:sz w:val="20"/>
          <w:szCs w:val="20"/>
          <w:color w:val="auto"/>
        </w:rPr>
      </w:pPr>
      <w:r>
        <w:rPr>
          <w:rFonts w:ascii="Arial" w:cs="Arial" w:eastAsia="Arial" w:hAnsi="Arial"/>
          <w:sz w:val="13"/>
          <w:szCs w:val="13"/>
          <w:color w:val="auto"/>
        </w:rPr>
        <w:t>factors are impacted by actual experience and future expectations, we periodically assess the adequacy of our recorded warranty liabilities and adjust the amounts as necessary.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When there is a difference in the carrying value and the net realizable value the difference is recognized as a loss on valuation of inventories within cost of sales. We estimate the net realizable value for such finished goods and work-in-progress based primarily upon the latest invoice prices and current market conditions.</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employ a variety of methodologies to determine the amount of inventory reserves necessary. While a portion of the reserve is determined based upon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80"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In addition, as prescribed in ASC guidance on inventory costs,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value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value and its fair value determined by either a quoted market price, if any, or a value determined by utilizing a discounted cash flow technique.</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fair value of our intangible assets was recorded in connection with fresh-start reporting on October 25, 2009 and was determined based on the present value of each research project’s projected cash flows using an income approach. Future cash flows are predominately based on the net income forecast of each project, consistent with historical pricing, margins and expense levels of similar products. Revenues are estimated based on relevant market size and growth factors, expected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industry trends and individual project life cycles. The resulting cash flows are then discounted at a rate approximating our weighted average cost of capital.</w:t>
      </w:r>
    </w:p>
    <w:p>
      <w:pPr>
        <w:spacing w:after="0" w:line="86"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In-process research and development, or IPR&amp;D, is considered an indefinite-lived intangible asset and is not subject to amortization. IPR&amp;D assets must be tested for impairment annually or more frequently if events or changes in circumstances indicate that the assets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83" w:lineRule="exact"/>
        <w:rPr>
          <w:sz w:val="20"/>
          <w:szCs w:val="20"/>
          <w:color w:val="auto"/>
        </w:rPr>
      </w:pPr>
    </w:p>
    <w:p>
      <w:pPr>
        <w:ind w:left="680" w:right="480" w:firstLine="499"/>
        <w:spacing w:after="0" w:line="248" w:lineRule="auto"/>
        <w:rPr>
          <w:sz w:val="20"/>
          <w:szCs w:val="20"/>
          <w:color w:val="auto"/>
        </w:rPr>
      </w:pPr>
      <w:r>
        <w:rPr>
          <w:rFonts w:ascii="Arial" w:cs="Arial" w:eastAsia="Arial" w:hAnsi="Arial"/>
          <w:sz w:val="13"/>
          <w:szCs w:val="13"/>
          <w:color w:val="auto"/>
        </w:rPr>
        <w:t>Technology, customer relationships and intellectual property assets are considered definite-lived assets and are amortized on a straight-line basis over their respective useful lives, ranging from 4 to 10 years.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account for income taxes in accordance with ASC guidance addressing accounting for income taxes. The guidance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values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81" w:lineRule="exact"/>
        <w:rPr>
          <w:sz w:val="20"/>
          <w:szCs w:val="20"/>
          <w:color w:val="auto"/>
        </w:rPr>
      </w:pPr>
    </w:p>
    <w:p>
      <w:pPr>
        <w:ind w:left="680" w:right="580" w:firstLine="499"/>
        <w:spacing w:after="0" w:line="248" w:lineRule="auto"/>
        <w:rPr>
          <w:sz w:val="20"/>
          <w:szCs w:val="20"/>
          <w:color w:val="auto"/>
        </w:rPr>
      </w:pPr>
      <w:r>
        <w:rPr>
          <w:rFonts w:ascii="Arial" w:cs="Arial" w:eastAsia="Arial" w:hAnsi="Arial"/>
          <w:sz w:val="13"/>
          <w:szCs w:val="13"/>
          <w:color w:val="auto"/>
        </w:rPr>
        <w:t>Changes in our evaluation of our deferred income tax assets from period to period could have a significant effect on our net operating results and financial condition.</w:t>
      </w:r>
    </w:p>
    <w:p>
      <w:pPr>
        <w:spacing w:after="0" w:line="74"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addition, beginning January 1, 2007, we account for uncertainties related to income taxes in compliance with ASC guidance on uncertain tax positions. Under this guidance, we evaluate our tax positions taken or expected to be taken in a tax return for recognition and measurement on our consolidated financial statements. Only those tax positions that meet the “more likely than not” threshold are recognized on the consolidated financial statements at the largest amount of benefit that has a greater than 50 percent likelihood of ultimately being realized. Assumptions, judgment and the use of estimates are required in determining if the “more likely than not” standard has been met when developing the provision for income taxes. A change in the assessment of the “more likely than not” standard could materially impact our consolidated financial statements.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Accounting for Stock/Unit-based Compensation</w:t>
      </w:r>
    </w:p>
    <w:p>
      <w:pPr>
        <w:spacing w:after="0" w:line="10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 2006, we adopted ASC guidance addressing accounting for unit-based compensation based on a fair value method. Under this guidance, unit-based compensation cost is estimated at the grant date based on the fair value of the award and is recognized as expense over the requisite service period of the award. We use the Black-Scholes option pricing model to value unit options. In developing assumptions for fair value calculation under the guidance, we use estimates based on historical data and market information. A small change in the assumptions used in the estimate can cause a relatively significant change in the fair value calculation.</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w:t>
      </w:r>
    </w:p>
    <w:p>
      <w:pPr>
        <w:spacing w:after="0" w:line="80"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Fresh-Start Reporting</w:t>
      </w:r>
    </w:p>
    <w:p>
      <w:pPr>
        <w:spacing w:after="0" w:line="102" w:lineRule="exact"/>
        <w:rPr>
          <w:sz w:val="20"/>
          <w:szCs w:val="20"/>
          <w:color w:val="auto"/>
        </w:rPr>
      </w:pPr>
    </w:p>
    <w:p>
      <w:pPr>
        <w:jc w:val="both"/>
        <w:ind w:left="680" w:right="200" w:firstLine="499"/>
        <w:spacing w:after="0"/>
        <w:rPr>
          <w:sz w:val="20"/>
          <w:szCs w:val="20"/>
          <w:color w:val="auto"/>
        </w:rPr>
      </w:pPr>
      <w:r>
        <w:rPr>
          <w:rFonts w:ascii="Arial" w:cs="Arial" w:eastAsia="Arial" w:hAnsi="Arial"/>
          <w:sz w:val="13"/>
          <w:szCs w:val="13"/>
          <w:color w:val="auto"/>
        </w:rPr>
        <w:t>As required by GAAP, in connection with emergence from Chapter 11 reorganization proceedings, we adopted the fresh-start accounting provisions of ASC 852 effective October 25, 2009. Under ASC 852, the reorganization value represents the fair value of the entity before considering liabilities and approximates the amount a willing buyer would pay for our assets immediately after restructuring. The reorganization value is allocated to the respective assets. Liabilities, other than deferred taxes and severance benefits, are stated at present values of amounts expected to be paid.</w:t>
      </w:r>
    </w:p>
    <w:p>
      <w:pPr>
        <w:spacing w:after="0" w:line="80"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Fair values of assets and liabilities represent our best estimates based on our appraisals and valuations which incorporated industry data and trends and relevant market rates and transactions. These estimates and assumptions are inherently subject to significant uncertainties and contingencies beyond our reasonable control.</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We are exposed to non-functional currency denominated cash flow fluctuations in connection with third party sales. We use foreign currency forward and option contracts to hedge certain of these risks. Throughout the term of the designated cash flow hedge relationship, but at least quarterly, a retrospective evaluation and prospective assessment of hedge effectiveness is performed. Designated components of our derivative instruments’ gains or losses are included in the assessment of hedge effectiveness. In conjunction with our effectiveness testing, we also evaluate ineffectiveness associated with the hedge relationship. Resulting ineffectiveness, if any, is recognized immediately in our consolidated statements of operations.</w:t>
      </w:r>
    </w:p>
    <w:p>
      <w:pPr>
        <w:spacing w:after="0" w:line="81" w:lineRule="exact"/>
        <w:rPr>
          <w:sz w:val="20"/>
          <w:szCs w:val="20"/>
          <w:color w:val="auto"/>
        </w:rPr>
      </w:pPr>
    </w:p>
    <w:p>
      <w:pPr>
        <w:jc w:val="both"/>
        <w:ind w:left="680" w:right="40" w:firstLine="499"/>
        <w:spacing w:after="0" w:line="242" w:lineRule="auto"/>
        <w:rPr>
          <w:sz w:val="20"/>
          <w:szCs w:val="20"/>
          <w:color w:val="auto"/>
        </w:rPr>
      </w:pPr>
      <w:r>
        <w:rPr>
          <w:rFonts w:ascii="Arial" w:cs="Arial" w:eastAsia="Arial" w:hAnsi="Arial"/>
          <w:sz w:val="13"/>
          <w:szCs w:val="13"/>
          <w:color w:val="auto"/>
        </w:rPr>
        <w:t>We record the fair value of our foreign currency derivative contracts qualifying for cash flow hedge accounting treatment in our consolidated balance sheet with the effective portion of the related gain or loss on those contracts deferred in unitholders’ equity as a component of accumulated other comprehensive income. These deferred gains or losses are recognized in our consolidated statements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42" w:lineRule="auto"/>
        <w:rPr>
          <w:sz w:val="20"/>
          <w:szCs w:val="20"/>
          <w:color w:val="auto"/>
        </w:rPr>
      </w:pPr>
      <w:r>
        <w:rPr>
          <w:rFonts w:ascii="Arial" w:cs="Arial" w:eastAsia="Arial" w:hAnsi="Arial"/>
          <w:sz w:val="13"/>
          <w:szCs w:val="13"/>
          <w:color w:val="auto"/>
        </w:rPr>
        <w:t>of operations in the same period in which the underlying hedged sales transactions are recognized and on the same line item as the underlying hedged items. However, in the event the relationship is no longer effective, we recognize the change in the fair value of the hedging derivative instrument from the date the hedging derivative instrument becomes no longer effective immediately in the consolidated statements of operations.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Controls and Procedures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A company’s internal control over financial reporting is a process designed by, or under the supervision of, the company’s principal executive and principal financial officers, or persons performing similar functions, and is effected by the company’s board of directors, management, and other personnel to provide reasonable assurance regarding the reliability of financial reporting and the preparation of financial statements in accordance with generally accepted accounting principles. As a private company we have designed our internal control over financial reporting to provide reasonable assurance to our management and board of directors regarding the preparation and fair presentation of financial statements. As a public company, under Section 404 of the Sarbanes-Oxley Act, we will also be required to include a report of management on our internal control over financial reporting in our Annual Reports on Form 10-K and the independent registered public accounting firm auditing our financial statements must attest to and report on the effectiveness of our internal control over financial reporting. This requirement will first apply to our Annual Report on Form 10-K for our fiscal year ending December 31, 2011.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connection with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our controls over non-routine transactions are not effective to ensure that accounting considerations are identified and appropriately recorded.</w:t>
      </w:r>
    </w:p>
    <w:p>
      <w:pPr>
        <w:spacing w:after="0" w:line="81"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Our management and our board of directors agree that the control deficiencies identified by our independent registered public accounting firm represent a material weakness. We have identified and taken steps intended to remediate this material weakness. Upon being notified of the material weakness, we retained the services of an international accounting firm to temporarily supplement our internal resources. We are also in the process of recruiting a new director of financial reporting to increase the number of our financial personnel with the requisite financial accounting expertise. These actions are subject to ongoing senior management review, as well as audit committee oversight. We do not know the specific timeframe needed to remediate this material weakness. We may incur significant incremental costs associated with this remediation.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BUSINESS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registered novel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8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the combined twelve-month period ended December 31, 2009,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226"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$15.0 million. For 2009, on an a combined pro forma basis, we generated net sales of $560.1 million, income from continuing operations of $46.6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Opportunity</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consumer electronics market is large and growing rapidly. Growth in this market is being driven by consumers seeking to enjoy a wide variety of available rich media content, such as high definition audio and video, mobile television and games. Consumer electronics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00"/>
        <w:spacing w:after="0" w:line="239" w:lineRule="auto"/>
        <w:rPr>
          <w:sz w:val="20"/>
          <w:szCs w:val="20"/>
          <w:color w:val="auto"/>
        </w:rPr>
      </w:pPr>
      <w:r>
        <w:rPr>
          <w:rFonts w:ascii="Arial" w:cs="Arial" w:eastAsia="Arial" w:hAnsi="Arial"/>
          <w:sz w:val="13"/>
          <w:szCs w:val="13"/>
          <w:color w:val="auto"/>
        </w:rPr>
        <w:t>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These advanced generations of consumer devices are growing faster than the overall consumer electronics market. For example, according to Gartner, production of LCD televisions, smartphones, mobile PCs, and mini-notebooks is expected to grow from 2009 to 2013 by a compound annual growth rate of 12%, 36%, 24%, and 20%, respectively.</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management semiconductors such as voltage regulators, converters, and switches. According to iSuppli, in 2009, the display driver semiconductor market was $6.0 billion and the power management semiconductor market was $21.9 billion.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Requirements of Leading Consumer Electronics Manufacturers</w:t>
      </w:r>
    </w:p>
    <w:p>
      <w:pPr>
        <w:spacing w:after="0" w:line="102" w:lineRule="exact"/>
        <w:rPr>
          <w:sz w:val="20"/>
          <w:szCs w:val="20"/>
          <w:color w:val="auto"/>
        </w:rPr>
      </w:pPr>
    </w:p>
    <w:p>
      <w:pPr>
        <w:ind w:left="680" w:right="600" w:firstLine="499"/>
        <w:spacing w:after="0" w:line="248" w:lineRule="auto"/>
        <w:rPr>
          <w:sz w:val="20"/>
          <w:szCs w:val="20"/>
          <w:color w:val="auto"/>
        </w:rPr>
      </w:pPr>
      <w:r>
        <w:rPr>
          <w:rFonts w:ascii="Arial" w:cs="Arial" w:eastAsia="Arial" w:hAnsi="Arial"/>
          <w:sz w:val="13"/>
          <w:szCs w:val="13"/>
          <w:color w:val="auto"/>
        </w:rPr>
        <w:t>We believe our target customers view the following characteristics and capabilities as key differentiating factors among available analog and mixed-signal semiconductor suppliers and manufacturing service providers:</w:t>
      </w:r>
    </w:p>
    <w:p>
      <w:pPr>
        <w:spacing w:after="0" w:line="58" w:lineRule="exact"/>
        <w:rPr>
          <w:sz w:val="20"/>
          <w:szCs w:val="20"/>
          <w:color w:val="auto"/>
        </w:rPr>
      </w:pPr>
    </w:p>
    <w:p>
      <w:pPr>
        <w:ind w:left="1400" w:right="60" w:hanging="212"/>
        <w:spacing w:after="0" w:line="245" w:lineRule="auto"/>
        <w:tabs>
          <w:tab w:leader="none" w:pos="140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Offering of Differentiated Products with Advanced System-Level Features and Functions. </w:t>
      </w:r>
      <w:r>
        <w:rPr>
          <w:rFonts w:ascii="Arial" w:cs="Arial" w:eastAsia="Arial" w:hAnsi="Arial"/>
          <w:sz w:val="13"/>
          <w:szCs w:val="13"/>
          <w:color w:val="auto"/>
        </w:rPr>
        <w:t>Leading consumer electronics manufacturers seek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technologies, and manufacturing processes that enable state of the art features and functions, such as bright and thin displays, small form factor and energy efficiency.</w:t>
      </w:r>
    </w:p>
    <w:p>
      <w:pPr>
        <w:spacing w:after="0" w:line="52" w:lineRule="exact"/>
        <w:rPr>
          <w:rFonts w:ascii="Arial" w:cs="Arial" w:eastAsia="Arial" w:hAnsi="Arial"/>
          <w:sz w:val="13"/>
          <w:szCs w:val="13"/>
          <w:color w:val="auto"/>
        </w:rPr>
      </w:pPr>
    </w:p>
    <w:p>
      <w:pPr>
        <w:ind w:left="1400" w:hanging="212"/>
        <w:spacing w:after="0" w:line="255" w:lineRule="auto"/>
        <w:tabs>
          <w:tab w:leader="none" w:pos="140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Fast Time to Market with New Products. </w:t>
      </w:r>
      <w:r>
        <w:rPr>
          <w:rFonts w:ascii="Arial" w:cs="Arial" w:eastAsia="Arial" w:hAnsi="Arial"/>
          <w:sz w:val="13"/>
          <w:szCs w:val="13"/>
          <w:color w:val="auto"/>
        </w:rPr>
        <w:t>As a result of rapid technological advancements and short product lifecycles, our target customers typically prefer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suppliers who have a compelling pipeline of new products and can leverage a substantial intellectual property and technology base to accelerate product design and manufacturing when needed.</w:t>
      </w:r>
    </w:p>
    <w:p>
      <w:pPr>
        <w:spacing w:after="0" w:line="44" w:lineRule="exact"/>
        <w:rPr>
          <w:rFonts w:ascii="Arial" w:cs="Arial" w:eastAsia="Arial" w:hAnsi="Arial"/>
          <w:sz w:val="13"/>
          <w:szCs w:val="13"/>
          <w:color w:val="auto"/>
        </w:rPr>
      </w:pPr>
    </w:p>
    <w:p>
      <w:pPr>
        <w:ind w:left="1400" w:right="60" w:hanging="212"/>
        <w:spacing w:after="0" w:line="244" w:lineRule="auto"/>
        <w:tabs>
          <w:tab w:leader="none" w:pos="140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Nimble, Stable and Reliable Manufacturing Services. </w:t>
      </w:r>
      <w:r>
        <w:rPr>
          <w:rFonts w:ascii="Arial" w:cs="Arial" w:eastAsia="Arial" w:hAnsi="Arial"/>
          <w:sz w:val="13"/>
          <w:szCs w:val="13"/>
          <w:color w:val="auto"/>
        </w:rPr>
        <w:t>Fabless semiconductor providers who rely on external manufacturing services often face rapidly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changing product cycles. If these fabless companies are unable to meet the demand for their products due to issues with their manufacturing services providers, their profitability and market share can be significantly impacted. As a result, they prefer semiconductor manufacturing services providers who can increase production quickly and meet demand consistently through periods of constrained industry capacity. Furthermore, many fabless semiconductor providers serving the consumer electronics and industrial sectors need specialized analog and mixed-signal manufacturing capabilities to address their product performance and cost requirements.</w:t>
      </w:r>
    </w:p>
    <w:p>
      <w:pPr>
        <w:spacing w:after="0" w:line="51" w:lineRule="exact"/>
        <w:rPr>
          <w:rFonts w:ascii="Arial" w:cs="Arial" w:eastAsia="Arial" w:hAnsi="Arial"/>
          <w:sz w:val="13"/>
          <w:szCs w:val="13"/>
          <w:color w:val="auto"/>
        </w:rPr>
      </w:pPr>
    </w:p>
    <w:p>
      <w:pPr>
        <w:jc w:val="both"/>
        <w:ind w:left="1400" w:right="180" w:hanging="212"/>
        <w:spacing w:after="0" w:line="255" w:lineRule="auto"/>
        <w:tabs>
          <w:tab w:leader="none" w:pos="140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Ability to Deliver Cost Competitive Solutions. </w:t>
      </w:r>
      <w:r>
        <w:rPr>
          <w:rFonts w:ascii="Arial" w:cs="Arial" w:eastAsia="Arial" w:hAnsi="Arial"/>
          <w:sz w:val="13"/>
          <w:szCs w:val="13"/>
          <w:color w:val="auto"/>
        </w:rPr>
        <w:t>Electronics manufacturers are under constant pressure to deliver cost competitive solutions. To accomplish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objective, they need strategic semiconductor suppliers that have the ability to provide system-level solutions, highly integrated products, a broad product offering at a range of price points and have the design and manufacturing infrastructure and logistical support to deliver cost competitive products.</w:t>
      </w:r>
    </w:p>
    <w:p>
      <w:pPr>
        <w:spacing w:after="0" w:line="44" w:lineRule="exact"/>
        <w:rPr>
          <w:rFonts w:ascii="Arial" w:cs="Arial" w:eastAsia="Arial" w:hAnsi="Arial"/>
          <w:sz w:val="13"/>
          <w:szCs w:val="13"/>
          <w:color w:val="auto"/>
        </w:rPr>
      </w:pPr>
    </w:p>
    <w:p>
      <w:pPr>
        <w:ind w:left="1400" w:right="580" w:hanging="212"/>
        <w:spacing w:after="0" w:line="273" w:lineRule="auto"/>
        <w:tabs>
          <w:tab w:leader="none" w:pos="140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Focus on Delivering Highly Energy Efficient Products. </w:t>
      </w:r>
      <w:r>
        <w:rPr>
          <w:rFonts w:ascii="Arial" w:cs="Arial" w:eastAsia="Arial" w:hAnsi="Arial"/>
          <w:sz w:val="13"/>
          <w:szCs w:val="13"/>
          <w:color w:val="auto"/>
        </w:rPr>
        <w:t>Consumers increasingly seek longer run time, environmentally friendly and energy efficient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consumer electronic products. In</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20"/>
        <w:spacing w:after="0"/>
        <w:rPr>
          <w:sz w:val="20"/>
          <w:szCs w:val="20"/>
          <w:color w:val="auto"/>
        </w:rPr>
      </w:pPr>
      <w:r>
        <w:rPr>
          <w:rFonts w:ascii="Arial" w:cs="Arial" w:eastAsia="Arial" w:hAnsi="Arial"/>
          <w:sz w:val="13"/>
          <w:szCs w:val="13"/>
          <w:color w:val="auto"/>
        </w:rPr>
        <w:t>addition, there is increasing regulatory focus on reducing energy consumption of consumer electronic products. For instance, the California Energy Commission recently adopted standards that require televisions sold in California to consume 33% less energy by 2011 and 49% less energy by 2013. As a result of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Strengths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Designing and manufacturing analog and mixed-signal semiconductors capable of meeting the evolving functionality requirements for consumer electronics devices is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4" w:lineRule="exact"/>
        <w:rPr>
          <w:sz w:val="20"/>
          <w:szCs w:val="20"/>
          <w:color w:val="auto"/>
        </w:rPr>
      </w:pPr>
    </w:p>
    <w:p>
      <w:pPr>
        <w:ind w:left="1400" w:right="80" w:hanging="212"/>
        <w:spacing w:after="0" w:line="244"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Analog and Mixed-Signal Semiconductor Technology and Intellectual Property Platform. </w:t>
      </w:r>
      <w:r>
        <w:rPr>
          <w:rFonts w:ascii="Arial" w:cs="Arial" w:eastAsia="Arial" w:hAnsi="Arial"/>
          <w:sz w:val="13"/>
          <w:szCs w:val="13"/>
          <w:color w:val="auto"/>
        </w:rPr>
        <w:t>We believe we have one of the broadest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deepest 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and develop new products across multiple end markets. Our product development efforts are supported by a team of approximately 391 engineers. Our platform allows us to develop and introduce new products quickly as well as to integrate numerous functions into a single product. For example, we were one of the first companies to introduce a commercial AMOLED display driver for mobile phones.</w:t>
      </w:r>
    </w:p>
    <w:p>
      <w:pPr>
        <w:spacing w:after="0" w:line="51" w:lineRule="exact"/>
        <w:rPr>
          <w:rFonts w:ascii="Arial" w:cs="Arial" w:eastAsia="Arial" w:hAnsi="Arial"/>
          <w:sz w:val="13"/>
          <w:szCs w:val="13"/>
          <w:color w:val="auto"/>
        </w:rPr>
      </w:pPr>
    </w:p>
    <w:p>
      <w:pPr>
        <w:ind w:left="1400" w:right="20" w:hanging="212"/>
        <w:spacing w:after="0" w:line="245"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Established Relationships and Close Collaboration with Leading Global Electronics Companies. </w:t>
      </w:r>
      <w:r>
        <w:rPr>
          <w:rFonts w:ascii="Arial" w:cs="Arial" w:eastAsia="Arial" w:hAnsi="Arial"/>
          <w:sz w:val="13"/>
          <w:szCs w:val="13"/>
          <w:color w:val="auto"/>
        </w:rPr>
        <w:t>We have a long history of supplying and collaborating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product and technology development with leading innovators in the consumer electronics market. Our close customer relationships have been built based on many years of close collaborative product development which provides us with deep system level knowledge and key insights into our customers’ needs. As a result, we are able to continuously strengthen our technology platform in areas of strategic interest for our customers and focus on those products and services that our customers and end consumers demand the most.</w:t>
      </w:r>
    </w:p>
    <w:p>
      <w:pPr>
        <w:spacing w:after="0" w:line="52" w:lineRule="exact"/>
        <w:rPr>
          <w:rFonts w:ascii="Arial" w:cs="Arial" w:eastAsia="Arial" w:hAnsi="Arial"/>
          <w:sz w:val="13"/>
          <w:szCs w:val="13"/>
          <w:color w:val="auto"/>
        </w:rPr>
      </w:pPr>
    </w:p>
    <w:p>
      <w:pPr>
        <w:ind w:left="1400" w:right="100" w:hanging="212"/>
        <w:spacing w:after="0" w:line="241"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Longstanding Presence in Asia and Proximity to Global Consumer Electronics Supply Chain. </w:t>
      </w:r>
      <w:r>
        <w:rPr>
          <w:rFonts w:ascii="Arial" w:cs="Arial" w:eastAsia="Arial" w:hAnsi="Arial"/>
          <w:sz w:val="13"/>
          <w:szCs w:val="13"/>
          <w:color w:val="auto"/>
        </w:rPr>
        <w:t>Our presence in Asia facilitates close contact with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customers, fast response to their needs and enhances our visibility into new product opportunities, markets and technology trends. According to Gartner, semiconductor consumption in Asia, excluding Japan, has increased from 49% of global production in 2004 to 60% in 2009 and is projected to grow to 65% by 2013. Our substantial manufacturing operations in Korea and design centers in Korea and Japan place us close to many of our largest customers and to the core of the global consumer electronics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57" w:lineRule="exact"/>
        <w:rPr>
          <w:rFonts w:ascii="Arial" w:cs="Arial" w:eastAsia="Arial" w:hAnsi="Arial"/>
          <w:sz w:val="13"/>
          <w:szCs w:val="13"/>
          <w:color w:val="auto"/>
        </w:rPr>
      </w:pPr>
    </w:p>
    <w:p>
      <w:pPr>
        <w:ind w:left="1400" w:right="100" w:hanging="212"/>
        <w:spacing w:after="0" w:line="255"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Portfolio of Product and Service Offerings Targeting Large, High-Growth Markets. </w:t>
      </w:r>
      <w:r>
        <w:rPr>
          <w:rFonts w:ascii="Arial" w:cs="Arial" w:eastAsia="Arial" w:hAnsi="Arial"/>
          <w:sz w:val="13"/>
          <w:szCs w:val="13"/>
          <w:color w:val="auto"/>
        </w:rPr>
        <w:t>We continue to develop a wide variety of analog and mixed-signal semiconductor solutions for multiple high-growth consumer electronics end markets. We believe our expanding product and service offerings allow us to provide additional products to new and existing customers and to</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80"/>
        <w:spacing w:after="0"/>
        <w:rPr>
          <w:sz w:val="20"/>
          <w:szCs w:val="20"/>
          <w:color w:val="auto"/>
        </w:rPr>
      </w:pPr>
      <w:r>
        <w:rPr>
          <w:rFonts w:ascii="Arial" w:cs="Arial" w:eastAsia="Arial" w:hAnsi="Arial"/>
          <w:sz w:val="13"/>
          <w:szCs w:val="13"/>
          <w:color w:val="auto"/>
        </w:rPr>
        <w:t>cross-sell our products and services to our established customers. For example, we have leveraged our technology expertise and customer relationships to develop and grow a new business offering power management solutions to customers. Our power management solutions enable our customers to increase system stability and reduce heat dissipation and energy use, resulting in cost savings for our customers, as well as environmental benefits. We have been able to sell these new products to our existing customers as well as expand our customer base.</w:t>
      </w:r>
    </w:p>
    <w:p>
      <w:pPr>
        <w:spacing w:after="0" w:line="64" w:lineRule="exact"/>
        <w:rPr>
          <w:sz w:val="20"/>
          <w:szCs w:val="20"/>
          <w:color w:val="auto"/>
        </w:rPr>
      </w:pPr>
    </w:p>
    <w:p>
      <w:pPr>
        <w:ind w:left="1400" w:hanging="212"/>
        <w:spacing w:after="0" w:line="244" w:lineRule="auto"/>
        <w:tabs>
          <w:tab w:leader="none" w:pos="1400" w:val="left"/>
        </w:tabs>
        <w:numPr>
          <w:ilvl w:val="0"/>
          <w:numId w:val="6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Distinctive Analog and Mixed-Signal Process Technology Expertise and Manufacturing Capabilities. </w:t>
      </w:r>
      <w:r>
        <w:rPr>
          <w:rFonts w:ascii="Arial" w:cs="Arial" w:eastAsia="Arial" w:hAnsi="Arial"/>
          <w:sz w:val="13"/>
          <w:szCs w:val="13"/>
          <w:color w:val="auto"/>
        </w:rPr>
        <w:t>We have developed specialty analog and mixed-signal manufacturing processes such as high voltage CMOS, power and embedded memory. These processes enable us to flexibly ramp mass production of display, power and mixed-signal products, and shorten the duration from design to delivery of highly integrated, high-performance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51" w:lineRule="exact"/>
        <w:rPr>
          <w:rFonts w:ascii="Arial" w:cs="Arial" w:eastAsia="Arial" w:hAnsi="Arial"/>
          <w:sz w:val="13"/>
          <w:szCs w:val="13"/>
          <w:color w:val="auto"/>
        </w:rPr>
      </w:pPr>
    </w:p>
    <w:p>
      <w:pPr>
        <w:ind w:left="1400" w:hanging="212"/>
        <w:spacing w:after="0" w:line="244" w:lineRule="auto"/>
        <w:tabs>
          <w:tab w:leader="none" w:pos="1400" w:val="left"/>
        </w:tabs>
        <w:numPr>
          <w:ilvl w:val="0"/>
          <w:numId w:val="6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Highly Efficient Manufacturing Capabilities. </w:t>
      </w:r>
      <w:r>
        <w:rPr>
          <w:rFonts w:ascii="Arial" w:cs="Arial" w:eastAsia="Arial" w:hAnsi="Arial"/>
          <w:sz w:val="13"/>
          <w:szCs w:val="13"/>
          <w:color w:val="auto"/>
        </w:rPr>
        <w:t>Our manufacturing strategy is focused on maintaining the price competitiveness of our products and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through our low-cost operating structure. We believe the location of our primary manufacturing and research and development facilities in Asia and relatively low required ongoing capital expenditures provide us with a number of cost advantages. 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51" w:lineRule="exact"/>
        <w:rPr>
          <w:rFonts w:ascii="Arial" w:cs="Arial" w:eastAsia="Arial" w:hAnsi="Arial"/>
          <w:sz w:val="13"/>
          <w:szCs w:val="13"/>
          <w:color w:val="auto"/>
        </w:rPr>
      </w:pPr>
    </w:p>
    <w:p>
      <w:pPr>
        <w:ind w:left="1400" w:right="20" w:hanging="212"/>
        <w:spacing w:after="0" w:line="244" w:lineRule="auto"/>
        <w:tabs>
          <w:tab w:leader="none" w:pos="1400" w:val="left"/>
        </w:tabs>
        <w:numPr>
          <w:ilvl w:val="0"/>
          <w:numId w:val="6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Strong Financial Model with a Low-Cost Structure. </w:t>
      </w:r>
      <w:r>
        <w:rPr>
          <w:rFonts w:ascii="Arial" w:cs="Arial" w:eastAsia="Arial" w:hAnsi="Arial"/>
          <w:sz w:val="13"/>
          <w:szCs w:val="13"/>
          <w:color w:val="auto"/>
        </w:rPr>
        <w:t>We have executed a significant restructuring over the last 18 months, which combined with our relatively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low capital investment requirements, has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the fluctuations in the economy and our markets. In addition, the long lifecycles of our manufacturing processes, equipment and facilities allow us to keep our new capital requirements relatively low. We believe that our low-cost but highly skilled design and support engineers and manufacturing base position us favorably to compete in the marketplace and provide operating leverage in our operating model.</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2"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58" w:lineRule="exact"/>
        <w:rPr>
          <w:sz w:val="20"/>
          <w:szCs w:val="20"/>
          <w:color w:val="auto"/>
        </w:rPr>
      </w:pPr>
    </w:p>
    <w:p>
      <w:pPr>
        <w:ind w:left="1400" w:right="20" w:hanging="212"/>
        <w:spacing w:after="0" w:line="244" w:lineRule="auto"/>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Advanced Analog and Mixed-Signal Technology Platform to Innovate and Deliver New Products and Services. </w:t>
      </w:r>
      <w:r>
        <w:rPr>
          <w:rFonts w:ascii="Arial" w:cs="Arial" w:eastAsia="Arial" w:hAnsi="Arial"/>
          <w:sz w:val="13"/>
          <w:szCs w:val="13"/>
          <w:color w:val="auto"/>
        </w:rPr>
        <w:t>We intend to continue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utilize our extensive patent and technology portfolio, analog and mixed-signal design and manufacturing expertise and specific end-market applications and system-level design expertise to deliver products with high levels of performance by utilizing our systems expertise and leveraging our deep knowledge of our customers’ needs. For example, we have recently utilized our extensive patent portfolio, process technologies and analog and mixed-signal technology platform to develop cost-effective Super Junction MOSFETs as well as low power integrated power solutions for AC-DC offline switchers to address more of our customers’ needs. In Display</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20"/>
        <w:spacing w:after="0" w:line="242" w:lineRule="auto"/>
        <w:rPr>
          <w:sz w:val="20"/>
          <w:szCs w:val="20"/>
          <w:color w:val="auto"/>
        </w:rPr>
      </w:pPr>
      <w:r>
        <w:rPr>
          <w:rFonts w:ascii="Arial" w:cs="Arial" w:eastAsia="Arial" w:hAnsi="Arial"/>
          <w:sz w:val="13"/>
          <w:szCs w:val="13"/>
          <w:color w:val="auto"/>
        </w:rPr>
        <w:t>Solutions, we continue to invest in research and development to introduce new technologies to support our customers’ technology roadmaps such as their transition to 240Hz 3D LED televisions. In Semiconductor Manufacturing Services, we are developing cost-effective processes that substantially reduce die size using deep trench isolation.</w:t>
      </w:r>
    </w:p>
    <w:p>
      <w:pPr>
        <w:spacing w:after="0" w:line="63" w:lineRule="exact"/>
        <w:rPr>
          <w:sz w:val="20"/>
          <w:szCs w:val="20"/>
          <w:color w:val="auto"/>
        </w:rPr>
      </w:pPr>
    </w:p>
    <w:p>
      <w:pPr>
        <w:ind w:left="1400" w:right="60" w:hanging="212"/>
        <w:spacing w:after="0" w:line="244"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 Business with Existing Customers. </w:t>
      </w:r>
      <w:r>
        <w:rPr>
          <w:rFonts w:ascii="Arial" w:cs="Arial" w:eastAsia="Arial" w:hAnsi="Arial"/>
          <w:sz w:val="13"/>
          <w:szCs w:val="13"/>
          <w:color w:val="auto"/>
        </w:rPr>
        <w:t>We have a global customer base consisting of leading consumer electronics OEMs who sell into multiple end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markets. We intend to continue to strengthen our relationships with our customers by collaborating on critical design and product development in order to improve our design win rates. We will seek to increase our customer penetration by more closely aligning our product roadmap with those of our key customers and by taking advantage of our broad product portfolio, our deep knowledge of customer needs and existing relationships to sell more existing and new products. For example, two of our largest display driver customers have display modules in production using our power management products. These power management products have been purchased and evaluated via their key subcontractors for LCD backlight units and LCD integrated power supplies.</w:t>
      </w:r>
    </w:p>
    <w:p>
      <w:pPr>
        <w:spacing w:after="0" w:line="51" w:lineRule="exact"/>
        <w:rPr>
          <w:rFonts w:ascii="Arial" w:cs="Arial" w:eastAsia="Arial" w:hAnsi="Arial"/>
          <w:sz w:val="13"/>
          <w:szCs w:val="13"/>
          <w:color w:val="auto"/>
        </w:rPr>
      </w:pPr>
    </w:p>
    <w:p>
      <w:pPr>
        <w:ind w:left="1400" w:hanging="212"/>
        <w:spacing w:after="0" w:line="245"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Broaden Our Customer Base. </w:t>
      </w:r>
      <w:r>
        <w:rPr>
          <w:rFonts w:ascii="Arial" w:cs="Arial" w:eastAsia="Arial" w:hAnsi="Arial"/>
          <w:sz w:val="13"/>
          <w:szCs w:val="13"/>
          <w:color w:val="auto"/>
        </w:rPr>
        <w:t>We expect to continue to expand our global design centers, local application engineering support and sales presence,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particularly in China, Hong Kong, Taiwan and Macau, or collectively,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expanded base of distributors, especially to aid the growth of our power management business. We expect to continue to expand our distribution channels as we broaden our power management penetration beyond existing customers.</w:t>
      </w:r>
    </w:p>
    <w:p>
      <w:pPr>
        <w:spacing w:after="0" w:line="52" w:lineRule="exact"/>
        <w:rPr>
          <w:rFonts w:ascii="Arial" w:cs="Arial" w:eastAsia="Arial" w:hAnsi="Arial"/>
          <w:sz w:val="13"/>
          <w:szCs w:val="13"/>
          <w:color w:val="auto"/>
        </w:rPr>
      </w:pPr>
    </w:p>
    <w:p>
      <w:pPr>
        <w:ind w:left="1400" w:right="40" w:hanging="212"/>
        <w:spacing w:after="0" w:line="241"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Aggressively Grow the Power Business. </w:t>
      </w:r>
      <w:r>
        <w:rPr>
          <w:rFonts w:ascii="Arial" w:cs="Arial" w:eastAsia="Arial" w:hAnsi="Arial"/>
          <w:sz w:val="13"/>
          <w:szCs w:val="13"/>
          <w:color w:val="auto"/>
        </w:rPr>
        <w:t>We have utilized our extensive patent portfolio, process technologies, captive manufacturing facilities and analog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mixed-signal technology platform to develop power management solutions that expand our market opportunity and address more of our customers’ needs. We intend to increase the pace of our new power product introductions by continuing to collaborate closely with our industry-leading customers. For example, we recently began mass production of our first integrated power solution for LCD televisions at one of our major Korean customers. We also intend to capitalize on the market needs and regulatory requirements for power management products that reduce energy consumption of consumer electronic products by introducing products that are more energy efficient than those of competitors. We believe our integrated designs, unique low-cost process technologies and deep customer relationships will enable us to increase sales of our power solutions to our current power solutions customers, and as an extension of our other product offerings, to our other customers.</w:t>
      </w:r>
    </w:p>
    <w:p>
      <w:pPr>
        <w:spacing w:after="0" w:line="57" w:lineRule="exact"/>
        <w:rPr>
          <w:rFonts w:ascii="Arial" w:cs="Arial" w:eastAsia="Arial" w:hAnsi="Arial"/>
          <w:sz w:val="13"/>
          <w:szCs w:val="13"/>
          <w:color w:val="auto"/>
        </w:rPr>
      </w:pPr>
    </w:p>
    <w:p>
      <w:pPr>
        <w:ind w:left="1400" w:right="120" w:hanging="212"/>
        <w:spacing w:after="0" w:line="241"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Execution Excellence. </w:t>
      </w:r>
      <w:r>
        <w:rPr>
          <w:rFonts w:ascii="Arial" w:cs="Arial" w:eastAsia="Arial" w:hAnsi="Arial"/>
          <w:sz w:val="13"/>
          <w:szCs w:val="13"/>
          <w:color w:val="auto"/>
        </w:rPr>
        <w:t>We have significantly improved our execution through a number of management initiatives implemented under the direction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Chief Executive Officer and Chairman, Sang Park. As an example, we have introduced new processes for product development, customer service and personnel development. We expect these ongoing initiatives will continue to improve our new product development and customer service as well as enhance our commitment to a culture of quick action and execution by our workforce. In addition, we have focused on and continually improved our manufacturing efficiency during the past several years. As a result of our focus on execution excellence, we have also meaningfully reduced our time from new product definition to development completion. For example, we have improved our average development turnaround time by over 40% over the last three years for semiconductor manufacturing services by implementing continuous business process improvement initiatives and we improved our manufacturing productivity per operator by 22% from the fourth quarter of 2008 to the fourth quarter of 2009.</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400" w:right="20" w:hanging="212"/>
        <w:spacing w:after="0" w:line="245" w:lineRule="auto"/>
        <w:tabs>
          <w:tab w:leader="none" w:pos="1400" w:val="left"/>
        </w:tabs>
        <w:numPr>
          <w:ilvl w:val="0"/>
          <w:numId w:val="6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Optimize Asset Utilization, Return on Capital Investments and Cash Flow Generation. </w:t>
      </w:r>
      <w:r>
        <w:rPr>
          <w:rFonts w:ascii="Arial" w:cs="Arial" w:eastAsia="Arial" w:hAnsi="Arial"/>
          <w:sz w:val="13"/>
          <w:szCs w:val="13"/>
          <w:color w:val="auto"/>
        </w:rPr>
        <w:t>We intend to keep our capital expenditures relatively low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maintaining our focus on specialty process technologies that do not require substantial investment in frequent upgrades to the latest manufacturing equipment. We also believe our power management business should increase our utilization and return on capital as the manufacturing of these products primarily relies on our 0.35µm geometry and low-cost equipment. By utilizing our manufacturing facilities for both our display solutions and power solutions products and our semiconductor manufacturing services customers, we will seek to maximize return on our capital investments and our cash flow generation.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Technology</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continuously strengthen our advanced analog and mixed-signal semiconductor technology platform by developing innovative technologies and integrated circuit building blocks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80"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LTPS and AMOLED panel technologies that enable the highest resolution displays. Furthermore, we are developing a broad intellectual property portfolio to improve the power efficiency of displays, including the development of our smart mobile luminance control, or SMLC, algorithm.</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We have a long history of specialized process technology development and have a number of distinctive process implementations. We have approximately 200 process flows we can utilize for our products and offer to our semiconductor manufacturing services customers. Our process technologies include standard CMOS, high voltage CMOS, ultra-low leakage high voltage CMOS and BCDMOS. Our manufacturing processes incorporate embedded memory solutions such as static random access memory, or SRAM, one-time programmable, or OTP, memory, multiple-time programmable, or MTP, memory, electronically erasable programmable read only memory, or EEPROM, and single-transistor random access memory, or 1TRAM. More broadly, we focus extensively on processes that reduce die size across all of the products we manufacture, in order to deliver cost-effective solutions to our customers.</w:t>
      </w:r>
    </w:p>
    <w:p>
      <w:pPr>
        <w:spacing w:after="0" w:line="80"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Expertise in high voltage and deep trench BCDMOS process technologies, low power analog and mixed-signal design capabilities and packaging know-how are key requirements in the power management market. We are currently leveraging our capabilities in these areas with products such as DC-DC converters, linear regulators, including LDO, regulators and analog switches, and power MOSFETs. We believe our system level understanding of applications such as LCD televisions and mobile phones will allow us to more quickly develop and customize power management solutions for our customers in these markets.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Products and Services</w:t>
      </w:r>
    </w:p>
    <w:p>
      <w:pPr>
        <w:spacing w:after="0" w:line="102"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Our broad portfolio of products and services addresses multiple high-growth, consumer-focused end markets. A key component of our product strategy is to supply multiple related product and service offerings to each of the end markets that we serve.</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Display Solutions</w:t>
      </w:r>
    </w:p>
    <w:p>
      <w:pPr>
        <w:spacing w:after="0" w:line="86" w:lineRule="exact"/>
        <w:rPr>
          <w:sz w:val="20"/>
          <w:szCs w:val="20"/>
          <w:color w:val="auto"/>
        </w:rPr>
      </w:pPr>
    </w:p>
    <w:p>
      <w:pPr>
        <w:ind w:left="680" w:right="120" w:firstLine="499"/>
        <w:spacing w:after="0" w:line="273" w:lineRule="auto"/>
        <w:rPr>
          <w:sz w:val="20"/>
          <w:szCs w:val="20"/>
          <w:color w:val="auto"/>
        </w:rPr>
      </w:pPr>
      <w:r>
        <w:rPr>
          <w:rFonts w:ascii="Arial" w:cs="Arial" w:eastAsia="Arial" w:hAnsi="Arial"/>
          <w:sz w:val="13"/>
          <w:szCs w:val="13"/>
          <w:b w:val="1"/>
          <w:bCs w:val="1"/>
          <w:i w:val="1"/>
          <w:iCs w:val="1"/>
          <w:color w:val="auto"/>
        </w:rPr>
        <w:t xml:space="preserve">Display Driver Characteristics. </w:t>
      </w:r>
      <w:r>
        <w:rPr>
          <w:rFonts w:ascii="Arial" w:cs="Arial" w:eastAsia="Arial" w:hAnsi="Arial"/>
          <w:sz w:val="13"/>
          <w:szCs w:val="13"/>
          <w:color w:val="auto"/>
        </w:rPr>
        <w:t>Display drivers deliver defined analog voltages and currents that activate pixels to exhibit images on displays. The following key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characteristics determine display driver performance and end-market application:</w:t>
      </w:r>
    </w:p>
    <w:p>
      <w:pPr>
        <w:spacing w:after="0" w:line="43" w:lineRule="exact"/>
        <w:rPr>
          <w:sz w:val="20"/>
          <w:szCs w:val="20"/>
          <w:color w:val="auto"/>
        </w:rPr>
      </w:pPr>
    </w:p>
    <w:p>
      <w:pPr>
        <w:ind w:left="1400" w:right="200" w:hanging="212"/>
        <w:spacing w:after="0" w:line="245" w:lineRule="auto"/>
        <w:tabs>
          <w:tab w:leader="none" w:pos="140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Resolution and Number of Channels. </w:t>
      </w:r>
      <w:r>
        <w:rPr>
          <w:rFonts w:ascii="Arial" w:cs="Arial" w:eastAsia="Arial" w:hAnsi="Arial"/>
          <w:sz w:val="13"/>
          <w:szCs w:val="13"/>
          <w:color w:val="auto"/>
        </w:rPr>
        <w:t>Resolution determines the level of detail displayed within an image and is defined by the number of pixels per line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QVGA (240RGB x 320) to QHD (960RGB x 540).</w:t>
      </w:r>
    </w:p>
    <w:p>
      <w:pPr>
        <w:spacing w:after="0" w:line="52" w:lineRule="exact"/>
        <w:rPr>
          <w:rFonts w:ascii="Arial" w:cs="Arial" w:eastAsia="Arial" w:hAnsi="Arial"/>
          <w:sz w:val="13"/>
          <w:szCs w:val="13"/>
          <w:color w:val="auto"/>
        </w:rPr>
      </w:pPr>
    </w:p>
    <w:p>
      <w:pPr>
        <w:ind w:left="1400" w:right="140" w:hanging="212"/>
        <w:spacing w:after="0" w:line="273" w:lineRule="auto"/>
        <w:tabs>
          <w:tab w:leader="none" w:pos="140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Color Depth. </w:t>
      </w:r>
      <w:r>
        <w:rPr>
          <w:rFonts w:ascii="Arial" w:cs="Arial" w:eastAsia="Arial" w:hAnsi="Arial"/>
          <w:sz w:val="13"/>
          <w:szCs w:val="13"/>
          <w:color w:val="auto"/>
        </w:rPr>
        <w:t>Color depth is the number of colors that can be displayed on a panel. For example, for TFT-LCD panels, 262 thousand colors are supported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6-bit source drivers; 16 million colors are supported by 8-bit source drivers; and 1 billion colors are supported by 10-bit and 12-bit source drivers.</w:t>
      </w:r>
    </w:p>
    <w:p>
      <w:pPr>
        <w:spacing w:after="0" w:line="33" w:lineRule="exact"/>
        <w:rPr>
          <w:rFonts w:ascii="Arial" w:cs="Arial" w:eastAsia="Arial" w:hAnsi="Arial"/>
          <w:sz w:val="13"/>
          <w:szCs w:val="13"/>
          <w:color w:val="auto"/>
        </w:rPr>
      </w:pPr>
    </w:p>
    <w:p>
      <w:pPr>
        <w:jc w:val="both"/>
        <w:ind w:left="1400" w:hanging="212"/>
        <w:spacing w:after="0" w:line="255" w:lineRule="auto"/>
        <w:tabs>
          <w:tab w:leader="none" w:pos="140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Operational Voltage. </w:t>
      </w:r>
      <w:r>
        <w:rPr>
          <w:rFonts w:ascii="Arial" w:cs="Arial" w:eastAsia="Arial" w:hAnsi="Arial"/>
          <w:sz w:val="13"/>
          <w:szCs w:val="13"/>
          <w:color w:val="auto"/>
        </w:rPr>
        <w:t>Display drivers are characterized by input and output voltages. Source drivers typically operate at input voltages from 2.0 to 3.6 volts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44" w:lineRule="exact"/>
        <w:rPr>
          <w:rFonts w:ascii="Arial" w:cs="Arial" w:eastAsia="Arial" w:hAnsi="Arial"/>
          <w:sz w:val="13"/>
          <w:szCs w:val="13"/>
          <w:color w:val="auto"/>
        </w:rPr>
      </w:pPr>
    </w:p>
    <w:p>
      <w:pPr>
        <w:ind w:left="1400" w:right="40" w:hanging="212"/>
        <w:spacing w:after="0" w:line="255" w:lineRule="auto"/>
        <w:tabs>
          <w:tab w:leader="none" w:pos="140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Gamma Curve. </w:t>
      </w:r>
      <w:r>
        <w:rPr>
          <w:rFonts w:ascii="Arial" w:cs="Arial" w:eastAsia="Arial" w:hAnsi="Arial"/>
          <w:sz w:val="13"/>
          <w:szCs w:val="13"/>
          <w:color w:val="auto"/>
        </w:rPr>
        <w:t>The relationship between the light passing through a pixel and the voltage applied to the pixel by the source driver is referred to as the gamma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44" w:lineRule="exact"/>
        <w:rPr>
          <w:rFonts w:ascii="Arial" w:cs="Arial" w:eastAsia="Arial" w:hAnsi="Arial"/>
          <w:sz w:val="13"/>
          <w:szCs w:val="13"/>
          <w:color w:val="auto"/>
        </w:rPr>
      </w:pPr>
    </w:p>
    <w:p>
      <w:pPr>
        <w:ind w:left="1400" w:right="20" w:hanging="212"/>
        <w:spacing w:after="0" w:line="249" w:lineRule="auto"/>
        <w:tabs>
          <w:tab w:leader="none" w:pos="140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Driver Interface. </w:t>
      </w:r>
      <w:r>
        <w:rPr>
          <w:rFonts w:ascii="Arial" w:cs="Arial" w:eastAsia="Arial" w:hAnsi="Arial"/>
          <w:sz w:val="13"/>
          <w:szCs w:val="13"/>
          <w:color w:val="auto"/>
        </w:rPr>
        <w:t>Driver interface refers to the connection between the timing controller and the display drivers. Display drivers increasingly require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bandwidth interface technology to address the larger data transfer rate necessary for higher definition images. The principal types of interface technologies are transistor-to-transistor logic, or TTL, reduced swing differential signaling, or RSDS, advance intra panel I/F, or AIPI, and mini-low voltage differential signaling, or m-LVDS.</w:t>
      </w:r>
    </w:p>
    <w:p>
      <w:pPr>
        <w:spacing w:after="0" w:line="47" w:lineRule="exact"/>
        <w:rPr>
          <w:rFonts w:ascii="Arial" w:cs="Arial" w:eastAsia="Arial" w:hAnsi="Arial"/>
          <w:sz w:val="13"/>
          <w:szCs w:val="13"/>
          <w:color w:val="auto"/>
        </w:rPr>
      </w:pPr>
    </w:p>
    <w:p>
      <w:pPr>
        <w:ind w:left="1400" w:hanging="212"/>
        <w:spacing w:after="0"/>
        <w:tabs>
          <w:tab w:leader="none" w:pos="140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Package Type. </w:t>
      </w:r>
      <w:r>
        <w:rPr>
          <w:rFonts w:ascii="Arial" w:cs="Arial" w:eastAsia="Arial" w:hAnsi="Arial"/>
          <w:sz w:val="13"/>
          <w:szCs w:val="13"/>
          <w:color w:val="auto"/>
        </w:rPr>
        <w:t>The assembly of display drivers typically uses chip-on-film, or COF, tape carrier package, or TCP, and COG package types.</w:t>
      </w:r>
    </w:p>
    <w:p>
      <w:pPr>
        <w:spacing w:after="0" w:line="86" w:lineRule="exact"/>
        <w:rPr>
          <w:sz w:val="20"/>
          <w:szCs w:val="20"/>
          <w:color w:val="auto"/>
        </w:rPr>
      </w:pPr>
    </w:p>
    <w:p>
      <w:pPr>
        <w:ind w:left="680" w:right="60" w:firstLine="499"/>
        <w:spacing w:after="0" w:line="273" w:lineRule="auto"/>
        <w:rPr>
          <w:sz w:val="20"/>
          <w:szCs w:val="20"/>
          <w:color w:val="auto"/>
        </w:rPr>
      </w:pPr>
      <w:r>
        <w:rPr>
          <w:rFonts w:ascii="Arial" w:cs="Arial" w:eastAsia="Arial" w:hAnsi="Arial"/>
          <w:sz w:val="13"/>
          <w:szCs w:val="13"/>
          <w:b w:val="1"/>
          <w:bCs w:val="1"/>
          <w:i w:val="1"/>
          <w:iCs w:val="1"/>
          <w:color w:val="auto"/>
        </w:rPr>
        <w:t xml:space="preserve">Large Display Solutions. </w:t>
      </w:r>
      <w:r>
        <w:rPr>
          <w:rFonts w:ascii="Arial" w:cs="Arial" w:eastAsia="Arial" w:hAnsi="Arial"/>
          <w:sz w:val="13"/>
          <w:szCs w:val="13"/>
          <w:color w:val="auto"/>
        </w:rPr>
        <w:t>We provide display solutions for a wide range of flat panel display sizes used in LCD televisions, including high definition televisions,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HDTVs, LED TVs, LCD monitors and mobile PCs.</w:t>
      </w:r>
    </w:p>
    <w:p>
      <w:pPr>
        <w:spacing w:after="0" w:line="59" w:lineRule="exact"/>
        <w:rPr>
          <w:sz w:val="20"/>
          <w:szCs w:val="20"/>
          <w:color w:val="auto"/>
        </w:rPr>
      </w:pPr>
    </w:p>
    <w:p>
      <w:pPr>
        <w:ind w:left="680" w:right="160" w:firstLine="499"/>
        <w:spacing w:after="0" w:line="238" w:lineRule="auto"/>
        <w:rPr>
          <w:sz w:val="20"/>
          <w:szCs w:val="20"/>
          <w:color w:val="auto"/>
        </w:rPr>
      </w:pPr>
      <w:r>
        <w:rPr>
          <w:rFonts w:ascii="Arial" w:cs="Arial" w:eastAsia="Arial" w:hAnsi="Arial"/>
          <w:sz w:val="13"/>
          <w:szCs w:val="13"/>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960 channels. We also offer a distinctive interface technology known as LCDS, which supports thinner displays for mobile PCs. Our large display solutions are designed to allow customers to cost-effectively meet the increasing demand for high resolution displays. We focus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have recently introduced a number of new large display drivers with reduced die size.</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The table below sets forth the features of our products, both in mass production and in customer qualification, which is the final stage of product development, for large-sized displays: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7"/>
        </w:trPr>
        <w:tc>
          <w:tcPr>
            <w:tcW w:w="1540" w:type="dxa"/>
            <w:vAlign w:val="bottom"/>
          </w:tcPr>
          <w:p>
            <w:pPr>
              <w:spacing w:after="0"/>
              <w:rPr>
                <w:sz w:val="20"/>
                <w:szCs w:val="20"/>
                <w:color w:val="auto"/>
              </w:rPr>
            </w:pPr>
            <w:r>
              <w:rPr>
                <w:rFonts w:ascii="Arial" w:cs="Arial" w:eastAsia="Arial" w:hAnsi="Arial"/>
                <w:sz w:val="13"/>
                <w:szCs w:val="13"/>
                <w:color w:val="auto"/>
              </w:rPr>
              <w:t>TFT-LCD Source Drivers</w:t>
            </w:r>
          </w:p>
        </w:tc>
        <w:tc>
          <w:tcPr>
            <w:tcW w:w="2060" w:type="dxa"/>
            <w:vAlign w:val="bottom"/>
          </w:tcPr>
          <w:p>
            <w:pPr>
              <w:ind w:left="196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480 to 960 output channels</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LCD monitors, including</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6-bit (262 thousand colors),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widescreens</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8-bit (16 million colors), 10-bit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(1 billion colors)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Output voltage ranging from</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3.3V to 18V</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LED TVs</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Low power consumption and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low EMI</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Supports COF package types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Supports RSDS, m-LVDS,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40"/>
              <w:spacing w:after="0" w:line="148" w:lineRule="exact"/>
              <w:rPr>
                <w:sz w:val="20"/>
                <w:szCs w:val="20"/>
                <w:color w:val="auto"/>
              </w:rPr>
            </w:pPr>
            <w:r>
              <w:rPr>
                <w:rFonts w:ascii="Arial" w:cs="Arial" w:eastAsia="Arial" w:hAnsi="Arial"/>
                <w:sz w:val="13"/>
                <w:szCs w:val="13"/>
                <w:color w:val="auto"/>
              </w:rPr>
              <w:t>AiPi* interface technologies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Geometries of 0.18mum to</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0.22µm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line="148" w:lineRule="exact"/>
              <w:rPr>
                <w:sz w:val="20"/>
                <w:szCs w:val="20"/>
                <w:color w:val="auto"/>
              </w:rPr>
            </w:pPr>
            <w:r>
              <w:rPr>
                <w:rFonts w:ascii="Arial" w:cs="Arial" w:eastAsia="Arial" w:hAnsi="Arial"/>
                <w:sz w:val="13"/>
                <w:szCs w:val="13"/>
                <w:color w:val="auto"/>
              </w:rPr>
              <w:t>TFT-LCD Gate Drivers</w:t>
            </w: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272 to 768 output channels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Output voltage ranging up to</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widescreens</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Supports COF and COG</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package types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7"/>
        </w:trPr>
        <w:tc>
          <w:tcPr>
            <w:tcW w:w="1540" w:type="dxa"/>
            <w:vAlign w:val="bottom"/>
          </w:tcPr>
          <w:p>
            <w:pPr>
              <w:spacing w:after="0"/>
              <w:rPr>
                <w:sz w:val="12"/>
                <w:szCs w:val="12"/>
                <w:color w:val="auto"/>
              </w:rPr>
            </w:pP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0.35µm</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LED TVs</w:t>
            </w:r>
          </w:p>
        </w:tc>
      </w:tr>
      <w:tr>
        <w:trPr>
          <w:trHeight w:val="147"/>
        </w:trPr>
        <w:tc>
          <w:tcPr>
            <w:tcW w:w="1540" w:type="dxa"/>
            <w:vAlign w:val="bottom"/>
          </w:tcPr>
          <w:p>
            <w:pPr>
              <w:spacing w:after="0" w:line="148" w:lineRule="exact"/>
              <w:rPr>
                <w:sz w:val="20"/>
                <w:szCs w:val="20"/>
                <w:color w:val="auto"/>
              </w:rPr>
            </w:pPr>
            <w:r>
              <w:rPr>
                <w:rFonts w:ascii="Arial" w:cs="Arial" w:eastAsia="Arial" w:hAnsi="Arial"/>
                <w:sz w:val="13"/>
                <w:szCs w:val="13"/>
                <w:color w:val="auto"/>
              </w:rPr>
              <w:t>Timing Controllers</w:t>
            </w: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Product portfolio supports 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wide range of resolutions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widescreens</w:t>
            </w:r>
          </w:p>
        </w:tc>
      </w:tr>
      <w:tr>
        <w:trPr>
          <w:trHeight w:val="147"/>
        </w:trPr>
        <w:tc>
          <w:tcPr>
            <w:tcW w:w="1540" w:type="dxa"/>
            <w:vAlign w:val="bottom"/>
          </w:tcPr>
          <w:p>
            <w:pPr>
              <w:spacing w:after="0"/>
              <w:rPr>
                <w:sz w:val="12"/>
                <w:szCs w:val="12"/>
                <w:color w:val="auto"/>
              </w:rPr>
            </w:pP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Supports m-LVDS interface</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technologies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Input voltage ranging from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2.3V to 3.6V</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57"/>
        </w:trPr>
        <w:tc>
          <w:tcPr>
            <w:tcW w:w="1540" w:type="dxa"/>
            <w:vAlign w:val="bottom"/>
          </w:tcPr>
          <w:p>
            <w:pPr>
              <w:spacing w:after="0"/>
              <w:rPr>
                <w:sz w:val="13"/>
                <w:szCs w:val="13"/>
                <w:color w:val="auto"/>
              </w:rPr>
            </w:pPr>
          </w:p>
        </w:tc>
        <w:tc>
          <w:tcPr>
            <w:tcW w:w="2060" w:type="dxa"/>
            <w:vAlign w:val="bottom"/>
          </w:tcPr>
          <w:p>
            <w:pPr>
              <w:ind w:left="196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Geometries of 0.18µm</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-2470150</wp:posOffset>
            </wp:positionV>
            <wp:extent cx="1841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-2470150</wp:posOffset>
            </wp:positionV>
            <wp:extent cx="1841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-2470150</wp:posOffset>
            </wp:positionV>
            <wp:extent cx="1841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70"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Mobile Display Solutions. </w:t>
      </w:r>
      <w:r>
        <w:rPr>
          <w:rFonts w:ascii="Arial" w:cs="Arial" w:eastAsia="Arial" w:hAnsi="Arial"/>
          <w:sz w:val="13"/>
          <w:szCs w:val="13"/>
          <w:color w:val="auto"/>
        </w:rPr>
        <w:t>Our mobile display solutions incorporate the industry’s most advanced display technologies, such as LTPS and AMOLED,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high-volume technologies such as a-Si (amorphous silicon)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We focus extensively on reducing the die size of our mobile display drivers and other solutions products to reduce costs without having to migrate to smaller geometries.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200" w:lineRule="exact"/>
        <w:rPr>
          <w:sz w:val="20"/>
          <w:szCs w:val="20"/>
          <w:color w:val="auto"/>
        </w:rPr>
      </w:pPr>
    </w:p>
    <w:p>
      <w:pPr>
        <w:spacing w:after="0" w:line="22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 for mobile displays: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7"/>
        </w:trPr>
        <w:tc>
          <w:tcPr>
            <w:tcW w:w="1100" w:type="dxa"/>
            <w:vAlign w:val="bottom"/>
          </w:tcPr>
          <w:p>
            <w:pPr>
              <w:spacing w:after="0"/>
              <w:rPr>
                <w:sz w:val="20"/>
                <w:szCs w:val="20"/>
                <w:color w:val="auto"/>
              </w:rPr>
            </w:pPr>
            <w:r>
              <w:rPr>
                <w:rFonts w:ascii="Arial" w:cs="Arial" w:eastAsia="Arial" w:hAnsi="Arial"/>
                <w:sz w:val="13"/>
                <w:szCs w:val="13"/>
                <w:color w:val="auto"/>
              </w:rPr>
              <w:t>LTPS</w:t>
            </w: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VGA, NHD*, SVGA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still cameras</w:t>
            </w:r>
          </w:p>
        </w:tc>
      </w:tr>
      <w:tr>
        <w:trPr>
          <w:trHeight w:val="147"/>
        </w:trPr>
        <w:tc>
          <w:tcPr>
            <w:tcW w:w="110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Color depth ranging from 262</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 separated gamma</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control</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line="148" w:lineRule="exact"/>
              <w:rPr>
                <w:sz w:val="20"/>
                <w:szCs w:val="20"/>
                <w:color w:val="auto"/>
              </w:rPr>
            </w:pPr>
            <w:r>
              <w:rPr>
                <w:rFonts w:ascii="Arial" w:cs="Arial" w:eastAsia="Arial" w:hAnsi="Arial"/>
                <w:sz w:val="13"/>
                <w:szCs w:val="13"/>
                <w:color w:val="auto"/>
              </w:rPr>
              <w:t>AMOLED</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WQVGA,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phones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HVGA, NHD*, WVGA, QHD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Game consoles</w:t>
            </w: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still cameras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Personal digital assistants</w:t>
            </w: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0.11µm to</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Portable media players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0.15µm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ABC, ACL, Pentile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line="148" w:lineRule="exact"/>
              <w:rPr>
                <w:sz w:val="20"/>
                <w:szCs w:val="20"/>
                <w:color w:val="auto"/>
              </w:rPr>
            </w:pPr>
            <w:r>
              <w:rPr>
                <w:rFonts w:ascii="Arial" w:cs="Arial" w:eastAsia="Arial" w:hAnsi="Arial"/>
                <w:sz w:val="13"/>
                <w:szCs w:val="13"/>
                <w:color w:val="auto"/>
              </w:rPr>
              <w:t>a-Si TFT</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phones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HVGA, WVGA,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Game consoles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WSVGA, 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Portable navigation devices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Content adaptive brightness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control, or CABC</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1100" w:type="dxa"/>
            <w:vAlign w:val="bottom"/>
          </w:tcPr>
          <w:p>
            <w:pPr>
              <w:spacing w:after="0"/>
              <w:rPr>
                <w:sz w:val="12"/>
                <w:szCs w:val="12"/>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LVDS, I</w:t>
            </w:r>
            <w:r>
              <w:rPr>
                <w:rFonts w:ascii="Arial" w:cs="Arial" w:eastAsia="Arial" w:hAnsi="Arial"/>
                <w:sz w:val="11"/>
                <w:szCs w:val="11"/>
                <w:color w:val="auto"/>
              </w:rPr>
              <w:t>2</w:t>
            </w:r>
            <w:r>
              <w:rPr>
                <w:rFonts w:ascii="Arial" w:cs="Arial" w:eastAsia="Arial" w:hAnsi="Arial"/>
                <w:sz w:val="13"/>
                <w:szCs w:val="13"/>
                <w:color w:val="auto"/>
              </w:rPr>
              <w:t>C*, DCDC*</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57"/>
        </w:trPr>
        <w:tc>
          <w:tcPr>
            <w:tcW w:w="1100" w:type="dxa"/>
            <w:vAlign w:val="bottom"/>
          </w:tcPr>
          <w:p>
            <w:pPr>
              <w:spacing w:after="0"/>
              <w:rPr>
                <w:sz w:val="13"/>
                <w:szCs w:val="13"/>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Separated gamma control</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-2657475</wp:posOffset>
            </wp:positionV>
            <wp:extent cx="1841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-2657475</wp:posOffset>
            </wp:positionV>
            <wp:extent cx="1841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-2657475</wp:posOffset>
            </wp:positionV>
            <wp:extent cx="1841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Power Solutions</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We develop, manufacture and market power management solutions for a wide range of end market customers. The products include MOSFETs, LED Drivers, DC-DC converters, analog switches and linear regulators, such as LDOs.</w:t>
      </w:r>
    </w:p>
    <w:p>
      <w:pPr>
        <w:spacing w:after="0" w:line="58" w:lineRule="exact"/>
        <w:rPr>
          <w:sz w:val="20"/>
          <w:szCs w:val="20"/>
          <w:color w:val="auto"/>
        </w:rPr>
      </w:pPr>
    </w:p>
    <w:p>
      <w:pPr>
        <w:ind w:left="1400" w:hanging="212"/>
        <w:spacing w:after="0" w:line="245" w:lineRule="auto"/>
        <w:tabs>
          <w:tab w:leader="none" w:pos="1400" w:val="left"/>
        </w:tabs>
        <w:numPr>
          <w:ilvl w:val="0"/>
          <w:numId w:val="7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MOSFET. </w:t>
      </w:r>
      <w:r>
        <w:rPr>
          <w:rFonts w:ascii="Arial" w:cs="Arial" w:eastAsia="Arial" w:hAnsi="Arial"/>
          <w:sz w:val="13"/>
          <w:szCs w:val="13"/>
          <w:color w:val="auto"/>
        </w:rPr>
        <w:t>Our MOSFETs include low-voltage Trench MOSFETs, 20V to 100V, and high-voltage Planar MOSFETs, 400V through 600V. MOSFETs are used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applications to switch, shape or transfer electricity under varying power requirements. The key application segments are mobile phones, LCD televisions, desktop computers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52" w:lineRule="exact"/>
        <w:rPr>
          <w:rFonts w:ascii="Arial" w:cs="Arial" w:eastAsia="Arial" w:hAnsi="Arial"/>
          <w:sz w:val="13"/>
          <w:szCs w:val="13"/>
          <w:color w:val="auto"/>
        </w:rPr>
      </w:pPr>
    </w:p>
    <w:p>
      <w:pPr>
        <w:ind w:left="1400" w:right="220" w:hanging="212"/>
        <w:spacing w:after="0" w:line="273" w:lineRule="auto"/>
        <w:tabs>
          <w:tab w:leader="none" w:pos="1400" w:val="left"/>
        </w:tabs>
        <w:numPr>
          <w:ilvl w:val="0"/>
          <w:numId w:val="7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LED Drivers. </w:t>
      </w:r>
      <w:r>
        <w:rPr>
          <w:rFonts w:ascii="Arial" w:cs="Arial" w:eastAsia="Arial" w:hAnsi="Arial"/>
          <w:sz w:val="13"/>
          <w:szCs w:val="13"/>
          <w:color w:val="auto"/>
        </w:rPr>
        <w:t>LED driver solutions serve the fast-growing LCD panel backlighting market for LCD televisions and mobile PCs. Our products are designed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provide high efficiency and wide input voltage range as well as PWM dimming for accurate white LED dimming control.</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1400" w:right="1140" w:hanging="212"/>
        <w:spacing w:after="0" w:line="255" w:lineRule="auto"/>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DC-DC Converters. </w:t>
      </w:r>
      <w:r>
        <w:rPr>
          <w:rFonts w:ascii="Arial" w:cs="Arial" w:eastAsia="Arial" w:hAnsi="Arial"/>
          <w:sz w:val="13"/>
          <w:szCs w:val="13"/>
          <w:color w:val="auto"/>
        </w:rPr>
        <w:t>We plan to release DC-DC converters targeting mobile applications and high power applications like LCD televisions, set-top boxes,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DVD/Blu-ray players and display modules. We expect our DC-DC converters will meet customer green power requirements by featuring wide input voltage ranges, high efficiency and small size.</w:t>
      </w:r>
    </w:p>
    <w:p>
      <w:pPr>
        <w:spacing w:after="0" w:line="44" w:lineRule="exact"/>
        <w:rPr>
          <w:rFonts w:ascii="Arial" w:cs="Arial" w:eastAsia="Arial" w:hAnsi="Arial"/>
          <w:sz w:val="13"/>
          <w:szCs w:val="13"/>
          <w:color w:val="auto"/>
        </w:rPr>
      </w:pPr>
    </w:p>
    <w:p>
      <w:pPr>
        <w:ind w:left="1400" w:right="920" w:hanging="212"/>
        <w:spacing w:after="0" w:line="273" w:lineRule="auto"/>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Analog Switches and Linear Regulators. </w:t>
      </w:r>
      <w:r>
        <w:rPr>
          <w:rFonts w:ascii="Arial" w:cs="Arial" w:eastAsia="Arial" w:hAnsi="Arial"/>
          <w:sz w:val="13"/>
          <w:szCs w:val="13"/>
          <w:color w:val="auto"/>
        </w:rPr>
        <w:t>We also provide analog switches and linear regulators for mobile applications. Our products are designed for high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efficiency and low power consumption in mobile applications.</w:t>
      </w:r>
    </w:p>
    <w:p>
      <w:pPr>
        <w:spacing w:after="0" w:line="59" w:lineRule="exact"/>
        <w:rPr>
          <w:sz w:val="20"/>
          <w:szCs w:val="20"/>
          <w:color w:val="auto"/>
        </w:rPr>
      </w:pPr>
    </w:p>
    <w:p>
      <w:pPr>
        <w:ind w:left="680" w:right="1020" w:firstLine="499"/>
        <w:spacing w:after="0" w:line="242" w:lineRule="auto"/>
        <w:rPr>
          <w:sz w:val="20"/>
          <w:szCs w:val="20"/>
          <w:color w:val="auto"/>
        </w:rPr>
      </w:pPr>
      <w:r>
        <w:rPr>
          <w:rFonts w:ascii="Arial" w:cs="Arial" w:eastAsia="Arial" w:hAnsi="Arial"/>
          <w:sz w:val="13"/>
          <w:szCs w:val="13"/>
          <w:color w:val="auto"/>
        </w:rPr>
        <w:t>Our power management solutions enable customers to increase system stability and reduce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3780" w:type="dxa"/>
            <w:vAlign w:val="bottom"/>
          </w:tcPr>
          <w:p>
            <w:pPr>
              <w:ind w:left="1420"/>
              <w:spacing w:after="0"/>
              <w:rPr>
                <w:sz w:val="20"/>
                <w:szCs w:val="20"/>
                <w:color w:val="auto"/>
              </w:rPr>
            </w:pPr>
            <w:r>
              <w:rPr>
                <w:rFonts w:ascii="Arial" w:cs="Arial" w:eastAsia="Arial" w:hAnsi="Arial"/>
                <w:sz w:val="13"/>
                <w:szCs w:val="13"/>
                <w:b w:val="1"/>
                <w:bCs w:val="1"/>
                <w:color w:val="auto"/>
              </w:rPr>
              <w:t>Applications</w:t>
            </w:r>
          </w:p>
        </w:tc>
      </w:tr>
      <w:tr>
        <w:trPr>
          <w:trHeight w:val="197"/>
        </w:trPr>
        <w:tc>
          <w:tcPr>
            <w:tcW w:w="2160" w:type="dxa"/>
            <w:vAlign w:val="bottom"/>
          </w:tcPr>
          <w:p>
            <w:pPr>
              <w:ind w:left="680"/>
              <w:spacing w:after="0"/>
              <w:rPr>
                <w:sz w:val="20"/>
                <w:szCs w:val="20"/>
                <w:color w:val="auto"/>
              </w:rPr>
            </w:pPr>
            <w:r>
              <w:rPr>
                <w:rFonts w:ascii="Arial" w:cs="Arial" w:eastAsia="Arial" w:hAnsi="Arial"/>
                <w:sz w:val="13"/>
                <w:szCs w:val="13"/>
                <w:color w:val="auto"/>
              </w:rPr>
              <w:t>Low Voltage MOSFET</w:t>
            </w:r>
          </w:p>
        </w:tc>
        <w:tc>
          <w:tcPr>
            <w:tcW w:w="2120" w:type="dxa"/>
            <w:vAlign w:val="bottom"/>
          </w:tcPr>
          <w:p>
            <w:pPr>
              <w:ind w:left="202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V</w:t>
            </w:r>
            <w:r>
              <w:rPr>
                <w:rFonts w:ascii="Arial" w:cs="Arial" w:eastAsia="Arial" w:hAnsi="Arial"/>
                <w:sz w:val="11"/>
                <w:szCs w:val="11"/>
                <w:color w:val="auto"/>
              </w:rPr>
              <w:t>ds</w:t>
            </w:r>
            <w:r>
              <w:rPr>
                <w:rFonts w:ascii="Arial" w:cs="Arial" w:eastAsia="Arial" w:hAnsi="Arial"/>
                <w:sz w:val="13"/>
                <w:szCs w:val="13"/>
                <w:color w:val="auto"/>
              </w:rPr>
              <w:t>(V) options of 20V–100V</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378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Max 5m</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Desktop computers</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Ω–50m Ω at 10V</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Mobile PCs</w:t>
            </w: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0.35µm Trench</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Digital TVs</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6"/>
        </w:trPr>
        <w:tc>
          <w:tcPr>
            <w:tcW w:w="2160" w:type="dxa"/>
            <w:vAlign w:val="bottom"/>
          </w:tcPr>
          <w:p>
            <w:pPr>
              <w:spacing w:after="0"/>
              <w:rPr>
                <w:sz w:val="12"/>
                <w:szCs w:val="12"/>
                <w:color w:val="auto"/>
              </w:rPr>
            </w:pPr>
          </w:p>
        </w:tc>
        <w:tc>
          <w:tcPr>
            <w:tcW w:w="4900" w:type="dxa"/>
            <w:vAlign w:val="bottom"/>
            <w:gridSpan w:val="2"/>
          </w:tcPr>
          <w:p>
            <w:pPr>
              <w:ind w:left="2020"/>
              <w:spacing w:after="0" w:line="146" w:lineRule="exact"/>
              <w:rPr>
                <w:sz w:val="20"/>
                <w:szCs w:val="20"/>
                <w:color w:val="auto"/>
              </w:rPr>
            </w:pPr>
            <w:r>
              <w:rPr>
                <w:rFonts w:ascii="Arial" w:cs="Arial" w:eastAsia="Arial" w:hAnsi="Arial"/>
                <w:sz w:val="13"/>
                <w:szCs w:val="13"/>
                <w:color w:val="auto"/>
              </w:rPr>
              <w:t>•  High cell density of</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268Mcell/inch</w:t>
            </w:r>
            <w:r>
              <w:rPr>
                <w:rFonts w:ascii="Arial" w:cs="Arial" w:eastAsia="Arial" w:hAnsi="Arial"/>
                <w:sz w:val="11"/>
                <w:szCs w:val="11"/>
                <w:color w:val="auto"/>
              </w:rPr>
              <w:t>2</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Advanced packages to enable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reduction of PCB mounting</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area</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ind w:left="680"/>
              <w:spacing w:after="0" w:line="148" w:lineRule="exact"/>
              <w:rPr>
                <w:sz w:val="20"/>
                <w:szCs w:val="20"/>
                <w:color w:val="auto"/>
              </w:rPr>
            </w:pPr>
            <w:r>
              <w:rPr>
                <w:rFonts w:ascii="Arial" w:cs="Arial" w:eastAsia="Arial" w:hAnsi="Arial"/>
                <w:sz w:val="13"/>
                <w:szCs w:val="13"/>
                <w:color w:val="auto"/>
              </w:rPr>
              <w:t>High Voltage MOSFET</w:t>
            </w: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options of 400, 500,</w:t>
            </w:r>
          </w:p>
        </w:tc>
        <w:tc>
          <w:tcPr>
            <w:tcW w:w="4400" w:type="dxa"/>
            <w:vAlign w:val="bottom"/>
            <w:gridSpan w:val="2"/>
          </w:tcPr>
          <w:p>
            <w:pPr>
              <w:ind w:left="520"/>
              <w:spacing w:after="0" w:line="148" w:lineRule="exact"/>
              <w:rPr>
                <w:sz w:val="20"/>
                <w:szCs w:val="20"/>
                <w:color w:val="auto"/>
              </w:rPr>
            </w:pPr>
            <w:r>
              <w:rPr>
                <w:rFonts w:ascii="Arial" w:cs="Arial" w:eastAsia="Arial" w:hAnsi="Arial"/>
                <w:sz w:val="13"/>
                <w:szCs w:val="13"/>
                <w:color w:val="auto"/>
              </w:rPr>
              <w:t>•  Power supplies for consumer</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600V</w:t>
            </w:r>
          </w:p>
        </w:tc>
        <w:tc>
          <w:tcPr>
            <w:tcW w:w="620" w:type="dxa"/>
            <w:vAlign w:val="bottom"/>
          </w:tcPr>
          <w:p>
            <w:pPr>
              <w:spacing w:after="0"/>
              <w:rPr>
                <w:sz w:val="12"/>
                <w:szCs w:val="12"/>
                <w:color w:val="auto"/>
              </w:rPr>
            </w:pPr>
          </w:p>
        </w:tc>
        <w:tc>
          <w:tcPr>
            <w:tcW w:w="3780" w:type="dxa"/>
            <w:vAlign w:val="bottom"/>
          </w:tcPr>
          <w:p>
            <w:pPr>
              <w:ind w:left="40"/>
              <w:spacing w:after="0" w:line="148" w:lineRule="exact"/>
              <w:rPr>
                <w:sz w:val="20"/>
                <w:szCs w:val="20"/>
                <w:color w:val="auto"/>
              </w:rPr>
            </w:pPr>
            <w:r>
              <w:rPr>
                <w:rFonts w:ascii="Arial" w:cs="Arial" w:eastAsia="Arial" w:hAnsi="Arial"/>
                <w:sz w:val="13"/>
                <w:szCs w:val="13"/>
                <w:color w:val="auto"/>
              </w:rPr>
              <w:t>electronics</w:t>
            </w: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Drain current options of</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Industrial charger and</w:t>
            </w:r>
          </w:p>
        </w:tc>
      </w:tr>
      <w:tr>
        <w:trPr>
          <w:trHeight w:val="139"/>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39" w:lineRule="exact"/>
              <w:rPr>
                <w:sz w:val="20"/>
                <w:szCs w:val="20"/>
                <w:color w:val="auto"/>
              </w:rPr>
            </w:pPr>
            <w:r>
              <w:rPr>
                <w:rFonts w:ascii="Arial" w:cs="Arial" w:eastAsia="Arial" w:hAnsi="Arial"/>
                <w:sz w:val="13"/>
                <w:szCs w:val="13"/>
                <w:color w:val="auto"/>
              </w:rPr>
              <w:t>1A–18A.</w:t>
            </w:r>
          </w:p>
        </w:tc>
        <w:tc>
          <w:tcPr>
            <w:tcW w:w="620" w:type="dxa"/>
            <w:vAlign w:val="bottom"/>
          </w:tcPr>
          <w:p>
            <w:pPr>
              <w:spacing w:after="0"/>
              <w:rPr>
                <w:sz w:val="12"/>
                <w:szCs w:val="12"/>
                <w:color w:val="auto"/>
              </w:rPr>
            </w:pPr>
          </w:p>
        </w:tc>
        <w:tc>
          <w:tcPr>
            <w:tcW w:w="3780" w:type="dxa"/>
            <w:vAlign w:val="bottom"/>
          </w:tcPr>
          <w:p>
            <w:pPr>
              <w:ind w:left="40"/>
              <w:spacing w:after="0" w:line="139" w:lineRule="exact"/>
              <w:rPr>
                <w:sz w:val="20"/>
                <w:szCs w:val="20"/>
                <w:color w:val="auto"/>
              </w:rPr>
            </w:pPr>
            <w:r>
              <w:rPr>
                <w:rFonts w:ascii="Arial" w:cs="Arial" w:eastAsia="Arial" w:hAnsi="Arial"/>
                <w:sz w:val="13"/>
                <w:szCs w:val="13"/>
                <w:color w:val="auto"/>
              </w:rPr>
              <w:t>adaptors</w:t>
            </w:r>
          </w:p>
        </w:tc>
      </w:tr>
      <w:tr>
        <w:trPr>
          <w:trHeight w:val="165"/>
        </w:trPr>
        <w:tc>
          <w:tcPr>
            <w:tcW w:w="2160" w:type="dxa"/>
            <w:vAlign w:val="bottom"/>
          </w:tcPr>
          <w:p>
            <w:pPr>
              <w:spacing w:after="0"/>
              <w:rPr>
                <w:sz w:val="14"/>
                <w:szCs w:val="14"/>
                <w:color w:val="auto"/>
              </w:rPr>
            </w:pPr>
          </w:p>
        </w:tc>
        <w:tc>
          <w:tcPr>
            <w:tcW w:w="4900" w:type="dxa"/>
            <w:vAlign w:val="bottom"/>
            <w:gridSpan w:val="2"/>
          </w:tcPr>
          <w:p>
            <w:pPr>
              <w:ind w:left="202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0.22</w:t>
            </w:r>
            <w:r>
              <w:rPr>
                <w:rFonts w:ascii="Arial" w:cs="Arial" w:eastAsia="Arial" w:hAnsi="Arial"/>
                <w:sz w:val="13"/>
                <w:szCs w:val="13"/>
                <w:color w:val="auto"/>
              </w:rPr>
              <w:t>~</w:t>
            </w:r>
            <w:r>
              <w:rPr>
                <w:rFonts w:ascii="Arial" w:cs="Arial" w:eastAsia="Arial" w:hAnsi="Arial"/>
                <w:sz w:val="13"/>
                <w:szCs w:val="13"/>
                <w:color w:val="auto"/>
              </w:rPr>
              <w:t>8.0*</w:t>
            </w:r>
          </w:p>
        </w:tc>
        <w:tc>
          <w:tcPr>
            <w:tcW w:w="4400" w:type="dxa"/>
            <w:vAlign w:val="bottom"/>
            <w:gridSpan w:val="2"/>
          </w:tcPr>
          <w:p>
            <w:pPr>
              <w:ind w:left="520"/>
              <w:spacing w:after="0"/>
              <w:rPr>
                <w:sz w:val="20"/>
                <w:szCs w:val="20"/>
                <w:color w:val="auto"/>
              </w:rPr>
            </w:pPr>
            <w:r>
              <w:rPr>
                <w:rFonts w:ascii="Arial" w:cs="Arial" w:eastAsia="Arial" w:hAnsi="Arial"/>
                <w:sz w:val="13"/>
                <w:szCs w:val="13"/>
                <w:color w:val="auto"/>
              </w:rPr>
              <w:t>•  Lighting (ballast, HID, LED)</w:t>
            </w:r>
          </w:p>
        </w:tc>
      </w:tr>
      <w:tr>
        <w:trPr>
          <w:trHeight w:val="146"/>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Ω (typical)</w:t>
            </w:r>
          </w:p>
        </w:tc>
        <w:tc>
          <w:tcPr>
            <w:tcW w:w="620" w:type="dxa"/>
            <w:vAlign w:val="bottom"/>
          </w:tcPr>
          <w:p>
            <w:pPr>
              <w:ind w:left="520"/>
              <w:spacing w:after="0" w:line="146"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6" w:lineRule="exact"/>
              <w:rPr>
                <w:sz w:val="20"/>
                <w:szCs w:val="20"/>
                <w:color w:val="auto"/>
              </w:rPr>
            </w:pPr>
            <w:r>
              <w:rPr>
                <w:rFonts w:ascii="Arial" w:cs="Arial" w:eastAsia="Arial" w:hAnsi="Arial"/>
                <w:sz w:val="13"/>
                <w:szCs w:val="13"/>
                <w:color w:val="auto"/>
              </w:rPr>
              <w:t>Industrial equipment</w:t>
            </w:r>
          </w:p>
        </w:tc>
      </w:tr>
      <w:tr>
        <w:trPr>
          <w:trHeight w:val="149"/>
        </w:trPr>
        <w:tc>
          <w:tcPr>
            <w:tcW w:w="2160" w:type="dxa"/>
            <w:vAlign w:val="bottom"/>
          </w:tcPr>
          <w:p>
            <w:pPr>
              <w:spacing w:after="0"/>
              <w:rPr>
                <w:sz w:val="12"/>
                <w:szCs w:val="12"/>
                <w:color w:val="auto"/>
              </w:rPr>
            </w:pPr>
          </w:p>
        </w:tc>
        <w:tc>
          <w:tcPr>
            <w:tcW w:w="4900" w:type="dxa"/>
            <w:vAlign w:val="bottom"/>
            <w:gridSpan w:val="2"/>
          </w:tcPr>
          <w:p>
            <w:pPr>
              <w:ind w:left="202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2</w:t>
            </w:r>
            <w:r>
              <w:rPr>
                <w:rFonts w:ascii="Arial" w:cs="Arial" w:eastAsia="Arial" w:hAnsi="Arial"/>
                <w:sz w:val="13"/>
                <w:szCs w:val="13"/>
                <w:color w:val="auto"/>
              </w:rPr>
              <w:t>FET (rapid recovery) option</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to shorten reverse diode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recovery time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Zenor FET option for</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protection for</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abnormal input</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0.50µm Planar</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ind w:left="680"/>
              <w:spacing w:after="0" w:line="148" w:lineRule="exact"/>
              <w:rPr>
                <w:sz w:val="20"/>
                <w:szCs w:val="20"/>
                <w:color w:val="auto"/>
              </w:rPr>
            </w:pPr>
            <w:r>
              <w:rPr>
                <w:rFonts w:ascii="Arial" w:cs="Arial" w:eastAsia="Arial" w:hAnsi="Arial"/>
                <w:sz w:val="13"/>
                <w:szCs w:val="13"/>
                <w:color w:val="auto"/>
              </w:rPr>
              <w:t>LED Drivers</w:t>
            </w: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High efficiency, wide input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LED backlights</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range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Proven 0.35mum BCDMOS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process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 modular BCDMOS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OCP, SCP, OVP and UVLO</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protections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Accurate LED current control</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multi-channel matching</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Programmable current limit,</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57"/>
        </w:trPr>
        <w:tc>
          <w:tcPr>
            <w:tcW w:w="2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boost up frequency</w:t>
            </w:r>
          </w:p>
        </w:tc>
        <w:tc>
          <w:tcPr>
            <w:tcW w:w="620" w:type="dxa"/>
            <w:vAlign w:val="bottom"/>
          </w:tcPr>
          <w:p>
            <w:pPr>
              <w:spacing w:after="0"/>
              <w:rPr>
                <w:sz w:val="13"/>
                <w:szCs w:val="13"/>
                <w:color w:val="auto"/>
              </w:rPr>
            </w:pPr>
          </w:p>
        </w:tc>
        <w:tc>
          <w:tcPr>
            <w:tcW w:w="3780" w:type="dxa"/>
            <w:vAlign w:val="bottom"/>
          </w:tcPr>
          <w:p>
            <w:pPr>
              <w:spacing w:after="0"/>
              <w:rPr>
                <w:sz w:val="13"/>
                <w:szCs w:val="13"/>
                <w:color w:val="auto"/>
              </w:rPr>
            </w:pPr>
          </w:p>
        </w:tc>
      </w:tr>
      <w:tr>
        <w:trPr>
          <w:trHeight w:val="432"/>
        </w:trPr>
        <w:tc>
          <w:tcPr>
            <w:tcW w:w="2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80" w:type="dxa"/>
            <w:vAlign w:val="bottom"/>
          </w:tcPr>
          <w:p>
            <w:pPr>
              <w:ind w:left="1280"/>
              <w:spacing w:after="0"/>
              <w:rPr>
                <w:sz w:val="20"/>
                <w:szCs w:val="20"/>
                <w:color w:val="auto"/>
              </w:rPr>
            </w:pPr>
            <w:r>
              <w:rPr>
                <w:rFonts w:ascii="Arial" w:cs="Arial" w:eastAsia="Arial" w:hAnsi="Arial"/>
                <w:sz w:val="13"/>
                <w:szCs w:val="13"/>
                <w:color w:val="auto"/>
              </w:rPr>
              <w:t>107</w:t>
            </w: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53"/>
        </w:trPr>
        <w:tc>
          <w:tcPr>
            <w:tcW w:w="2160" w:type="dxa"/>
            <w:vAlign w:val="bottom"/>
            <w:tcBorders>
              <w:bottom w:val="single" w:sz="8" w:color="808080"/>
            </w:tcBorders>
          </w:tcPr>
          <w:p>
            <w:pPr>
              <w:spacing w:after="0"/>
              <w:rPr>
                <w:sz w:val="13"/>
                <w:szCs w:val="13"/>
                <w:color w:val="auto"/>
              </w:rPr>
            </w:pPr>
          </w:p>
        </w:tc>
        <w:tc>
          <w:tcPr>
            <w:tcW w:w="2120" w:type="dxa"/>
            <w:vAlign w:val="bottom"/>
            <w:tcBorders>
              <w:bottom w:val="single" w:sz="8" w:color="808080"/>
            </w:tcBorders>
          </w:tcPr>
          <w:p>
            <w:pPr>
              <w:spacing w:after="0"/>
              <w:rPr>
                <w:sz w:val="13"/>
                <w:szCs w:val="13"/>
                <w:color w:val="auto"/>
              </w:rPr>
            </w:pPr>
          </w:p>
        </w:tc>
        <w:tc>
          <w:tcPr>
            <w:tcW w:w="27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37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-3703955</wp:posOffset>
            </wp:positionV>
            <wp:extent cx="1841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-3703955</wp:posOffset>
            </wp:positionV>
            <wp:extent cx="1841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-3703955</wp:posOffset>
            </wp:positionV>
            <wp:extent cx="1841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9"/>
        </w:trPr>
        <w:tc>
          <w:tcPr>
            <w:tcW w:w="208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2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92"/>
        </w:trPr>
        <w:tc>
          <w:tcPr>
            <w:tcW w:w="9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Arial" w:cs="Arial" w:eastAsia="Arial" w:hAnsi="Arial"/>
                <w:sz w:val="13"/>
                <w:szCs w:val="13"/>
                <w:b w:val="1"/>
                <w:bCs w:val="1"/>
                <w:color w:val="auto"/>
              </w:rPr>
              <w:t>Product</w:t>
            </w:r>
          </w:p>
        </w:tc>
        <w:tc>
          <w:tcPr>
            <w:tcW w:w="302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380" w:type="dxa"/>
            <w:vAlign w:val="bottom"/>
          </w:tcPr>
          <w:p>
            <w:pPr>
              <w:spacing w:after="0"/>
              <w:rPr>
                <w:sz w:val="24"/>
                <w:szCs w:val="24"/>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7"/>
        </w:trPr>
        <w:tc>
          <w:tcPr>
            <w:tcW w:w="2080" w:type="dxa"/>
            <w:vAlign w:val="bottom"/>
            <w:gridSpan w:val="2"/>
          </w:tcPr>
          <w:p>
            <w:pPr>
              <w:ind w:left="680"/>
              <w:spacing w:after="0"/>
              <w:rPr>
                <w:sz w:val="20"/>
                <w:szCs w:val="20"/>
                <w:color w:val="auto"/>
              </w:rPr>
            </w:pPr>
            <w:r>
              <w:rPr>
                <w:rFonts w:ascii="Arial" w:cs="Arial" w:eastAsia="Arial" w:hAnsi="Arial"/>
                <w:sz w:val="13"/>
                <w:szCs w:val="13"/>
                <w:color w:val="auto"/>
              </w:rPr>
              <w:t>DC-DC Converters*</w:t>
            </w:r>
          </w:p>
        </w:tc>
        <w:tc>
          <w:tcPr>
            <w:tcW w:w="2200" w:type="dxa"/>
            <w:vAlign w:val="bottom"/>
          </w:tcPr>
          <w:p>
            <w:pPr>
              <w:ind w:left="2100"/>
              <w:spacing w:after="0"/>
              <w:rPr>
                <w:sz w:val="20"/>
                <w:szCs w:val="20"/>
                <w:color w:val="auto"/>
              </w:rPr>
            </w:pPr>
            <w:r>
              <w:rPr>
                <w:rFonts w:ascii="Arial" w:cs="Arial" w:eastAsia="Arial" w:hAnsi="Arial"/>
                <w:sz w:val="13"/>
                <w:szCs w:val="13"/>
                <w:color w:val="auto"/>
              </w:rPr>
              <w:t>•</w:t>
            </w:r>
          </w:p>
        </w:tc>
        <w:tc>
          <w:tcPr>
            <w:tcW w:w="3020" w:type="dxa"/>
            <w:vAlign w:val="bottom"/>
          </w:tcPr>
          <w:p>
            <w:pPr>
              <w:ind w:left="60"/>
              <w:spacing w:after="0"/>
              <w:rPr>
                <w:sz w:val="20"/>
                <w:szCs w:val="20"/>
                <w:color w:val="auto"/>
              </w:rPr>
            </w:pPr>
            <w:r>
              <w:rPr>
                <w:rFonts w:ascii="Arial" w:cs="Arial" w:eastAsia="Arial" w:hAnsi="Arial"/>
                <w:sz w:val="13"/>
                <w:szCs w:val="13"/>
                <w:color w:val="auto"/>
              </w:rPr>
              <w:t>High efficiency, wide input voltage range</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LCD TVs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  Set-top boxes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Proven 0.35µm BCDMOS process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DVD/Blu-ray players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30V modular BCDMOS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Fast load and line regulation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Accurate output voltage</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3"/>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OCP, SCP and thermal protections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1"/>
        </w:trPr>
        <w:tc>
          <w:tcPr>
            <w:tcW w:w="2080" w:type="dxa"/>
            <w:vAlign w:val="bottom"/>
            <w:gridSpan w:val="2"/>
          </w:tcPr>
          <w:p>
            <w:pPr>
              <w:ind w:left="680"/>
              <w:spacing w:after="0"/>
              <w:rPr>
                <w:sz w:val="20"/>
                <w:szCs w:val="20"/>
                <w:color w:val="auto"/>
              </w:rPr>
            </w:pPr>
            <w:r>
              <w:rPr>
                <w:rFonts w:ascii="Arial" w:cs="Arial" w:eastAsia="Arial" w:hAnsi="Arial"/>
                <w:sz w:val="13"/>
                <w:szCs w:val="13"/>
                <w:color w:val="auto"/>
              </w:rPr>
              <w:t>Analog Switches</w:t>
            </w: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USB Switches</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C</w:t>
            </w:r>
            <w:r>
              <w:rPr>
                <w:rFonts w:ascii="Arial" w:cs="Arial" w:eastAsia="Arial" w:hAnsi="Arial"/>
                <w:sz w:val="11"/>
                <w:szCs w:val="11"/>
                <w:color w:val="auto"/>
              </w:rPr>
              <w:t>on</w:t>
            </w:r>
            <w:r>
              <w:rPr>
                <w:rFonts w:ascii="Arial" w:cs="Arial" w:eastAsia="Arial" w:hAnsi="Arial"/>
                <w:sz w:val="13"/>
                <w:szCs w:val="13"/>
                <w:color w:val="auto"/>
              </w:rPr>
              <w:t>, 7.0pF (typical) limits signal distortion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4.0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3"/>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1"/>
        </w:trPr>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Audio Switches</w:t>
            </w: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Negative Swing Support</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0.4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High ESD protection, 13kV</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2080" w:type="dxa"/>
            <w:vAlign w:val="bottom"/>
            <w:gridSpan w:val="2"/>
          </w:tcPr>
          <w:p>
            <w:pPr>
              <w:ind w:left="680"/>
              <w:spacing w:after="0" w:line="148" w:lineRule="exact"/>
              <w:rPr>
                <w:sz w:val="20"/>
                <w:szCs w:val="20"/>
                <w:color w:val="auto"/>
              </w:rPr>
            </w:pPr>
            <w:r>
              <w:rPr>
                <w:rFonts w:ascii="Arial" w:cs="Arial" w:eastAsia="Arial" w:hAnsi="Arial"/>
                <w:sz w:val="13"/>
                <w:szCs w:val="13"/>
                <w:color w:val="auto"/>
              </w:rPr>
              <w:t>Linear Regulators</w:t>
            </w: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Single and dual* LDOs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phones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-1621790</wp:posOffset>
            </wp:positionV>
            <wp:extent cx="1841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-1621790</wp:posOffset>
            </wp:positionV>
            <wp:extent cx="1841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-1621790</wp:posOffset>
            </wp:positionV>
            <wp:extent cx="1841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ind w:left="4340" w:hanging="153"/>
        <w:spacing w:after="0" w:line="236" w:lineRule="auto"/>
        <w:tabs>
          <w:tab w:leader="none" w:pos="4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Low Noise Output Linear µCap LDO Regulator</w:t>
      </w:r>
    </w:p>
    <w:p>
      <w:pPr>
        <w:ind w:left="4240" w:right="3360" w:hanging="53"/>
        <w:spacing w:after="0" w:line="236" w:lineRule="auto"/>
        <w:tabs>
          <w:tab w:leader="none" w:pos="4343" w:val="left"/>
        </w:tabs>
        <w:numPr>
          <w:ilvl w:val="0"/>
          <w:numId w:val="73"/>
        </w:numPr>
        <w:rPr>
          <w:rFonts w:ascii="Arial" w:cs="Arial" w:eastAsia="Arial" w:hAnsi="Arial"/>
          <w:sz w:val="13"/>
          <w:szCs w:val="13"/>
          <w:color w:val="auto"/>
        </w:rPr>
      </w:pPr>
      <w:r>
        <w:rPr>
          <w:rFonts w:ascii="Arial" w:cs="Arial" w:eastAsia="Arial" w:hAnsi="Arial"/>
          <w:sz w:val="13"/>
          <w:szCs w:val="13"/>
          <w:color w:val="auto"/>
        </w:rPr>
        <w:t>2.3V to 5.5V input voltage and 150mA, 300mA* output current</w:t>
      </w:r>
    </w:p>
    <w:p>
      <w:pPr>
        <w:ind w:left="4340" w:hanging="153"/>
        <w:spacing w:after="0" w:line="236" w:lineRule="auto"/>
        <w:tabs>
          <w:tab w:leader="none" w:pos="4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Small package size of DFN type</w:t>
      </w:r>
    </w:p>
    <w:p>
      <w:pPr>
        <w:ind w:left="4260" w:hanging="73"/>
        <w:spacing w:after="0"/>
        <w:tabs>
          <w:tab w:leader="none" w:pos="4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0.35µm CMOS process</w:t>
      </w:r>
    </w:p>
    <w:p>
      <w:pPr>
        <w:spacing w:after="0" w:line="86" w:lineRule="exact"/>
        <w:rPr>
          <w:sz w:val="20"/>
          <w:szCs w:val="20"/>
          <w:color w:val="auto"/>
        </w:rPr>
      </w:pPr>
    </w:p>
    <w:p>
      <w:pPr>
        <w:ind w:left="900" w:hanging="213"/>
        <w:spacing w:after="0"/>
        <w:tabs>
          <w:tab w:leader="none" w:pos="9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 customer qualification stage</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Semiconductor Manufacturing Services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We provide semiconductor manufacturing services to analog and mixed-signal semiconductor companies. We have approximately 200 process flows we offer to our semiconductor manufacturing services customers. We also often partner with key customers to jointly develop or customize specialized processes that enable our customers to improve their products and allow us to develop unique manufacturing expertise.</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semiconductor manufacturing services offering is targeted at customers who require differentiated, specialty analog and mixed-signal process technologies such as high voltage CMOS, embedded memory and power. We refer to our approach of delivering specialized services to our customers as our application-specific technology, or AS Tech, strategy. We differentiate ourselves through the depth of our intellectual property portfolio, ability to customize process technology to meet the customers’ requirements effectively, long history in this business and reputation for excellence.</w:t>
      </w:r>
    </w:p>
    <w:p>
      <w:pPr>
        <w:spacing w:after="0" w:line="80"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Our semiconductor manufacturing services customers typically serve high-growth and high-volume applications in the consumer, computing and wireless end markets. We strive to be the primary manufacturing source for our semiconductor manufacturing services customers.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220" w:top="334" w:right="123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Process Technology Overview</w:t>
      </w:r>
    </w:p>
    <w:p>
      <w:pPr>
        <w:spacing w:after="0" w:line="86" w:lineRule="exact"/>
        <w:rPr>
          <w:sz w:val="20"/>
          <w:szCs w:val="20"/>
          <w:color w:val="auto"/>
        </w:rPr>
      </w:pPr>
    </w:p>
    <w:p>
      <w:pPr>
        <w:ind w:left="1400" w:right="220" w:hanging="212"/>
        <w:spacing w:after="0" w:line="249"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Mixed-Signal. </w:t>
      </w:r>
      <w:r>
        <w:rPr>
          <w:rFonts w:ascii="Arial" w:cs="Arial" w:eastAsia="Arial" w:hAnsi="Arial"/>
          <w:sz w:val="13"/>
          <w:szCs w:val="13"/>
          <w:color w:val="auto"/>
        </w:rPr>
        <w:t>Mixed-signal process technology is used in devices that require conversion of light and sound into electrical signals for processing and display.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mixed-signal processes include advanced technologies such as low noise process using triple gate, which uses less power at any given performance level. MEMS process technology allows the manufacture of components that use electrical energy to generate a mechanical response. For example, MEMS devices are used in the accelerometers and gyroscopes of mobile phones.</w:t>
      </w:r>
    </w:p>
    <w:p>
      <w:pPr>
        <w:spacing w:after="0" w:line="47" w:lineRule="exact"/>
        <w:rPr>
          <w:rFonts w:ascii="Arial" w:cs="Arial" w:eastAsia="Arial" w:hAnsi="Arial"/>
          <w:sz w:val="13"/>
          <w:szCs w:val="13"/>
          <w:color w:val="auto"/>
        </w:rPr>
      </w:pPr>
    </w:p>
    <w:p>
      <w:pPr>
        <w:ind w:left="1400" w:right="300" w:hanging="212"/>
        <w:spacing w:after="0" w:line="255"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w:t>
      </w:r>
      <w:r>
        <w:rPr>
          <w:rFonts w:ascii="Arial" w:cs="Arial" w:eastAsia="Arial" w:hAnsi="Arial"/>
          <w:sz w:val="13"/>
          <w:szCs w:val="13"/>
          <w:color w:val="auto"/>
        </w:rPr>
        <w:t>Power process technology, such as BCD, includes high voltage capabilities as well as the ability to integrate functionality such as self-regulation,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internal protection, and other intelligent features. The unique process features such as deep trench isolation are suited for chip shrink and device performance enhancement.</w:t>
      </w:r>
    </w:p>
    <w:p>
      <w:pPr>
        <w:spacing w:after="0" w:line="44" w:lineRule="exact"/>
        <w:rPr>
          <w:rFonts w:ascii="Arial" w:cs="Arial" w:eastAsia="Arial" w:hAnsi="Arial"/>
          <w:sz w:val="13"/>
          <w:szCs w:val="13"/>
          <w:color w:val="auto"/>
        </w:rPr>
      </w:pPr>
    </w:p>
    <w:p>
      <w:pPr>
        <w:ind w:left="1400" w:right="180" w:hanging="212"/>
        <w:spacing w:after="0" w:line="255"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 Voltage CMOS. </w:t>
      </w:r>
      <w:r>
        <w:rPr>
          <w:rFonts w:ascii="Arial" w:cs="Arial" w:eastAsia="Arial" w:hAnsi="Arial"/>
          <w:sz w:val="13"/>
          <w:szCs w:val="13"/>
          <w:color w:val="auto"/>
        </w:rPr>
        <w:t>High voltage CMOS process technology facilitates the use of high voltage levels in conjunction with smaller transistor sizes. This process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44" w:lineRule="exact"/>
        <w:rPr>
          <w:rFonts w:ascii="Arial" w:cs="Arial" w:eastAsia="Arial" w:hAnsi="Arial"/>
          <w:sz w:val="13"/>
          <w:szCs w:val="13"/>
          <w:color w:val="auto"/>
        </w:rPr>
      </w:pPr>
    </w:p>
    <w:p>
      <w:pPr>
        <w:ind w:left="1400" w:right="220" w:hanging="212"/>
        <w:spacing w:after="0" w:line="273"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Non-Volatile Memory. </w:t>
      </w:r>
      <w:r>
        <w:rPr>
          <w:rFonts w:ascii="Arial" w:cs="Arial" w:eastAsia="Arial" w:hAnsi="Arial"/>
          <w:sz w:val="13"/>
          <w:szCs w:val="13"/>
          <w:color w:val="auto"/>
        </w:rPr>
        <w:t>Non-volatile memory, or NVM, process technology enables the integration of non-volatile memory cells that allow retention of the stored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information even when power is removed from the circuit. This type of memory is typically used for long-term persistent storage.</w:t>
      </w:r>
    </w:p>
    <w:p>
      <w:pPr>
        <w:spacing w:after="0" w:line="5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table below sets forth the key process technologies in Semiconductor Manufacturing Services currently in mass production:</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1980" w:type="dxa"/>
            <w:vAlign w:val="bottom"/>
          </w:tcPr>
          <w:p>
            <w:pPr>
              <w:ind w:left="160"/>
              <w:spacing w:after="0"/>
              <w:rPr>
                <w:sz w:val="20"/>
                <w:szCs w:val="20"/>
                <w:color w:val="auto"/>
              </w:rPr>
            </w:pPr>
            <w:r>
              <w:rPr>
                <w:rFonts w:ascii="Arial" w:cs="Arial" w:eastAsia="Arial" w:hAnsi="Arial"/>
                <w:sz w:val="13"/>
                <w:szCs w:val="13"/>
                <w:b w:val="1"/>
                <w:bCs w:val="1"/>
                <w:color w:val="auto"/>
              </w:rPr>
              <w:t>Process</w:t>
            </w:r>
          </w:p>
        </w:tc>
        <w:tc>
          <w:tcPr>
            <w:tcW w:w="2120" w:type="dxa"/>
            <w:vAlign w:val="bottom"/>
          </w:tcPr>
          <w:p>
            <w:pPr>
              <w:ind w:left="1040"/>
              <w:spacing w:after="0"/>
              <w:rPr>
                <w:sz w:val="20"/>
                <w:szCs w:val="20"/>
                <w:color w:val="auto"/>
              </w:rPr>
            </w:pPr>
            <w:r>
              <w:rPr>
                <w:rFonts w:ascii="Arial" w:cs="Arial" w:eastAsia="Arial" w:hAnsi="Arial"/>
                <w:sz w:val="13"/>
                <w:szCs w:val="13"/>
                <w:b w:val="1"/>
                <w:bCs w:val="1"/>
                <w:color w:val="auto"/>
              </w:rPr>
              <w:t>Technology</w:t>
            </w:r>
          </w:p>
        </w:tc>
        <w:tc>
          <w:tcPr>
            <w:tcW w:w="460" w:type="dxa"/>
            <w:vAlign w:val="bottom"/>
          </w:tcPr>
          <w:p>
            <w:pPr>
              <w:spacing w:after="0"/>
              <w:rPr>
                <w:sz w:val="15"/>
                <w:szCs w:val="15"/>
                <w:color w:val="auto"/>
              </w:rPr>
            </w:pPr>
          </w:p>
        </w:tc>
        <w:tc>
          <w:tcPr>
            <w:tcW w:w="2280" w:type="dxa"/>
            <w:vAlign w:val="bottom"/>
          </w:tcPr>
          <w:p>
            <w:pPr>
              <w:ind w:left="1240"/>
              <w:spacing w:after="0"/>
              <w:rPr>
                <w:sz w:val="20"/>
                <w:szCs w:val="20"/>
                <w:color w:val="auto"/>
              </w:rPr>
            </w:pPr>
            <w:r>
              <w:rPr>
                <w:rFonts w:ascii="Arial" w:cs="Arial" w:eastAsia="Arial" w:hAnsi="Arial"/>
                <w:sz w:val="13"/>
                <w:szCs w:val="13"/>
                <w:b w:val="1"/>
                <w:bCs w:val="1"/>
                <w:color w:val="auto"/>
              </w:rPr>
              <w:t>Device</w:t>
            </w:r>
          </w:p>
        </w:tc>
        <w:tc>
          <w:tcPr>
            <w:tcW w:w="720" w:type="dxa"/>
            <w:vAlign w:val="bottom"/>
          </w:tcPr>
          <w:p>
            <w:pPr>
              <w:spacing w:after="0"/>
              <w:rPr>
                <w:sz w:val="15"/>
                <w:szCs w:val="15"/>
                <w:color w:val="auto"/>
              </w:rPr>
            </w:pPr>
          </w:p>
        </w:tc>
        <w:tc>
          <w:tcPr>
            <w:tcW w:w="1260" w:type="dxa"/>
            <w:vAlign w:val="bottom"/>
          </w:tcPr>
          <w:p>
            <w:pPr>
              <w:ind w:left="480"/>
              <w:spacing w:after="0"/>
              <w:rPr>
                <w:sz w:val="20"/>
                <w:szCs w:val="20"/>
                <w:color w:val="auto"/>
              </w:rPr>
            </w:pPr>
            <w:r>
              <w:rPr>
                <w:rFonts w:ascii="Arial" w:cs="Arial" w:eastAsia="Arial" w:hAnsi="Arial"/>
                <w:sz w:val="13"/>
                <w:szCs w:val="13"/>
                <w:b w:val="1"/>
                <w:bCs w:val="1"/>
                <w:color w:val="auto"/>
                <w:w w:val="98"/>
              </w:rPr>
              <w:t>End Markets</w:t>
            </w:r>
          </w:p>
        </w:tc>
      </w:tr>
      <w:tr>
        <w:trPr>
          <w:trHeight w:val="197"/>
        </w:trPr>
        <w:tc>
          <w:tcPr>
            <w:tcW w:w="1340" w:type="dxa"/>
            <w:vAlign w:val="bottom"/>
          </w:tcPr>
          <w:p>
            <w:pPr>
              <w:spacing w:after="0"/>
              <w:rPr>
                <w:sz w:val="20"/>
                <w:szCs w:val="20"/>
                <w:color w:val="auto"/>
              </w:rPr>
            </w:pPr>
            <w:r>
              <w:rPr>
                <w:rFonts w:ascii="Arial" w:cs="Arial" w:eastAsia="Arial" w:hAnsi="Arial"/>
                <w:sz w:val="13"/>
                <w:szCs w:val="13"/>
                <w:color w:val="auto"/>
              </w:rPr>
              <w:t>Mixed-signal</w:t>
            </w: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40"/>
              <w:spacing w:after="0"/>
              <w:rPr>
                <w:sz w:val="20"/>
                <w:szCs w:val="20"/>
                <w:color w:val="auto"/>
              </w:rPr>
            </w:pPr>
            <w:r>
              <w:rPr>
                <w:rFonts w:ascii="Arial" w:cs="Arial" w:eastAsia="Arial" w:hAnsi="Arial"/>
                <w:sz w:val="13"/>
                <w:szCs w:val="13"/>
                <w:color w:val="auto"/>
              </w:rPr>
              <w:t>0.13-0.8µm</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Analog to digital converter</w:t>
            </w:r>
          </w:p>
        </w:tc>
        <w:tc>
          <w:tcPr>
            <w:tcW w:w="720" w:type="dxa"/>
            <w:vAlign w:val="bottom"/>
          </w:tcPr>
          <w:p>
            <w:pPr>
              <w:ind w:left="620"/>
              <w:spacing w:after="0"/>
              <w:rPr>
                <w:sz w:val="20"/>
                <w:szCs w:val="20"/>
                <w:color w:val="auto"/>
              </w:rPr>
            </w:pPr>
            <w:r>
              <w:rPr>
                <w:rFonts w:ascii="Arial" w:cs="Arial" w:eastAsia="Arial" w:hAnsi="Arial"/>
                <w:sz w:val="13"/>
                <w:szCs w:val="13"/>
                <w:color w:val="auto"/>
              </w:rPr>
              <w:t>•</w:t>
            </w:r>
          </w:p>
        </w:tc>
        <w:tc>
          <w:tcPr>
            <w:tcW w:w="1260" w:type="dxa"/>
            <w:vAlign w:val="bottom"/>
          </w:tcPr>
          <w:p>
            <w:pPr>
              <w:ind w:left="60"/>
              <w:spacing w:after="0"/>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Multipurpose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Digital to analog converter</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Low noise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Audio codec</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Ultra low power</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Chipset</w:t>
            </w: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Triple gate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line="148" w:lineRule="exact"/>
              <w:rPr>
                <w:sz w:val="20"/>
                <w:szCs w:val="20"/>
                <w:color w:val="auto"/>
              </w:rPr>
            </w:pPr>
            <w:r>
              <w:rPr>
                <w:rFonts w:ascii="Arial" w:cs="Arial" w:eastAsia="Arial" w:hAnsi="Arial"/>
                <w:sz w:val="13"/>
                <w:szCs w:val="13"/>
                <w:color w:val="auto"/>
              </w:rPr>
              <w:t>Power</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0.18-0.35µm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Power management</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aBCD</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Mobile PMIC</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Deep Trench Isolation</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LED drivers</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Trench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Planar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Schottky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Zener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line="148" w:lineRule="exact"/>
              <w:rPr>
                <w:sz w:val="20"/>
                <w:szCs w:val="20"/>
                <w:color w:val="auto"/>
              </w:rPr>
            </w:pPr>
            <w:r>
              <w:rPr>
                <w:rFonts w:ascii="Arial" w:cs="Arial" w:eastAsia="Arial" w:hAnsi="Arial"/>
                <w:sz w:val="13"/>
                <w:szCs w:val="13"/>
                <w:color w:val="auto"/>
              </w:rPr>
              <w:t>High Voltage CMOS</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0.13-2.0µm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Display drivers</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5V-250V</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CSTN drivers</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Bipolar, Thick Metal</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7"/>
        </w:trPr>
        <w:tc>
          <w:tcPr>
            <w:tcW w:w="1340" w:type="dxa"/>
            <w:vAlign w:val="bottom"/>
          </w:tcPr>
          <w:p>
            <w:pPr>
              <w:spacing w:after="0" w:line="148" w:lineRule="exact"/>
              <w:rPr>
                <w:sz w:val="20"/>
                <w:szCs w:val="20"/>
                <w:color w:val="auto"/>
              </w:rPr>
            </w:pPr>
            <w:r>
              <w:rPr>
                <w:rFonts w:ascii="Arial" w:cs="Arial" w:eastAsia="Arial" w:hAnsi="Arial"/>
                <w:sz w:val="13"/>
                <w:szCs w:val="13"/>
                <w:color w:val="auto"/>
              </w:rPr>
              <w:t>NVM</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0.18-0.5µm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Microcontroller</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EEPROM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Touch screen controller</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Medical</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eFlash</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Electronic tag</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Automotive</w:t>
            </w:r>
          </w:p>
        </w:tc>
      </w:tr>
      <w:tr>
        <w:trPr>
          <w:trHeight w:val="157"/>
        </w:trPr>
        <w:tc>
          <w:tcPr>
            <w:tcW w:w="1340" w:type="dxa"/>
            <w:vAlign w:val="bottom"/>
          </w:tcPr>
          <w:p>
            <w:pPr>
              <w:spacing w:after="0"/>
              <w:rPr>
                <w:sz w:val="13"/>
                <w:szCs w:val="13"/>
                <w:color w:val="auto"/>
              </w:rPr>
            </w:pP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40"/>
              <w:spacing w:after="0"/>
              <w:rPr>
                <w:sz w:val="20"/>
                <w:szCs w:val="20"/>
                <w:color w:val="auto"/>
              </w:rPr>
            </w:pPr>
            <w:r>
              <w:rPr>
                <w:rFonts w:ascii="Arial" w:cs="Arial" w:eastAsia="Arial" w:hAnsi="Arial"/>
                <w:sz w:val="13"/>
                <w:szCs w:val="13"/>
                <w:color w:val="auto"/>
              </w:rPr>
              <w:t>OTP</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Hearing aid</w:t>
            </w: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-1814830</wp:posOffset>
            </wp:positionV>
            <wp:extent cx="1841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-1814830</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-1814830</wp:posOffset>
            </wp:positionV>
            <wp:extent cx="1841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-1814830</wp:posOffset>
            </wp:positionV>
            <wp:extent cx="635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Facilities</w:t>
      </w:r>
    </w:p>
    <w:p>
      <w:pPr>
        <w:spacing w:after="0" w:line="102" w:lineRule="exact"/>
        <w:rPr>
          <w:sz w:val="20"/>
          <w:szCs w:val="20"/>
          <w:color w:val="auto"/>
        </w:rPr>
      </w:pPr>
    </w:p>
    <w:p>
      <w:pPr>
        <w:jc w:val="both"/>
        <w:ind w:left="680" w:right="360" w:firstLine="499"/>
        <w:spacing w:after="0" w:line="242" w:lineRule="auto"/>
        <w:rPr>
          <w:sz w:val="20"/>
          <w:szCs w:val="20"/>
          <w:color w:val="auto"/>
        </w:rPr>
      </w:pPr>
      <w:r>
        <w:rPr>
          <w:rFonts w:ascii="Arial" w:cs="Arial" w:eastAsia="Arial" w:hAnsi="Arial"/>
          <w:sz w:val="13"/>
          <w:szCs w:val="13"/>
          <w:color w:val="auto"/>
        </w:rPr>
        <w:t>Our manufacturing operations consist of three fabrication facilities located at two sites in Cheongju and Gumi in Korea. These sites have a combined capacity of approximately 131,000 eight-inch equivalent wafers per month. We manufacture wafers utilizing geometries ranging from 0.11 to 2.0 micron. The Cheongju facilities have three main buildings totaling 164,058 square meters devoted</w:t>
      </w: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manufacturing and development. The Gumi facilities have one main building with 41,022 square meters devoted to manufacturing, testing and packaging.</w:t>
      </w:r>
    </w:p>
    <w:p>
      <w:pPr>
        <w:spacing w:after="0" w:line="86"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In addition to our fabrication facilities, we lease facilities in Seoul, Korea, Cupertino, California, and Osaka, Japan. Each of these facilities includes administration, sales and marketing and research and development functions. We lease sales and marketing offices at our subsidiaries in several other countries.</w:t>
      </w:r>
    </w:p>
    <w:p>
      <w:pPr>
        <w:spacing w:after="0" w:line="74"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 substantial majority of our assembly, test and packaging services for our Display Solutions business and all of such services for our Power Solutions business are outsourced with the balance handled in-house. Our independent providers of these services are located in Korea, China, Taiwan, Malaysia and Thailand. The relative cost of outsourced services, as compared to in-house services, depends upon many factors specific to each product and circumstance. However, we generally incur higher costs for outsourced services, which can result in lower margins.</w:t>
      </w:r>
    </w:p>
    <w:p>
      <w:pPr>
        <w:spacing w:after="0" w:line="80"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We use processes that require specialized raw materials that are generally available from a limited number of suppliers. Tape is one of the process materials required for our display drivers. We continue to attempt to qualify additional suppliers for our raw materials.</w:t>
      </w:r>
    </w:p>
    <w:p>
      <w:pPr>
        <w:spacing w:after="0" w:line="74" w:lineRule="exact"/>
        <w:rPr>
          <w:sz w:val="20"/>
          <w:szCs w:val="20"/>
          <w:color w:val="auto"/>
        </w:rPr>
      </w:pPr>
    </w:p>
    <w:p>
      <w:pPr>
        <w:jc w:val="both"/>
        <w:ind w:left="680" w:firstLine="499"/>
        <w:spacing w:after="0" w:line="239" w:lineRule="auto"/>
        <w:rPr>
          <w:sz w:val="20"/>
          <w:szCs w:val="20"/>
          <w:color w:val="auto"/>
        </w:rPr>
      </w:pPr>
      <w:r>
        <w:rPr>
          <w:rFonts w:ascii="Arial" w:cs="Arial" w:eastAsia="Arial" w:hAnsi="Arial"/>
          <w:sz w:val="13"/>
          <w:szCs w:val="13"/>
          <w:color w:val="auto"/>
        </w:rPr>
        <w:t>Although we own our manufacturing facilities, we are party to a land lease and easement agreement with Hynix pursuant to which we lease the land for our facilities in Cheongju, Korea from Hynix for an indefinite term.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The services agreement continues for an indefinite term subject to each party having a right to terminate in the event of an uncured breach by the other party.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We focus our sales and marketing strategy on creating and strengthening our relationships with leading consumer electronics OEMs,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Our semiconductor manufacturing services sales teams focus on marketing our services to analog and mixed-signal semiconductor companies that require specialty manufacturing processes.</w:t>
      </w:r>
    </w:p>
    <w:p>
      <w:pPr>
        <w:spacing w:after="0" w:line="8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and Japan, as well as our local sales and support offices in Greater China and Europe. We have a network of agents and distributors in Korea, Japan, Europe and Greater China. With the expansion of the Power Solutions division portfolio, we expect to expand our sales agents and distributor franchises into Europe and the United States in 2010. For the three months ended March 31, 2010 and the combined twelve-month period ended December 31, 2009, we derived 79% and 82% of net sales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through our direct sales force, respectively, and 21% and 18% of net sales through our network of authorized agents and distributors, respectively.</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Our research and development efforts focus on intellectual property, design methodology and process technology for our complex analog and mixed-signal semiconductor products and services. Research and development expenses for the three months ended March 31, 2010, the combined twelve-month period ended December 31, 2009 and the years ended December 31, 2008 and 2007 were $20.5 million, $70.9 million, $89.5 million and $90.8 million, respectively, representing 11.4%, 12.7%, 14.9% and 12.8% of net sales, respectively.</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2" w:lineRule="exact"/>
        <w:rPr>
          <w:sz w:val="20"/>
          <w:szCs w:val="20"/>
          <w:color w:val="auto"/>
        </w:rPr>
      </w:pPr>
    </w:p>
    <w:p>
      <w:pPr>
        <w:jc w:val="both"/>
        <w:ind w:left="680" w:right="20" w:firstLine="499"/>
        <w:spacing w:after="0" w:line="236" w:lineRule="auto"/>
        <w:rPr>
          <w:sz w:val="20"/>
          <w:szCs w:val="20"/>
          <w:color w:val="auto"/>
        </w:rPr>
      </w:pPr>
      <w:r>
        <w:rPr>
          <w:rFonts w:ascii="Arial" w:cs="Arial" w:eastAsia="Arial" w:hAnsi="Arial"/>
          <w:sz w:val="13"/>
          <w:szCs w:val="13"/>
          <w:color w:val="auto"/>
        </w:rPr>
        <w:t>We sell our display solutions and power solutions products to consumer electronics OEMs as well as subsystem designers and contract manufacturers. We sell our semiconductor manufacturing services to analog and mixed-signal semiconductor companies. For the three months ended March 31, 2010 and the combined twelve-month period ended December 31, 2009, our ten largest customers accounted for 64% and 69% of our net sales, respectively, and we had one customer, LG Display, representing 20% and 26% of our consolidated net sales, for the three months ended March 31, 2010 and the combined twelve-month period ended December 31, 2009, respectively.</w:t>
      </w:r>
    </w:p>
    <w:p>
      <w:pPr>
        <w:spacing w:after="0" w:line="2"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Substantially all of our sales to LG Display are in our Display Solutions segment and sales to LG Display represented 46% and 51% of net sales in our Display Solutions segment in the three months ended March 31, 2010 and the combined twelve-month period ended December 31, 2009, respectively. Our relationships with some of our ten largest customers were and may continue to be adversely impacted by our reorganization proceedings. Some of these customers did not offer us the opportunity to compete for new design wins during the pendency of our reorganization proceedings. However, subsequent to our emergence from our reorganization proceedings we have again been provided an opportunity to compete for these projects. For the three months ended March 31, 2010, we received revenues of $20.4 million from customers in the United States and $159.1 million from all foreign countries, of which 61.4% was from Korea, 21.8% from Taiwan, 6.4% from Japan and 8.4% from China, Hong Kong and Macau. For the combined twelve-month period ended December 31, 2009, we received revenues of $59.0 million from customers in the United States and $501.1 million from all foreign countries, of which 61.2% was from Korea, 18.5% from Taiwan, 7.6% from Japan and 9.6% from China, Hong Kong and Macau.</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2"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As of April 30, 2010, our portfolio of intellectual property assets included approximately 3,330 registered patents and 1,240 pending patent applications. Approximately 2,600 and 1,000 of our patents and pending patents are novel in that they are not a foreign counterpart of an existing patent or patent application. Because we file patents in multiple jurisdictions, we additionally have approximately 970 registered and pending patents that relate to identical technical claims in our base patent portfolio. Our patents expire at various times over the next 18 years. While these patents are in the aggregate important to our competitive position, we do not believe that any single registered or pending patent is material to us.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prior to the expiration of these licenses by the licensors should we fail to cure any breach under such licenses. Our license with Silicon Works Co., Ltd. relates to our large display drivers and our license from ARM Limited primarily relates to product lines in our Semiconductor Manufacturing</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60"/>
        <w:spacing w:after="0" w:line="242" w:lineRule="auto"/>
        <w:rPr>
          <w:sz w:val="20"/>
          <w:szCs w:val="20"/>
          <w:color w:val="auto"/>
        </w:rPr>
      </w:pPr>
      <w:r>
        <w:rPr>
          <w:rFonts w:ascii="Arial" w:cs="Arial" w:eastAsia="Arial" w:hAnsi="Arial"/>
          <w:sz w:val="13"/>
          <w:szCs w:val="13"/>
          <w:color w:val="auto"/>
        </w:rPr>
        <w:t>Services business. The loss of either license could have a material adverse impact on our results of operations. Additionally, in connection with the Original Acquisition, Hynix retained a perpetual license to use the intellectual property that we acquired from Hynix in the Original Acquisition. Under this license, Hynix and its subsidiaries are free to develop products that may incorporate or embody intellectual property developed by us prior to October 2004.</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2" w:lineRule="exact"/>
        <w:rPr>
          <w:sz w:val="20"/>
          <w:szCs w:val="20"/>
          <w:color w:val="auto"/>
        </w:rPr>
      </w:pPr>
    </w:p>
    <w:p>
      <w:pPr>
        <w:ind w:left="680" w:right="340" w:firstLine="499"/>
        <w:spacing w:after="0"/>
        <w:rPr>
          <w:sz w:val="20"/>
          <w:szCs w:val="20"/>
          <w:color w:val="auto"/>
        </w:rPr>
      </w:pPr>
      <w:r>
        <w:rPr>
          <w:rFonts w:ascii="Arial" w:cs="Arial" w:eastAsia="Arial" w:hAnsi="Arial"/>
          <w:sz w:val="13"/>
          <w:szCs w:val="13"/>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as well as companies providing specialty manufacturing services.</w:t>
      </w:r>
    </w:p>
    <w:p>
      <w:pPr>
        <w:spacing w:after="0" w:line="80"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worldwide workforce consisted of 3,287 employees (full- and part-time) as of April 30, 2010, of which 383 were involved in sales, marketing, general and administrative, 395 were in research and development (including 210 with advanced degrees), 92 were in quality, reliability and assurance and 2,417 were in manufacturing (comprised of 347 in engineering and 2,070 in operations). As of April 30, 2010, 2,176 employees, or approximately 66.2% of our workforce, were represented by the MagnaChip Semiconductor Labor Union, which is a member of the Federation of Korean Metal Workers Trade Unions. We believe our labor relations are good.</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For example, the Korean government recently adopted the Enforcement Decree to the Framework Act on Low Carbon Growth which we expect will result in additional compliance obligations and costs.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2"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products. We are currently not involved in any legal proceedings the outcome of which we believe would have a material adverse effect on our business, financial condition or results of operations.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Segments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For a description of our business and the distribution of our assets by geographic regions and reporting segments, see note 23 to the consolidated financial statements of MagnaChip Semiconductor LLC for the ten-month period ended October 25, 2009 and the two-month period ended December 31, 2009 included elsewhere in this prospectus.</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MANAGEMENT</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Executive Officers and Corporate Governance.</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is a list of the current directors and executive officers of MagnaChip and their respective ages as of May 31, 2010:</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3800" w:type="dxa"/>
            <w:vAlign w:val="bottom"/>
          </w:tcPr>
          <w:p>
            <w:pPr>
              <w:ind w:left="234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1600" w:type="dxa"/>
            <w:vAlign w:val="bottom"/>
          </w:tcPr>
          <w:p>
            <w:pPr>
              <w:jc w:val="right"/>
              <w:ind w:right="34"/>
              <w:spacing w:after="0"/>
              <w:rPr>
                <w:sz w:val="20"/>
                <w:szCs w:val="20"/>
                <w:color w:val="auto"/>
              </w:rPr>
            </w:pPr>
            <w:r>
              <w:rPr>
                <w:rFonts w:ascii="Arial" w:cs="Arial" w:eastAsia="Arial" w:hAnsi="Arial"/>
                <w:sz w:val="13"/>
                <w:szCs w:val="13"/>
                <w:b w:val="1"/>
                <w:bCs w:val="1"/>
                <w:color w:val="auto"/>
              </w:rPr>
              <w:t>Age</w:t>
            </w:r>
          </w:p>
        </w:tc>
        <w:tc>
          <w:tcPr>
            <w:tcW w:w="4580" w:type="dxa"/>
            <w:vAlign w:val="bottom"/>
          </w:tcPr>
          <w:p>
            <w:pPr>
              <w:ind w:left="2320"/>
              <w:spacing w:after="0"/>
              <w:rPr>
                <w:sz w:val="20"/>
                <w:szCs w:val="20"/>
                <w:color w:val="auto"/>
              </w:rPr>
            </w:pPr>
            <w:r>
              <w:rPr>
                <w:rFonts w:ascii="Arial" w:cs="Arial" w:eastAsia="Arial" w:hAnsi="Arial"/>
                <w:sz w:val="13"/>
                <w:szCs w:val="13"/>
                <w:b w:val="1"/>
                <w:bCs w:val="1"/>
                <w:color w:val="auto"/>
              </w:rPr>
              <w:t>Position</w:t>
            </w:r>
          </w:p>
        </w:tc>
      </w:tr>
      <w:tr>
        <w:trPr>
          <w:trHeight w:val="50"/>
        </w:trPr>
        <w:tc>
          <w:tcPr>
            <w:tcW w:w="3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580" w:type="dxa"/>
            <w:vAlign w:val="bottom"/>
          </w:tcPr>
          <w:p>
            <w:pPr>
              <w:spacing w:after="0"/>
              <w:rPr>
                <w:sz w:val="4"/>
                <w:szCs w:val="4"/>
                <w:color w:val="auto"/>
              </w:rPr>
            </w:pP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Sang Park</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63</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Chairman of the Board of Directors and Chief Executive Officer</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Tae Young Hwang</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Chief Operating Officer and President</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Brent Rowe</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49</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Worldwide Sales</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Margaret Sakai</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Chief Financial Officer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Heung Kyu Kim</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46</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and General Manager, Power Solutions Division</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Tae Jong Lee</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47</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General Manager, Corporate Engineering</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John McFarland</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43</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General Counsel and Secretary</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Michael Elkins</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42</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Randal Klein</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45</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R. Douglas Norby</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74</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Gidu Shroff</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64</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Steven Tan</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33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Nader Tavakoli</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52</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-1247775</wp:posOffset>
            </wp:positionV>
            <wp:extent cx="2476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b w:val="1"/>
          <w:bCs w:val="1"/>
          <w:i w:val="1"/>
          <w:iCs w:val="1"/>
          <w:color w:val="auto"/>
        </w:rPr>
        <w:t xml:space="preserve">Sang Park, Chairman of the Board of Directors and Chief Executive Officer. </w:t>
      </w:r>
      <w:r>
        <w:rPr>
          <w:rFonts w:ascii="Arial" w:cs="Arial" w:eastAsia="Arial" w:hAnsi="Arial"/>
          <w:sz w:val="13"/>
          <w:szCs w:val="13"/>
          <w:color w:val="auto"/>
        </w:rPr>
        <w:t>Mr. Park became our Chairman of the board of directors and Chief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 Prior to his service at Hynix, Mr. Park was Vice President of Procurement Engineering at IBM in New York from 1995 to 1999, and he held various positions in procurement and operations at Hewlett Packard in California from 1979 to 1995. Our board of directors has concluded that Mr. Park should serve as a director and as chairman of the board of directors based on his extensive experience as an executive, investor and director in our industry and his experience and insight as our Chief Executive Officer.</w:t>
      </w:r>
    </w:p>
    <w:p>
      <w:pPr>
        <w:spacing w:after="0" w:line="67"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Tae Young Hwang, Chief Operating Officer and President. </w:t>
      </w:r>
      <w:r>
        <w:rPr>
          <w:rFonts w:ascii="Arial" w:cs="Arial" w:eastAsia="Arial" w:hAnsi="Arial"/>
          <w:sz w:val="13"/>
          <w:szCs w:val="13"/>
          <w:color w:val="auto"/>
        </w:rPr>
        <w:t>Mr. Hwang became our Chief Operating Officer and President in November 2009. He previously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served as our Executive Vice President, Manufacturing Division, and General Manager, Display Solutions from January 2007, and our Executive Vice President of Manufacturing Operations from October 2004. Prior to that time, Mr. Hwang served as Hynix’s Senior Vice President of Manufacturing Operations, System IC, from 2002 to 2003. From 1999 to 2001, he was Vice President of Cheongju Operations for Hynix. Mr. Hwang holds a B.S. degree in Mechanical Engineering from Pusan National University and an M.B.A. from Cheongju University.</w:t>
      </w:r>
    </w:p>
    <w:p>
      <w:pPr>
        <w:spacing w:after="0" w:line="6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Brent Rowe, Senior Vice President, Worldwide Sales. </w:t>
      </w:r>
      <w:r>
        <w:rPr>
          <w:rFonts w:ascii="Arial" w:cs="Arial" w:eastAsia="Arial" w:hAnsi="Arial"/>
          <w:sz w:val="13"/>
          <w:szCs w:val="13"/>
          <w:color w:val="auto"/>
        </w:rPr>
        <w:t>Mr. Rowe became our Senior Vice President, Worldwide Sales in April 2006. Prior to joining our company,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B.S. degree in Chemical Engineering from the University of Illinois.</w:t>
      </w: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Margaret Sakai, Senior Vice President and Chief Financial Officer. </w:t>
      </w:r>
      <w:r>
        <w:rPr>
          <w:rFonts w:ascii="Arial" w:cs="Arial" w:eastAsia="Arial" w:hAnsi="Arial"/>
          <w:sz w:val="13"/>
          <w:szCs w:val="13"/>
          <w:color w:val="auto"/>
        </w:rPr>
        <w:t>Ms. Sakai became our Senior Vice President, Finance, on November 1, 2006 and our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Officer on April 10, 2009. Prior to joining our company, she served as Chief Financial Officer of Asia Finance and Vice President of Photronics, Inc., a manufacturer of reticles and photomasks for semiconductor and microelectronic applications, since November 2003. From June 1999 to October 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 degree in Accounting from Babson College.</w:t>
      </w:r>
    </w:p>
    <w:p>
      <w:pPr>
        <w:spacing w:after="0" w:line="6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Heung Kyu Kim, Senior Vice President and General Manager, Power Solutions Division. </w:t>
      </w:r>
      <w:r>
        <w:rPr>
          <w:rFonts w:ascii="Arial" w:cs="Arial" w:eastAsia="Arial" w:hAnsi="Arial"/>
          <w:sz w:val="13"/>
          <w:szCs w:val="13"/>
          <w:color w:val="auto"/>
        </w:rPr>
        <w:t>Mr. Kim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Solutions Division, in July 2007. Prior to joining our company, Mr. Kim served at Fairchild Semiconductor International, Inc., a semiconductor manufacturer, as Vice President of the Power Conversion Product Line from July 2003 to June 2007, and as Director of Korea Sales and Marketing from April 1999 to June 2003. Mr. Kim holds a B.S. degree in Metallurgical Engineering from Korea University.</w:t>
      </w:r>
    </w:p>
    <w:p>
      <w:pPr>
        <w:spacing w:after="0" w:line="58"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Tae Jong Lee, Senior Vice President and General Manager, Corporate Engineering. </w:t>
      </w:r>
      <w:r>
        <w:rPr>
          <w:rFonts w:ascii="Arial" w:cs="Arial" w:eastAsia="Arial" w:hAnsi="Arial"/>
          <w:sz w:val="13"/>
          <w:szCs w:val="13"/>
          <w:color w:val="auto"/>
        </w:rPr>
        <w:t>Mr. Lee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Corporate Engineering, in August 2009. He previously served as our Vice President, Corporate Engineering from September 2007. Prior to joining our company, Mr. Lee served as Director of the Technology Development Division, Chartered Semiconductor Manufacturing, in Singapore from 1999 to August 2007. Mr. Lee holds B.S. and M.S. degrees from Seoul National University, and a Ph.D in Physics from the University of Texas at Dallas.</w:t>
      </w:r>
    </w:p>
    <w:p>
      <w:pPr>
        <w:spacing w:after="0" w:line="58"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John McFarland, Senior Vice President, General Counsel and Secretary. </w:t>
      </w:r>
      <w:r>
        <w:rPr>
          <w:rFonts w:ascii="Arial" w:cs="Arial" w:eastAsia="Arial" w:hAnsi="Arial"/>
          <w:sz w:val="13"/>
          <w:szCs w:val="13"/>
          <w:color w:val="auto"/>
        </w:rPr>
        <w:t>Mr. McFarland became our Senior Vice President, General Counsel and Secretary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 degree in Asian Studies, conferred with highest distinction from the University of Michigan, and a J.D. degree from the University of California, Los Angeles, School of Law.</w:t>
      </w:r>
    </w:p>
    <w:p>
      <w:pPr>
        <w:spacing w:after="0" w:line="6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b w:val="1"/>
          <w:bCs w:val="1"/>
          <w:i w:val="1"/>
          <w:iCs w:val="1"/>
          <w:color w:val="auto"/>
        </w:rPr>
        <w:t xml:space="preserve">Michael Elkins, Director. </w:t>
      </w:r>
      <w:r>
        <w:rPr>
          <w:rFonts w:ascii="Arial" w:cs="Arial" w:eastAsia="Arial" w:hAnsi="Arial"/>
          <w:sz w:val="13"/>
          <w:szCs w:val="13"/>
          <w:color w:val="auto"/>
        </w:rPr>
        <w:t>Mr. Elkins became our director in November 2009. Mr. Elkins joined Avenue in 2004 and is currently a Portfolio Manager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Elkins is responsible for assisting with the direction of the investment activities of the Avenue U.S. strategy. Due to the percentage of our equity owned or controlled by Avenue, Avenue is considered our affiliate. Prior to joining Avenue, Mr. Elkins was a Portfolio Manager and Trader with ABP Investments US, Inc. While at ABP, he was responsible for actively managing high yield investments using a total return-special situations overlay strategy. Prior to ABP, Mr. Elkins served as a Portfolio Manager and Trader for UBK Asset Management, after joining the company as a High Yield Credit Analyst. Previously, Mr. Elkins was a Credit Analyst for both Oppenheimer &amp; Co., Inc. and Smith Barney, Inc. Mr. Elkins has served on the board of directors of Vertis Communication, an advertising services company, since October 2008, and Milacron LLC, a plastics-processing technologies and industrial fluids supplier, since April 2009. Mr. Elkins serves on the board of directors of each of these companies, both of which are private companies, in connection with a reorganization or refinancing involving affiliates of Avenue and serves as a result of his position with Avenue. Mr. Elkins holds a B.A. in Marketing from George Washington University and an M.B.A. in Finance from the Goizueta Business School at Emory University. Mr. Elkins was appointed to our board of directors by Avenue pursuant to our plan of reorganization and pursuant to our Fifth Amended and Restated Limited Liability Company Operating Agreement, which we refer to as our Operating Agreement. Our board of directors has concluded that Mr. Elkins should serve on the board based upon his 15 years of investment portfolio management experience, including 10 years investing in technology companies, including the semiconductor sector.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b w:val="1"/>
          <w:bCs w:val="1"/>
          <w:i w:val="1"/>
          <w:iCs w:val="1"/>
          <w:color w:val="auto"/>
        </w:rPr>
        <w:t xml:space="preserve">Randal Klein, Director. </w:t>
      </w:r>
      <w:r>
        <w:rPr>
          <w:rFonts w:ascii="Arial" w:cs="Arial" w:eastAsia="Arial" w:hAnsi="Arial"/>
          <w:sz w:val="13"/>
          <w:szCs w:val="13"/>
          <w:color w:val="auto"/>
        </w:rPr>
        <w:t>Mr. Klein became our director in November 2009. Mr. Klein joined Avenue, our affiliate, in 2004 and is currently a Portfolio Manager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Avenue focused on investments in trade claims and vendor financing. Previously, he was a Senior Vice President of the Avenue U.S. Funds. In such capacity, Mr. Klein was responsible for managing restructuring activities and identifying, analyzing and modeling investment opportunities for the Avenue U.S. strategy. Prior to joining Avenue, Mr. Klein was a Senior Vice President at Lehman Brothers, where his responsibilities included restructuring advisory work, financial sponsors coverage, mergers and acquisitions and corporate finance. Prior to Lehman, Mr. Klein worked in sales, marketing and engineering as an aerospace engineer for The Boeing Company. Mr. Klein holds a B.S. in Aerospace Engineering, conferred with Highest Distinction from the University of Virginia, and an M.B.A. in Finance from the Wharton School of the University of Pennsylvania. Mr. Klein was appointed to our board of directors by Avenue pursuant to our plan of reorganization and pursuant to our Operating Agreement. Our board of directors has concluded that Mr. Klein should serve on the board based upon his 15 years of experience as a financial advisor and investment manager.</w:t>
      </w:r>
    </w:p>
    <w:p>
      <w:pPr>
        <w:spacing w:after="0" w:line="67" w:lineRule="exact"/>
        <w:rPr>
          <w:sz w:val="20"/>
          <w:szCs w:val="20"/>
          <w:color w:val="auto"/>
        </w:rPr>
      </w:pPr>
    </w:p>
    <w:p>
      <w:pPr>
        <w:ind w:left="680" w:firstLine="499"/>
        <w:spacing w:after="0"/>
        <w:rPr>
          <w:sz w:val="20"/>
          <w:szCs w:val="20"/>
          <w:color w:val="auto"/>
        </w:rPr>
      </w:pPr>
      <w:r>
        <w:rPr>
          <w:rFonts w:ascii="Arial" w:cs="Arial" w:eastAsia="Arial" w:hAnsi="Arial"/>
          <w:sz w:val="13"/>
          <w:szCs w:val="13"/>
          <w:b w:val="1"/>
          <w:bCs w:val="1"/>
          <w:i w:val="1"/>
          <w:iCs w:val="1"/>
          <w:color w:val="auto"/>
        </w:rPr>
        <w:t xml:space="preserve">R. Douglas Norby, Director and Chairman of the Audit Committee. </w:t>
      </w:r>
      <w:r>
        <w:rPr>
          <w:rFonts w:ascii="Arial" w:cs="Arial" w:eastAsia="Arial" w:hAnsi="Arial"/>
          <w:sz w:val="13"/>
          <w:szCs w:val="13"/>
          <w:color w:val="auto"/>
        </w:rPr>
        <w:t>Mr. Norby became our director and Chairman of the Audit Committee in March 2010. Mr.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Norby retired from full time employment in July 2006. Mr. Norby previously served as our director and Chairman of the Audit Committee from May 2006 until October 2008. Mr. Norby served as Senior Vice President and Chief Financial Officer of Tessera Technologies, Inc., a public semiconductor intellectual property company, from July 2003 to January 2006. Mr. Norby worked as a management consultant with Tessera from May 2003 until July 2003 and from January 2006 to July 2006. Mr. Norby served as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 to December 2000. Mr. Norby is a director of Alexion Pharmaceuticals, Inc. and STATS ChipPAC Ltd. Mr. Norby received a B.A. degree in Economics from Harvard University and an M.B.A. from Harvard Business School. Our board of directors has concluded that Mr. Norby should serve on our board based upon his extensive experience as a chief financial officer, his extensive experience in accounting and his experience as a public company director and audit committee chair.</w:t>
      </w:r>
    </w:p>
    <w:p>
      <w:pPr>
        <w:spacing w:after="0" w:line="68" w:lineRule="exact"/>
        <w:rPr>
          <w:sz w:val="20"/>
          <w:szCs w:val="20"/>
          <w:color w:val="auto"/>
        </w:rPr>
      </w:pPr>
    </w:p>
    <w:p>
      <w:pPr>
        <w:ind w:left="680" w:right="40" w:firstLine="499"/>
        <w:spacing w:after="0" w:line="245" w:lineRule="auto"/>
        <w:rPr>
          <w:sz w:val="20"/>
          <w:szCs w:val="20"/>
          <w:color w:val="auto"/>
        </w:rPr>
      </w:pPr>
      <w:r>
        <w:rPr>
          <w:rFonts w:ascii="Arial" w:cs="Arial" w:eastAsia="Arial" w:hAnsi="Arial"/>
          <w:sz w:val="13"/>
          <w:szCs w:val="13"/>
          <w:b w:val="1"/>
          <w:bCs w:val="1"/>
          <w:i w:val="1"/>
          <w:iCs w:val="1"/>
          <w:color w:val="auto"/>
        </w:rPr>
        <w:t xml:space="preserve">Gidu Shroff, Director. </w:t>
      </w:r>
      <w:r>
        <w:rPr>
          <w:rFonts w:ascii="Arial" w:cs="Arial" w:eastAsia="Arial" w:hAnsi="Arial"/>
          <w:sz w:val="13"/>
          <w:szCs w:val="13"/>
          <w:color w:val="auto"/>
        </w:rPr>
        <w:t>Mr. Shroff became our director in March 2010. Mr. Shroff retired from full time employment in July 2009. Mr. Shroff served in various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positions at Intel Corporation from 1980 to July 2009. He served as a Corporate Vice President from January 2002 to July 2009, as Vice President of Materials from December 1997 to January 2002, and as General Manager of Outsourcing from January 1990 until December 1997. Mr. Shroff holds a B.S. in Metallurgy from Poona Engineering University in India, an M.S. in Materials Science from Stanford University and an M.B.A. from Santa Clara University. Our board of directors has concluded that Mr. Shroff should serve on the board based upon his extensive experience in the semiconductor industry.</w:t>
      </w:r>
    </w:p>
    <w:p>
      <w:pPr>
        <w:spacing w:after="0" w:line="63"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Steven Tan, Director. </w:t>
      </w:r>
      <w:r>
        <w:rPr>
          <w:rFonts w:ascii="Arial" w:cs="Arial" w:eastAsia="Arial" w:hAnsi="Arial"/>
          <w:sz w:val="13"/>
          <w:szCs w:val="13"/>
          <w:color w:val="auto"/>
        </w:rPr>
        <w:t>Mr. Tan became our director in November 2009. Mr. Tan joined Avenue, our affiliate, in 2005 and is currently a Vice President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Tan is responsible for identifying and analyzing investment opportunities in the technology and telecommunications sectors for the Avenue U.S. strategy. Previously, Mr. Tan was a research analyst in the Avenue Event Driven Group where he was responsible for investments related to long/short equity, special situations and risk arbitrage. Prior to Avenue, Mr. Tan worked at Wasserstein Perella &amp; Co., an investment and merchant bank, where he was a Mergers &amp; Acquisitions analyst with the Industrial Group focusing on the automotive and industrial sectors. Mr. Tan holds a B.A. in Mathematics and Economics from Wesleyan University and an M.B.A. from the Harvard Business School. Mr. Tan was appointed to our board of directors by Avenue pursuant to our plan of reorganization and pursuant to our Operating Agreement. Our board of directors has concluded that Mr. Tan should serve on the board based on his five years of experience as an analyst and investment manager.</w:t>
      </w:r>
    </w:p>
    <w:p>
      <w:pPr>
        <w:spacing w:after="0" w:line="65" w:lineRule="exact"/>
        <w:rPr>
          <w:sz w:val="20"/>
          <w:szCs w:val="20"/>
          <w:color w:val="auto"/>
        </w:rPr>
      </w:pPr>
    </w:p>
    <w:p>
      <w:pPr>
        <w:ind w:left="680" w:right="20" w:firstLine="499"/>
        <w:spacing w:after="0" w:line="273" w:lineRule="auto"/>
        <w:rPr>
          <w:sz w:val="20"/>
          <w:szCs w:val="20"/>
          <w:color w:val="auto"/>
        </w:rPr>
      </w:pPr>
      <w:r>
        <w:rPr>
          <w:rFonts w:ascii="Arial" w:cs="Arial" w:eastAsia="Arial" w:hAnsi="Arial"/>
          <w:sz w:val="13"/>
          <w:szCs w:val="13"/>
          <w:b w:val="1"/>
          <w:bCs w:val="1"/>
          <w:i w:val="1"/>
          <w:iCs w:val="1"/>
          <w:color w:val="auto"/>
        </w:rPr>
        <w:t xml:space="preserve">Nader Tavakoli, Director. </w:t>
      </w:r>
      <w:r>
        <w:rPr>
          <w:rFonts w:ascii="Arial" w:cs="Arial" w:eastAsia="Arial" w:hAnsi="Arial"/>
          <w:sz w:val="13"/>
          <w:szCs w:val="13"/>
          <w:color w:val="auto"/>
        </w:rPr>
        <w:t>Mr. Tavakoli became our director in November 2009. Mr. Tavakoli has been Chairman and Chief Executive Officer of EagleRock Capital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a private investment firm</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20"/>
        <w:spacing w:after="0" w:line="242" w:lineRule="auto"/>
        <w:rPr>
          <w:sz w:val="20"/>
          <w:szCs w:val="20"/>
          <w:color w:val="auto"/>
        </w:rPr>
      </w:pPr>
      <w:r>
        <w:rPr>
          <w:rFonts w:ascii="Arial" w:cs="Arial" w:eastAsia="Arial" w:hAnsi="Arial"/>
          <w:sz w:val="13"/>
          <w:szCs w:val="13"/>
          <w:color w:val="auto"/>
        </w:rPr>
        <w:t>based in New York City since January 2002. Prior to founding EagleRock, Mr. Tavakoli was a portfolio manager at Odyssey Partners, Highbridge Capital and Cowen and Co. Mr. Tavakoli holds a B.A. in History from Montclair State University and a J.D. from Rutgers School of Law. Our board of directors has concluded that Mr. Tavakoli should serve on the board based upon his extensive investing experience.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Involvement in Certain Legal Proceedings</w:t>
      </w:r>
    </w:p>
    <w:p>
      <w:pPr>
        <w:spacing w:after="0" w:line="102" w:lineRule="exact"/>
        <w:rPr>
          <w:sz w:val="20"/>
          <w:szCs w:val="20"/>
          <w:color w:val="auto"/>
        </w:rPr>
      </w:pPr>
    </w:p>
    <w:p>
      <w:pPr>
        <w:jc w:val="both"/>
        <w:ind w:left="680" w:right="40" w:firstLine="499"/>
        <w:spacing w:after="0"/>
        <w:rPr>
          <w:sz w:val="20"/>
          <w:szCs w:val="20"/>
          <w:color w:val="auto"/>
        </w:rPr>
      </w:pPr>
      <w:r>
        <w:rPr>
          <w:rFonts w:ascii="Arial" w:cs="Arial" w:eastAsia="Arial" w:hAnsi="Arial"/>
          <w:sz w:val="13"/>
          <w:szCs w:val="13"/>
          <w:color w:val="auto"/>
        </w:rPr>
        <w:t>Sang Park was the Chairman of our board of directors and Chief Executive Officer and Tae Young Hwang, Brent Rowe, Margaret Sakai, Heung Kyu Kim, Tae Jong Lee and John McFarland were each officers during our Chapter 11 reorganization proceedings. R. Douglas Norby was one of our directors until September 2008. Mr. Norby was also an officer of Novalux, Inc., a private company, which filed a voluntary petition for reorganization under Chapter 11 in March 2003, approximately one year after Mr. Norby’s departure from Novalux, Inc.</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2"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Our bylaws will provide that our board of directors will consist of seven members. Mr. Park, our Chief Executive Officer, is the Chairman of our board of directors. Messrs. Elkins, Klein, and Tan have been designated to serve on our board by our largest equity holder, which consists of funds affiliated with Avenue Capital Management II, L.P. Avenue has the right to appoint a majority of our board pursuant to our Operating Agreement which will terminate upon the completion of the corporate conversion. Messrs. Norby, Shroff and Tavakoli serve as independent directors elected by the affirmative vote of holders of more than 50% of our outstanding common equity. A majority of our board is not currently independent as defined under SEC and NYSE rules. In accordance with applicable rules of the NYSE, we are relying upon an exception that does not require us to satisfy the requirement that a majority of our board be independent until one year following initial listing. We expect that prior to the one year anniversary of our initial NYSE listing, the composition of our board will be changed such that a majority of our directors will be independent. If we fail to comply with the NYSE listing rules, our common stock could be delisted from the NYSE.</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Upon the completion of this offering, our board of directors will be divided into three classes with staggered three-year terms as follows:</w:t>
      </w:r>
    </w:p>
    <w:p>
      <w:pPr>
        <w:spacing w:after="0" w:line="86" w:lineRule="exact"/>
        <w:rPr>
          <w:sz w:val="20"/>
          <w:szCs w:val="20"/>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Class I directors will be Messrs. Norby and Shroff, and their terms will expire at the annual general meeting of stockholders to be held in 2011;</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Class II directors will be Messrs. Klein and Tavakoli, and their terms will expire at the annual general meeting of stockholders to be held in 2012;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Class III directors will be Mssrs. Elkins, Park and Tan, and their terms will expire at the annual general meeting of stockholders to be held in 2013.</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Our audit committee consists of Mr. Norby as Chairman and Messrs. Klein and Tavakoli. Our board of directors has determined that Mr. Norby is an audit committee financial expert as defined in Item 407(d)(5) of Regulation S-K promulgated under the Securities Act. Our board has also determined that Messrs. Norby and Tavakoli are “independent” as that term is defined in both Rule 303A of the NYSE rules and Rule 10A-3 promulgated under the Securities Exchange Act of 1934, as amended, or the Exchange Act, and, upon the closing of this offering, will each be an “independent director” as that term is defined in Rule 303A of the NYSE rules. In making this determination, our board of directors considered the relationships that Messrs. Norby and Tavakoli have with our company and all other facts and circumstances our board of directors deemed relevant in determining their independence, including any beneficial ownership of our equity. The board has determined that Mr. Klein is not an independent director. In accordance with applicable rules of the NYSE, we are relying upon an exception that allows us to phase in our compliance with the independent audit committee requirement as follows, (i) one</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40"/>
        <w:spacing w:after="0" w:line="242" w:lineRule="auto"/>
        <w:rPr>
          <w:sz w:val="20"/>
          <w:szCs w:val="20"/>
          <w:color w:val="auto"/>
        </w:rPr>
      </w:pPr>
      <w:r>
        <w:rPr>
          <w:rFonts w:ascii="Arial" w:cs="Arial" w:eastAsia="Arial" w:hAnsi="Arial"/>
          <w:sz w:val="13"/>
          <w:szCs w:val="13"/>
          <w:color w:val="auto"/>
        </w:rPr>
        <w:t>independent member at the time of listing; (ii) a majority of independent members within 90 days of listing; and (iii) all independent members within one year of listing. We expect that prior to the one year anniversary of our initial NYSE listing, Mr. Klein will resign from the audit committee and at least one new independent director will be appointed. If we fail to comply with the NYSE listing rules, our common stock could be delisted from the NYSE.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w:t>
      </w:r>
    </w:p>
    <w:p>
      <w:pPr>
        <w:spacing w:after="0" w:line="102" w:lineRule="exact"/>
        <w:rPr>
          <w:sz w:val="20"/>
          <w:szCs w:val="20"/>
          <w:color w:val="auto"/>
        </w:rPr>
      </w:pPr>
    </w:p>
    <w:p>
      <w:pPr>
        <w:ind w:left="680" w:right="120" w:firstLine="499"/>
        <w:spacing w:after="0" w:line="238" w:lineRule="auto"/>
        <w:rPr>
          <w:sz w:val="20"/>
          <w:szCs w:val="20"/>
          <w:color w:val="auto"/>
        </w:rPr>
      </w:pPr>
      <w:r>
        <w:rPr>
          <w:rFonts w:ascii="Arial" w:cs="Arial" w:eastAsia="Arial" w:hAnsi="Arial"/>
          <w:sz w:val="13"/>
          <w:szCs w:val="13"/>
          <w:color w:val="auto"/>
        </w:rPr>
        <w:t>The compensation committee of the board has overall responsibility for evaluating and approving our executive officer and director compensation plans, policies and programs, as well as all equity-based compensation plans and policies. We expect that our compensation committee will consist of Messrs. Elkins, Klein and Tavakoli as of the effectiveness of the offering. Our board has determined that Mr. Tavakoli is “independent” under NYSE and SEC rules. In making this determination, our board of directors considered the relationships that Mr. Tavakoli has with our company and all other facts and circumstances our board of directors deemed relevant in determining his independence, including any beneficial ownership of our equity. The board has determined that Mssrs. Elkins and Klein are not independent directors. In accordance with applicable rules of the NYSE, we are relying upon an exception that allows us to phase in our compliance with the independent compensation committee requirement as follows, (i) one independent member at the time of listing; (ii) a majority of independent members within 90 days of listing; and (iii) all independent members within one year of listing. We expect that prior to the applicable dates, the composition of our compensation committee will be changed such that we will be in compliance with the independent compensation committee requirement.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Nominating and Governance Committee</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nominating and governance committee has the responsibility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 We expect that our nominating and corporate governance committee will consist of Messrs. Elkins, Shroff and Tan as of the effectiveness of the offering. Our board has determined that Mr. Shroff is “independent” under NYSE and SEC rules. In making this determination, our board of directors considered the relationships that Mr. Shroff has with our company and all other facts and circumstances our board of directors deemed relevant in determining his independence, including any beneficial ownership of our equity. The board has determined that Messrs. Elkins and Tan are not independent directors. In accordance with applicable rules of the NYSE, we are relying upon an exception that allows us to phase in our compliance with the independent nominating and corporate governance committee requirement as follows, (i) one independent member at the time of listing; (ii) a majority of independent members within 90 days of listing; and (iii) all independent members within one year of listing. We expect that prior to the applicable dates, the composition of our nominating and corporate governance committee will be changed such that we will be in compliance with the independent nominating and corporate governance committee requirement.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2" w:lineRule="exact"/>
        <w:rPr>
          <w:sz w:val="20"/>
          <w:szCs w:val="20"/>
          <w:color w:val="auto"/>
        </w:rPr>
      </w:pPr>
    </w:p>
    <w:p>
      <w:pPr>
        <w:ind w:left="680" w:right="300" w:firstLine="499"/>
        <w:spacing w:after="0"/>
        <w:rPr>
          <w:sz w:val="20"/>
          <w:szCs w:val="20"/>
          <w:color w:val="auto"/>
        </w:rPr>
      </w:pPr>
      <w:r>
        <w:rPr>
          <w:rFonts w:ascii="Arial" w:cs="Arial" w:eastAsia="Arial" w:hAnsi="Arial"/>
          <w:sz w:val="13"/>
          <w:szCs w:val="13"/>
          <w:color w:val="auto"/>
        </w:rPr>
        <w:t>We have adopted a Code of Business Conduct and Ethics that applies to all of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 Our Code of Business Conduct and Ethics is also available on our website at www.magnachip.com.</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 of Risk</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Our board of directors believes that our compensation programs are designed such that they will not incentivize unnecessary risk-taking. The base salary component of our compensation program is a fixed amount and does not depend on performance. Our cash incentive program takes into account multiple factors, thus diversifying the risk associated with any single performance factor, and we believe it does not incentivize our executive officers to focus exclusively on short-term outcomes. Our equity awards are limited by the terms of our equity plans to a fixed maximum specified in the plan, and are subject to vesting to align the long-term interests of our executive officers with those of our equityholders.</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Compensation Philosophy and Objectives</w:t>
      </w:r>
    </w:p>
    <w:p>
      <w:pPr>
        <w:spacing w:after="0" w:line="102"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The compensation committee of our board of directors, or the Committee, has overall responsibility for administering our compensation program for our “named executive officers.” The Committee’s responsibilities consist of evaluating, approving and monitoring our executive officer and director compensation plans, policies and programs, as well as each of our equity-based compensation plans and policies. Prior to 2010, compensation decisions were made by the entire board of directors and for the discussion that follows, references to the Committee during such period refer to the entire board. For 2009, our named executive officers who continue to serve as executive officers were:</w:t>
      </w:r>
    </w:p>
    <w:p>
      <w:pPr>
        <w:spacing w:after="0" w:line="81" w:lineRule="exact"/>
        <w:rPr>
          <w:sz w:val="20"/>
          <w:szCs w:val="20"/>
          <w:color w:val="auto"/>
        </w:rPr>
      </w:pPr>
    </w:p>
    <w:p>
      <w:pPr>
        <w:ind w:left="1400" w:hanging="212"/>
        <w:spacing w:after="0"/>
        <w:tabs>
          <w:tab w:leader="none" w:pos="14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Sang Park, Chairman of the Board of Directors and Chief Executive Officer;</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Tae Young Hwang, Chief Operating Officer and President;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Brent Rowe, Senior Vice President, Worldwide Sales;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Margaret Sakai, Senior Vice President and Chief Financial Officer;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John McFarland, Senior Vice President, General Counsel and Secretary.</w:t>
      </w:r>
    </w:p>
    <w:p>
      <w:pPr>
        <w:spacing w:after="0" w:line="86"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The Committee seeks to establish total compensation for executive officers that is fair, reasonable and competitive. The Committee evaluates our compensation packages to ensure that:</w:t>
      </w:r>
    </w:p>
    <w:p>
      <w:pPr>
        <w:spacing w:after="0" w:line="74" w:lineRule="exact"/>
        <w:rPr>
          <w:sz w:val="20"/>
          <w:szCs w:val="20"/>
          <w:color w:val="auto"/>
        </w:rPr>
      </w:pPr>
    </w:p>
    <w:p>
      <w:pPr>
        <w:ind w:left="1400" w:hanging="212"/>
        <w:spacing w:after="0"/>
        <w:tabs>
          <w:tab w:leader="none" w:pos="1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we maintain our ability to attract and retain superior executives in critical positions;</w:t>
      </w:r>
    </w:p>
    <w:p>
      <w:pPr>
        <w:spacing w:after="0" w:line="76" w:lineRule="exact"/>
        <w:rPr>
          <w:rFonts w:ascii="Arial" w:cs="Arial" w:eastAsia="Arial" w:hAnsi="Arial"/>
          <w:sz w:val="13"/>
          <w:szCs w:val="13"/>
          <w:color w:val="auto"/>
        </w:rPr>
      </w:pPr>
    </w:p>
    <w:p>
      <w:pPr>
        <w:ind w:left="1400" w:right="140" w:hanging="212"/>
        <w:spacing w:after="0" w:line="248" w:lineRule="auto"/>
        <w:tabs>
          <w:tab w:leader="none" w:pos="1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our executives are incentivized and rewarded for aggressive corporate growth, achievement of long-term corporate objectives and individual performance that meets or exceeds our expectations without encouraging unnecessary risk-taking; and</w:t>
      </w:r>
    </w:p>
    <w:p>
      <w:pPr>
        <w:spacing w:after="0" w:line="64" w:lineRule="exact"/>
        <w:rPr>
          <w:rFonts w:ascii="Arial" w:cs="Arial" w:eastAsia="Arial" w:hAnsi="Arial"/>
          <w:sz w:val="13"/>
          <w:szCs w:val="13"/>
          <w:color w:val="auto"/>
        </w:rPr>
      </w:pPr>
    </w:p>
    <w:p>
      <w:pPr>
        <w:ind w:left="1400" w:right="560" w:hanging="212"/>
        <w:spacing w:after="0" w:line="248" w:lineRule="auto"/>
        <w:tabs>
          <w:tab w:leader="none" w:pos="1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compensation provided to critical executives remains competitive relative to the compensation paid to similarly situated executives of companies in the semiconductor industry.</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Committee believes that the most effective executive compensation packages align executives’ interests with those of our unitholders by rewarding performance that exceeds specific annual, long-term and strategic goals that are intended to improve unitholder value. These objectives include the achievement of financial performance goals and progress on projects that our board of directors anticipates will lead to future growth, as discussed more fully below.</w:t>
      </w:r>
    </w:p>
    <w:p>
      <w:pPr>
        <w:spacing w:after="0" w:line="79" w:lineRule="exact"/>
        <w:rPr>
          <w:sz w:val="20"/>
          <w:szCs w:val="20"/>
          <w:color w:val="auto"/>
        </w:rPr>
      </w:pPr>
    </w:p>
    <w:p>
      <w:pPr>
        <w:ind w:left="680" w:right="240" w:firstLine="499"/>
        <w:spacing w:after="0" w:line="242" w:lineRule="auto"/>
        <w:rPr>
          <w:sz w:val="20"/>
          <w:szCs w:val="20"/>
          <w:color w:val="auto"/>
        </w:rPr>
      </w:pPr>
      <w:r>
        <w:rPr>
          <w:rFonts w:ascii="Arial" w:cs="Arial" w:eastAsia="Arial" w:hAnsi="Arial"/>
          <w:sz w:val="13"/>
          <w:szCs w:val="13"/>
          <w:color w:val="auto"/>
        </w:rPr>
        <w:t>The information set forth below in this Compensation Discussion and Analysis describes the Committee’s general philosophy and historical approach. However, given our financial challenges, in the beginning of 2009, the Committee determined to continue the arrangements from the prior year and did not perform any in depth analysis.</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Until April 2009, Robert J. Krakauer served as our President, Chief Financial Officer, and director. In April 2009, we entered into a Senior Advisor Agreement with Mr. Krakauer pursuant to which he resigned from his employment and as a director but remains available to consult with us in a limited capacity until April 2010 to one year thereafter. Although Mr. Krakauer is no longer one our executive officers, his 2009 compensation is reported herein in accordance with SEC rules.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Executive Officers in Compensation Decisions</w:t>
      </w:r>
    </w:p>
    <w:p>
      <w:pPr>
        <w:spacing w:after="0" w:line="10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such officers, including proposed salary adjustments and incentive amounts, to the Committee. The Committee then takes this information into account when it makes final decisions regarding any adjustments or awards.</w:t>
      </w:r>
    </w:p>
    <w:p>
      <w:pPr>
        <w:spacing w:after="0" w:line="80"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review of performance by the Committee and our chief executive officer of other executive officers is both an objective and subjective assessment of each executive’s contribution to our performance, leadership qualities, strengths and weaknesses and the individual’s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Committee’s annual determinations regarding executive compensation are subject to the terms of the respective service agreements between us and the named executive officers (as set forth in more detail below). In addition to the annual reviews, the Committee also typically considers compensation changes upon a named executive officer’s promotion or other change in job responsibility. Neither our chief executive officer nor any of our other executives participates in deliberations relating to their own compensation.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Compensation Consultants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Committee has the authority to retain the services of third-party executive compensation specialists in connection with the establishment of cash and equity compensation and related policies. Historically, we have engaged compensation consultants to provide information and recommendations relating to executive pay and equity compensation or otherwise obtained third party compensation surveys. In light of the financial challenges we were facing, we did not use a compensation consultant, or review any formal industry data, in connection with setting 2009 executive compensation. The Committee has not retained a compensation consultant for 2010.</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Timing of Compensation Decisions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At the end of each fiscal year, our chief executive officer will review the performance of the other executive officers and present his conclusions and recommendations to the Committee. At that time and throughout the year, the Committee will also evaluate the performance of our chief executive officer, which is measured in substantial part against our consolidated financial performance. In January of the following fiscal year, the Committee will then assess the overall functioning of our compensation plans against our goals, and determine whether any changes to the allocation of compensation elements, or the structure or level of any particular compensation element, are warranted.</w:t>
      </w:r>
    </w:p>
    <w:p>
      <w:pPr>
        <w:spacing w:after="0" w:line="81" w:lineRule="exact"/>
        <w:rPr>
          <w:sz w:val="20"/>
          <w:szCs w:val="20"/>
          <w:color w:val="auto"/>
        </w:rPr>
      </w:pPr>
    </w:p>
    <w:p>
      <w:pPr>
        <w:jc w:val="both"/>
        <w:ind w:left="680" w:right="100" w:firstLine="499"/>
        <w:spacing w:after="0" w:line="242" w:lineRule="auto"/>
        <w:rPr>
          <w:sz w:val="20"/>
          <w:szCs w:val="20"/>
          <w:color w:val="auto"/>
        </w:rPr>
      </w:pPr>
      <w:r>
        <w:rPr>
          <w:rFonts w:ascii="Arial" w:cs="Arial" w:eastAsia="Arial" w:hAnsi="Arial"/>
          <w:sz w:val="13"/>
          <w:szCs w:val="13"/>
          <w:color w:val="auto"/>
        </w:rPr>
        <w:t>In connection with this process, our Committee generally establishes the elements of its performance-based cash bonus plan for the upcoming year. With respect to newly hired employees, our practice is typically to approve equity grants at the first meeting of the Committee following such employee’s hire date. We do not have any program, plan or practice to time equity award grants in</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00"/>
        <w:spacing w:after="0" w:line="248" w:lineRule="auto"/>
        <w:rPr>
          <w:sz w:val="20"/>
          <w:szCs w:val="20"/>
          <w:color w:val="auto"/>
        </w:rPr>
      </w:pPr>
      <w:r>
        <w:rPr>
          <w:rFonts w:ascii="Arial" w:cs="Arial" w:eastAsia="Arial" w:hAnsi="Arial"/>
          <w:sz w:val="13"/>
          <w:szCs w:val="13"/>
          <w:color w:val="auto"/>
        </w:rPr>
        <w:t>coordination with the release of material non-public information. From time to time, additional equity awards may be granted to executive officers during the fiscal year. For example, in December 2009, our executive officers were granted restricted unit bonuses and nonstatutory options for common units, as further described below.</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Elements of Compensation</w:t>
      </w:r>
    </w:p>
    <w:p>
      <w:pPr>
        <w:spacing w:after="0" w:line="102" w:lineRule="exact"/>
        <w:rPr>
          <w:sz w:val="20"/>
          <w:szCs w:val="20"/>
          <w:color w:val="auto"/>
        </w:rPr>
      </w:pPr>
    </w:p>
    <w:p>
      <w:pPr>
        <w:ind w:left="680" w:right="180" w:firstLine="499"/>
        <w:spacing w:after="0" w:line="248" w:lineRule="auto"/>
        <w:rPr>
          <w:sz w:val="20"/>
          <w:szCs w:val="20"/>
          <w:color w:val="auto"/>
        </w:rPr>
      </w:pPr>
      <w:r>
        <w:rPr>
          <w:rFonts w:ascii="Arial" w:cs="Arial" w:eastAsia="Arial" w:hAnsi="Arial"/>
          <w:sz w:val="13"/>
          <w:szCs w:val="13"/>
          <w:color w:val="auto"/>
        </w:rPr>
        <w:t>In making decisions regarding the pay of the named executive officers, the Committee looks to set a total compensation package for each officer that will retain high-quality talent and motivate executives to achieve the goals set by our board of directors. Our 2009 compensation package was composed of the following elements:</w:t>
      </w:r>
    </w:p>
    <w:p>
      <w:pPr>
        <w:spacing w:after="0" w:line="74" w:lineRule="exact"/>
        <w:rPr>
          <w:sz w:val="20"/>
          <w:szCs w:val="20"/>
          <w:color w:val="auto"/>
        </w:rPr>
      </w:pPr>
    </w:p>
    <w:p>
      <w:pPr>
        <w:ind w:left="1400" w:hanging="212"/>
        <w:spacing w:after="0"/>
        <w:tabs>
          <w:tab w:leader="none" w:pos="1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annual base salary;</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short-term cash incentives;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long-term equity incentives;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 benefits package that is generally available to all of our employees;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expatriate and other executive benefits.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Determination of Amount of Each Element of Compensation</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General Background</w:t>
      </w:r>
    </w:p>
    <w:p>
      <w:pPr>
        <w:spacing w:after="0" w:line="100" w:lineRule="exact"/>
        <w:rPr>
          <w:sz w:val="20"/>
          <w:szCs w:val="20"/>
          <w:color w:val="auto"/>
        </w:rPr>
      </w:pPr>
    </w:p>
    <w:p>
      <w:pPr>
        <w:ind w:left="680" w:right="80" w:firstLine="499"/>
        <w:spacing w:after="0" w:line="238" w:lineRule="auto"/>
        <w:rPr>
          <w:sz w:val="20"/>
          <w:szCs w:val="20"/>
          <w:color w:val="auto"/>
        </w:rPr>
      </w:pPr>
      <w:r>
        <w:rPr>
          <w:rFonts w:ascii="Arial" w:cs="Arial" w:eastAsia="Arial" w:hAnsi="Arial"/>
          <w:sz w:val="13"/>
          <w:szCs w:val="13"/>
          <w:color w:val="auto"/>
        </w:rPr>
        <w:t>Historically, the Committee has taken a variety of factors into consideration when determining changes to overall compensation levels and levels of individual annual compensation elements, as further described below. In the beginning of 2009, however, the Committee assessed the overall functioning of our compensation plans against our goals, and, due to our financial condition and impending reorganization proceedings, determined no changes from the prior year to the allocation of compensation elements, or the structure or level of any particular compensation element, were warranted for 2009. Subsequently, in connection with our emergence from our reorganization proceedings, the Committee made certain determinations with respect to executive compensation. Accordingly, unless otherwise referenced in the context of our emergence from our reorganization proceedings and the Committee’s compensation decisions made thereafter, the below disclosure is a general discussion of the manner in which the Committee has made decisions regarding compensation levels in prior years, and the underlying reasons for those decisions.</w:t>
      </w:r>
    </w:p>
    <w:p>
      <w:pPr>
        <w:spacing w:after="0" w:line="83"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Committee seeks to establish a total cash compensation package for our named executive officers that is competitive with the compensation reflected in compensation data for similarly-situated executives in the peer group reviewed by the Committee, subject to adjustments based on each executive’s experience and performance. Historically, based on the recommendations provided by outside advisors, our review of industry specific survey data and the professional and market experience of our Committee members, we measured total cash compensation for our named executive officers against cash compensation paid to executives at similarly situated companies which we determined to be our select peer group. Base salaries for our named executive officers were benchmarked to median levels for companies in the select peer group, and were adjusted upward or downward for performance, and short-term cash incentives were put in place to provide for opportunities that may result in higher than median levels of cash compensation as compared to our select peer group if, and depending upon the extent to which, our performance and that of our named executive officers exceeded expectations and the goals established by the Committee for the year in question.</w:t>
      </w:r>
    </w:p>
    <w:p>
      <w:pPr>
        <w:spacing w:after="0" w:line="82"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Historically, our select peer group has included other major Korean based semiconductor companies, including Fairchild Korea, Dongbu Hitek, ChipPac Korea and Hynix Semiconductor. In addition, we also reviewed compensation data from TowersPerrin Korea, an independent compensation</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320"/>
        <w:spacing w:after="0" w:line="248" w:lineRule="auto"/>
        <w:rPr>
          <w:sz w:val="20"/>
          <w:szCs w:val="20"/>
          <w:color w:val="auto"/>
        </w:rPr>
      </w:pPr>
      <w:r>
        <w:rPr>
          <w:rFonts w:ascii="Arial" w:cs="Arial" w:eastAsia="Arial" w:hAnsi="Arial"/>
          <w:sz w:val="13"/>
          <w:szCs w:val="13"/>
          <w:color w:val="auto"/>
        </w:rPr>
        <w:t>consultant, which surveyed the companies listed below, to assess how compensation for our select peer group related to compensation paid to executives in a broader range of technology companies.</w:t>
      </w: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2160" w:type="dxa"/>
            <w:vAlign w:val="bottom"/>
          </w:tcPr>
          <w:p>
            <w:pPr>
              <w:ind w:left="60"/>
              <w:spacing w:after="0"/>
              <w:rPr>
                <w:sz w:val="20"/>
                <w:szCs w:val="20"/>
                <w:color w:val="auto"/>
              </w:rPr>
            </w:pPr>
            <w:r>
              <w:rPr>
                <w:rFonts w:ascii="Arial" w:cs="Arial" w:eastAsia="Arial" w:hAnsi="Arial"/>
                <w:sz w:val="13"/>
                <w:szCs w:val="13"/>
                <w:color w:val="auto"/>
              </w:rPr>
              <w:t>Accenture</w:t>
            </w: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60"/>
              <w:spacing w:after="0"/>
              <w:rPr>
                <w:sz w:val="20"/>
                <w:szCs w:val="20"/>
                <w:color w:val="auto"/>
              </w:rPr>
            </w:pPr>
            <w:r>
              <w:rPr>
                <w:rFonts w:ascii="Arial" w:cs="Arial" w:eastAsia="Arial" w:hAnsi="Arial"/>
                <w:sz w:val="13"/>
                <w:szCs w:val="13"/>
                <w:color w:val="auto"/>
              </w:rPr>
              <w:t>CommVerge</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1800" w:type="dxa"/>
            <w:vAlign w:val="bottom"/>
          </w:tcPr>
          <w:p>
            <w:pPr>
              <w:ind w:left="60"/>
              <w:spacing w:after="0"/>
              <w:rPr>
                <w:sz w:val="20"/>
                <w:szCs w:val="20"/>
                <w:color w:val="auto"/>
              </w:rPr>
            </w:pPr>
            <w:r>
              <w:rPr>
                <w:rFonts w:ascii="Arial" w:cs="Arial" w:eastAsia="Arial" w:hAnsi="Arial"/>
                <w:sz w:val="13"/>
                <w:szCs w:val="13"/>
                <w:color w:val="auto"/>
              </w:rPr>
              <w:t>Lam Research</w:t>
            </w:r>
          </w:p>
        </w:tc>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NXP Semiconductors</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Advanced Micro Devices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CSR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Lexmark International</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Orange Business Services</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Applied Materials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Dell</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Microsoft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Sony Computer Entertainment</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ASML</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Electronic Arts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NCsoft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Tokyo Electron</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Blizzard</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GCT Semiconductor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Neowiz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Toshiba Group</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Cisco Systems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Gravity</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NHN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Verizon Business</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CJ Internet</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JCEntertainment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Npluto</w:t>
            </w: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57"/>
        </w:trPr>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60"/>
              <w:spacing w:after="0"/>
              <w:rPr>
                <w:sz w:val="20"/>
                <w:szCs w:val="20"/>
                <w:color w:val="auto"/>
              </w:rPr>
            </w:pPr>
            <w:r>
              <w:rPr>
                <w:rFonts w:ascii="Arial" w:cs="Arial" w:eastAsia="Arial" w:hAnsi="Arial"/>
                <w:sz w:val="13"/>
                <w:szCs w:val="13"/>
                <w:color w:val="auto"/>
              </w:rPr>
              <w:t>KLA-Tencor</w:t>
            </w: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spacing w:after="0" w:line="79"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Committee makes annual determinations regarding cash incentive compensation based on our annual operating plan, which is adopted in the December preceding each fiscal year, including the expected performance of our business in the coming fiscal year. The Committee makes all equity compensation decisions for our officers based on existing compensation arrangements for other of our executives at the same level of responsibility and based on our review of the select peer group with a view to maintaining internal consistency and parity.</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Equity awards are not tied to base salary or cash incentive amounts and will constitute lesser or greater proportions of total compensation depending on the fair value of the awards. The Committee, relying on the professional and market experience of our Committee members, generally seeks to set equity awards at median levels of equity compensation at the select peer group companies. The Committee does not apply a formula or assign relative weight in making its determination. Instead, it makes a subjective determination after considering all information collectively.</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Committee may approve additional incentive payments or equity compensation grants from time to time during the year in its discretion.</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Base Salary</w:t>
      </w:r>
    </w:p>
    <w:p>
      <w:pPr>
        <w:spacing w:after="0" w:line="100"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Base salary is the guaranteed element of an employee’s annual cash compensation. Changes in base salary may be approved by the Committee for an executive if the median levels of base salary compensation for similarly-situated executives in our select peer group have changed, and may be further adjusted based upon the employee’s long-term performance, skill set and the value of that skill. The Committee evaluates the performance of each named executive officer on an annual basis based on the accomplishment of performance objectives that were established at the beginning of the prior fiscal year as well as its own subjective evaluation of the officer’s performance. In making its evaluation, the Committee makes a subjective qualitative assessment of the officer’s contribution to our performance during the preceding year, including leadership, success in attaining particular goals of a division for which that officer has responsibility, our overall financial performance and such other criteria as the Committee may deem relevant, including input from our Chief Executive Officer. The Committee then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w:t>
      </w:r>
    </w:p>
    <w:p>
      <w:pPr>
        <w:spacing w:after="0" w:line="81"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Based upon our financial condition at the time, the Committee determined not to change compensation arrangements at the beginning of 2009. The current base salaries of the Company’s named executive officers compare to the median of the Company’s select peer group as follows: Mr. Park is at or slightly above, Mr. Hwang is slightly below, Ms. Sakai is slightly above, Mr. Rowe is slightly below and Mr. McFarland is generally in line. Our employees, including our executive officers, voluntarily accepted a 20% reduction in base salary from 2008 levels from January to June 2009, as part of austerity measures implemented to assist in our recovery. Mr. Park voluntarily accepted a 40% reduction in base salary from January to March 2009, and a 20% reduction from April to June 2009. In June 2009, our board of</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directors approved a one-time payment of 10% of base salary paid from April to June 2009 to all employees who voluntarily accepted pay reductions earlier in the year, which group included all of our named executive officers. This amount is reported as salary in the Summary Compensation Table below. We restored salaries to 2008 levels in July 2009. In December 2009, as a reward for the successful completion of our reorganization proceedings, our board of directors approved a one-time payment of 30% of then monthly base salary to all employees who voluntarily accepted pay reductions earlier in the year, which group included all of our named executive officers. The amount paid to named executive officers are reported as bonus in the Summary Compensation Table below. The Committee also granted additional special discretionary incentives to Mr. Hwang, Mr. Rowe, Ms. Sakai and Mr. McFarland, as described in more detail below.</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Cash Incentives</w:t>
      </w:r>
    </w:p>
    <w:p>
      <w:pPr>
        <w:spacing w:after="0" w:line="100"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Short-term cash incentives comprise a significant portion of the total target compensation package and are designed to reward executives for their contributions to meeting and exceeding our goals and to recognize and reward our executives in achieving these goals. Incentives are designed as a percentage of base salary and are awarded based on individual performance and our achievement of the annual, long-term and strategic quantitative goals set by our Committee.</w:t>
      </w:r>
    </w:p>
    <w:p>
      <w:pPr>
        <w:spacing w:after="0" w:line="79"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Given our financial position at the beginning of 2009, we did not modify the annual targets for our cash incentive plans for 2009. As a result, our short-term cash incentive plan was effectively suspended for the year. In December 2009, our board of directors implemented a cash incentive plan effective as of January 1, 2010, which we call the Profit Sharing Plan. Each of our employees is eligible to participate in the Profit Sharing Plan, and our board of directors intends for the Profit Sharing Plan to incentivize our named executive officers, officers and employees to exceed expectations throughout our entire fiscal year. Our board of directors has empowered the Committee to administer the Profit Sharing Plan.</w:t>
      </w:r>
    </w:p>
    <w:p>
      <w:pPr>
        <w:spacing w:after="0" w:line="81"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Under the Profit Sharing Plan, the Committee will review our business plan in December of each year and determine an annual consolidated Adjusted EBITDA target, or the Base Target, for the upcoming fiscal year and set the targeted amount to be awarded to our named executive officers and employees, or the Profit Share, for meeting the Base Target and for achievement in excess of the Base Target.</w:t>
      </w:r>
    </w:p>
    <w:p>
      <w:pPr>
        <w:spacing w:after="0" w:line="7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The Base Target is calculated as a percentage of our forecasted gross annual revenue for the upcoming fiscal year. We determine our revenue forecast by looking at several factors, including existing orders from our customers, quarterly and annual forecasts from our customers, our product roadmap and how it corresponds with our projected customer needs, and the overall industry forecasts for the semiconductor market. The Committee’s goal is to set a Base Target that is difficult but not unreasonable to achieve. To determine the percentage of gross annual revenue for purposes of setting the Base Target, the Committee, in consultation with our board of directors, first determines a range of Adjusted EBITDA growth and gross margin that is competitive based upon the select peer group and will ensure that we build unitholder value, then sets a percentage such that the forecasted Adjusted EBITDA growth and gross margin is within that range. See “Prospectus Summary — Summary Historical and Unaudited Pro Forma Consolidated Financial Data” for a discussion of how we define and why we use Adjusted EBITDA.</w:t>
      </w:r>
    </w:p>
    <w:p>
      <w:pPr>
        <w:spacing w:after="0" w:line="83"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Each named executive officer receives as a Profit Share a set percentage of their annual base salary once the Base Target is achieved. For 2010, our Chief Executive Officer is eligible to receive 40% of annual base salary, our President is eligible to receive 33.3% of annual base salary, our General Managers are eligible to receive 26.7% of annual base salary, our Senior Vice Presidents are eligible to receive 23.3% of annual base salary and our Vice Presidents are eligible to receive 20% of annual base salary. In the event we exceed the Base Target, we will pay to our executive officers and employees an additional Profit Share of 25% of our annual consolidated Adjusted EBITDA in excess of the Base Target.</w:t>
      </w:r>
    </w:p>
    <w:p>
      <w:pPr>
        <w:spacing w:after="0" w:line="81" w:lineRule="exact"/>
        <w:rPr>
          <w:sz w:val="20"/>
          <w:szCs w:val="20"/>
          <w:color w:val="auto"/>
        </w:rPr>
      </w:pPr>
    </w:p>
    <w:p>
      <w:pPr>
        <w:ind w:left="680" w:right="200" w:firstLine="499"/>
        <w:spacing w:after="0" w:line="248" w:lineRule="auto"/>
        <w:rPr>
          <w:sz w:val="20"/>
          <w:szCs w:val="20"/>
          <w:color w:val="auto"/>
        </w:rPr>
      </w:pPr>
      <w:r>
        <w:rPr>
          <w:rFonts w:ascii="Arial" w:cs="Arial" w:eastAsia="Arial" w:hAnsi="Arial"/>
          <w:sz w:val="13"/>
          <w:szCs w:val="13"/>
          <w:color w:val="auto"/>
        </w:rPr>
        <w:t>We pay the Profit Share during the normal pay period in the January following the conclusion of each fiscal year for which the Profit Share is calculated, and the Profit Share is only payable to those executives who have been employed by us during the entire fiscal year for which the Profit Share is</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
        <w:spacing w:after="0" w:line="248" w:lineRule="auto"/>
        <w:rPr>
          <w:sz w:val="20"/>
          <w:szCs w:val="20"/>
          <w:color w:val="auto"/>
        </w:rPr>
      </w:pPr>
      <w:r>
        <w:rPr>
          <w:rFonts w:ascii="Arial" w:cs="Arial" w:eastAsia="Arial" w:hAnsi="Arial"/>
          <w:sz w:val="13"/>
          <w:szCs w:val="13"/>
          <w:color w:val="auto"/>
        </w:rPr>
        <w:t>calculated and who are employed by us on the Profit Share payment date, provided that the Profit Share is payable pro rata to any named executive officers who begin their employment during the fiscal year for which the Profit Share is calculated.</w:t>
      </w:r>
    </w:p>
    <w:p>
      <w:pPr>
        <w:spacing w:after="0" w:line="74"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Committee retains the sole discretion to (i) authorize the payment of the Profit Share in December of the relevant fiscal year when the Committee believes the Base Target will be achieved, (ii) pay Profit Shares when we achieve slightly less than the Base Target, and (iii) make interim Profit Share payments during the fiscal year. In addition to the Profit Sharing Plan, the Committee retains the right to grant discretionary incentives to our named executive officers as a reward for extraordinary performance. For example, Mr. Hwang, Ms. Sakai and Mr. McFarland were paid a discretionary incentive in December 2009 in recognition of their role in our successful reorganization proceedings. These amounts were not based upon any numerical or formulaic factors, but rather were determined by the Committee based upon a subjective assessment of their respective individual contributions and are reported in the Summary Compensation Table in the column labeled “Bonus.” In addition, Messrs. Park and Rowe were each entitled to fixed bonuses pursuant to their employment agreements subject to continued employment. In the case of Mr. Park, he elected to forego $298,000 of the bonus otherwise payable to him in order for such amounts to be available for bonuses to other executives, including discretionary bonuses paid to Mr. Hwang, Ms. Sakai and Mr. McFarland.</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For 2010, the implementation of the Profit Sharing Plan has been modified to provide our employees with an opportunity to share in our success earlier in the fiscal year than under the existing Profit Sharing Plan. In addition to setting the Base Target, two interim targets for our first and second fiscal quarters have been set. We will make Profit Share payments in the first normal pay period following the conclusion of each of the first two fiscal quarters in which we reach the corresponding quarterly target. The total Profit Share payable for meeting the Base Target for 2010 is capped for each employee at his or her respective percentage of annual base salary, such that the amount of any Profit Share payable for 2010 performance after the end of 2010 will be offset by any portion of the Profit Share paid during 2010 for reaching either or both of the quarterly targets. In addition, for 2010, if we exceed the Base Target our employees will not be eligible to earn the additional Profit Share of 25% of our annual consolidated Adjusted EBITDA in excess of the Base Target. As a result, our executive officers and employees will only be entitled to receive a cash incentive equal to the percentage of their salary disclosed above. Under the Profit Sharing Plan, we recognized bonuses for our named executive officers in our consolidated statement of operations for the three months ended March 31, 2010 in an aggregate amount of $35,116, ranging individually from $4,835 to $11,211. The bonuses were paid in April 2010.</w:t>
      </w:r>
    </w:p>
    <w:p>
      <w:pPr>
        <w:spacing w:after="0" w:line="28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Equity Compensation</w:t>
      </w:r>
    </w:p>
    <w:p>
      <w:pPr>
        <w:spacing w:after="0" w:line="100"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In addition to cash incentives, we offer equity incentives as a way to enhance the link between the creation of unitholder value and executive incentive compensation and to give our executives appropriate motivation and rewards for achieving increases in enterprise value. Under our 2009 Common Unit Plan, our board of directors granted options to acquire MagnaChip Semiconductor LLC common units and restricted unit bonus awards. Awards under our 2009 Common Unit Plan will be converted into options for common stock and restricted common stock of MagnaChip Semiconductor Corporation upon our corporate conversion. Such options vest in installments over three years following grant, with approximately one-third of the restricted unit awards vested at grant and the remainder vesting in two subsequent annual installments, as set forth in more detail below.</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Under our 2010 Equity Incentive Plan, which will replace the 2009 Common Unit Plan immediately following our corporation conversion, the Committee may grant participants stock options, stock appreciation rights, restricted stock, restricted stock units, performance shares and units, and other stock-based and cash-based awards. In granting equity awards, the Committee may establish any conditions or restrictions it deems appropriate. Stock options and stock appreciation rights must have exercise prices at least equal to the fair market value of the stock at the time of their grant pursuant to the 2010 Equity Incentive Plan. Following the completion of this offering, the fair market value of the stock at the time of grant will generally be the closing price of a share of stock as quoted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on the national or regional securities exchange or quotation system constituting the primary market for the stock on the date any grant is made. Prior to the exercise of a stock option or stock appreciation or settlement of an award denominated in units, the holder has no rights as a stockholder with respect to the stock subject to the award, including voting rights and the right to receive dividends. Participants receiving restricted stock awards are stockholders and have both voting rights and the right to receive dividends, except that dividends paid on unvested shares may remain subject to forfeiture until vested. Award vesting ceases upon termination of employment, and vested options and stock appreciation rights remain exercisable only for a limited period following such termination.</w:t>
      </w:r>
    </w:p>
    <w:p>
      <w:pPr>
        <w:spacing w:after="0" w:line="81"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Committee considers granting additional equity compensation in the event of new employment, a promotion or change in job responsibility or a change in median levels of equity compensation for similarly-situated executives at companies in our select peer group or in its discretion to reward or incentivize individual officers. The option award levels vary among participants based on their job grade and position. The Committee generally seeks to award equity compensation at levels consistent with the median levels for executives at companies in our select peer group, and will also make subjective determinations regarding adjustments to award amounts in light of factors such as the available pool, individual performance and role of executives. For example, the Committee may adjust the size of an award for an individual executive above the option award level for his or her position if the Committee determines that the executive has provided exceptional performance, or may increase the option award level for a position above the median level reflected in the select peer group if the position is considered by the Committee to be more critical to our long-term success. The Committee will generally maintain substantially equivalent award levels for executives at equivalent job grades. Stock option awards are not tied to base salary or cash incentive amounts.</w:t>
      </w:r>
    </w:p>
    <w:p>
      <w:pPr>
        <w:spacing w:after="0" w:line="81"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As a result of our reorganization proceedings, all previously outstanding common and preferred units and options held by our named executive officers were cancelled. In December 2009, we granted new options to our executives with the option award amounts generally determined based upon the median levels of our select peer group. Thirty-four percent of the common units subject to the options will vest and become exercisable on the first anniversary of grant date, with 8 or 9% of the common units subject to the options vesting on completion of each three-month period thereafter through December 2012. In December 2009, in recognition of services provided in guiding us through our reorganization proceedings, our board of directors also granted each of our current named executive officers a restricted unit bonus in addition to an option. The amount of the restricted unit bonuses were not based upon any numerical or formulaic factors, nor based upon any comparative peer group, data or the number of options granted, but rather were determined based upon our board of directors’ subjective assessment of individual contributions to the successful completion of the reorganization proceedings. We granted restricted unit bonuses in order to provide our executives with an equity incentive with a built-in gain equal to the value of the units as of the date of grant while still incentivizing them to contribute toward increasing our enterprise value. See “Grant of Plan-Based Awards” below for information regarding the number and value of units granted to each named executive officer. Thirty-four percent of each restricted unit bonus vested upon grant, with the remaining portion vesting in equal installments on the first and second anniversary of the grant date.</w:t>
      </w:r>
    </w:p>
    <w:p>
      <w:pPr>
        <w:spacing w:after="0" w:line="80" w:lineRule="exact"/>
        <w:rPr>
          <w:sz w:val="20"/>
          <w:szCs w:val="20"/>
          <w:color w:val="auto"/>
        </w:rPr>
      </w:pPr>
    </w:p>
    <w:p>
      <w:pPr>
        <w:ind w:left="680" w:right="660" w:firstLine="499"/>
        <w:spacing w:after="0" w:line="248" w:lineRule="auto"/>
        <w:rPr>
          <w:sz w:val="20"/>
          <w:szCs w:val="20"/>
          <w:color w:val="auto"/>
        </w:rPr>
      </w:pPr>
      <w:r>
        <w:rPr>
          <w:rFonts w:ascii="Arial" w:cs="Arial" w:eastAsia="Arial" w:hAnsi="Arial"/>
          <w:sz w:val="13"/>
          <w:szCs w:val="13"/>
          <w:color w:val="auto"/>
        </w:rPr>
        <w:t>Upon the recommendation of our board of directors or chief executive officer, or otherwise, the Committee may in the future consider granting additional performance-based equity incentives.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Perquisites and Other Benefits</w:t>
      </w:r>
    </w:p>
    <w:p>
      <w:pPr>
        <w:spacing w:after="0" w:line="10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provide the named executive officers with perquisites and other personal benefits, including expatriate benefits, that the Committee believes are reasonable and consistent with our overall compensation program to better enable us to attract and retain superior employees for key positions. Generally perquisites are determined based upon what the Committee considers to be the most customary perquisites offered by the select peer group and are not based upon a median cost for specific perquisites or for the perquisites in aggregate. The Committee determines the level and types of expatriate benefits for the executive officers based on local market surveys taken by our human</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resources group. These surveys are not limited to our select peer group, but include a broad range of non-Korea based companies with significant operations in Korea.</w:t>
      </w:r>
    </w:p>
    <w:p>
      <w:pPr>
        <w:ind w:left="680"/>
        <w:spacing w:after="0"/>
        <w:rPr>
          <w:sz w:val="20"/>
          <w:szCs w:val="20"/>
          <w:color w:val="auto"/>
        </w:rPr>
      </w:pPr>
      <w:r>
        <w:rPr>
          <w:rFonts w:ascii="Arial" w:cs="Arial" w:eastAsia="Arial" w:hAnsi="Arial"/>
          <w:sz w:val="13"/>
          <w:szCs w:val="13"/>
          <w:color w:val="auto"/>
        </w:rPr>
        <w:t>Attributed costs of the personal benefits for the named executive officers are as set forth in the Summary Compensation Table below.</w:t>
      </w:r>
    </w:p>
    <w:p>
      <w:pPr>
        <w:spacing w:after="0" w:line="86"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Mr. Park, Ms. Sakai and Mr. McFarland were expatriates during all or part of 2009 and received expatriate benefits commensurate with market practice in Korea. These perquisites, which were determined on an individual basis, included housing allowances, relocation allowances, insurance premiums, reimbursement for the use of a car, home leave flights, living expenses, tax equalization payments and tax advisory services, each as we deemed appropriate.</w:t>
      </w:r>
    </w:p>
    <w:p>
      <w:pPr>
        <w:spacing w:after="0" w:line="79"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In addition, pursuant to the Employee Retirement Benefit Security Act,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Mr. Hwang, Ms. Sakai and Mr. McFarland accrue statutory severance.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w:t>
      </w:r>
    </w:p>
    <w:p>
      <w:pPr>
        <w:spacing w:after="0" w:line="102"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The following table sets forth certain information concerning the compensation earned during the years ended December 31, 2007, 2008 and 2009, of our named executive officers: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rPr>
              <w:t>Change in</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Pension</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Value</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and Non-</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qualified</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Deferred</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Compen-</w:t>
            </w:r>
          </w:p>
        </w:tc>
        <w:tc>
          <w:tcPr>
            <w:tcW w:w="16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All Other</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8"/>
                <w:szCs w:val="8"/>
                <w:color w:val="auto"/>
              </w:rPr>
            </w:pP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Option</w:t>
            </w: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sation</w:t>
            </w:r>
          </w:p>
        </w:tc>
        <w:tc>
          <w:tcPr>
            <w:tcW w:w="16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Compen-</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line="98" w:lineRule="exact"/>
              <w:rPr>
                <w:sz w:val="20"/>
                <w:szCs w:val="20"/>
                <w:color w:val="auto"/>
              </w:rPr>
            </w:pPr>
            <w:r>
              <w:rPr>
                <w:rFonts w:ascii="Arial" w:cs="Arial" w:eastAsia="Arial" w:hAnsi="Arial"/>
                <w:sz w:val="9"/>
                <w:szCs w:val="9"/>
                <w:b w:val="1"/>
                <w:bCs w:val="1"/>
                <w:color w:val="auto"/>
              </w:rPr>
              <w:t>Name and Principal</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Salary</w:t>
            </w:r>
          </w:p>
        </w:tc>
        <w:tc>
          <w:tcPr>
            <w:tcW w:w="140" w:type="dxa"/>
            <w:vAlign w:val="bottom"/>
          </w:tcPr>
          <w:p>
            <w:pPr>
              <w:spacing w:after="0"/>
              <w:rPr>
                <w:sz w:val="8"/>
                <w:szCs w:val="8"/>
                <w:color w:val="auto"/>
              </w:rPr>
            </w:pPr>
          </w:p>
        </w:tc>
        <w:tc>
          <w:tcPr>
            <w:tcW w:w="720" w:type="dxa"/>
            <w:vAlign w:val="bottom"/>
          </w:tcPr>
          <w:p>
            <w:pPr>
              <w:jc w:val="right"/>
              <w:ind w:right="174"/>
              <w:spacing w:after="0" w:line="98" w:lineRule="exact"/>
              <w:rPr>
                <w:sz w:val="20"/>
                <w:szCs w:val="20"/>
                <w:color w:val="auto"/>
              </w:rPr>
            </w:pPr>
            <w:r>
              <w:rPr>
                <w:rFonts w:ascii="Arial" w:cs="Arial" w:eastAsia="Arial" w:hAnsi="Arial"/>
                <w:sz w:val="9"/>
                <w:szCs w:val="9"/>
                <w:b w:val="1"/>
                <w:bCs w:val="1"/>
                <w:color w:val="auto"/>
              </w:rPr>
              <w:t>Bonus</w:t>
            </w:r>
          </w:p>
        </w:tc>
        <w:tc>
          <w:tcPr>
            <w:tcW w:w="2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8"/>
              </w:rPr>
              <w:t>Awards</w:t>
            </w:r>
          </w:p>
        </w:tc>
        <w:tc>
          <w:tcPr>
            <w:tcW w:w="140" w:type="dxa"/>
            <w:vAlign w:val="bottom"/>
          </w:tcPr>
          <w:p>
            <w:pPr>
              <w:spacing w:after="0"/>
              <w:rPr>
                <w:sz w:val="8"/>
                <w:szCs w:val="8"/>
                <w:color w:val="auto"/>
              </w:rPr>
            </w:pP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Awards</w:t>
            </w: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8"/>
              </w:rPr>
              <w:t>Earnings</w:t>
            </w:r>
          </w:p>
        </w:tc>
        <w:tc>
          <w:tcPr>
            <w:tcW w:w="16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sation</w:t>
            </w:r>
          </w:p>
        </w:tc>
        <w:tc>
          <w:tcPr>
            <w:tcW w:w="280" w:type="dxa"/>
            <w:vAlign w:val="bottom"/>
          </w:tcPr>
          <w:p>
            <w:pPr>
              <w:spacing w:after="0"/>
              <w:rPr>
                <w:sz w:val="8"/>
                <w:szCs w:val="8"/>
                <w:color w:val="auto"/>
              </w:rPr>
            </w:pPr>
          </w:p>
        </w:tc>
        <w:tc>
          <w:tcPr>
            <w:tcW w:w="900" w:type="dxa"/>
            <w:vAlign w:val="bottom"/>
          </w:tcPr>
          <w:p>
            <w:pPr>
              <w:jc w:val="right"/>
              <w:ind w:right="294"/>
              <w:spacing w:after="0" w:line="98" w:lineRule="exact"/>
              <w:rPr>
                <w:sz w:val="20"/>
                <w:szCs w:val="20"/>
                <w:color w:val="auto"/>
              </w:rPr>
            </w:pPr>
            <w:r>
              <w:rPr>
                <w:rFonts w:ascii="Arial" w:cs="Arial" w:eastAsia="Arial" w:hAnsi="Arial"/>
                <w:sz w:val="9"/>
                <w:szCs w:val="9"/>
                <w:b w:val="1"/>
                <w:bCs w:val="1"/>
                <w:color w:val="auto"/>
              </w:rPr>
              <w:t>Total</w:t>
            </w:r>
          </w:p>
        </w:tc>
      </w:tr>
      <w:tr>
        <w:trPr>
          <w:trHeight w:val="122"/>
        </w:trPr>
        <w:tc>
          <w:tcPr>
            <w:tcW w:w="2700" w:type="dxa"/>
            <w:vAlign w:val="bottom"/>
          </w:tcPr>
          <w:p>
            <w:pPr>
              <w:spacing w:after="0"/>
              <w:rPr>
                <w:sz w:val="20"/>
                <w:szCs w:val="20"/>
                <w:color w:val="auto"/>
              </w:rPr>
            </w:pPr>
            <w:r>
              <w:rPr>
                <w:rFonts w:ascii="Arial" w:cs="Arial" w:eastAsia="Arial" w:hAnsi="Arial"/>
                <w:sz w:val="9"/>
                <w:szCs w:val="9"/>
                <w:b w:val="1"/>
                <w:bCs w:val="1"/>
                <w:color w:val="auto"/>
              </w:rPr>
              <w:t>Position</w:t>
            </w:r>
          </w:p>
        </w:tc>
        <w:tc>
          <w:tcPr>
            <w:tcW w:w="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91"/>
              </w:rPr>
              <w:t>Year</w:t>
            </w:r>
          </w:p>
        </w:tc>
        <w:tc>
          <w:tcPr>
            <w:tcW w:w="860" w:type="dxa"/>
            <w:vAlign w:val="bottom"/>
            <w:gridSpan w:val="2"/>
          </w:tcPr>
          <w:p>
            <w:pPr>
              <w:jc w:val="right"/>
              <w:ind w:right="194"/>
              <w:spacing w:after="0"/>
              <w:rPr>
                <w:sz w:val="20"/>
                <w:szCs w:val="20"/>
                <w:color w:val="auto"/>
              </w:rPr>
            </w:pPr>
            <w:r>
              <w:rPr>
                <w:rFonts w:ascii="Arial" w:cs="Arial" w:eastAsia="Arial" w:hAnsi="Arial"/>
                <w:sz w:val="9"/>
                <w:szCs w:val="9"/>
                <w:b w:val="1"/>
                <w:bCs w:val="1"/>
                <w:color w:val="auto"/>
              </w:rPr>
              <w:t>($)(1)</w:t>
            </w:r>
          </w:p>
        </w:tc>
        <w:tc>
          <w:tcPr>
            <w:tcW w:w="86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w:t>
            </w:r>
          </w:p>
        </w:tc>
        <w:tc>
          <w:tcPr>
            <w:tcW w:w="1160" w:type="dxa"/>
            <w:vAlign w:val="bottom"/>
            <w:gridSpan w:val="2"/>
          </w:tcPr>
          <w:p>
            <w:pPr>
              <w:jc w:val="center"/>
              <w:ind w:left="229"/>
              <w:spacing w:after="0"/>
              <w:rPr>
                <w:sz w:val="20"/>
                <w:szCs w:val="20"/>
                <w:color w:val="auto"/>
              </w:rPr>
            </w:pPr>
            <w:r>
              <w:rPr>
                <w:rFonts w:ascii="Arial" w:cs="Arial" w:eastAsia="Arial" w:hAnsi="Arial"/>
                <w:sz w:val="9"/>
                <w:szCs w:val="9"/>
                <w:b w:val="1"/>
                <w:bCs w:val="1"/>
                <w:color w:val="auto"/>
              </w:rPr>
              <w:t>($)(2)</w:t>
            </w:r>
          </w:p>
        </w:tc>
        <w:tc>
          <w:tcPr>
            <w:tcW w:w="820" w:type="dxa"/>
            <w:vAlign w:val="bottom"/>
            <w:gridSpan w:val="2"/>
          </w:tcPr>
          <w:p>
            <w:pPr>
              <w:jc w:val="center"/>
              <w:ind w:left="109"/>
              <w:spacing w:after="0"/>
              <w:rPr>
                <w:sz w:val="20"/>
                <w:szCs w:val="20"/>
                <w:color w:val="auto"/>
              </w:rPr>
            </w:pPr>
            <w:r>
              <w:rPr>
                <w:rFonts w:ascii="Arial" w:cs="Arial" w:eastAsia="Arial" w:hAnsi="Arial"/>
                <w:sz w:val="9"/>
                <w:szCs w:val="9"/>
                <w:b w:val="1"/>
                <w:bCs w:val="1"/>
                <w:color w:val="auto"/>
                <w:w w:val="99"/>
              </w:rPr>
              <w:t>($)(2)</w:t>
            </w:r>
          </w:p>
        </w:tc>
        <w:tc>
          <w:tcPr>
            <w:tcW w:w="1060" w:type="dxa"/>
            <w:vAlign w:val="bottom"/>
            <w:gridSpan w:val="2"/>
          </w:tcPr>
          <w:p>
            <w:pPr>
              <w:jc w:val="center"/>
              <w:ind w:left="108"/>
              <w:spacing w:after="0"/>
              <w:rPr>
                <w:sz w:val="20"/>
                <w:szCs w:val="20"/>
                <w:color w:val="auto"/>
              </w:rPr>
            </w:pPr>
            <w:r>
              <w:rPr>
                <w:rFonts w:ascii="Arial" w:cs="Arial" w:eastAsia="Arial" w:hAnsi="Arial"/>
                <w:sz w:val="9"/>
                <w:szCs w:val="9"/>
                <w:b w:val="1"/>
                <w:bCs w:val="1"/>
                <w:color w:val="auto"/>
                <w:w w:val="99"/>
              </w:rPr>
              <w:t>($)(3)</w:t>
            </w:r>
          </w:p>
        </w:tc>
        <w:tc>
          <w:tcPr>
            <w:tcW w:w="880" w:type="dxa"/>
            <w:vAlign w:val="bottom"/>
            <w:gridSpan w:val="2"/>
          </w:tcPr>
          <w:p>
            <w:pPr>
              <w:jc w:val="center"/>
              <w:ind w:left="108"/>
              <w:spacing w:after="0"/>
              <w:rPr>
                <w:sz w:val="20"/>
                <w:szCs w:val="20"/>
                <w:color w:val="auto"/>
              </w:rPr>
            </w:pPr>
            <w:r>
              <w:rPr>
                <w:rFonts w:ascii="Arial" w:cs="Arial" w:eastAsia="Arial" w:hAnsi="Arial"/>
                <w:sz w:val="9"/>
                <w:szCs w:val="9"/>
                <w:b w:val="1"/>
                <w:bCs w:val="1"/>
                <w:color w:val="auto"/>
              </w:rPr>
              <w:t>($)</w:t>
            </w:r>
          </w:p>
        </w:tc>
        <w:tc>
          <w:tcPr>
            <w:tcW w:w="1180" w:type="dxa"/>
            <w:vAlign w:val="bottom"/>
            <w:gridSpan w:val="2"/>
          </w:tcPr>
          <w:p>
            <w:pPr>
              <w:jc w:val="right"/>
              <w:ind w:right="354"/>
              <w:spacing w:after="0"/>
              <w:rPr>
                <w:sz w:val="20"/>
                <w:szCs w:val="20"/>
                <w:color w:val="auto"/>
              </w:rPr>
            </w:pPr>
            <w:r>
              <w:rPr>
                <w:rFonts w:ascii="Arial" w:cs="Arial" w:eastAsia="Arial" w:hAnsi="Arial"/>
                <w:sz w:val="9"/>
                <w:szCs w:val="9"/>
                <w:b w:val="1"/>
                <w:bCs w:val="1"/>
                <w:color w:val="auto"/>
              </w:rPr>
              <w:t>($)</w:t>
            </w:r>
          </w:p>
        </w:tc>
      </w:tr>
      <w:tr>
        <w:trPr>
          <w:trHeight w:val="29"/>
        </w:trPr>
        <w:tc>
          <w:tcPr>
            <w:tcW w:w="2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18"/>
        </w:trPr>
        <w:tc>
          <w:tcPr>
            <w:tcW w:w="2700" w:type="dxa"/>
            <w:vAlign w:val="bottom"/>
            <w:shd w:val="clear" w:color="auto" w:fill="CCEEFF"/>
          </w:tcPr>
          <w:p>
            <w:pPr>
              <w:spacing w:after="0"/>
              <w:rPr>
                <w:sz w:val="20"/>
                <w:szCs w:val="20"/>
                <w:color w:val="auto"/>
              </w:rPr>
            </w:pPr>
            <w:r>
              <w:rPr>
                <w:rFonts w:ascii="Arial" w:cs="Arial" w:eastAsia="Arial" w:hAnsi="Arial"/>
                <w:sz w:val="10"/>
                <w:szCs w:val="10"/>
                <w:color w:val="auto"/>
              </w:rPr>
              <w:t>Sang Park</w:t>
            </w:r>
          </w:p>
        </w:tc>
        <w:tc>
          <w:tcPr>
            <w:tcW w:w="46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979,611(4)</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11,262</w:t>
            </w:r>
          </w:p>
        </w:tc>
        <w:tc>
          <w:tcPr>
            <w:tcW w:w="11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1,769,600</w:t>
            </w: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488,070</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314,785(5)</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3,563,328</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Chairman and</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2008</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442,128</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351,897(6)</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794,025</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Chief Executive Officer</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2007</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450,148</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309,330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244,468(7)</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1,003,946</w:t>
            </w: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Tae Young Hwang,</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189,748</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106,544</w:t>
            </w:r>
          </w:p>
        </w:tc>
        <w:tc>
          <w:tcPr>
            <w:tcW w:w="1160" w:type="dxa"/>
            <w:vAlign w:val="bottom"/>
            <w:gridSpan w:val="2"/>
          </w:tcPr>
          <w:p>
            <w:pPr>
              <w:jc w:val="right"/>
              <w:ind w:right="154"/>
              <w:spacing w:after="0"/>
              <w:rPr>
                <w:sz w:val="20"/>
                <w:szCs w:val="20"/>
                <w:color w:val="auto"/>
              </w:rPr>
            </w:pPr>
            <w:r>
              <w:rPr>
                <w:rFonts w:ascii="Arial" w:cs="Arial" w:eastAsia="Arial" w:hAnsi="Arial"/>
                <w:sz w:val="10"/>
                <w:szCs w:val="10"/>
                <w:color w:val="auto"/>
              </w:rPr>
              <w:t>663,600</w:t>
            </w:r>
          </w:p>
        </w:tc>
        <w:tc>
          <w:tcPr>
            <w:tcW w:w="820" w:type="dxa"/>
            <w:vAlign w:val="bottom"/>
            <w:gridSpan w:val="2"/>
          </w:tcPr>
          <w:p>
            <w:pPr>
              <w:jc w:val="right"/>
              <w:ind w:right="94"/>
              <w:spacing w:after="0"/>
              <w:rPr>
                <w:sz w:val="20"/>
                <w:szCs w:val="20"/>
                <w:color w:val="auto"/>
              </w:rPr>
            </w:pPr>
            <w:r>
              <w:rPr>
                <w:rFonts w:ascii="Arial" w:cs="Arial" w:eastAsia="Arial" w:hAnsi="Arial"/>
                <w:sz w:val="10"/>
                <w:szCs w:val="10"/>
                <w:color w:val="auto"/>
              </w:rPr>
              <w:t>305,044</w:t>
            </w: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119,541</w:t>
            </w:r>
          </w:p>
        </w:tc>
        <w:tc>
          <w:tcPr>
            <w:tcW w:w="880" w:type="dxa"/>
            <w:vAlign w:val="bottom"/>
            <w:gridSpan w:val="2"/>
          </w:tcPr>
          <w:p>
            <w:pPr>
              <w:jc w:val="right"/>
              <w:ind w:right="14"/>
              <w:spacing w:after="0"/>
              <w:rPr>
                <w:sz w:val="20"/>
                <w:szCs w:val="20"/>
                <w:color w:val="auto"/>
              </w:rPr>
            </w:pPr>
            <w:r>
              <w:rPr>
                <w:rFonts w:ascii="Arial" w:cs="Arial" w:eastAsia="Arial" w:hAnsi="Arial"/>
                <w:sz w:val="10"/>
                <w:szCs w:val="10"/>
                <w:color w:val="auto"/>
              </w:rPr>
              <w:t>10,884(8)</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1,395,361</w:t>
            </w:r>
          </w:p>
        </w:tc>
      </w:tr>
      <w:tr>
        <w:trPr>
          <w:trHeight w:val="118"/>
        </w:trPr>
        <w:tc>
          <w:tcPr>
            <w:tcW w:w="2700" w:type="dxa"/>
            <w:vAlign w:val="bottom"/>
          </w:tcPr>
          <w:p>
            <w:pPr>
              <w:ind w:left="120"/>
              <w:spacing w:after="0"/>
              <w:rPr>
                <w:sz w:val="20"/>
                <w:szCs w:val="20"/>
                <w:color w:val="auto"/>
              </w:rPr>
            </w:pPr>
            <w:r>
              <w:rPr>
                <w:rFonts w:ascii="Arial" w:cs="Arial" w:eastAsia="Arial" w:hAnsi="Arial"/>
                <w:sz w:val="10"/>
                <w:szCs w:val="10"/>
                <w:color w:val="auto"/>
              </w:rPr>
              <w:t>Chief Operating</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2008</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212,307</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99,095</w:t>
            </w:r>
          </w:p>
        </w:tc>
        <w:tc>
          <w:tcPr>
            <w:tcW w:w="880" w:type="dxa"/>
            <w:vAlign w:val="bottom"/>
            <w:gridSpan w:val="2"/>
          </w:tcPr>
          <w:p>
            <w:pPr>
              <w:jc w:val="right"/>
              <w:ind w:right="14"/>
              <w:spacing w:after="0"/>
              <w:rPr>
                <w:sz w:val="20"/>
                <w:szCs w:val="20"/>
                <w:color w:val="auto"/>
              </w:rPr>
            </w:pPr>
            <w:r>
              <w:rPr>
                <w:rFonts w:ascii="Arial" w:cs="Arial" w:eastAsia="Arial" w:hAnsi="Arial"/>
                <w:sz w:val="10"/>
                <w:szCs w:val="10"/>
                <w:color w:val="auto"/>
              </w:rPr>
              <w:t>20,293(9)</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331,695</w:t>
            </w:r>
          </w:p>
        </w:tc>
      </w:tr>
      <w:tr>
        <w:trPr>
          <w:trHeight w:val="114"/>
        </w:trPr>
        <w:tc>
          <w:tcPr>
            <w:tcW w:w="2700" w:type="dxa"/>
            <w:vAlign w:val="bottom"/>
          </w:tcPr>
          <w:p>
            <w:pPr>
              <w:ind w:left="120"/>
              <w:spacing w:after="0"/>
              <w:rPr>
                <w:sz w:val="20"/>
                <w:szCs w:val="20"/>
                <w:color w:val="auto"/>
              </w:rPr>
            </w:pPr>
            <w:r>
              <w:rPr>
                <w:rFonts w:ascii="Arial" w:cs="Arial" w:eastAsia="Arial" w:hAnsi="Arial"/>
                <w:sz w:val="10"/>
                <w:szCs w:val="10"/>
                <w:color w:val="auto"/>
              </w:rPr>
              <w:t>Officer and President</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2007</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236,830</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119,339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19,735</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11,476(10)</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387,380</w:t>
            </w:r>
          </w:p>
        </w:tc>
      </w:tr>
      <w:tr>
        <w:trPr>
          <w:trHeight w:val="118"/>
        </w:trPr>
        <w:tc>
          <w:tcPr>
            <w:tcW w:w="2700" w:type="dxa"/>
            <w:vAlign w:val="bottom"/>
            <w:shd w:val="clear" w:color="auto" w:fill="CCEEFF"/>
          </w:tcPr>
          <w:p>
            <w:pPr>
              <w:spacing w:after="0"/>
              <w:rPr>
                <w:sz w:val="20"/>
                <w:szCs w:val="20"/>
                <w:color w:val="auto"/>
              </w:rPr>
            </w:pPr>
            <w:r>
              <w:rPr>
                <w:rFonts w:ascii="Arial" w:cs="Arial" w:eastAsia="Arial" w:hAnsi="Arial"/>
                <w:sz w:val="10"/>
                <w:szCs w:val="10"/>
                <w:color w:val="auto"/>
              </w:rPr>
              <w:t>Brent Rowe</w:t>
            </w:r>
          </w:p>
        </w:tc>
        <w:tc>
          <w:tcPr>
            <w:tcW w:w="46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398,554(11)</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70,500</w:t>
            </w:r>
          </w:p>
        </w:tc>
        <w:tc>
          <w:tcPr>
            <w:tcW w:w="11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442,400</w:t>
            </w: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183,026</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12,231(12)</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1,106,711</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Senior Vice President,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2008</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226,308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176,000(13)</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25,673(14)</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427,981</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Worldwide Sales</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2007</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220,846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176,000(15)</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142,191(16)</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539,037</w:t>
            </w: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Margaret Sakai</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238,347</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46,549</w:t>
            </w:r>
          </w:p>
        </w:tc>
        <w:tc>
          <w:tcPr>
            <w:tcW w:w="1160" w:type="dxa"/>
            <w:vAlign w:val="bottom"/>
            <w:gridSpan w:val="2"/>
          </w:tcPr>
          <w:p>
            <w:pPr>
              <w:jc w:val="right"/>
              <w:ind w:right="154"/>
              <w:spacing w:after="0"/>
              <w:rPr>
                <w:sz w:val="20"/>
                <w:szCs w:val="20"/>
                <w:color w:val="auto"/>
              </w:rPr>
            </w:pPr>
            <w:r>
              <w:rPr>
                <w:rFonts w:ascii="Arial" w:cs="Arial" w:eastAsia="Arial" w:hAnsi="Arial"/>
                <w:sz w:val="10"/>
                <w:szCs w:val="10"/>
                <w:color w:val="auto"/>
              </w:rPr>
              <w:t>265,440</w:t>
            </w:r>
          </w:p>
        </w:tc>
        <w:tc>
          <w:tcPr>
            <w:tcW w:w="820" w:type="dxa"/>
            <w:vAlign w:val="bottom"/>
            <w:gridSpan w:val="2"/>
          </w:tcPr>
          <w:p>
            <w:pPr>
              <w:jc w:val="right"/>
              <w:ind w:right="94"/>
              <w:spacing w:after="0"/>
              <w:rPr>
                <w:sz w:val="20"/>
                <w:szCs w:val="20"/>
                <w:color w:val="auto"/>
              </w:rPr>
            </w:pPr>
            <w:r>
              <w:rPr>
                <w:rFonts w:ascii="Arial" w:cs="Arial" w:eastAsia="Arial" w:hAnsi="Arial"/>
                <w:sz w:val="10"/>
                <w:szCs w:val="10"/>
                <w:color w:val="auto"/>
              </w:rPr>
              <w:t>73,211</w:t>
            </w: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12,143</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163,668(17)</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799,358</w:t>
            </w:r>
          </w:p>
        </w:tc>
      </w:tr>
      <w:tr>
        <w:trPr>
          <w:trHeight w:val="118"/>
        </w:trPr>
        <w:tc>
          <w:tcPr>
            <w:tcW w:w="2700" w:type="dxa"/>
            <w:vAlign w:val="bottom"/>
          </w:tcPr>
          <w:p>
            <w:pPr>
              <w:ind w:left="120"/>
              <w:spacing w:after="0"/>
              <w:rPr>
                <w:sz w:val="20"/>
                <w:szCs w:val="20"/>
                <w:color w:val="auto"/>
              </w:rPr>
            </w:pPr>
            <w:r>
              <w:rPr>
                <w:rFonts w:ascii="Arial" w:cs="Arial" w:eastAsia="Arial" w:hAnsi="Arial"/>
                <w:sz w:val="10"/>
                <w:szCs w:val="10"/>
                <w:color w:val="auto"/>
              </w:rPr>
              <w:t>Senior Vice President,</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2008</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250,934</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37,683</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180,025(18)</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468,642</w:t>
            </w:r>
          </w:p>
        </w:tc>
      </w:tr>
      <w:tr>
        <w:trPr>
          <w:trHeight w:val="114"/>
        </w:trPr>
        <w:tc>
          <w:tcPr>
            <w:tcW w:w="2700" w:type="dxa"/>
            <w:vAlign w:val="bottom"/>
          </w:tcPr>
          <w:p>
            <w:pPr>
              <w:ind w:left="120"/>
              <w:spacing w:after="0"/>
              <w:rPr>
                <w:sz w:val="20"/>
                <w:szCs w:val="20"/>
                <w:color w:val="auto"/>
              </w:rPr>
            </w:pPr>
            <w:r>
              <w:rPr>
                <w:rFonts w:ascii="Arial" w:cs="Arial" w:eastAsia="Arial" w:hAnsi="Arial"/>
                <w:sz w:val="10"/>
                <w:szCs w:val="10"/>
                <w:color w:val="auto"/>
              </w:rPr>
              <w:t>Chief Financial Officer</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2007</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250,082</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21,569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24,086</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167,791(19)</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463,528</w:t>
            </w:r>
          </w:p>
        </w:tc>
      </w:tr>
      <w:tr>
        <w:trPr>
          <w:trHeight w:val="118"/>
        </w:trPr>
        <w:tc>
          <w:tcPr>
            <w:tcW w:w="2700" w:type="dxa"/>
            <w:vAlign w:val="bottom"/>
            <w:shd w:val="clear" w:color="auto" w:fill="CCEEFF"/>
          </w:tcPr>
          <w:p>
            <w:pPr>
              <w:spacing w:after="0"/>
              <w:rPr>
                <w:sz w:val="20"/>
                <w:szCs w:val="20"/>
                <w:color w:val="auto"/>
              </w:rPr>
            </w:pPr>
            <w:r>
              <w:rPr>
                <w:rFonts w:ascii="Arial" w:cs="Arial" w:eastAsia="Arial" w:hAnsi="Arial"/>
                <w:sz w:val="10"/>
                <w:szCs w:val="10"/>
                <w:color w:val="auto"/>
              </w:rPr>
              <w:t>John McFarland,</w:t>
            </w:r>
          </w:p>
        </w:tc>
        <w:tc>
          <w:tcPr>
            <w:tcW w:w="46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172,229</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44,764</w:t>
            </w:r>
          </w:p>
        </w:tc>
        <w:tc>
          <w:tcPr>
            <w:tcW w:w="11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265,440</w:t>
            </w: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48,807</w:t>
            </w:r>
          </w:p>
        </w:tc>
        <w:tc>
          <w:tcPr>
            <w:tcW w:w="1060" w:type="dxa"/>
            <w:vAlign w:val="bottom"/>
            <w:gridSpan w:val="2"/>
            <w:shd w:val="clear" w:color="auto" w:fill="CCEEFF"/>
          </w:tcPr>
          <w:p>
            <w:pPr>
              <w:jc w:val="right"/>
              <w:ind w:right="214"/>
              <w:spacing w:after="0"/>
              <w:rPr>
                <w:sz w:val="20"/>
                <w:szCs w:val="20"/>
                <w:color w:val="auto"/>
              </w:rPr>
            </w:pPr>
            <w:r>
              <w:rPr>
                <w:rFonts w:ascii="Arial" w:cs="Arial" w:eastAsia="Arial" w:hAnsi="Arial"/>
                <w:sz w:val="10"/>
                <w:szCs w:val="10"/>
                <w:color w:val="auto"/>
              </w:rPr>
              <w:t>14,369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99,615(20)</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645,224</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Senior Vice President,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2008</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191,147</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14"/>
              <w:spacing w:after="0"/>
              <w:rPr>
                <w:sz w:val="20"/>
                <w:szCs w:val="20"/>
                <w:color w:val="auto"/>
              </w:rPr>
            </w:pPr>
            <w:r>
              <w:rPr>
                <w:rFonts w:ascii="Arial" w:cs="Arial" w:eastAsia="Arial" w:hAnsi="Arial"/>
                <w:sz w:val="10"/>
                <w:szCs w:val="10"/>
                <w:color w:val="auto"/>
              </w:rPr>
              <w:t>21,492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79,790(21)</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292,429</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General Counsel and</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2007</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201,839</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75,930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23,195</w:t>
            </w:r>
          </w:p>
        </w:tc>
        <w:tc>
          <w:tcPr>
            <w:tcW w:w="1060" w:type="dxa"/>
            <w:vAlign w:val="bottom"/>
            <w:gridSpan w:val="2"/>
            <w:shd w:val="clear" w:color="auto" w:fill="CCEEFF"/>
          </w:tcPr>
          <w:p>
            <w:pPr>
              <w:jc w:val="right"/>
              <w:ind w:right="214"/>
              <w:spacing w:after="0"/>
              <w:rPr>
                <w:sz w:val="20"/>
                <w:szCs w:val="20"/>
                <w:color w:val="auto"/>
              </w:rPr>
            </w:pPr>
            <w:r>
              <w:rPr>
                <w:rFonts w:ascii="Arial" w:cs="Arial" w:eastAsia="Arial" w:hAnsi="Arial"/>
                <w:sz w:val="10"/>
                <w:szCs w:val="10"/>
                <w:color w:val="auto"/>
              </w:rPr>
              <w:t>22,802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97,334(22)</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421,100</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Secretary</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Robert J. Krakauer,</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467,265</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176,554(23)</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643,819</w:t>
            </w:r>
          </w:p>
        </w:tc>
      </w:tr>
      <w:tr>
        <w:trPr>
          <w:trHeight w:val="118"/>
        </w:trPr>
        <w:tc>
          <w:tcPr>
            <w:tcW w:w="2700" w:type="dxa"/>
            <w:vAlign w:val="bottom"/>
          </w:tcPr>
          <w:p>
            <w:pPr>
              <w:ind w:left="120"/>
              <w:spacing w:after="0"/>
              <w:rPr>
                <w:sz w:val="20"/>
                <w:szCs w:val="20"/>
                <w:color w:val="auto"/>
              </w:rPr>
            </w:pPr>
            <w:r>
              <w:rPr>
                <w:rFonts w:ascii="Arial" w:cs="Arial" w:eastAsia="Arial" w:hAnsi="Arial"/>
                <w:sz w:val="10"/>
                <w:szCs w:val="10"/>
                <w:color w:val="auto"/>
              </w:rPr>
              <w:t>Former President</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2008</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468,426</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820,236(24)</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1,288,662</w:t>
            </w:r>
          </w:p>
        </w:tc>
      </w:tr>
      <w:tr>
        <w:trPr>
          <w:trHeight w:val="125"/>
        </w:trPr>
        <w:tc>
          <w:tcPr>
            <w:tcW w:w="2700" w:type="dxa"/>
            <w:vAlign w:val="bottom"/>
          </w:tcPr>
          <w:p>
            <w:pPr>
              <w:ind w:left="120"/>
              <w:spacing w:after="0"/>
              <w:rPr>
                <w:sz w:val="20"/>
                <w:szCs w:val="20"/>
                <w:color w:val="auto"/>
              </w:rPr>
            </w:pPr>
            <w:r>
              <w:rPr>
                <w:rFonts w:ascii="Arial" w:cs="Arial" w:eastAsia="Arial" w:hAnsi="Arial"/>
                <w:sz w:val="10"/>
                <w:szCs w:val="10"/>
                <w:color w:val="auto"/>
              </w:rPr>
              <w:t>and Chief Financial Officer</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2007</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375,123</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270,903</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707,831(25)</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1,353,857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-1460500</wp:posOffset>
            </wp:positionV>
            <wp:extent cx="1841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4" w:lineRule="exact"/>
        <w:rPr>
          <w:sz w:val="20"/>
          <w:szCs w:val="20"/>
          <w:color w:val="auto"/>
        </w:rPr>
      </w:pPr>
    </w:p>
    <w:p>
      <w:pPr>
        <w:ind w:left="680" w:right="420"/>
        <w:spacing w:after="0"/>
        <w:rPr>
          <w:sz w:val="20"/>
          <w:szCs w:val="20"/>
          <w:color w:val="auto"/>
        </w:rPr>
      </w:pPr>
      <w:r>
        <w:rPr>
          <w:rFonts w:ascii="Arial" w:cs="Arial" w:eastAsia="Arial" w:hAnsi="Arial"/>
          <w:sz w:val="9"/>
          <w:szCs w:val="9"/>
          <w:color w:val="auto"/>
        </w:rPr>
        <w:t>Note: Amounts set forth in the above table that were originally paid in Korean won from January 1 to October 25, 2009 and during the fiscal years ended December 31, 2008 and 2007 have been converted into U.S. dollars using average exchange rates during the respective periods. After October 25, 2009, a monthly average exchange rate was used.</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9"/>
          <w:szCs w:val="9"/>
          <w:color w:val="auto"/>
        </w:rPr>
        <w:t>Footnotes:</w:t>
      </w:r>
    </w:p>
    <w:p>
      <w:pPr>
        <w:spacing w:after="0" w:line="83" w:lineRule="exact"/>
        <w:rPr>
          <w:sz w:val="20"/>
          <w:szCs w:val="20"/>
          <w:color w:val="auto"/>
        </w:rPr>
      </w:pPr>
    </w:p>
    <w:p>
      <w:pPr>
        <w:ind w:left="1000" w:right="340" w:hanging="219"/>
        <w:spacing w:after="0"/>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one-time payment of 10% of base salary paid from April to June 2009 to all employees that voluntarily accepted pay reductions earlier in the year, including $22,204, $4,897, $6,000 and $6,415 paid to Mr. Park, Mr. Hwang, Mr. Rowe and Ms. Sakai, respectively.</w:t>
      </w:r>
    </w:p>
    <w:p>
      <w:pPr>
        <w:spacing w:after="0" w:line="28" w:lineRule="exact"/>
        <w:rPr>
          <w:rFonts w:ascii="Arial" w:cs="Arial" w:eastAsia="Arial" w:hAnsi="Arial"/>
          <w:sz w:val="9"/>
          <w:szCs w:val="9"/>
          <w:color w:val="auto"/>
        </w:rPr>
      </w:pPr>
    </w:p>
    <w:p>
      <w:pPr>
        <w:ind w:left="1000" w:right="100" w:hanging="219"/>
        <w:spacing w:after="0"/>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Represents grant date fair value with respect to the fiscal year determined in accordance with FASB ASC 718. See “Note 4 Summary of Significant Accounting Policies — Unit-Based Compensation,” and “Note 19 Equity Incentive Plans,” to the MagnaChip Semiconductor LLC audited consolidated financial statements for the two months ended December 31, 2009, the ten months ended October 25, 2009 and the years ended 2008 and 2007.</w:t>
      </w:r>
    </w:p>
    <w:p>
      <w:pPr>
        <w:spacing w:after="0" w:line="28" w:lineRule="exact"/>
        <w:rPr>
          <w:rFonts w:ascii="Arial" w:cs="Arial" w:eastAsia="Arial" w:hAnsi="Arial"/>
          <w:sz w:val="9"/>
          <w:szCs w:val="9"/>
          <w:color w:val="auto"/>
        </w:rPr>
      </w:pPr>
    </w:p>
    <w:p>
      <w:pPr>
        <w:ind w:left="1000" w:right="100" w:hanging="219"/>
        <w:spacing w:after="0"/>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Consists of statutory severance accrued during the two months ended December 31, 2009, ten months ended October 25, 2009 and the years ended December 31, 2008 and 2007, as applicable. See the section subtitled “Compensation Discussion and Analysis” for a description of the statutory severance benefit.</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2" w:lineRule="exact"/>
        <w:rPr>
          <w:sz w:val="20"/>
          <w:szCs w:val="20"/>
          <w:color w:val="auto"/>
        </w:rPr>
      </w:pPr>
    </w:p>
    <w:p>
      <w:pPr>
        <w:ind w:left="1000" w:right="420" w:hanging="219"/>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a fixed one-time bonus payment of $602,631 made in December 2009 pursuant to Mr. Park’s Amended and Restated Service Agreement. Mr. Park elected to forego $298,000 of the bonus payable pursuant to his service agreement in order for such amounts to be available for bonuses to other executives.</w:t>
      </w:r>
    </w:p>
    <w:p>
      <w:pPr>
        <w:spacing w:after="0" w:line="28" w:lineRule="exact"/>
        <w:rPr>
          <w:rFonts w:ascii="Arial" w:cs="Arial" w:eastAsia="Arial" w:hAnsi="Arial"/>
          <w:sz w:val="9"/>
          <w:szCs w:val="9"/>
          <w:color w:val="auto"/>
        </w:rPr>
      </w:pPr>
    </w:p>
    <w:p>
      <w:pPr>
        <w:ind w:left="1000" w:right="40" w:hanging="219"/>
        <w:spacing w:after="0" w:line="236"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$125,073, which is the annual aggregate monthly pro rata amount of prepaid housing expenses for Mr. Park’s housing lease; (b) $28,386 for insurance premiums; (c) $48,319 for other personal benefits (including reimbursement of the use of a car, home leave flights, living expenses and personal tax advisory expenses); and (d) $89,252 of reimbursement for the difference between the actual tax Mr. Park already paid and the hypothetical tax he had to pay for the fiscal year 2008; and (e) $23,755 for reimbursement of Korean tax.</w:t>
      </w:r>
    </w:p>
    <w:p>
      <w:pPr>
        <w:spacing w:after="0" w:line="28" w:lineRule="exact"/>
        <w:rPr>
          <w:rFonts w:ascii="Arial" w:cs="Arial" w:eastAsia="Arial" w:hAnsi="Arial"/>
          <w:sz w:val="9"/>
          <w:szCs w:val="9"/>
          <w:color w:val="auto"/>
        </w:rPr>
      </w:pPr>
    </w:p>
    <w:p>
      <w:pPr>
        <w:ind w:left="1000" w:right="160" w:hanging="219"/>
        <w:spacing w:after="0" w:line="227"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$70,838, which is the aggregate monthly pro rata amount of prepaid housing expenses for Mr. Park’s housing lease for six months, $82,828, which is the total monthly rental payments for seven months’ rent for Mr. Park’s housing, and $8,192, which is the imputed benefit to Mr. Park from a refundable deposit held by the lessor of Mr. Park’s housing during the lease term; (b) $27,290 for insurance premiums;</w:t>
      </w:r>
    </w:p>
    <w:p>
      <w:pPr>
        <w:ind w:left="1000" w:right="20" w:hanging="8"/>
        <w:spacing w:after="0"/>
        <w:tabs>
          <w:tab w:leader="none" w:pos="1132" w:val="left"/>
        </w:tabs>
        <w:numPr>
          <w:ilvl w:val="1"/>
          <w:numId w:val="81"/>
        </w:numPr>
        <w:rPr>
          <w:rFonts w:ascii="Arial" w:cs="Arial" w:eastAsia="Arial" w:hAnsi="Arial"/>
          <w:sz w:val="9"/>
          <w:szCs w:val="9"/>
          <w:color w:val="auto"/>
        </w:rPr>
      </w:pPr>
      <w:r>
        <w:rPr>
          <w:rFonts w:ascii="Arial" w:cs="Arial" w:eastAsia="Arial" w:hAnsi="Arial"/>
          <w:sz w:val="9"/>
          <w:szCs w:val="9"/>
          <w:color w:val="auto"/>
        </w:rPr>
        <w:t>$35,787 for other personal benefits (including reimbursement of the use of a car, home leave flights and personal tax advisory expenses); (d) $78,913 of reimbursement for the difference between the actual tax Mr. Park already paid and the hypothetical tax he had to pay for the fiscal year 2006 and 2007; (e) $24,962 for Mr. Park’s living expenses; and (f) $23,087 for reimbursement of Korean tax and employee fringe benefits.</w:t>
      </w:r>
    </w:p>
    <w:p>
      <w:pPr>
        <w:spacing w:after="0" w:line="28" w:lineRule="exact"/>
        <w:rPr>
          <w:rFonts w:ascii="Arial" w:cs="Arial" w:eastAsia="Arial" w:hAnsi="Arial"/>
          <w:sz w:val="9"/>
          <w:szCs w:val="9"/>
          <w:color w:val="auto"/>
        </w:rPr>
      </w:pPr>
    </w:p>
    <w:p>
      <w:pPr>
        <w:ind w:left="1000" w:right="80" w:hanging="219"/>
        <w:spacing w:after="0" w:line="236"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$154,798 which is the annual aggregate monthly pro rata amount of prepaid housing expenses for Mr. Park’s housing lease; (b) $42,684 for insurance premiums (c) $31,750 for other personal benefits (including personal tax advisory expenses); (d) $1,188 of reimbursement in relation to a Korean tax payment in 2006; and (e) $14,048 for reimbursement of Korean tax, the employee contribution portion of the Korean national health insurance program and employee fringe benefits.</w:t>
      </w:r>
    </w:p>
    <w:p>
      <w:pPr>
        <w:spacing w:after="0" w:line="28" w:lineRule="exact"/>
        <w:rPr>
          <w:rFonts w:ascii="Arial" w:cs="Arial" w:eastAsia="Arial" w:hAnsi="Arial"/>
          <w:sz w:val="9"/>
          <w:szCs w:val="9"/>
          <w:color w:val="auto"/>
        </w:rPr>
      </w:pPr>
    </w:p>
    <w:p>
      <w:pPr>
        <w:ind w:left="1000" w:hanging="219"/>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$7,832 for reimbursement of the use of a car; and (b) $3,052 for insurance premiums.</w:t>
      </w:r>
    </w:p>
    <w:p>
      <w:pPr>
        <w:spacing w:after="0" w:line="34" w:lineRule="exact"/>
        <w:rPr>
          <w:rFonts w:ascii="Arial" w:cs="Arial" w:eastAsia="Arial" w:hAnsi="Arial"/>
          <w:sz w:val="9"/>
          <w:szCs w:val="9"/>
          <w:color w:val="auto"/>
        </w:rPr>
      </w:pPr>
    </w:p>
    <w:p>
      <w:pPr>
        <w:ind w:left="1000" w:hanging="219"/>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$9,541 for reimbursement of the use of a car; (b) $9,070 for insurance premiums; and (c) $1,682 for employee fringe benefits.</w:t>
      </w:r>
    </w:p>
    <w:p>
      <w:pPr>
        <w:spacing w:after="0" w:line="34" w:lineRule="exact"/>
        <w:rPr>
          <w:rFonts w:ascii="Arial" w:cs="Arial" w:eastAsia="Arial" w:hAnsi="Arial"/>
          <w:sz w:val="9"/>
          <w:szCs w:val="9"/>
          <w:color w:val="auto"/>
        </w:rPr>
      </w:pPr>
    </w:p>
    <w:p>
      <w:pPr>
        <w:ind w:left="1000" w:hanging="270"/>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$11,056 for reimbursement of the use of a car; and (b) $420 for employee fringe benefits.</w:t>
      </w:r>
    </w:p>
    <w:p>
      <w:pPr>
        <w:spacing w:after="0" w:line="34" w:lineRule="exact"/>
        <w:rPr>
          <w:rFonts w:ascii="Arial" w:cs="Arial" w:eastAsia="Arial" w:hAnsi="Arial"/>
          <w:sz w:val="9"/>
          <w:szCs w:val="9"/>
          <w:color w:val="auto"/>
        </w:rPr>
      </w:pPr>
    </w:p>
    <w:p>
      <w:pPr>
        <w:ind w:left="1000" w:right="40" w:hanging="270"/>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a $176,000 fixed non-discretionary payment under Mr. Rowe’s offer letter (as supplemented), pursuant to which in 2007 Mr. Rowe elected to receive a $528,000 advance on his first three years of potential annual bonus payments at a rate of 80% of base pay. Effective as of April 2009, the right to receive the bonus became fixed and was no longer discretionary.</w:t>
      </w:r>
    </w:p>
    <w:p>
      <w:pPr>
        <w:spacing w:after="0" w:line="28" w:lineRule="exact"/>
        <w:rPr>
          <w:rFonts w:ascii="Arial" w:cs="Arial" w:eastAsia="Arial" w:hAnsi="Arial"/>
          <w:sz w:val="9"/>
          <w:szCs w:val="9"/>
          <w:color w:val="auto"/>
        </w:rPr>
      </w:pPr>
    </w:p>
    <w:p>
      <w:pPr>
        <w:ind w:left="1000" w:hanging="270"/>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$1,597 for reimbursement of the use of a car; and (b) $10,634 for insurance premiums.</w:t>
      </w:r>
    </w:p>
    <w:p>
      <w:pPr>
        <w:spacing w:after="0" w:line="34" w:lineRule="exact"/>
        <w:rPr>
          <w:rFonts w:ascii="Arial" w:cs="Arial" w:eastAsia="Arial" w:hAnsi="Arial"/>
          <w:sz w:val="9"/>
          <w:szCs w:val="9"/>
          <w:color w:val="auto"/>
        </w:rPr>
      </w:pPr>
    </w:p>
    <w:p>
      <w:pPr>
        <w:ind w:left="1000" w:right="80" w:hanging="270"/>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2008.</w:t>
      </w:r>
    </w:p>
    <w:p>
      <w:pPr>
        <w:spacing w:after="0" w:line="28" w:lineRule="exact"/>
        <w:rPr>
          <w:rFonts w:ascii="Arial" w:cs="Arial" w:eastAsia="Arial" w:hAnsi="Arial"/>
          <w:sz w:val="9"/>
          <w:szCs w:val="9"/>
          <w:color w:val="auto"/>
        </w:rPr>
      </w:pPr>
    </w:p>
    <w:p>
      <w:pPr>
        <w:ind w:left="1000" w:hanging="270"/>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$1,983 for reimbursement of the use of a car; (b) $13,027 for insurance premiums; and (c) $10,663 for personal tax advisory expenses.</w:t>
      </w:r>
    </w:p>
    <w:p>
      <w:pPr>
        <w:spacing w:after="0" w:line="34" w:lineRule="exact"/>
        <w:rPr>
          <w:rFonts w:ascii="Arial" w:cs="Arial" w:eastAsia="Arial" w:hAnsi="Arial"/>
          <w:sz w:val="9"/>
          <w:szCs w:val="9"/>
          <w:color w:val="auto"/>
        </w:rPr>
      </w:pPr>
    </w:p>
    <w:p>
      <w:pPr>
        <w:ind w:left="1000" w:right="80" w:hanging="270"/>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2007.</w:t>
      </w:r>
    </w:p>
    <w:p>
      <w:pPr>
        <w:spacing w:after="0" w:line="28" w:lineRule="exact"/>
        <w:rPr>
          <w:rFonts w:ascii="Arial" w:cs="Arial" w:eastAsia="Arial" w:hAnsi="Arial"/>
          <w:sz w:val="9"/>
          <w:szCs w:val="9"/>
          <w:color w:val="auto"/>
        </w:rPr>
      </w:pPr>
    </w:p>
    <w:p>
      <w:pPr>
        <w:ind w:left="1000" w:right="60" w:hanging="270"/>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$121,826 of Mr. Rowe’s relocation allowance when he returned to the U.S. from an expatriate assignment in Korea; (b) $3,000 for contributions to a pension plan; (c) $4,967 for personal tax advisory expenses; (d) $12,130 for insurance premiums; and (e) $268 for reimbursement of the use of a car.</w:t>
      </w:r>
    </w:p>
    <w:p>
      <w:pPr>
        <w:spacing w:after="0" w:line="28" w:lineRule="exact"/>
        <w:rPr>
          <w:rFonts w:ascii="Arial" w:cs="Arial" w:eastAsia="Arial" w:hAnsi="Arial"/>
          <w:sz w:val="9"/>
          <w:szCs w:val="9"/>
          <w:color w:val="auto"/>
        </w:rPr>
      </w:pPr>
    </w:p>
    <w:p>
      <w:pPr>
        <w:ind w:left="1000" w:right="240" w:hanging="270"/>
        <w:spacing w:after="0" w:line="227"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$25,590, which is the total monthly rental payments for four months rent for MS. Sakai’s housing, and $32,650, which is the imputed benefit to Ms. Sakai from a refundable deposit held by the lessor of Ms. Sakai’s housing during the lease term; (b) $33,735 for reimbursement of tuition expenses for Ms. Sakai’s children; (c) $21,352 for Ms. Sakai’s home leave flights; (d) $28,238 for insurance premiums;</w:t>
      </w:r>
    </w:p>
    <w:p>
      <w:pPr>
        <w:ind w:left="1120" w:hanging="128"/>
        <w:spacing w:after="0"/>
        <w:tabs>
          <w:tab w:leader="none" w:pos="1120" w:val="left"/>
        </w:tabs>
        <w:numPr>
          <w:ilvl w:val="1"/>
          <w:numId w:val="82"/>
        </w:numPr>
        <w:rPr>
          <w:rFonts w:ascii="Arial" w:cs="Arial" w:eastAsia="Arial" w:hAnsi="Arial"/>
          <w:sz w:val="9"/>
          <w:szCs w:val="9"/>
          <w:color w:val="auto"/>
        </w:rPr>
      </w:pPr>
      <w:r>
        <w:rPr>
          <w:rFonts w:ascii="Arial" w:cs="Arial" w:eastAsia="Arial" w:hAnsi="Arial"/>
          <w:sz w:val="9"/>
          <w:szCs w:val="9"/>
          <w:color w:val="auto"/>
        </w:rPr>
        <w:t>$8,568 for other personal benefits (including reimbursement of the use of a car, personal tax advisory expenses, and communication expenses); and (f) $13,535 for reimbursement of Korean tax.</w:t>
      </w:r>
    </w:p>
    <w:p>
      <w:pPr>
        <w:spacing w:after="0" w:line="34" w:lineRule="exact"/>
        <w:rPr>
          <w:rFonts w:ascii="Arial" w:cs="Arial" w:eastAsia="Arial" w:hAnsi="Arial"/>
          <w:sz w:val="9"/>
          <w:szCs w:val="9"/>
          <w:color w:val="auto"/>
        </w:rPr>
      </w:pPr>
    </w:p>
    <w:p>
      <w:pPr>
        <w:ind w:left="1000" w:right="80" w:hanging="270"/>
        <w:spacing w:after="0" w:line="236"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$61,438, which is the imputed benefit to Ms. Sakai from a refundable deposit held by the lessor of Ms. Sakai’s housing during the lease term; (b) $38,046 for reimbursement of tuition expenses for Ms. Sakai’s children; (c) $23,420 for Ms. Sakai’s home leave flights; (d) $27,211 for insurance premiums; (e) $21,460 for other personal benefits (including reimbursement of the use of a car, personal tax advisory expenses, and communication expenses); and (f) $8,450 for reimbursement of Korean tax and employee fringe benefits.</w:t>
      </w:r>
    </w:p>
    <w:p>
      <w:pPr>
        <w:spacing w:after="0" w:line="28" w:lineRule="exact"/>
        <w:rPr>
          <w:rFonts w:ascii="Arial" w:cs="Arial" w:eastAsia="Arial" w:hAnsi="Arial"/>
          <w:sz w:val="9"/>
          <w:szCs w:val="9"/>
          <w:color w:val="auto"/>
        </w:rPr>
      </w:pPr>
    </w:p>
    <w:p>
      <w:pPr>
        <w:ind w:left="1000" w:right="80" w:hanging="270"/>
        <w:spacing w:after="0" w:line="236"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$72,661, which is the imputed benefit to Ms. Sakai from a refundable deposit held by the lessor of Ms. Sakai’s housing during the lease term; (b) $30,649 for reimbursement of tuition expenses for Ms. Sakai’s children; (c) $18,709 for Ms. Sakai’s home leave flights; (d) $28,140 for insurance premiums; (e) $13,673 for other personal benefits (including reimbursement of the use of a car, personal tax advisory expenses, and communication expenses); and (f) $3,959 for reimbursement of the employee contribution portion of the Korean national health insurance program and employee fringe benefits.</w:t>
      </w:r>
    </w:p>
    <w:p>
      <w:pPr>
        <w:spacing w:after="0" w:line="28" w:lineRule="exact"/>
        <w:rPr>
          <w:rFonts w:ascii="Arial" w:cs="Arial" w:eastAsia="Arial" w:hAnsi="Arial"/>
          <w:sz w:val="9"/>
          <w:szCs w:val="9"/>
          <w:color w:val="auto"/>
        </w:rPr>
      </w:pPr>
    </w:p>
    <w:p>
      <w:pPr>
        <w:ind w:left="1000" w:hanging="270"/>
        <w:spacing w:after="0" w:line="236"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$23,351 for reimbursement of tuition expenses for Mr. McFarland’s child; (b) $19,978 of reimbursement for the difference between the actual tax Mr. McFarland already paid and the hypothetical tax he had to pay for the fiscal year 2008; (c) $20,227 for insurance premiums; (d) $1,089 for other personal benefits (including reimbursement of the use of a car and personal tax advisory expenses); and (e) $34,970 for reimbursement of Korean tax.</w:t>
      </w:r>
    </w:p>
    <w:p>
      <w:pPr>
        <w:spacing w:after="0" w:line="28" w:lineRule="exact"/>
        <w:rPr>
          <w:rFonts w:ascii="Arial" w:cs="Arial" w:eastAsia="Arial" w:hAnsi="Arial"/>
          <w:sz w:val="9"/>
          <w:szCs w:val="9"/>
          <w:color w:val="auto"/>
        </w:rPr>
      </w:pPr>
    </w:p>
    <w:p>
      <w:pPr>
        <w:ind w:left="1000" w:hanging="270"/>
        <w:spacing w:after="0" w:line="227"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$21,334 for reimbursement of tuition expenses for Mr. McFarland’s child; (b) $13,382 of reimbursement for the difference between the actual tax Mr. McFarland already paid and the hypothetical tax he had to pay for the fiscal year 2007; (c) $19,736 for insurance premiums paid; (d) $12,296 for other personal benefits (including reimbursement of the use of a car and personal tax advisory expenses); and</w:t>
      </w:r>
    </w:p>
    <w:p>
      <w:pPr>
        <w:ind w:left="1120" w:hanging="128"/>
        <w:spacing w:after="0"/>
        <w:tabs>
          <w:tab w:leader="none" w:pos="1120" w:val="left"/>
        </w:tabs>
        <w:numPr>
          <w:ilvl w:val="1"/>
          <w:numId w:val="83"/>
        </w:numPr>
        <w:rPr>
          <w:rFonts w:ascii="Arial" w:cs="Arial" w:eastAsia="Arial" w:hAnsi="Arial"/>
          <w:sz w:val="9"/>
          <w:szCs w:val="9"/>
          <w:color w:val="auto"/>
        </w:rPr>
      </w:pPr>
      <w:r>
        <w:rPr>
          <w:rFonts w:ascii="Arial" w:cs="Arial" w:eastAsia="Arial" w:hAnsi="Arial"/>
          <w:sz w:val="9"/>
          <w:szCs w:val="9"/>
          <w:color w:val="auto"/>
        </w:rPr>
        <w:t>$13,042 for reimbursement of Korean tax and employee fringe benefits.</w:t>
      </w:r>
    </w:p>
    <w:p>
      <w:pPr>
        <w:spacing w:after="0" w:line="34" w:lineRule="exact"/>
        <w:rPr>
          <w:rFonts w:ascii="Arial" w:cs="Arial" w:eastAsia="Arial" w:hAnsi="Arial"/>
          <w:sz w:val="9"/>
          <w:szCs w:val="9"/>
          <w:color w:val="auto"/>
        </w:rPr>
      </w:pPr>
    </w:p>
    <w:p>
      <w:pPr>
        <w:ind w:left="1000" w:hanging="270"/>
        <w:spacing w:after="0"/>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$35,837 for reimbursement of tuition expenses for Mr. McFarland’s child; (b) $20,292 of reimbursement for the difference between the actual tax Mr. McFarland already paid and the hypothetical tax he had to pay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p>
      <w:pPr>
        <w:ind w:left="1000" w:right="140"/>
        <w:spacing w:after="0"/>
        <w:rPr>
          <w:sz w:val="20"/>
          <w:szCs w:val="20"/>
          <w:color w:val="auto"/>
        </w:rPr>
      </w:pPr>
      <w:r>
        <w:rPr>
          <w:rFonts w:ascii="Arial" w:cs="Arial" w:eastAsia="Arial" w:hAnsi="Arial"/>
          <w:sz w:val="9"/>
          <w:szCs w:val="9"/>
          <w:color w:val="auto"/>
        </w:rPr>
        <w:t>for the fiscal year 2006; (c) $23,534 for insurance premiums; (d) $5,050 for other personal benefits (including reimbursement of the use of a car and personal tax advisory expenses); and (e) $12,621 for reimbursement of Korean tax, the employee contribution portion of the Korean national health insurance program and employee fringe benefits.</w:t>
      </w:r>
    </w:p>
    <w:p>
      <w:pPr>
        <w:spacing w:after="0" w:line="29" w:lineRule="exact"/>
        <w:rPr>
          <w:sz w:val="20"/>
          <w:szCs w:val="20"/>
          <w:color w:val="auto"/>
        </w:rPr>
      </w:pPr>
    </w:p>
    <w:p>
      <w:pPr>
        <w:ind w:left="1000" w:right="80" w:hanging="270"/>
        <w:spacing w:after="0"/>
        <w:tabs>
          <w:tab w:leader="none" w:pos="1000" w:val="left"/>
        </w:tabs>
        <w:numPr>
          <w:ilvl w:val="0"/>
          <w:numId w:val="84"/>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$145,460 for Mr. Krakauer’s housing expenses; (b) $24,329 for insurance premiums; and (c) $6,765 for other personal benefits (including reimbursement of the use of a car and living expenses).</w:t>
      </w:r>
    </w:p>
    <w:p>
      <w:pPr>
        <w:spacing w:after="0" w:line="28" w:lineRule="exact"/>
        <w:rPr>
          <w:rFonts w:ascii="Arial" w:cs="Arial" w:eastAsia="Arial" w:hAnsi="Arial"/>
          <w:sz w:val="9"/>
          <w:szCs w:val="9"/>
          <w:color w:val="auto"/>
        </w:rPr>
      </w:pPr>
    </w:p>
    <w:p>
      <w:pPr>
        <w:ind w:left="1000" w:right="100" w:hanging="270"/>
        <w:spacing w:after="0" w:line="234" w:lineRule="auto"/>
        <w:tabs>
          <w:tab w:leader="none" w:pos="1000" w:val="left"/>
        </w:tabs>
        <w:numPr>
          <w:ilvl w:val="0"/>
          <w:numId w:val="84"/>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$225,940 for Mr. Krakauer’s housing expenses; (b) $97,827 for reimbursement of living expenses; (c) $29,246 for reimbursement of tuition expenses for Mr. Krakauer’s children; (d) $23,860 for Mr. Krakauer’s home leave flights; (e) $22,842 for insurance premiums; (f) $22,404 for reimbursement of the use of two cars; (g) $49,789 for personal tax advisory expenses; (h) $248,302 of reimbursement for the difference between the actual tax Mr. Krakauer already paid and the hypothetical tax he had to pay for the fiscal year 2006, 2007 and 2008; (i) $29,604 for repatriation allowance paid to Mr. Krakauer; and (j) $70,422 for reimbursement of Korean tax and employee fringe benefits.</w:t>
      </w:r>
    </w:p>
    <w:p>
      <w:pPr>
        <w:spacing w:after="0" w:line="28" w:lineRule="exact"/>
        <w:rPr>
          <w:rFonts w:ascii="Arial" w:cs="Arial" w:eastAsia="Arial" w:hAnsi="Arial"/>
          <w:sz w:val="9"/>
          <w:szCs w:val="9"/>
          <w:color w:val="auto"/>
        </w:rPr>
      </w:pPr>
    </w:p>
    <w:p>
      <w:pPr>
        <w:ind w:left="1000" w:right="80" w:hanging="270"/>
        <w:spacing w:after="0" w:line="232" w:lineRule="auto"/>
        <w:tabs>
          <w:tab w:leader="none" w:pos="1000" w:val="left"/>
        </w:tabs>
        <w:numPr>
          <w:ilvl w:val="0"/>
          <w:numId w:val="84"/>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$208,962, which is the annual aggregate monthly pro rata amount of prepaid housing expenses for Mr. Krakauer’s housing lease; (b) $30,643 for reimbursement of living expenses; (c) $71,683 for reimbursement of tuition expenses for Mr. Krakauer’s children; (d) $20,242 for Mr. Krakauer’s home leave flights; (e) $43,823 for insurance premiums; (f) $63,791 of reimbursement for all commission and closing costs for the sale of Mr. Krakauer’s house in the United States; (g) $12,581 for personal tax advisory expenses; (h) $21,748 for reimbursement of the use of two cars; (i) $147,490 of reimbursement for the difference between the actual tax Mr. Krakauer already paid and the hypothetical tax he had to pay for the fiscal year 2006; and (j) $86,868 for reimbursement of Korean tax, the employee contribution portion of the Korean national health insurance program and employee fringe benefits.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Plan-Based Awards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certain information with respect to stock and option awards and other plan-based awards granted during the year ended</w:t>
      </w:r>
    </w:p>
    <w:p>
      <w:pPr>
        <w:ind w:left="680"/>
        <w:spacing w:after="0"/>
        <w:rPr>
          <w:sz w:val="20"/>
          <w:szCs w:val="20"/>
          <w:color w:val="auto"/>
        </w:rPr>
      </w:pPr>
      <w:r>
        <w:rPr>
          <w:rFonts w:ascii="Arial" w:cs="Arial" w:eastAsia="Arial" w:hAnsi="Arial"/>
          <w:sz w:val="13"/>
          <w:szCs w:val="13"/>
          <w:color w:val="auto"/>
        </w:rPr>
        <w:t>December 31, 2009 to our named executive officers after giving effect to the corporate conversion:</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All Other</w:t>
            </w: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jc w:val="center"/>
              <w:ind w:right="45"/>
              <w:spacing w:after="0"/>
              <w:rPr>
                <w:sz w:val="20"/>
                <w:szCs w:val="20"/>
                <w:color w:val="auto"/>
              </w:rPr>
            </w:pPr>
            <w:r>
              <w:rPr>
                <w:rFonts w:ascii="Arial" w:cs="Arial" w:eastAsia="Arial" w:hAnsi="Arial"/>
                <w:sz w:val="10"/>
                <w:szCs w:val="10"/>
                <w:b w:val="1"/>
                <w:bCs w:val="1"/>
                <w:color w:val="auto"/>
              </w:rPr>
              <w:t>All Other</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Option</w:t>
            </w: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jc w:val="center"/>
              <w:ind w:right="45"/>
              <w:spacing w:after="0"/>
              <w:rPr>
                <w:sz w:val="20"/>
                <w:szCs w:val="20"/>
                <w:color w:val="auto"/>
              </w:rPr>
            </w:pPr>
            <w:r>
              <w:rPr>
                <w:rFonts w:ascii="Arial" w:cs="Arial" w:eastAsia="Arial" w:hAnsi="Arial"/>
                <w:sz w:val="10"/>
                <w:szCs w:val="10"/>
                <w:b w:val="1"/>
                <w:bCs w:val="1"/>
                <w:color w:val="auto"/>
              </w:rPr>
              <w:t>Stock</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Exercise or</w:t>
            </w: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jc w:val="center"/>
              <w:ind w:right="45"/>
              <w:spacing w:after="0"/>
              <w:rPr>
                <w:sz w:val="20"/>
                <w:szCs w:val="20"/>
                <w:color w:val="auto"/>
              </w:rPr>
            </w:pPr>
            <w:r>
              <w:rPr>
                <w:rFonts w:ascii="Arial" w:cs="Arial" w:eastAsia="Arial" w:hAnsi="Arial"/>
                <w:sz w:val="10"/>
                <w:szCs w:val="10"/>
                <w:b w:val="1"/>
                <w:bCs w:val="1"/>
                <w:color w:val="auto"/>
              </w:rPr>
              <w:t>Awards:</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Number of</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Base</w:t>
            </w: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jc w:val="center"/>
              <w:ind w:right="45"/>
              <w:spacing w:after="0"/>
              <w:rPr>
                <w:sz w:val="20"/>
                <w:szCs w:val="20"/>
                <w:color w:val="auto"/>
              </w:rPr>
            </w:pPr>
            <w:r>
              <w:rPr>
                <w:rFonts w:ascii="Arial" w:cs="Arial" w:eastAsia="Arial" w:hAnsi="Arial"/>
                <w:sz w:val="10"/>
                <w:szCs w:val="10"/>
                <w:b w:val="1"/>
                <w:bCs w:val="1"/>
                <w:color w:val="auto"/>
              </w:rPr>
              <w:t>Number of</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Securities</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Price of</w:t>
            </w:r>
          </w:p>
        </w:tc>
        <w:tc>
          <w:tcPr>
            <w:tcW w:w="1400" w:type="dxa"/>
            <w:vAlign w:val="bottom"/>
            <w:gridSpan w:val="2"/>
          </w:tcPr>
          <w:p>
            <w:pPr>
              <w:jc w:val="center"/>
              <w:spacing w:after="0"/>
              <w:rPr>
                <w:sz w:val="20"/>
                <w:szCs w:val="20"/>
                <w:color w:val="auto"/>
              </w:rPr>
            </w:pPr>
            <w:r>
              <w:rPr>
                <w:rFonts w:ascii="Arial" w:cs="Arial" w:eastAsia="Arial" w:hAnsi="Arial"/>
                <w:sz w:val="10"/>
                <w:szCs w:val="10"/>
                <w:b w:val="1"/>
                <w:bCs w:val="1"/>
                <w:color w:val="auto"/>
              </w:rPr>
              <w:t>Grant Date Fair</w:t>
            </w:r>
          </w:p>
        </w:tc>
      </w:tr>
      <w:tr>
        <w:trPr>
          <w:trHeight w:val="118"/>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jc w:val="center"/>
              <w:ind w:right="45"/>
              <w:spacing w:after="0"/>
              <w:rPr>
                <w:sz w:val="20"/>
                <w:szCs w:val="20"/>
                <w:color w:val="auto"/>
              </w:rPr>
            </w:pPr>
            <w:r>
              <w:rPr>
                <w:rFonts w:ascii="Arial" w:cs="Arial" w:eastAsia="Arial" w:hAnsi="Arial"/>
                <w:sz w:val="10"/>
                <w:szCs w:val="10"/>
                <w:b w:val="1"/>
                <w:bCs w:val="1"/>
                <w:color w:val="auto"/>
              </w:rPr>
              <w:t>Shares of</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Underlying</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Option</w:t>
            </w:r>
          </w:p>
        </w:tc>
        <w:tc>
          <w:tcPr>
            <w:tcW w:w="1400" w:type="dxa"/>
            <w:vAlign w:val="bottom"/>
            <w:gridSpan w:val="2"/>
          </w:tcPr>
          <w:p>
            <w:pPr>
              <w:jc w:val="center"/>
              <w:spacing w:after="0"/>
              <w:rPr>
                <w:sz w:val="20"/>
                <w:szCs w:val="20"/>
                <w:color w:val="auto"/>
              </w:rPr>
            </w:pPr>
            <w:r>
              <w:rPr>
                <w:rFonts w:ascii="Arial" w:cs="Arial" w:eastAsia="Arial" w:hAnsi="Arial"/>
                <w:sz w:val="10"/>
                <w:szCs w:val="10"/>
                <w:b w:val="1"/>
                <w:bCs w:val="1"/>
                <w:color w:val="auto"/>
              </w:rPr>
              <w:t>Value of Stock</w:t>
            </w:r>
          </w:p>
        </w:tc>
      </w:tr>
      <w:tr>
        <w:trPr>
          <w:trHeight w:val="118"/>
        </w:trPr>
        <w:tc>
          <w:tcPr>
            <w:tcW w:w="3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80" w:type="dxa"/>
            <w:vAlign w:val="bottom"/>
          </w:tcPr>
          <w:p>
            <w:pPr>
              <w:jc w:val="center"/>
              <w:ind w:right="45"/>
              <w:spacing w:after="0"/>
              <w:rPr>
                <w:sz w:val="20"/>
                <w:szCs w:val="20"/>
                <w:color w:val="auto"/>
              </w:rPr>
            </w:pPr>
            <w:r>
              <w:rPr>
                <w:rFonts w:ascii="Arial" w:cs="Arial" w:eastAsia="Arial" w:hAnsi="Arial"/>
                <w:sz w:val="10"/>
                <w:szCs w:val="10"/>
                <w:b w:val="1"/>
                <w:bCs w:val="1"/>
                <w:color w:val="auto"/>
              </w:rPr>
              <w:t>Stock</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Options</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Awards</w:t>
            </w:r>
          </w:p>
        </w:tc>
        <w:tc>
          <w:tcPr>
            <w:tcW w:w="1400" w:type="dxa"/>
            <w:vAlign w:val="bottom"/>
            <w:gridSpan w:val="2"/>
          </w:tcPr>
          <w:p>
            <w:pPr>
              <w:jc w:val="center"/>
              <w:spacing w:after="0"/>
              <w:rPr>
                <w:sz w:val="20"/>
                <w:szCs w:val="20"/>
                <w:color w:val="auto"/>
              </w:rPr>
            </w:pPr>
            <w:r>
              <w:rPr>
                <w:rFonts w:ascii="Arial" w:cs="Arial" w:eastAsia="Arial" w:hAnsi="Arial"/>
                <w:sz w:val="10"/>
                <w:szCs w:val="10"/>
                <w:b w:val="1"/>
                <w:bCs w:val="1"/>
                <w:color w:val="auto"/>
              </w:rPr>
              <w:t>and Option</w:t>
            </w:r>
          </w:p>
        </w:tc>
      </w:tr>
      <w:tr>
        <w:trPr>
          <w:trHeight w:val="137"/>
        </w:trPr>
        <w:tc>
          <w:tcPr>
            <w:tcW w:w="3200" w:type="dxa"/>
            <w:vAlign w:val="bottom"/>
          </w:tcPr>
          <w:p>
            <w:pPr>
              <w:ind w:left="1580"/>
              <w:spacing w:after="0"/>
              <w:rPr>
                <w:sz w:val="20"/>
                <w:szCs w:val="20"/>
                <w:color w:val="auto"/>
              </w:rPr>
            </w:pPr>
            <w:r>
              <w:rPr>
                <w:rFonts w:ascii="Arial" w:cs="Arial" w:eastAsia="Arial" w:hAnsi="Arial"/>
                <w:sz w:val="10"/>
                <w:szCs w:val="10"/>
                <w:b w:val="1"/>
                <w:bCs w:val="1"/>
                <w:color w:val="auto"/>
              </w:rPr>
              <w:t>Name</w:t>
            </w:r>
          </w:p>
        </w:tc>
        <w:tc>
          <w:tcPr>
            <w:tcW w:w="1560" w:type="dxa"/>
            <w:vAlign w:val="bottom"/>
          </w:tcPr>
          <w:p>
            <w:pPr>
              <w:jc w:val="right"/>
              <w:ind w:right="202"/>
              <w:spacing w:after="0"/>
              <w:rPr>
                <w:sz w:val="20"/>
                <w:szCs w:val="20"/>
                <w:color w:val="auto"/>
              </w:rPr>
            </w:pPr>
            <w:r>
              <w:rPr>
                <w:rFonts w:ascii="Arial" w:cs="Arial" w:eastAsia="Arial" w:hAnsi="Arial"/>
                <w:sz w:val="10"/>
                <w:szCs w:val="10"/>
                <w:b w:val="1"/>
                <w:bCs w:val="1"/>
                <w:color w:val="auto"/>
              </w:rPr>
              <w:t>Grant Date</w:t>
            </w:r>
          </w:p>
        </w:tc>
        <w:tc>
          <w:tcPr>
            <w:tcW w:w="1180" w:type="dxa"/>
            <w:vAlign w:val="bottom"/>
          </w:tcPr>
          <w:p>
            <w:pPr>
              <w:jc w:val="right"/>
              <w:ind w:right="345"/>
              <w:spacing w:after="0"/>
              <w:rPr>
                <w:sz w:val="20"/>
                <w:szCs w:val="20"/>
                <w:color w:val="auto"/>
              </w:rPr>
            </w:pPr>
            <w:r>
              <w:rPr>
                <w:rFonts w:ascii="Arial" w:cs="Arial" w:eastAsia="Arial" w:hAnsi="Arial"/>
                <w:sz w:val="10"/>
                <w:szCs w:val="10"/>
                <w:b w:val="1"/>
                <w:bCs w:val="1"/>
                <w:color w:val="auto"/>
              </w:rPr>
              <w:t>(#)(1)</w:t>
            </w:r>
          </w:p>
        </w:tc>
        <w:tc>
          <w:tcPr>
            <w:tcW w:w="1300" w:type="dxa"/>
            <w:vAlign w:val="bottom"/>
          </w:tcPr>
          <w:p>
            <w:pPr>
              <w:jc w:val="right"/>
              <w:ind w:right="325"/>
              <w:spacing w:after="0"/>
              <w:rPr>
                <w:sz w:val="20"/>
                <w:szCs w:val="20"/>
                <w:color w:val="auto"/>
              </w:rPr>
            </w:pPr>
            <w:r>
              <w:rPr>
                <w:rFonts w:ascii="Arial" w:cs="Arial" w:eastAsia="Arial" w:hAnsi="Arial"/>
                <w:sz w:val="10"/>
                <w:szCs w:val="10"/>
                <w:b w:val="1"/>
                <w:bCs w:val="1"/>
                <w:color w:val="auto"/>
              </w:rPr>
              <w:t>(#)(1)</w:t>
            </w:r>
          </w:p>
        </w:tc>
        <w:tc>
          <w:tcPr>
            <w:tcW w:w="1340" w:type="dxa"/>
            <w:vAlign w:val="bottom"/>
          </w:tcPr>
          <w:p>
            <w:pPr>
              <w:ind w:left="620"/>
              <w:spacing w:after="0"/>
              <w:rPr>
                <w:sz w:val="20"/>
                <w:szCs w:val="20"/>
                <w:color w:val="auto"/>
              </w:rPr>
            </w:pPr>
            <w:r>
              <w:rPr>
                <w:rFonts w:ascii="Arial" w:cs="Arial" w:eastAsia="Arial" w:hAnsi="Arial"/>
                <w:sz w:val="10"/>
                <w:szCs w:val="10"/>
                <w:b w:val="1"/>
                <w:bCs w:val="1"/>
                <w:color w:val="auto"/>
              </w:rPr>
              <w:t>($/sh)(2)</w:t>
            </w:r>
          </w:p>
        </w:tc>
        <w:tc>
          <w:tcPr>
            <w:tcW w:w="4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Awards ($)(3)</w:t>
            </w:r>
          </w:p>
        </w:tc>
      </w:tr>
      <w:tr>
        <w:trPr>
          <w:trHeight w:val="49"/>
        </w:trPr>
        <w:tc>
          <w:tcPr>
            <w:tcW w:w="3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138"/>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Sang Park</w:t>
            </w:r>
          </w:p>
        </w:tc>
        <w:tc>
          <w:tcPr>
            <w:tcW w:w="156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280,000</w:t>
            </w:r>
          </w:p>
        </w:tc>
        <w:tc>
          <w:tcPr>
            <w:tcW w:w="1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w w:val="93"/>
              </w:rPr>
              <w:t>1,769,600</w:t>
            </w:r>
          </w:p>
        </w:tc>
      </w:tr>
      <w:tr>
        <w:trPr>
          <w:trHeight w:val="138"/>
        </w:trPr>
        <w:tc>
          <w:tcPr>
            <w:tcW w:w="3200" w:type="dxa"/>
            <w:vAlign w:val="bottom"/>
            <w:shd w:val="clear" w:color="auto" w:fill="CCEEFF"/>
          </w:tcPr>
          <w:p>
            <w:pPr>
              <w:spacing w:after="0"/>
              <w:rPr>
                <w:sz w:val="11"/>
                <w:szCs w:val="11"/>
                <w:color w:val="auto"/>
              </w:rPr>
            </w:pPr>
          </w:p>
        </w:tc>
        <w:tc>
          <w:tcPr>
            <w:tcW w:w="156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280,000</w:t>
            </w:r>
          </w:p>
        </w:tc>
        <w:tc>
          <w:tcPr>
            <w:tcW w:w="1340" w:type="dxa"/>
            <w:vAlign w:val="bottom"/>
            <w:shd w:val="clear" w:color="auto" w:fill="CCEEFF"/>
          </w:tcPr>
          <w:p>
            <w:pPr>
              <w:jc w:val="center"/>
              <w:ind w:right="25"/>
              <w:spacing w:after="0"/>
              <w:rPr>
                <w:sz w:val="20"/>
                <w:szCs w:val="20"/>
                <w:color w:val="auto"/>
              </w:rPr>
            </w:pPr>
            <w:r>
              <w:rPr>
                <w:rFonts w:ascii="Arial" w:cs="Arial" w:eastAsia="Arial" w:hAnsi="Arial"/>
                <w:sz w:val="12"/>
                <w:szCs w:val="12"/>
                <w:color w:val="auto"/>
                <w:w w:val="93"/>
              </w:rPr>
              <w:t>9.28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488,070</w:t>
            </w:r>
          </w:p>
        </w:tc>
      </w:tr>
      <w:tr>
        <w:trPr>
          <w:trHeight w:val="139"/>
        </w:trPr>
        <w:tc>
          <w:tcPr>
            <w:tcW w:w="3200" w:type="dxa"/>
            <w:vAlign w:val="bottom"/>
          </w:tcPr>
          <w:p>
            <w:pPr>
              <w:spacing w:after="0"/>
              <w:rPr>
                <w:sz w:val="20"/>
                <w:szCs w:val="20"/>
                <w:color w:val="auto"/>
              </w:rPr>
            </w:pPr>
            <w:r>
              <w:rPr>
                <w:rFonts w:ascii="Arial" w:cs="Arial" w:eastAsia="Arial" w:hAnsi="Arial"/>
                <w:sz w:val="12"/>
                <w:szCs w:val="12"/>
                <w:color w:val="auto"/>
              </w:rPr>
              <w:t>Tae Young Hwang</w:t>
            </w:r>
          </w:p>
        </w:tc>
        <w:tc>
          <w:tcPr>
            <w:tcW w:w="1560" w:type="dxa"/>
            <w:vAlign w:val="bottom"/>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tcPr>
          <w:p>
            <w:pPr>
              <w:jc w:val="right"/>
              <w:ind w:right="365"/>
              <w:spacing w:after="0"/>
              <w:rPr>
                <w:sz w:val="20"/>
                <w:szCs w:val="20"/>
                <w:color w:val="auto"/>
              </w:rPr>
            </w:pPr>
            <w:r>
              <w:rPr>
                <w:rFonts w:ascii="Arial" w:cs="Arial" w:eastAsia="Arial" w:hAnsi="Arial"/>
                <w:sz w:val="12"/>
                <w:szCs w:val="12"/>
                <w:color w:val="auto"/>
              </w:rPr>
              <w:t>105,000</w:t>
            </w: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82"/>
              <w:spacing w:after="0"/>
              <w:rPr>
                <w:sz w:val="20"/>
                <w:szCs w:val="20"/>
                <w:color w:val="auto"/>
              </w:rPr>
            </w:pPr>
            <w:r>
              <w:rPr>
                <w:rFonts w:ascii="Arial" w:cs="Arial" w:eastAsia="Arial" w:hAnsi="Arial"/>
                <w:sz w:val="12"/>
                <w:szCs w:val="12"/>
                <w:color w:val="auto"/>
              </w:rPr>
              <w:t>663,600</w:t>
            </w:r>
          </w:p>
        </w:tc>
      </w:tr>
      <w:tr>
        <w:trPr>
          <w:trHeight w:val="136"/>
        </w:trPr>
        <w:tc>
          <w:tcPr>
            <w:tcW w:w="3200" w:type="dxa"/>
            <w:vAlign w:val="bottom"/>
          </w:tcPr>
          <w:p>
            <w:pPr>
              <w:spacing w:after="0"/>
              <w:rPr>
                <w:sz w:val="11"/>
                <w:szCs w:val="11"/>
                <w:color w:val="auto"/>
              </w:rPr>
            </w:pPr>
          </w:p>
        </w:tc>
        <w:tc>
          <w:tcPr>
            <w:tcW w:w="1560" w:type="dxa"/>
            <w:vAlign w:val="bottom"/>
          </w:tcPr>
          <w:p>
            <w:pPr>
              <w:jc w:val="right"/>
              <w:ind w:right="442"/>
              <w:spacing w:after="0" w:line="136" w:lineRule="exact"/>
              <w:rPr>
                <w:sz w:val="20"/>
                <w:szCs w:val="20"/>
                <w:color w:val="auto"/>
              </w:rPr>
            </w:pPr>
            <w:r>
              <w:rPr>
                <w:rFonts w:ascii="Arial" w:cs="Arial" w:eastAsia="Arial" w:hAnsi="Arial"/>
                <w:sz w:val="12"/>
                <w:szCs w:val="12"/>
                <w:color w:val="auto"/>
              </w:rPr>
              <w:t>12/08/2009</w:t>
            </w:r>
          </w:p>
        </w:tc>
        <w:tc>
          <w:tcPr>
            <w:tcW w:w="1180" w:type="dxa"/>
            <w:vAlign w:val="bottom"/>
          </w:tcPr>
          <w:p>
            <w:pPr>
              <w:spacing w:after="0"/>
              <w:rPr>
                <w:sz w:val="11"/>
                <w:szCs w:val="11"/>
                <w:color w:val="auto"/>
              </w:rPr>
            </w:pPr>
          </w:p>
        </w:tc>
        <w:tc>
          <w:tcPr>
            <w:tcW w:w="1300" w:type="dxa"/>
            <w:vAlign w:val="bottom"/>
          </w:tcPr>
          <w:p>
            <w:pPr>
              <w:jc w:val="right"/>
              <w:ind w:right="365"/>
              <w:spacing w:after="0" w:line="136" w:lineRule="exact"/>
              <w:rPr>
                <w:sz w:val="20"/>
                <w:szCs w:val="20"/>
                <w:color w:val="auto"/>
              </w:rPr>
            </w:pPr>
            <w:r>
              <w:rPr>
                <w:rFonts w:ascii="Arial" w:cs="Arial" w:eastAsia="Arial" w:hAnsi="Arial"/>
                <w:sz w:val="12"/>
                <w:szCs w:val="12"/>
                <w:color w:val="auto"/>
              </w:rPr>
              <w:t>175,000</w:t>
            </w:r>
          </w:p>
        </w:tc>
        <w:tc>
          <w:tcPr>
            <w:tcW w:w="1340" w:type="dxa"/>
            <w:vAlign w:val="bottom"/>
          </w:tcPr>
          <w:p>
            <w:pPr>
              <w:jc w:val="center"/>
              <w:ind w:right="25"/>
              <w:spacing w:after="0" w:line="136" w:lineRule="exact"/>
              <w:rPr>
                <w:sz w:val="20"/>
                <w:szCs w:val="20"/>
                <w:color w:val="auto"/>
              </w:rPr>
            </w:pPr>
            <w:r>
              <w:rPr>
                <w:rFonts w:ascii="Arial" w:cs="Arial" w:eastAsia="Arial" w:hAnsi="Arial"/>
                <w:sz w:val="12"/>
                <w:szCs w:val="12"/>
                <w:color w:val="auto"/>
                <w:w w:val="93"/>
              </w:rPr>
              <w:t>9.28</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2"/>
              <w:spacing w:after="0" w:line="136" w:lineRule="exact"/>
              <w:rPr>
                <w:sz w:val="20"/>
                <w:szCs w:val="20"/>
                <w:color w:val="auto"/>
              </w:rPr>
            </w:pPr>
            <w:r>
              <w:rPr>
                <w:rFonts w:ascii="Arial" w:cs="Arial" w:eastAsia="Arial" w:hAnsi="Arial"/>
                <w:sz w:val="12"/>
                <w:szCs w:val="12"/>
                <w:color w:val="auto"/>
              </w:rPr>
              <w:t>305,044</w:t>
            </w:r>
          </w:p>
        </w:tc>
      </w:tr>
      <w:tr>
        <w:trPr>
          <w:trHeight w:val="138"/>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Brent Rowe</w:t>
            </w:r>
          </w:p>
        </w:tc>
        <w:tc>
          <w:tcPr>
            <w:tcW w:w="156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70,000</w:t>
            </w:r>
          </w:p>
        </w:tc>
        <w:tc>
          <w:tcPr>
            <w:tcW w:w="1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442,400</w:t>
            </w:r>
          </w:p>
        </w:tc>
      </w:tr>
      <w:tr>
        <w:trPr>
          <w:trHeight w:val="138"/>
        </w:trPr>
        <w:tc>
          <w:tcPr>
            <w:tcW w:w="3200" w:type="dxa"/>
            <w:vAlign w:val="bottom"/>
            <w:shd w:val="clear" w:color="auto" w:fill="CCEEFF"/>
          </w:tcPr>
          <w:p>
            <w:pPr>
              <w:spacing w:after="0"/>
              <w:rPr>
                <w:sz w:val="11"/>
                <w:szCs w:val="11"/>
                <w:color w:val="auto"/>
              </w:rPr>
            </w:pPr>
          </w:p>
        </w:tc>
        <w:tc>
          <w:tcPr>
            <w:tcW w:w="156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105,000</w:t>
            </w:r>
          </w:p>
        </w:tc>
        <w:tc>
          <w:tcPr>
            <w:tcW w:w="1340" w:type="dxa"/>
            <w:vAlign w:val="bottom"/>
            <w:shd w:val="clear" w:color="auto" w:fill="CCEEFF"/>
          </w:tcPr>
          <w:p>
            <w:pPr>
              <w:jc w:val="center"/>
              <w:ind w:right="25"/>
              <w:spacing w:after="0"/>
              <w:rPr>
                <w:sz w:val="20"/>
                <w:szCs w:val="20"/>
                <w:color w:val="auto"/>
              </w:rPr>
            </w:pPr>
            <w:r>
              <w:rPr>
                <w:rFonts w:ascii="Arial" w:cs="Arial" w:eastAsia="Arial" w:hAnsi="Arial"/>
                <w:sz w:val="12"/>
                <w:szCs w:val="12"/>
                <w:color w:val="auto"/>
                <w:w w:val="93"/>
              </w:rPr>
              <w:t>9.28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183,026</w:t>
            </w:r>
          </w:p>
        </w:tc>
      </w:tr>
      <w:tr>
        <w:trPr>
          <w:trHeight w:val="139"/>
        </w:trPr>
        <w:tc>
          <w:tcPr>
            <w:tcW w:w="3200" w:type="dxa"/>
            <w:vAlign w:val="bottom"/>
          </w:tcPr>
          <w:p>
            <w:pPr>
              <w:spacing w:after="0"/>
              <w:rPr>
                <w:sz w:val="20"/>
                <w:szCs w:val="20"/>
                <w:color w:val="auto"/>
              </w:rPr>
            </w:pPr>
            <w:r>
              <w:rPr>
                <w:rFonts w:ascii="Arial" w:cs="Arial" w:eastAsia="Arial" w:hAnsi="Arial"/>
                <w:sz w:val="12"/>
                <w:szCs w:val="12"/>
                <w:color w:val="auto"/>
              </w:rPr>
              <w:t>Margaret Sakai</w:t>
            </w:r>
          </w:p>
        </w:tc>
        <w:tc>
          <w:tcPr>
            <w:tcW w:w="1560" w:type="dxa"/>
            <w:vAlign w:val="bottom"/>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tcPr>
          <w:p>
            <w:pPr>
              <w:jc w:val="right"/>
              <w:ind w:right="365"/>
              <w:spacing w:after="0"/>
              <w:rPr>
                <w:sz w:val="20"/>
                <w:szCs w:val="20"/>
                <w:color w:val="auto"/>
              </w:rPr>
            </w:pPr>
            <w:r>
              <w:rPr>
                <w:rFonts w:ascii="Arial" w:cs="Arial" w:eastAsia="Arial" w:hAnsi="Arial"/>
                <w:sz w:val="12"/>
                <w:szCs w:val="12"/>
                <w:color w:val="auto"/>
              </w:rPr>
              <w:t>42,000</w:t>
            </w: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82"/>
              <w:spacing w:after="0"/>
              <w:rPr>
                <w:sz w:val="20"/>
                <w:szCs w:val="20"/>
                <w:color w:val="auto"/>
              </w:rPr>
            </w:pPr>
            <w:r>
              <w:rPr>
                <w:rFonts w:ascii="Arial" w:cs="Arial" w:eastAsia="Arial" w:hAnsi="Arial"/>
                <w:sz w:val="12"/>
                <w:szCs w:val="12"/>
                <w:color w:val="auto"/>
              </w:rPr>
              <w:t>265,440</w:t>
            </w:r>
          </w:p>
        </w:tc>
      </w:tr>
      <w:tr>
        <w:trPr>
          <w:trHeight w:val="136"/>
        </w:trPr>
        <w:tc>
          <w:tcPr>
            <w:tcW w:w="3200" w:type="dxa"/>
            <w:vAlign w:val="bottom"/>
          </w:tcPr>
          <w:p>
            <w:pPr>
              <w:spacing w:after="0"/>
              <w:rPr>
                <w:sz w:val="11"/>
                <w:szCs w:val="11"/>
                <w:color w:val="auto"/>
              </w:rPr>
            </w:pPr>
          </w:p>
        </w:tc>
        <w:tc>
          <w:tcPr>
            <w:tcW w:w="1560" w:type="dxa"/>
            <w:vAlign w:val="bottom"/>
          </w:tcPr>
          <w:p>
            <w:pPr>
              <w:jc w:val="right"/>
              <w:ind w:right="442"/>
              <w:spacing w:after="0" w:line="136" w:lineRule="exact"/>
              <w:rPr>
                <w:sz w:val="20"/>
                <w:szCs w:val="20"/>
                <w:color w:val="auto"/>
              </w:rPr>
            </w:pPr>
            <w:r>
              <w:rPr>
                <w:rFonts w:ascii="Arial" w:cs="Arial" w:eastAsia="Arial" w:hAnsi="Arial"/>
                <w:sz w:val="12"/>
                <w:szCs w:val="12"/>
                <w:color w:val="auto"/>
              </w:rPr>
              <w:t>12/08/2009</w:t>
            </w:r>
          </w:p>
        </w:tc>
        <w:tc>
          <w:tcPr>
            <w:tcW w:w="1180" w:type="dxa"/>
            <w:vAlign w:val="bottom"/>
          </w:tcPr>
          <w:p>
            <w:pPr>
              <w:spacing w:after="0"/>
              <w:rPr>
                <w:sz w:val="11"/>
                <w:szCs w:val="11"/>
                <w:color w:val="auto"/>
              </w:rPr>
            </w:pPr>
          </w:p>
        </w:tc>
        <w:tc>
          <w:tcPr>
            <w:tcW w:w="1300" w:type="dxa"/>
            <w:vAlign w:val="bottom"/>
          </w:tcPr>
          <w:p>
            <w:pPr>
              <w:jc w:val="right"/>
              <w:ind w:right="365"/>
              <w:spacing w:after="0" w:line="136" w:lineRule="exact"/>
              <w:rPr>
                <w:sz w:val="20"/>
                <w:szCs w:val="20"/>
                <w:color w:val="auto"/>
              </w:rPr>
            </w:pPr>
            <w:r>
              <w:rPr>
                <w:rFonts w:ascii="Arial" w:cs="Arial" w:eastAsia="Arial" w:hAnsi="Arial"/>
                <w:sz w:val="12"/>
                <w:szCs w:val="12"/>
                <w:color w:val="auto"/>
              </w:rPr>
              <w:t>42,000</w:t>
            </w:r>
          </w:p>
        </w:tc>
        <w:tc>
          <w:tcPr>
            <w:tcW w:w="1340" w:type="dxa"/>
            <w:vAlign w:val="bottom"/>
          </w:tcPr>
          <w:p>
            <w:pPr>
              <w:jc w:val="center"/>
              <w:ind w:right="25"/>
              <w:spacing w:after="0" w:line="136" w:lineRule="exact"/>
              <w:rPr>
                <w:sz w:val="20"/>
                <w:szCs w:val="20"/>
                <w:color w:val="auto"/>
              </w:rPr>
            </w:pPr>
            <w:r>
              <w:rPr>
                <w:rFonts w:ascii="Arial" w:cs="Arial" w:eastAsia="Arial" w:hAnsi="Arial"/>
                <w:sz w:val="12"/>
                <w:szCs w:val="12"/>
                <w:color w:val="auto"/>
                <w:w w:val="93"/>
              </w:rPr>
              <w:t>9.28</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2"/>
              <w:spacing w:after="0" w:line="136" w:lineRule="exact"/>
              <w:rPr>
                <w:sz w:val="20"/>
                <w:szCs w:val="20"/>
                <w:color w:val="auto"/>
              </w:rPr>
            </w:pPr>
            <w:r>
              <w:rPr>
                <w:rFonts w:ascii="Arial" w:cs="Arial" w:eastAsia="Arial" w:hAnsi="Arial"/>
                <w:sz w:val="12"/>
                <w:szCs w:val="12"/>
                <w:color w:val="auto"/>
              </w:rPr>
              <w:t>73,211</w:t>
            </w:r>
          </w:p>
        </w:tc>
      </w:tr>
      <w:tr>
        <w:trPr>
          <w:trHeight w:val="138"/>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John McFarland</w:t>
            </w:r>
          </w:p>
        </w:tc>
        <w:tc>
          <w:tcPr>
            <w:tcW w:w="156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42,000</w:t>
            </w:r>
          </w:p>
        </w:tc>
        <w:tc>
          <w:tcPr>
            <w:tcW w:w="1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265,440</w:t>
            </w:r>
          </w:p>
        </w:tc>
      </w:tr>
      <w:tr>
        <w:trPr>
          <w:trHeight w:val="138"/>
        </w:trPr>
        <w:tc>
          <w:tcPr>
            <w:tcW w:w="3200" w:type="dxa"/>
            <w:vAlign w:val="bottom"/>
            <w:shd w:val="clear" w:color="auto" w:fill="CCEEFF"/>
          </w:tcPr>
          <w:p>
            <w:pPr>
              <w:spacing w:after="0"/>
              <w:rPr>
                <w:sz w:val="11"/>
                <w:szCs w:val="11"/>
                <w:color w:val="auto"/>
              </w:rPr>
            </w:pPr>
          </w:p>
        </w:tc>
        <w:tc>
          <w:tcPr>
            <w:tcW w:w="156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12/08/2009</w:t>
            </w:r>
          </w:p>
        </w:tc>
        <w:tc>
          <w:tcPr>
            <w:tcW w:w="1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28,000</w:t>
            </w:r>
          </w:p>
        </w:tc>
        <w:tc>
          <w:tcPr>
            <w:tcW w:w="1340" w:type="dxa"/>
            <w:vAlign w:val="bottom"/>
            <w:shd w:val="clear" w:color="auto" w:fill="CCEEFF"/>
          </w:tcPr>
          <w:p>
            <w:pPr>
              <w:jc w:val="center"/>
              <w:ind w:right="25"/>
              <w:spacing w:after="0"/>
              <w:rPr>
                <w:sz w:val="20"/>
                <w:szCs w:val="20"/>
                <w:color w:val="auto"/>
              </w:rPr>
            </w:pPr>
            <w:r>
              <w:rPr>
                <w:rFonts w:ascii="Arial" w:cs="Arial" w:eastAsia="Arial" w:hAnsi="Arial"/>
                <w:sz w:val="12"/>
                <w:szCs w:val="12"/>
                <w:color w:val="auto"/>
                <w:w w:val="93"/>
              </w:rPr>
              <w:t>9.28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48,807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-904240</wp:posOffset>
            </wp:positionV>
            <wp:extent cx="1841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-904240</wp:posOffset>
            </wp:positionV>
            <wp:extent cx="635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-904240</wp:posOffset>
            </wp:positionV>
            <wp:extent cx="63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-904240</wp:posOffset>
            </wp:positionV>
            <wp:extent cx="63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-904240</wp:posOffset>
            </wp:positionV>
            <wp:extent cx="63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-904240</wp:posOffset>
            </wp:positionV>
            <wp:extent cx="127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1000" w:hanging="267"/>
        <w:spacing w:after="0"/>
        <w:tabs>
          <w:tab w:leader="none" w:pos="10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vesting schedule applicable to each award is set forth below in the section entitled “Outstanding Equity Awards at Fiscal Year End 2009.”</w:t>
      </w:r>
    </w:p>
    <w:p>
      <w:pPr>
        <w:spacing w:after="0" w:line="76" w:lineRule="exact"/>
        <w:rPr>
          <w:rFonts w:ascii="Arial" w:cs="Arial" w:eastAsia="Arial" w:hAnsi="Arial"/>
          <w:sz w:val="13"/>
          <w:szCs w:val="13"/>
          <w:color w:val="auto"/>
        </w:rPr>
      </w:pPr>
    </w:p>
    <w:p>
      <w:pPr>
        <w:ind w:left="1000" w:hanging="267"/>
        <w:spacing w:after="0"/>
        <w:tabs>
          <w:tab w:leader="none" w:pos="10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Exceeds the per share fair market value of our common stock on the grant date ($6.32), as determined by our board of directors based on various factors.</w:t>
      </w:r>
    </w:p>
    <w:p>
      <w:pPr>
        <w:spacing w:after="0" w:line="76" w:lineRule="exact"/>
        <w:rPr>
          <w:rFonts w:ascii="Arial" w:cs="Arial" w:eastAsia="Arial" w:hAnsi="Arial"/>
          <w:sz w:val="13"/>
          <w:szCs w:val="13"/>
          <w:color w:val="auto"/>
        </w:rPr>
      </w:pPr>
    </w:p>
    <w:p>
      <w:pPr>
        <w:ind w:left="1000" w:right="680" w:hanging="267"/>
        <w:spacing w:after="0" w:line="248" w:lineRule="auto"/>
        <w:tabs>
          <w:tab w:leader="none" w:pos="10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ASC 718 grant date fair value. See “Management’s Discussion and Analysis of Financial Condition and Results of Operations — Accounting for Stock/Unit-based Compensation” for a description of how we valued our stock as a private company.</w:t>
      </w:r>
    </w:p>
    <w:p>
      <w:pPr>
        <w:spacing w:after="0" w:line="35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p>
      <w:pPr>
        <w:ind w:left="4340"/>
        <w:spacing w:after="0"/>
        <w:rPr>
          <w:sz w:val="20"/>
          <w:szCs w:val="20"/>
          <w:color w:val="auto"/>
        </w:rPr>
      </w:pPr>
      <w:r>
        <w:rPr>
          <w:rFonts w:ascii="Arial" w:cs="Arial" w:eastAsia="Arial" w:hAnsi="Arial"/>
          <w:sz w:val="10"/>
          <w:szCs w:val="10"/>
          <w:b w:val="1"/>
          <w:bCs w:val="1"/>
          <w:color w:val="auto"/>
        </w:rPr>
        <w:t>Outstanding Equity Awards at Fiscal Year End 2009(1)</w:t>
      </w:r>
    </w:p>
    <w:p>
      <w:pPr>
        <w:spacing w:after="0" w:line="11"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400" w:type="dxa"/>
            <w:vAlign w:val="bottom"/>
            <w:tcBorders>
              <w:top w:val="single" w:sz="8" w:color="auto"/>
            </w:tcBorders>
          </w:tcPr>
          <w:p>
            <w:pPr>
              <w:spacing w:after="0"/>
              <w:rPr>
                <w:sz w:val="9"/>
                <w:szCs w:val="9"/>
                <w:color w:val="auto"/>
              </w:rPr>
            </w:pPr>
          </w:p>
        </w:tc>
        <w:tc>
          <w:tcPr>
            <w:tcW w:w="1240" w:type="dxa"/>
            <w:vAlign w:val="bottom"/>
            <w:tcBorders>
              <w:top w:val="single" w:sz="8" w:color="auto"/>
              <w:bottom w:val="single" w:sz="8" w:color="auto"/>
            </w:tcBorders>
          </w:tcPr>
          <w:p>
            <w:pPr>
              <w:spacing w:after="0"/>
              <w:rPr>
                <w:sz w:val="9"/>
                <w:szCs w:val="9"/>
                <w:color w:val="auto"/>
              </w:rPr>
            </w:pPr>
          </w:p>
        </w:tc>
        <w:tc>
          <w:tcPr>
            <w:tcW w:w="1600" w:type="dxa"/>
            <w:vAlign w:val="bottom"/>
            <w:tcBorders>
              <w:top w:val="single" w:sz="8" w:color="auto"/>
              <w:bottom w:val="single" w:sz="8" w:color="auto"/>
            </w:tcBorders>
          </w:tcPr>
          <w:p>
            <w:pPr>
              <w:jc w:val="right"/>
              <w:ind w:right="45"/>
              <w:spacing w:after="0" w:line="108" w:lineRule="exact"/>
              <w:rPr>
                <w:sz w:val="20"/>
                <w:szCs w:val="20"/>
                <w:color w:val="auto"/>
              </w:rPr>
            </w:pPr>
            <w:r>
              <w:rPr>
                <w:rFonts w:ascii="Arial" w:cs="Arial" w:eastAsia="Arial" w:hAnsi="Arial"/>
                <w:sz w:val="10"/>
                <w:szCs w:val="10"/>
                <w:b w:val="1"/>
                <w:bCs w:val="1"/>
                <w:color w:val="auto"/>
              </w:rPr>
              <w:t>Option Awards</w:t>
            </w:r>
          </w:p>
        </w:tc>
        <w:tc>
          <w:tcPr>
            <w:tcW w:w="92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spacing w:after="0"/>
              <w:rPr>
                <w:sz w:val="9"/>
                <w:szCs w:val="9"/>
                <w:color w:val="auto"/>
              </w:rPr>
            </w:pPr>
          </w:p>
        </w:tc>
        <w:tc>
          <w:tcPr>
            <w:tcW w:w="1700" w:type="dxa"/>
            <w:vAlign w:val="bottom"/>
            <w:tcBorders>
              <w:top w:val="single" w:sz="8" w:color="auto"/>
              <w:bottom w:val="single" w:sz="8" w:color="auto"/>
            </w:tcBorders>
          </w:tcPr>
          <w:p>
            <w:pPr>
              <w:jc w:val="right"/>
              <w:ind w:right="945"/>
              <w:spacing w:after="0" w:line="108" w:lineRule="exact"/>
              <w:rPr>
                <w:sz w:val="20"/>
                <w:szCs w:val="20"/>
                <w:color w:val="auto"/>
              </w:rPr>
            </w:pPr>
            <w:r>
              <w:rPr>
                <w:rFonts w:ascii="Arial" w:cs="Arial" w:eastAsia="Arial" w:hAnsi="Arial"/>
                <w:sz w:val="10"/>
                <w:szCs w:val="10"/>
                <w:b w:val="1"/>
                <w:bCs w:val="1"/>
                <w:color w:val="auto"/>
              </w:rPr>
              <w:t>Unit Awards</w:t>
            </w:r>
          </w:p>
        </w:tc>
      </w:tr>
      <w:tr>
        <w:trPr>
          <w:trHeight w:val="99"/>
        </w:trPr>
        <w:tc>
          <w:tcPr>
            <w:tcW w:w="2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jc w:val="center"/>
              <w:ind w:left="168"/>
              <w:spacing w:after="0" w:line="100" w:lineRule="exact"/>
              <w:rPr>
                <w:sz w:val="20"/>
                <w:szCs w:val="20"/>
                <w:color w:val="auto"/>
              </w:rPr>
            </w:pPr>
            <w:r>
              <w:rPr>
                <w:rFonts w:ascii="Arial" w:cs="Arial" w:eastAsia="Arial" w:hAnsi="Arial"/>
                <w:sz w:val="10"/>
                <w:szCs w:val="10"/>
                <w:b w:val="1"/>
                <w:bCs w:val="1"/>
                <w:color w:val="auto"/>
              </w:rPr>
              <w:t>Number of</w:t>
            </w:r>
          </w:p>
        </w:tc>
        <w:tc>
          <w:tcPr>
            <w:tcW w:w="1700" w:type="dxa"/>
            <w:vAlign w:val="bottom"/>
          </w:tcPr>
          <w:p>
            <w:pPr>
              <w:jc w:val="center"/>
              <w:ind w:left="385"/>
              <w:spacing w:after="0" w:line="100" w:lineRule="exact"/>
              <w:rPr>
                <w:sz w:val="20"/>
                <w:szCs w:val="20"/>
                <w:color w:val="auto"/>
              </w:rPr>
            </w:pPr>
            <w:r>
              <w:rPr>
                <w:rFonts w:ascii="Arial" w:cs="Arial" w:eastAsia="Arial" w:hAnsi="Arial"/>
                <w:sz w:val="10"/>
                <w:szCs w:val="10"/>
                <w:b w:val="1"/>
                <w:bCs w:val="1"/>
                <w:color w:val="auto"/>
              </w:rPr>
              <w:t>Market</w:t>
            </w:r>
          </w:p>
        </w:tc>
      </w:tr>
      <w:tr>
        <w:trPr>
          <w:trHeight w:val="118"/>
        </w:trPr>
        <w:tc>
          <w:tcPr>
            <w:tcW w:w="2400" w:type="dxa"/>
            <w:vAlign w:val="bottom"/>
          </w:tcPr>
          <w:p>
            <w:pPr>
              <w:spacing w:after="0"/>
              <w:rPr>
                <w:sz w:val="10"/>
                <w:szCs w:val="10"/>
                <w:color w:val="auto"/>
              </w:rPr>
            </w:pPr>
          </w:p>
        </w:tc>
        <w:tc>
          <w:tcPr>
            <w:tcW w:w="1240" w:type="dxa"/>
            <w:vAlign w:val="bottom"/>
          </w:tcPr>
          <w:p>
            <w:pPr>
              <w:jc w:val="center"/>
              <w:ind w:right="365"/>
              <w:spacing w:after="0"/>
              <w:rPr>
                <w:sz w:val="20"/>
                <w:szCs w:val="20"/>
                <w:color w:val="auto"/>
              </w:rPr>
            </w:pPr>
            <w:r>
              <w:rPr>
                <w:rFonts w:ascii="Arial" w:cs="Arial" w:eastAsia="Arial" w:hAnsi="Arial"/>
                <w:sz w:val="10"/>
                <w:szCs w:val="10"/>
                <w:b w:val="1"/>
                <w:bCs w:val="1"/>
                <w:color w:val="auto"/>
              </w:rPr>
              <w:t>Number of</w:t>
            </w:r>
          </w:p>
        </w:tc>
        <w:tc>
          <w:tcPr>
            <w:tcW w:w="1600" w:type="dxa"/>
            <w:vAlign w:val="bottom"/>
          </w:tcPr>
          <w:p>
            <w:pPr>
              <w:jc w:val="center"/>
              <w:ind w:right="465"/>
              <w:spacing w:after="0"/>
              <w:rPr>
                <w:sz w:val="20"/>
                <w:szCs w:val="20"/>
                <w:color w:val="auto"/>
              </w:rPr>
            </w:pPr>
            <w:r>
              <w:rPr>
                <w:rFonts w:ascii="Arial" w:cs="Arial" w:eastAsia="Arial" w:hAnsi="Arial"/>
                <w:sz w:val="10"/>
                <w:szCs w:val="10"/>
                <w:b w:val="1"/>
                <w:bCs w:val="1"/>
                <w:color w:val="auto"/>
              </w:rPr>
              <w:t>Number of</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left="168"/>
              <w:spacing w:after="0"/>
              <w:rPr>
                <w:sz w:val="20"/>
                <w:szCs w:val="20"/>
                <w:color w:val="auto"/>
              </w:rPr>
            </w:pPr>
            <w:r>
              <w:rPr>
                <w:rFonts w:ascii="Arial" w:cs="Arial" w:eastAsia="Arial" w:hAnsi="Arial"/>
                <w:sz w:val="10"/>
                <w:szCs w:val="10"/>
                <w:b w:val="1"/>
                <w:bCs w:val="1"/>
                <w:color w:val="auto"/>
              </w:rPr>
              <w:t>Shares or</w:t>
            </w:r>
          </w:p>
        </w:tc>
        <w:tc>
          <w:tcPr>
            <w:tcW w:w="1700" w:type="dxa"/>
            <w:vAlign w:val="bottom"/>
          </w:tcPr>
          <w:p>
            <w:pPr>
              <w:jc w:val="center"/>
              <w:ind w:left="405"/>
              <w:spacing w:after="0"/>
              <w:rPr>
                <w:sz w:val="20"/>
                <w:szCs w:val="20"/>
                <w:color w:val="auto"/>
              </w:rPr>
            </w:pPr>
            <w:r>
              <w:rPr>
                <w:rFonts w:ascii="Arial" w:cs="Arial" w:eastAsia="Arial" w:hAnsi="Arial"/>
                <w:sz w:val="10"/>
                <w:szCs w:val="10"/>
                <w:b w:val="1"/>
                <w:bCs w:val="1"/>
                <w:color w:val="auto"/>
              </w:rPr>
              <w:t>Value of</w:t>
            </w:r>
          </w:p>
        </w:tc>
      </w:tr>
      <w:tr>
        <w:trPr>
          <w:trHeight w:val="118"/>
        </w:trPr>
        <w:tc>
          <w:tcPr>
            <w:tcW w:w="2400" w:type="dxa"/>
            <w:vAlign w:val="bottom"/>
          </w:tcPr>
          <w:p>
            <w:pPr>
              <w:spacing w:after="0"/>
              <w:rPr>
                <w:sz w:val="10"/>
                <w:szCs w:val="10"/>
                <w:color w:val="auto"/>
              </w:rPr>
            </w:pPr>
          </w:p>
        </w:tc>
        <w:tc>
          <w:tcPr>
            <w:tcW w:w="1240" w:type="dxa"/>
            <w:vAlign w:val="bottom"/>
          </w:tcPr>
          <w:p>
            <w:pPr>
              <w:jc w:val="center"/>
              <w:ind w:right="365"/>
              <w:spacing w:after="0"/>
              <w:rPr>
                <w:sz w:val="20"/>
                <w:szCs w:val="20"/>
                <w:color w:val="auto"/>
              </w:rPr>
            </w:pPr>
            <w:r>
              <w:rPr>
                <w:rFonts w:ascii="Arial" w:cs="Arial" w:eastAsia="Arial" w:hAnsi="Arial"/>
                <w:sz w:val="10"/>
                <w:szCs w:val="10"/>
                <w:b w:val="1"/>
                <w:bCs w:val="1"/>
                <w:color w:val="auto"/>
              </w:rPr>
              <w:t>Securities</w:t>
            </w:r>
          </w:p>
        </w:tc>
        <w:tc>
          <w:tcPr>
            <w:tcW w:w="1600" w:type="dxa"/>
            <w:vAlign w:val="bottom"/>
          </w:tcPr>
          <w:p>
            <w:pPr>
              <w:jc w:val="center"/>
              <w:ind w:right="445"/>
              <w:spacing w:after="0"/>
              <w:rPr>
                <w:sz w:val="20"/>
                <w:szCs w:val="20"/>
                <w:color w:val="auto"/>
              </w:rPr>
            </w:pPr>
            <w:r>
              <w:rPr>
                <w:rFonts w:ascii="Arial" w:cs="Arial" w:eastAsia="Arial" w:hAnsi="Arial"/>
                <w:sz w:val="10"/>
                <w:szCs w:val="10"/>
                <w:b w:val="1"/>
                <w:bCs w:val="1"/>
                <w:color w:val="auto"/>
              </w:rPr>
              <w:t>Securities</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left="168"/>
              <w:spacing w:after="0"/>
              <w:rPr>
                <w:sz w:val="20"/>
                <w:szCs w:val="20"/>
                <w:color w:val="auto"/>
              </w:rPr>
            </w:pPr>
            <w:r>
              <w:rPr>
                <w:rFonts w:ascii="Arial" w:cs="Arial" w:eastAsia="Arial" w:hAnsi="Arial"/>
                <w:sz w:val="10"/>
                <w:szCs w:val="10"/>
                <w:b w:val="1"/>
                <w:bCs w:val="1"/>
                <w:color w:val="auto"/>
              </w:rPr>
              <w:t>Units of</w:t>
            </w:r>
          </w:p>
        </w:tc>
        <w:tc>
          <w:tcPr>
            <w:tcW w:w="1700" w:type="dxa"/>
            <w:vAlign w:val="bottom"/>
          </w:tcPr>
          <w:p>
            <w:pPr>
              <w:jc w:val="center"/>
              <w:ind w:left="405"/>
              <w:spacing w:after="0"/>
              <w:rPr>
                <w:sz w:val="20"/>
                <w:szCs w:val="20"/>
                <w:color w:val="auto"/>
              </w:rPr>
            </w:pPr>
            <w:r>
              <w:rPr>
                <w:rFonts w:ascii="Arial" w:cs="Arial" w:eastAsia="Arial" w:hAnsi="Arial"/>
                <w:sz w:val="10"/>
                <w:szCs w:val="10"/>
                <w:b w:val="1"/>
                <w:bCs w:val="1"/>
                <w:color w:val="auto"/>
              </w:rPr>
              <w:t>Shares or</w:t>
            </w:r>
          </w:p>
        </w:tc>
      </w:tr>
      <w:tr>
        <w:trPr>
          <w:trHeight w:val="118"/>
        </w:trPr>
        <w:tc>
          <w:tcPr>
            <w:tcW w:w="2400" w:type="dxa"/>
            <w:vAlign w:val="bottom"/>
          </w:tcPr>
          <w:p>
            <w:pPr>
              <w:spacing w:after="0"/>
              <w:rPr>
                <w:sz w:val="10"/>
                <w:szCs w:val="10"/>
                <w:color w:val="auto"/>
              </w:rPr>
            </w:pPr>
          </w:p>
        </w:tc>
        <w:tc>
          <w:tcPr>
            <w:tcW w:w="1240" w:type="dxa"/>
            <w:vAlign w:val="bottom"/>
          </w:tcPr>
          <w:p>
            <w:pPr>
              <w:jc w:val="center"/>
              <w:ind w:right="365"/>
              <w:spacing w:after="0"/>
              <w:rPr>
                <w:sz w:val="20"/>
                <w:szCs w:val="20"/>
                <w:color w:val="auto"/>
              </w:rPr>
            </w:pPr>
            <w:r>
              <w:rPr>
                <w:rFonts w:ascii="Arial" w:cs="Arial" w:eastAsia="Arial" w:hAnsi="Arial"/>
                <w:sz w:val="10"/>
                <w:szCs w:val="10"/>
                <w:b w:val="1"/>
                <w:bCs w:val="1"/>
                <w:color w:val="auto"/>
              </w:rPr>
              <w:t>Underlying</w:t>
            </w:r>
          </w:p>
        </w:tc>
        <w:tc>
          <w:tcPr>
            <w:tcW w:w="1600" w:type="dxa"/>
            <w:vAlign w:val="bottom"/>
          </w:tcPr>
          <w:p>
            <w:pPr>
              <w:jc w:val="center"/>
              <w:ind w:right="445"/>
              <w:spacing w:after="0"/>
              <w:rPr>
                <w:sz w:val="20"/>
                <w:szCs w:val="20"/>
                <w:color w:val="auto"/>
              </w:rPr>
            </w:pPr>
            <w:r>
              <w:rPr>
                <w:rFonts w:ascii="Arial" w:cs="Arial" w:eastAsia="Arial" w:hAnsi="Arial"/>
                <w:sz w:val="10"/>
                <w:szCs w:val="10"/>
                <w:b w:val="1"/>
                <w:bCs w:val="1"/>
                <w:color w:val="auto"/>
              </w:rPr>
              <w:t>Underlying</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left="168"/>
              <w:spacing w:after="0"/>
              <w:rPr>
                <w:sz w:val="20"/>
                <w:szCs w:val="20"/>
                <w:color w:val="auto"/>
              </w:rPr>
            </w:pPr>
            <w:r>
              <w:rPr>
                <w:rFonts w:ascii="Arial" w:cs="Arial" w:eastAsia="Arial" w:hAnsi="Arial"/>
                <w:sz w:val="10"/>
                <w:szCs w:val="10"/>
                <w:b w:val="1"/>
                <w:bCs w:val="1"/>
                <w:color w:val="auto"/>
              </w:rPr>
              <w:t>Stock That</w:t>
            </w:r>
          </w:p>
        </w:tc>
        <w:tc>
          <w:tcPr>
            <w:tcW w:w="1700" w:type="dxa"/>
            <w:vAlign w:val="bottom"/>
          </w:tcPr>
          <w:p>
            <w:pPr>
              <w:jc w:val="center"/>
              <w:ind w:left="405"/>
              <w:spacing w:after="0"/>
              <w:rPr>
                <w:sz w:val="20"/>
                <w:szCs w:val="20"/>
                <w:color w:val="auto"/>
              </w:rPr>
            </w:pPr>
            <w:r>
              <w:rPr>
                <w:rFonts w:ascii="Arial" w:cs="Arial" w:eastAsia="Arial" w:hAnsi="Arial"/>
                <w:sz w:val="10"/>
                <w:szCs w:val="10"/>
                <w:b w:val="1"/>
                <w:bCs w:val="1"/>
                <w:color w:val="auto"/>
              </w:rPr>
              <w:t>Units of</w:t>
            </w:r>
          </w:p>
        </w:tc>
      </w:tr>
      <w:tr>
        <w:trPr>
          <w:trHeight w:val="118"/>
        </w:trPr>
        <w:tc>
          <w:tcPr>
            <w:tcW w:w="2400" w:type="dxa"/>
            <w:vAlign w:val="bottom"/>
          </w:tcPr>
          <w:p>
            <w:pPr>
              <w:spacing w:after="0"/>
              <w:rPr>
                <w:sz w:val="10"/>
                <w:szCs w:val="10"/>
                <w:color w:val="auto"/>
              </w:rPr>
            </w:pPr>
          </w:p>
        </w:tc>
        <w:tc>
          <w:tcPr>
            <w:tcW w:w="1240" w:type="dxa"/>
            <w:vAlign w:val="bottom"/>
          </w:tcPr>
          <w:p>
            <w:pPr>
              <w:jc w:val="center"/>
              <w:ind w:right="365"/>
              <w:spacing w:after="0"/>
              <w:rPr>
                <w:sz w:val="20"/>
                <w:szCs w:val="20"/>
                <w:color w:val="auto"/>
              </w:rPr>
            </w:pPr>
            <w:r>
              <w:rPr>
                <w:rFonts w:ascii="Arial" w:cs="Arial" w:eastAsia="Arial" w:hAnsi="Arial"/>
                <w:sz w:val="10"/>
                <w:szCs w:val="10"/>
                <w:b w:val="1"/>
                <w:bCs w:val="1"/>
                <w:color w:val="auto"/>
              </w:rPr>
              <w:t>Unexercised</w:t>
            </w:r>
          </w:p>
        </w:tc>
        <w:tc>
          <w:tcPr>
            <w:tcW w:w="1600" w:type="dxa"/>
            <w:vAlign w:val="bottom"/>
          </w:tcPr>
          <w:p>
            <w:pPr>
              <w:jc w:val="center"/>
              <w:ind w:right="445"/>
              <w:spacing w:after="0"/>
              <w:rPr>
                <w:sz w:val="20"/>
                <w:szCs w:val="20"/>
                <w:color w:val="auto"/>
              </w:rPr>
            </w:pPr>
            <w:r>
              <w:rPr>
                <w:rFonts w:ascii="Arial" w:cs="Arial" w:eastAsia="Arial" w:hAnsi="Arial"/>
                <w:sz w:val="10"/>
                <w:szCs w:val="10"/>
                <w:b w:val="1"/>
                <w:bCs w:val="1"/>
                <w:color w:val="auto"/>
              </w:rPr>
              <w:t>Unexercised</w:t>
            </w:r>
          </w:p>
        </w:tc>
        <w:tc>
          <w:tcPr>
            <w:tcW w:w="920" w:type="dxa"/>
            <w:vAlign w:val="bottom"/>
          </w:tcPr>
          <w:p>
            <w:pPr>
              <w:jc w:val="center"/>
              <w:ind w:right="243"/>
              <w:spacing w:after="0"/>
              <w:rPr>
                <w:sz w:val="20"/>
                <w:szCs w:val="20"/>
                <w:color w:val="auto"/>
              </w:rPr>
            </w:pPr>
            <w:r>
              <w:rPr>
                <w:rFonts w:ascii="Arial" w:cs="Arial" w:eastAsia="Arial" w:hAnsi="Arial"/>
                <w:sz w:val="10"/>
                <w:szCs w:val="10"/>
                <w:b w:val="1"/>
                <w:bCs w:val="1"/>
                <w:color w:val="auto"/>
              </w:rPr>
              <w:t>Option</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Option</w:t>
            </w:r>
          </w:p>
        </w:tc>
        <w:tc>
          <w:tcPr>
            <w:tcW w:w="220" w:type="dxa"/>
            <w:vAlign w:val="bottom"/>
          </w:tcPr>
          <w:p>
            <w:pPr>
              <w:spacing w:after="0"/>
              <w:rPr>
                <w:sz w:val="10"/>
                <w:szCs w:val="10"/>
                <w:color w:val="auto"/>
              </w:rPr>
            </w:pPr>
          </w:p>
        </w:tc>
        <w:tc>
          <w:tcPr>
            <w:tcW w:w="920" w:type="dxa"/>
            <w:vAlign w:val="bottom"/>
          </w:tcPr>
          <w:p>
            <w:pPr>
              <w:jc w:val="center"/>
              <w:ind w:left="168"/>
              <w:spacing w:after="0"/>
              <w:rPr>
                <w:sz w:val="20"/>
                <w:szCs w:val="20"/>
                <w:color w:val="auto"/>
              </w:rPr>
            </w:pPr>
            <w:r>
              <w:rPr>
                <w:rFonts w:ascii="Arial" w:cs="Arial" w:eastAsia="Arial" w:hAnsi="Arial"/>
                <w:sz w:val="10"/>
                <w:szCs w:val="10"/>
                <w:b w:val="1"/>
                <w:bCs w:val="1"/>
                <w:color w:val="auto"/>
              </w:rPr>
              <w:t>Have Not</w:t>
            </w:r>
          </w:p>
        </w:tc>
        <w:tc>
          <w:tcPr>
            <w:tcW w:w="1700" w:type="dxa"/>
            <w:vAlign w:val="bottom"/>
          </w:tcPr>
          <w:p>
            <w:pPr>
              <w:jc w:val="center"/>
              <w:ind w:left="385"/>
              <w:spacing w:after="0"/>
              <w:rPr>
                <w:sz w:val="20"/>
                <w:szCs w:val="20"/>
                <w:color w:val="auto"/>
              </w:rPr>
            </w:pPr>
            <w:r>
              <w:rPr>
                <w:rFonts w:ascii="Arial" w:cs="Arial" w:eastAsia="Arial" w:hAnsi="Arial"/>
                <w:sz w:val="10"/>
                <w:szCs w:val="10"/>
                <w:b w:val="1"/>
                <w:bCs w:val="1"/>
                <w:color w:val="auto"/>
              </w:rPr>
              <w:t>Stock That</w:t>
            </w:r>
          </w:p>
        </w:tc>
      </w:tr>
      <w:tr>
        <w:trPr>
          <w:trHeight w:val="118"/>
        </w:trPr>
        <w:tc>
          <w:tcPr>
            <w:tcW w:w="2400" w:type="dxa"/>
            <w:vAlign w:val="bottom"/>
          </w:tcPr>
          <w:p>
            <w:pPr>
              <w:spacing w:after="0"/>
              <w:rPr>
                <w:sz w:val="10"/>
                <w:szCs w:val="10"/>
                <w:color w:val="auto"/>
              </w:rPr>
            </w:pPr>
          </w:p>
        </w:tc>
        <w:tc>
          <w:tcPr>
            <w:tcW w:w="1240" w:type="dxa"/>
            <w:vAlign w:val="bottom"/>
          </w:tcPr>
          <w:p>
            <w:pPr>
              <w:jc w:val="center"/>
              <w:ind w:right="365"/>
              <w:spacing w:after="0"/>
              <w:rPr>
                <w:sz w:val="20"/>
                <w:szCs w:val="20"/>
                <w:color w:val="auto"/>
              </w:rPr>
            </w:pPr>
            <w:r>
              <w:rPr>
                <w:rFonts w:ascii="Arial" w:cs="Arial" w:eastAsia="Arial" w:hAnsi="Arial"/>
                <w:sz w:val="10"/>
                <w:szCs w:val="10"/>
                <w:b w:val="1"/>
                <w:bCs w:val="1"/>
                <w:color w:val="auto"/>
              </w:rPr>
              <w:t>Options (#)</w:t>
            </w:r>
          </w:p>
        </w:tc>
        <w:tc>
          <w:tcPr>
            <w:tcW w:w="1600" w:type="dxa"/>
            <w:vAlign w:val="bottom"/>
          </w:tcPr>
          <w:p>
            <w:pPr>
              <w:jc w:val="center"/>
              <w:ind w:right="465"/>
              <w:spacing w:after="0"/>
              <w:rPr>
                <w:sz w:val="20"/>
                <w:szCs w:val="20"/>
                <w:color w:val="auto"/>
              </w:rPr>
            </w:pPr>
            <w:r>
              <w:rPr>
                <w:rFonts w:ascii="Arial" w:cs="Arial" w:eastAsia="Arial" w:hAnsi="Arial"/>
                <w:sz w:val="10"/>
                <w:szCs w:val="10"/>
                <w:b w:val="1"/>
                <w:bCs w:val="1"/>
                <w:color w:val="auto"/>
              </w:rPr>
              <w:t>Options (#)</w:t>
            </w:r>
          </w:p>
        </w:tc>
        <w:tc>
          <w:tcPr>
            <w:tcW w:w="920" w:type="dxa"/>
            <w:vAlign w:val="bottom"/>
          </w:tcPr>
          <w:p>
            <w:pPr>
              <w:jc w:val="center"/>
              <w:ind w:right="263"/>
              <w:spacing w:after="0"/>
              <w:rPr>
                <w:sz w:val="20"/>
                <w:szCs w:val="20"/>
                <w:color w:val="auto"/>
              </w:rPr>
            </w:pPr>
            <w:r>
              <w:rPr>
                <w:rFonts w:ascii="Arial" w:cs="Arial" w:eastAsia="Arial" w:hAnsi="Arial"/>
                <w:sz w:val="10"/>
                <w:szCs w:val="10"/>
                <w:b w:val="1"/>
                <w:bCs w:val="1"/>
                <w:color w:val="auto"/>
              </w:rPr>
              <w:t>Exercise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Expiration</w:t>
            </w:r>
          </w:p>
        </w:tc>
        <w:tc>
          <w:tcPr>
            <w:tcW w:w="220" w:type="dxa"/>
            <w:vAlign w:val="bottom"/>
          </w:tcPr>
          <w:p>
            <w:pPr>
              <w:spacing w:after="0"/>
              <w:rPr>
                <w:sz w:val="10"/>
                <w:szCs w:val="10"/>
                <w:color w:val="auto"/>
              </w:rPr>
            </w:pPr>
          </w:p>
        </w:tc>
        <w:tc>
          <w:tcPr>
            <w:tcW w:w="920" w:type="dxa"/>
            <w:vAlign w:val="bottom"/>
          </w:tcPr>
          <w:p>
            <w:pPr>
              <w:jc w:val="center"/>
              <w:ind w:left="168"/>
              <w:spacing w:after="0"/>
              <w:rPr>
                <w:sz w:val="20"/>
                <w:szCs w:val="20"/>
                <w:color w:val="auto"/>
              </w:rPr>
            </w:pPr>
            <w:r>
              <w:rPr>
                <w:rFonts w:ascii="Arial" w:cs="Arial" w:eastAsia="Arial" w:hAnsi="Arial"/>
                <w:sz w:val="10"/>
                <w:szCs w:val="10"/>
                <w:b w:val="1"/>
                <w:bCs w:val="1"/>
                <w:color w:val="auto"/>
              </w:rPr>
              <w:t>Vested</w:t>
            </w:r>
          </w:p>
        </w:tc>
        <w:tc>
          <w:tcPr>
            <w:tcW w:w="1700" w:type="dxa"/>
            <w:vAlign w:val="bottom"/>
          </w:tcPr>
          <w:p>
            <w:pPr>
              <w:jc w:val="center"/>
              <w:ind w:left="385"/>
              <w:spacing w:after="0"/>
              <w:rPr>
                <w:sz w:val="20"/>
                <w:szCs w:val="20"/>
                <w:color w:val="auto"/>
              </w:rPr>
            </w:pPr>
            <w:r>
              <w:rPr>
                <w:rFonts w:ascii="Arial" w:cs="Arial" w:eastAsia="Arial" w:hAnsi="Arial"/>
                <w:sz w:val="10"/>
                <w:szCs w:val="10"/>
                <w:b w:val="1"/>
                <w:bCs w:val="1"/>
                <w:color w:val="auto"/>
              </w:rPr>
              <w:t>Have Not</w:t>
            </w:r>
          </w:p>
        </w:tc>
      </w:tr>
      <w:tr>
        <w:trPr>
          <w:trHeight w:val="137"/>
        </w:trPr>
        <w:tc>
          <w:tcPr>
            <w:tcW w:w="2400" w:type="dxa"/>
            <w:vAlign w:val="bottom"/>
          </w:tcPr>
          <w:p>
            <w:pPr>
              <w:ind w:left="1140"/>
              <w:spacing w:after="0"/>
              <w:rPr>
                <w:sz w:val="20"/>
                <w:szCs w:val="20"/>
                <w:color w:val="auto"/>
              </w:rPr>
            </w:pPr>
            <w:r>
              <w:rPr>
                <w:rFonts w:ascii="Arial" w:cs="Arial" w:eastAsia="Arial" w:hAnsi="Arial"/>
                <w:sz w:val="10"/>
                <w:szCs w:val="10"/>
                <w:b w:val="1"/>
                <w:bCs w:val="1"/>
                <w:color w:val="auto"/>
              </w:rPr>
              <w:t>Name</w:t>
            </w:r>
          </w:p>
        </w:tc>
        <w:tc>
          <w:tcPr>
            <w:tcW w:w="1240" w:type="dxa"/>
            <w:vAlign w:val="bottom"/>
          </w:tcPr>
          <w:p>
            <w:pPr>
              <w:ind w:left="400"/>
              <w:spacing w:after="0"/>
              <w:rPr>
                <w:sz w:val="20"/>
                <w:szCs w:val="20"/>
                <w:color w:val="auto"/>
              </w:rPr>
            </w:pPr>
            <w:r>
              <w:rPr>
                <w:rFonts w:ascii="Arial" w:cs="Arial" w:eastAsia="Arial" w:hAnsi="Arial"/>
                <w:sz w:val="10"/>
                <w:szCs w:val="10"/>
                <w:b w:val="1"/>
                <w:bCs w:val="1"/>
                <w:color w:val="auto"/>
              </w:rPr>
              <w:t>Exercisable</w:t>
            </w:r>
          </w:p>
        </w:tc>
        <w:tc>
          <w:tcPr>
            <w:tcW w:w="1600" w:type="dxa"/>
            <w:vAlign w:val="bottom"/>
          </w:tcPr>
          <w:p>
            <w:pPr>
              <w:jc w:val="right"/>
              <w:ind w:right="165"/>
              <w:spacing w:after="0"/>
              <w:rPr>
                <w:sz w:val="20"/>
                <w:szCs w:val="20"/>
                <w:color w:val="auto"/>
              </w:rPr>
            </w:pPr>
            <w:r>
              <w:rPr>
                <w:rFonts w:ascii="Arial" w:cs="Arial" w:eastAsia="Arial" w:hAnsi="Arial"/>
                <w:sz w:val="10"/>
                <w:szCs w:val="10"/>
                <w:b w:val="1"/>
                <w:bCs w:val="1"/>
                <w:color w:val="auto"/>
              </w:rPr>
              <w:t>Unexercisable(2)</w:t>
            </w:r>
          </w:p>
        </w:tc>
        <w:tc>
          <w:tcPr>
            <w:tcW w:w="920" w:type="dxa"/>
            <w:vAlign w:val="bottom"/>
          </w:tcPr>
          <w:p>
            <w:pPr>
              <w:ind w:left="300"/>
              <w:spacing w:after="0"/>
              <w:rPr>
                <w:sz w:val="20"/>
                <w:szCs w:val="20"/>
                <w:color w:val="auto"/>
              </w:rPr>
            </w:pPr>
            <w:r>
              <w:rPr>
                <w:rFonts w:ascii="Arial" w:cs="Arial" w:eastAsia="Arial" w:hAnsi="Arial"/>
                <w:sz w:val="10"/>
                <w:szCs w:val="10"/>
                <w:b w:val="1"/>
                <w:bCs w:val="1"/>
                <w:color w:val="auto"/>
              </w:rPr>
              <w:t>Price ($)</w:t>
            </w:r>
          </w:p>
        </w:tc>
        <w:tc>
          <w:tcPr>
            <w:tcW w:w="980" w:type="dxa"/>
            <w:vAlign w:val="bottom"/>
          </w:tcPr>
          <w:p>
            <w:pPr>
              <w:ind w:left="480"/>
              <w:spacing w:after="0"/>
              <w:rPr>
                <w:sz w:val="20"/>
                <w:szCs w:val="20"/>
                <w:color w:val="auto"/>
              </w:rPr>
            </w:pPr>
            <w:r>
              <w:rPr>
                <w:rFonts w:ascii="Arial" w:cs="Arial" w:eastAsia="Arial" w:hAnsi="Arial"/>
                <w:sz w:val="10"/>
                <w:szCs w:val="10"/>
                <w:b w:val="1"/>
                <w:bCs w:val="1"/>
                <w:color w:val="auto"/>
              </w:rPr>
              <w:t>Date</w:t>
            </w:r>
          </w:p>
        </w:tc>
        <w:tc>
          <w:tcPr>
            <w:tcW w:w="1140" w:type="dxa"/>
            <w:vAlign w:val="bottom"/>
            <w:gridSpan w:val="2"/>
          </w:tcPr>
          <w:p>
            <w:pPr>
              <w:jc w:val="right"/>
              <w:ind w:right="48"/>
              <w:spacing w:after="0"/>
              <w:rPr>
                <w:sz w:val="20"/>
                <w:szCs w:val="20"/>
                <w:color w:val="auto"/>
              </w:rPr>
            </w:pPr>
            <w:r>
              <w:rPr>
                <w:rFonts w:ascii="Arial" w:cs="Arial" w:eastAsia="Arial" w:hAnsi="Arial"/>
                <w:sz w:val="10"/>
                <w:szCs w:val="10"/>
                <w:b w:val="1"/>
                <w:bCs w:val="1"/>
                <w:color w:val="auto"/>
              </w:rPr>
              <w:t>(#)(3)</w:t>
            </w:r>
          </w:p>
        </w:tc>
        <w:tc>
          <w:tcPr>
            <w:tcW w:w="1700" w:type="dxa"/>
            <w:vAlign w:val="bottom"/>
          </w:tcPr>
          <w:p>
            <w:pPr>
              <w:jc w:val="right"/>
              <w:spacing w:after="0"/>
              <w:rPr>
                <w:sz w:val="20"/>
                <w:szCs w:val="20"/>
                <w:color w:val="auto"/>
              </w:rPr>
            </w:pPr>
            <w:r>
              <w:rPr>
                <w:rFonts w:ascii="Arial" w:cs="Arial" w:eastAsia="Arial" w:hAnsi="Arial"/>
                <w:sz w:val="10"/>
                <w:szCs w:val="10"/>
                <w:b w:val="1"/>
                <w:bCs w:val="1"/>
                <w:color w:val="auto"/>
              </w:rPr>
              <w:t>Vested ($)(4)</w:t>
            </w:r>
          </w:p>
        </w:tc>
      </w:tr>
      <w:tr>
        <w:trPr>
          <w:trHeight w:val="49"/>
        </w:trPr>
        <w:tc>
          <w:tcPr>
            <w:tcW w:w="2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13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Sang Park</w:t>
            </w:r>
          </w:p>
        </w:tc>
        <w:tc>
          <w:tcPr>
            <w:tcW w:w="1240" w:type="dxa"/>
            <w:vAlign w:val="bottom"/>
            <w:shd w:val="clear" w:color="auto" w:fill="CCEEFF"/>
          </w:tcPr>
          <w:p>
            <w:pPr>
              <w:jc w:val="center"/>
              <w:ind w:right="365"/>
              <w:spacing w:after="0"/>
              <w:rPr>
                <w:sz w:val="20"/>
                <w:szCs w:val="20"/>
                <w:color w:val="auto"/>
              </w:rPr>
            </w:pPr>
            <w:r>
              <w:rPr>
                <w:rFonts w:ascii="Arial" w:cs="Arial" w:eastAsia="Arial" w:hAnsi="Arial"/>
                <w:sz w:val="12"/>
                <w:szCs w:val="12"/>
                <w:color w:val="auto"/>
                <w:w w:val="82"/>
              </w:rPr>
              <w:t>—</w:t>
            </w:r>
          </w:p>
        </w:tc>
        <w:tc>
          <w:tcPr>
            <w:tcW w:w="1600" w:type="dxa"/>
            <w:vAlign w:val="bottom"/>
            <w:shd w:val="clear" w:color="auto" w:fill="CCEEFF"/>
          </w:tcPr>
          <w:p>
            <w:pPr>
              <w:jc w:val="right"/>
              <w:ind w:right="785"/>
              <w:spacing w:after="0"/>
              <w:rPr>
                <w:sz w:val="20"/>
                <w:szCs w:val="20"/>
                <w:color w:val="auto"/>
              </w:rPr>
            </w:pPr>
            <w:r>
              <w:rPr>
                <w:rFonts w:ascii="Arial" w:cs="Arial" w:eastAsia="Arial" w:hAnsi="Arial"/>
                <w:sz w:val="12"/>
                <w:szCs w:val="12"/>
                <w:color w:val="auto"/>
              </w:rPr>
              <w:t>280,000</w:t>
            </w:r>
          </w:p>
        </w:tc>
        <w:tc>
          <w:tcPr>
            <w:tcW w:w="920" w:type="dxa"/>
            <w:vAlign w:val="bottom"/>
            <w:shd w:val="clear" w:color="auto" w:fill="CCEEFF"/>
          </w:tcPr>
          <w:p>
            <w:pPr>
              <w:jc w:val="center"/>
              <w:ind w:right="243"/>
              <w:spacing w:after="0"/>
              <w:rPr>
                <w:sz w:val="20"/>
                <w:szCs w:val="20"/>
                <w:color w:val="auto"/>
              </w:rPr>
            </w:pPr>
            <w:r>
              <w:rPr>
                <w:rFonts w:ascii="Arial" w:cs="Arial" w:eastAsia="Arial" w:hAnsi="Arial"/>
                <w:sz w:val="12"/>
                <w:szCs w:val="12"/>
                <w:color w:val="auto"/>
                <w:w w:val="93"/>
              </w:rPr>
              <w:t>9.28</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184,800</w:t>
            </w:r>
          </w:p>
        </w:tc>
        <w:tc>
          <w:tcPr>
            <w:tcW w:w="17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1,167,936</w:t>
            </w:r>
          </w:p>
        </w:tc>
      </w:tr>
      <w:tr>
        <w:trPr>
          <w:trHeight w:val="138"/>
        </w:trPr>
        <w:tc>
          <w:tcPr>
            <w:tcW w:w="2400" w:type="dxa"/>
            <w:vAlign w:val="bottom"/>
          </w:tcPr>
          <w:p>
            <w:pPr>
              <w:spacing w:after="0"/>
              <w:rPr>
                <w:sz w:val="20"/>
                <w:szCs w:val="20"/>
                <w:color w:val="auto"/>
              </w:rPr>
            </w:pPr>
            <w:r>
              <w:rPr>
                <w:rFonts w:ascii="Arial" w:cs="Arial" w:eastAsia="Arial" w:hAnsi="Arial"/>
                <w:sz w:val="12"/>
                <w:szCs w:val="12"/>
                <w:color w:val="auto"/>
              </w:rPr>
              <w:t>Tae Young Hwang</w:t>
            </w:r>
          </w:p>
        </w:tc>
        <w:tc>
          <w:tcPr>
            <w:tcW w:w="1240" w:type="dxa"/>
            <w:vAlign w:val="bottom"/>
          </w:tcPr>
          <w:p>
            <w:pPr>
              <w:jc w:val="center"/>
              <w:ind w:right="365"/>
              <w:spacing w:after="0"/>
              <w:rPr>
                <w:sz w:val="20"/>
                <w:szCs w:val="20"/>
                <w:color w:val="auto"/>
              </w:rPr>
            </w:pPr>
            <w:r>
              <w:rPr>
                <w:rFonts w:ascii="Arial" w:cs="Arial" w:eastAsia="Arial" w:hAnsi="Arial"/>
                <w:sz w:val="12"/>
                <w:szCs w:val="12"/>
                <w:color w:val="auto"/>
                <w:w w:val="82"/>
              </w:rPr>
              <w:t>—</w:t>
            </w:r>
          </w:p>
        </w:tc>
        <w:tc>
          <w:tcPr>
            <w:tcW w:w="1600" w:type="dxa"/>
            <w:vAlign w:val="bottom"/>
          </w:tcPr>
          <w:p>
            <w:pPr>
              <w:jc w:val="right"/>
              <w:ind w:right="785"/>
              <w:spacing w:after="0"/>
              <w:rPr>
                <w:sz w:val="20"/>
                <w:szCs w:val="20"/>
                <w:color w:val="auto"/>
              </w:rPr>
            </w:pPr>
            <w:r>
              <w:rPr>
                <w:rFonts w:ascii="Arial" w:cs="Arial" w:eastAsia="Arial" w:hAnsi="Arial"/>
                <w:sz w:val="12"/>
                <w:szCs w:val="12"/>
                <w:color w:val="auto"/>
              </w:rPr>
              <w:t>175,000</w:t>
            </w:r>
          </w:p>
        </w:tc>
        <w:tc>
          <w:tcPr>
            <w:tcW w:w="920" w:type="dxa"/>
            <w:vAlign w:val="bottom"/>
          </w:tcPr>
          <w:p>
            <w:pPr>
              <w:jc w:val="center"/>
              <w:ind w:right="243"/>
              <w:spacing w:after="0"/>
              <w:rPr>
                <w:sz w:val="20"/>
                <w:szCs w:val="20"/>
                <w:color w:val="auto"/>
              </w:rPr>
            </w:pPr>
            <w:r>
              <w:rPr>
                <w:rFonts w:ascii="Arial" w:cs="Arial" w:eastAsia="Arial" w:hAnsi="Arial"/>
                <w:sz w:val="12"/>
                <w:szCs w:val="12"/>
                <w:color w:val="auto"/>
                <w:w w:val="93"/>
              </w:rPr>
              <w:t>9.28</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12/8/2019</w:t>
            </w:r>
          </w:p>
        </w:tc>
        <w:tc>
          <w:tcPr>
            <w:tcW w:w="1140" w:type="dxa"/>
            <w:vAlign w:val="bottom"/>
            <w:gridSpan w:val="2"/>
          </w:tcPr>
          <w:p>
            <w:pPr>
              <w:jc w:val="right"/>
              <w:ind w:right="88"/>
              <w:spacing w:after="0"/>
              <w:rPr>
                <w:sz w:val="20"/>
                <w:szCs w:val="20"/>
                <w:color w:val="auto"/>
              </w:rPr>
            </w:pPr>
            <w:r>
              <w:rPr>
                <w:rFonts w:ascii="Arial" w:cs="Arial" w:eastAsia="Arial" w:hAnsi="Arial"/>
                <w:sz w:val="12"/>
                <w:szCs w:val="12"/>
                <w:color w:val="auto"/>
              </w:rPr>
              <w:t>69,300</w:t>
            </w:r>
          </w:p>
        </w:tc>
        <w:tc>
          <w:tcPr>
            <w:tcW w:w="1700" w:type="dxa"/>
            <w:vAlign w:val="bottom"/>
          </w:tcPr>
          <w:p>
            <w:pPr>
              <w:jc w:val="right"/>
              <w:ind w:right="305"/>
              <w:spacing w:after="0"/>
              <w:rPr>
                <w:sz w:val="20"/>
                <w:szCs w:val="20"/>
                <w:color w:val="auto"/>
              </w:rPr>
            </w:pPr>
            <w:r>
              <w:rPr>
                <w:rFonts w:ascii="Arial" w:cs="Arial" w:eastAsia="Arial" w:hAnsi="Arial"/>
                <w:sz w:val="12"/>
                <w:szCs w:val="12"/>
                <w:color w:val="auto"/>
              </w:rPr>
              <w:t>437,976</w:t>
            </w:r>
          </w:p>
        </w:tc>
      </w:tr>
      <w:tr>
        <w:trPr>
          <w:trHeight w:val="13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Brent Rowe</w:t>
            </w:r>
          </w:p>
        </w:tc>
        <w:tc>
          <w:tcPr>
            <w:tcW w:w="1240" w:type="dxa"/>
            <w:vAlign w:val="bottom"/>
            <w:shd w:val="clear" w:color="auto" w:fill="CCEEFF"/>
          </w:tcPr>
          <w:p>
            <w:pPr>
              <w:jc w:val="center"/>
              <w:ind w:right="365"/>
              <w:spacing w:after="0"/>
              <w:rPr>
                <w:sz w:val="20"/>
                <w:szCs w:val="20"/>
                <w:color w:val="auto"/>
              </w:rPr>
            </w:pPr>
            <w:r>
              <w:rPr>
                <w:rFonts w:ascii="Arial" w:cs="Arial" w:eastAsia="Arial" w:hAnsi="Arial"/>
                <w:sz w:val="12"/>
                <w:szCs w:val="12"/>
                <w:color w:val="auto"/>
                <w:w w:val="82"/>
              </w:rPr>
              <w:t>—</w:t>
            </w:r>
          </w:p>
        </w:tc>
        <w:tc>
          <w:tcPr>
            <w:tcW w:w="1600" w:type="dxa"/>
            <w:vAlign w:val="bottom"/>
            <w:shd w:val="clear" w:color="auto" w:fill="CCEEFF"/>
          </w:tcPr>
          <w:p>
            <w:pPr>
              <w:jc w:val="right"/>
              <w:ind w:right="785"/>
              <w:spacing w:after="0"/>
              <w:rPr>
                <w:sz w:val="20"/>
                <w:szCs w:val="20"/>
                <w:color w:val="auto"/>
              </w:rPr>
            </w:pPr>
            <w:r>
              <w:rPr>
                <w:rFonts w:ascii="Arial" w:cs="Arial" w:eastAsia="Arial" w:hAnsi="Arial"/>
                <w:sz w:val="12"/>
                <w:szCs w:val="12"/>
                <w:color w:val="auto"/>
              </w:rPr>
              <w:t>105,000</w:t>
            </w:r>
          </w:p>
        </w:tc>
        <w:tc>
          <w:tcPr>
            <w:tcW w:w="920" w:type="dxa"/>
            <w:vAlign w:val="bottom"/>
            <w:shd w:val="clear" w:color="auto" w:fill="CCEEFF"/>
          </w:tcPr>
          <w:p>
            <w:pPr>
              <w:jc w:val="center"/>
              <w:ind w:right="243"/>
              <w:spacing w:after="0"/>
              <w:rPr>
                <w:sz w:val="20"/>
                <w:szCs w:val="20"/>
                <w:color w:val="auto"/>
              </w:rPr>
            </w:pPr>
            <w:r>
              <w:rPr>
                <w:rFonts w:ascii="Arial" w:cs="Arial" w:eastAsia="Arial" w:hAnsi="Arial"/>
                <w:sz w:val="12"/>
                <w:szCs w:val="12"/>
                <w:color w:val="auto"/>
                <w:w w:val="93"/>
              </w:rPr>
              <w:t>9.28</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46,200</w:t>
            </w:r>
          </w:p>
        </w:tc>
        <w:tc>
          <w:tcPr>
            <w:tcW w:w="17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291,984</w:t>
            </w:r>
          </w:p>
        </w:tc>
      </w:tr>
      <w:tr>
        <w:trPr>
          <w:trHeight w:val="138"/>
        </w:trPr>
        <w:tc>
          <w:tcPr>
            <w:tcW w:w="2400" w:type="dxa"/>
            <w:vAlign w:val="bottom"/>
          </w:tcPr>
          <w:p>
            <w:pPr>
              <w:spacing w:after="0"/>
              <w:rPr>
                <w:sz w:val="20"/>
                <w:szCs w:val="20"/>
                <w:color w:val="auto"/>
              </w:rPr>
            </w:pPr>
            <w:r>
              <w:rPr>
                <w:rFonts w:ascii="Arial" w:cs="Arial" w:eastAsia="Arial" w:hAnsi="Arial"/>
                <w:sz w:val="12"/>
                <w:szCs w:val="12"/>
                <w:color w:val="auto"/>
              </w:rPr>
              <w:t>Margaret Sakai</w:t>
            </w:r>
          </w:p>
        </w:tc>
        <w:tc>
          <w:tcPr>
            <w:tcW w:w="1240" w:type="dxa"/>
            <w:vAlign w:val="bottom"/>
          </w:tcPr>
          <w:p>
            <w:pPr>
              <w:jc w:val="center"/>
              <w:ind w:right="365"/>
              <w:spacing w:after="0"/>
              <w:rPr>
                <w:sz w:val="20"/>
                <w:szCs w:val="20"/>
                <w:color w:val="auto"/>
              </w:rPr>
            </w:pPr>
            <w:r>
              <w:rPr>
                <w:rFonts w:ascii="Arial" w:cs="Arial" w:eastAsia="Arial" w:hAnsi="Arial"/>
                <w:sz w:val="12"/>
                <w:szCs w:val="12"/>
                <w:color w:val="auto"/>
                <w:w w:val="82"/>
              </w:rPr>
              <w:t>—</w:t>
            </w:r>
          </w:p>
        </w:tc>
        <w:tc>
          <w:tcPr>
            <w:tcW w:w="1600" w:type="dxa"/>
            <w:vAlign w:val="bottom"/>
          </w:tcPr>
          <w:p>
            <w:pPr>
              <w:jc w:val="right"/>
              <w:ind w:right="785"/>
              <w:spacing w:after="0"/>
              <w:rPr>
                <w:sz w:val="20"/>
                <w:szCs w:val="20"/>
                <w:color w:val="auto"/>
              </w:rPr>
            </w:pPr>
            <w:r>
              <w:rPr>
                <w:rFonts w:ascii="Arial" w:cs="Arial" w:eastAsia="Arial" w:hAnsi="Arial"/>
                <w:sz w:val="12"/>
                <w:szCs w:val="12"/>
                <w:color w:val="auto"/>
              </w:rPr>
              <w:t>42,000</w:t>
            </w:r>
          </w:p>
        </w:tc>
        <w:tc>
          <w:tcPr>
            <w:tcW w:w="920" w:type="dxa"/>
            <w:vAlign w:val="bottom"/>
          </w:tcPr>
          <w:p>
            <w:pPr>
              <w:jc w:val="center"/>
              <w:ind w:right="243"/>
              <w:spacing w:after="0"/>
              <w:rPr>
                <w:sz w:val="20"/>
                <w:szCs w:val="20"/>
                <w:color w:val="auto"/>
              </w:rPr>
            </w:pPr>
            <w:r>
              <w:rPr>
                <w:rFonts w:ascii="Arial" w:cs="Arial" w:eastAsia="Arial" w:hAnsi="Arial"/>
                <w:sz w:val="12"/>
                <w:szCs w:val="12"/>
                <w:color w:val="auto"/>
                <w:w w:val="93"/>
              </w:rPr>
              <w:t>9.28</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12/8/2019</w:t>
            </w:r>
          </w:p>
        </w:tc>
        <w:tc>
          <w:tcPr>
            <w:tcW w:w="1140" w:type="dxa"/>
            <w:vAlign w:val="bottom"/>
            <w:gridSpan w:val="2"/>
          </w:tcPr>
          <w:p>
            <w:pPr>
              <w:jc w:val="right"/>
              <w:ind w:right="88"/>
              <w:spacing w:after="0"/>
              <w:rPr>
                <w:sz w:val="20"/>
                <w:szCs w:val="20"/>
                <w:color w:val="auto"/>
              </w:rPr>
            </w:pPr>
            <w:r>
              <w:rPr>
                <w:rFonts w:ascii="Arial" w:cs="Arial" w:eastAsia="Arial" w:hAnsi="Arial"/>
                <w:sz w:val="12"/>
                <w:szCs w:val="12"/>
                <w:color w:val="auto"/>
              </w:rPr>
              <w:t>27,720</w:t>
            </w:r>
          </w:p>
        </w:tc>
        <w:tc>
          <w:tcPr>
            <w:tcW w:w="1700" w:type="dxa"/>
            <w:vAlign w:val="bottom"/>
          </w:tcPr>
          <w:p>
            <w:pPr>
              <w:jc w:val="right"/>
              <w:ind w:right="305"/>
              <w:spacing w:after="0"/>
              <w:rPr>
                <w:sz w:val="20"/>
                <w:szCs w:val="20"/>
                <w:color w:val="auto"/>
              </w:rPr>
            </w:pPr>
            <w:r>
              <w:rPr>
                <w:rFonts w:ascii="Arial" w:cs="Arial" w:eastAsia="Arial" w:hAnsi="Arial"/>
                <w:sz w:val="12"/>
                <w:szCs w:val="12"/>
                <w:color w:val="auto"/>
              </w:rPr>
              <w:t>175,190</w:t>
            </w:r>
          </w:p>
        </w:tc>
      </w:tr>
      <w:tr>
        <w:trPr>
          <w:trHeight w:val="13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John McFarland</w:t>
            </w:r>
          </w:p>
        </w:tc>
        <w:tc>
          <w:tcPr>
            <w:tcW w:w="1240" w:type="dxa"/>
            <w:vAlign w:val="bottom"/>
            <w:shd w:val="clear" w:color="auto" w:fill="CCEEFF"/>
          </w:tcPr>
          <w:p>
            <w:pPr>
              <w:jc w:val="center"/>
              <w:ind w:right="365"/>
              <w:spacing w:after="0"/>
              <w:rPr>
                <w:sz w:val="20"/>
                <w:szCs w:val="20"/>
                <w:color w:val="auto"/>
              </w:rPr>
            </w:pPr>
            <w:r>
              <w:rPr>
                <w:rFonts w:ascii="Arial" w:cs="Arial" w:eastAsia="Arial" w:hAnsi="Arial"/>
                <w:sz w:val="12"/>
                <w:szCs w:val="12"/>
                <w:color w:val="auto"/>
                <w:w w:val="82"/>
              </w:rPr>
              <w:t>—</w:t>
            </w:r>
          </w:p>
        </w:tc>
        <w:tc>
          <w:tcPr>
            <w:tcW w:w="1600" w:type="dxa"/>
            <w:vAlign w:val="bottom"/>
            <w:shd w:val="clear" w:color="auto" w:fill="CCEEFF"/>
          </w:tcPr>
          <w:p>
            <w:pPr>
              <w:jc w:val="right"/>
              <w:ind w:right="785"/>
              <w:spacing w:after="0"/>
              <w:rPr>
                <w:sz w:val="20"/>
                <w:szCs w:val="20"/>
                <w:color w:val="auto"/>
              </w:rPr>
            </w:pPr>
            <w:r>
              <w:rPr>
                <w:rFonts w:ascii="Arial" w:cs="Arial" w:eastAsia="Arial" w:hAnsi="Arial"/>
                <w:sz w:val="12"/>
                <w:szCs w:val="12"/>
                <w:color w:val="auto"/>
              </w:rPr>
              <w:t>28,000</w:t>
            </w:r>
          </w:p>
        </w:tc>
        <w:tc>
          <w:tcPr>
            <w:tcW w:w="920" w:type="dxa"/>
            <w:vAlign w:val="bottom"/>
            <w:shd w:val="clear" w:color="auto" w:fill="CCEEFF"/>
          </w:tcPr>
          <w:p>
            <w:pPr>
              <w:jc w:val="center"/>
              <w:ind w:right="243"/>
              <w:spacing w:after="0"/>
              <w:rPr>
                <w:sz w:val="20"/>
                <w:szCs w:val="20"/>
                <w:color w:val="auto"/>
              </w:rPr>
            </w:pPr>
            <w:r>
              <w:rPr>
                <w:rFonts w:ascii="Arial" w:cs="Arial" w:eastAsia="Arial" w:hAnsi="Arial"/>
                <w:sz w:val="12"/>
                <w:szCs w:val="12"/>
                <w:color w:val="auto"/>
                <w:w w:val="93"/>
              </w:rPr>
              <w:t>9.28</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27,720</w:t>
            </w:r>
          </w:p>
        </w:tc>
        <w:tc>
          <w:tcPr>
            <w:tcW w:w="17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175,190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-467360</wp:posOffset>
            </wp:positionV>
            <wp:extent cx="1270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-467360</wp:posOffset>
            </wp:positionV>
            <wp:extent cx="635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-467360</wp:posOffset>
            </wp:positionV>
            <wp:extent cx="127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-467360</wp:posOffset>
            </wp:positionV>
            <wp:extent cx="635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-467360</wp:posOffset>
            </wp:positionV>
            <wp:extent cx="635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-467360</wp:posOffset>
            </wp:positionV>
            <wp:extent cx="63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-467360</wp:posOffset>
            </wp:positionV>
            <wp:extent cx="63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1000" w:right="580" w:hanging="267"/>
        <w:spacing w:after="0" w:line="248" w:lineRule="auto"/>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64" w:lineRule="exact"/>
        <w:rPr>
          <w:rFonts w:ascii="Arial" w:cs="Arial" w:eastAsia="Arial" w:hAnsi="Arial"/>
          <w:sz w:val="13"/>
          <w:szCs w:val="13"/>
          <w:color w:val="auto"/>
        </w:rPr>
      </w:pPr>
    </w:p>
    <w:p>
      <w:pPr>
        <w:ind w:left="1000" w:right="200" w:hanging="267"/>
        <w:spacing w:after="0"/>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 installment of 34% of the shares of common stock subject to the options will vest and become exercisable on December 8, 2010, an additional 9% of the options vest on the completion of the next period of three months, an additional 8% of the options vest upon the completion of each of the next three-month periods, an additional 9% of the options vest upon the completion of the next quarter, and an additional 8% of the options vest upon the completion of each of the next three quarters.</w:t>
      </w:r>
    </w:p>
    <w:p>
      <w:pPr>
        <w:spacing w:after="0" w:line="70" w:lineRule="exact"/>
        <w:rPr>
          <w:rFonts w:ascii="Arial" w:cs="Arial" w:eastAsia="Arial" w:hAnsi="Arial"/>
          <w:sz w:val="13"/>
          <w:szCs w:val="13"/>
          <w:color w:val="auto"/>
        </w:rPr>
      </w:pPr>
    </w:p>
    <w:p>
      <w:pPr>
        <w:ind w:left="1000" w:hanging="267"/>
        <w:spacing w:after="0" w:line="248" w:lineRule="auto"/>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restrictions on the shares of common stock lapse on December 8, 2010 as to 33% of the total amount of restricted shares of common stock originally awarded and on December 8, 2011 as to 33% of the total amount of restricted shares of common stock originally awarded.</w:t>
      </w:r>
    </w:p>
    <w:p>
      <w:pPr>
        <w:spacing w:after="0" w:line="64" w:lineRule="exact"/>
        <w:rPr>
          <w:rFonts w:ascii="Arial" w:cs="Arial" w:eastAsia="Arial" w:hAnsi="Arial"/>
          <w:sz w:val="13"/>
          <w:szCs w:val="13"/>
          <w:color w:val="auto"/>
        </w:rPr>
      </w:pPr>
    </w:p>
    <w:p>
      <w:pPr>
        <w:ind w:left="1000" w:hanging="267"/>
        <w:spacing w:after="0"/>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shares of unvested common stock by the value of our common stock determined on an as converted basis of $6.32 as of December 31, 2009, the last day of our fiscal year. See “Management’s Discussion and Analysis of Financial Condition and Results of Operations — Accounting for Unit-based Compensation” for a description of how we valued our common stock while as a private company.</w:t>
      </w:r>
    </w:p>
    <w:p>
      <w:pPr>
        <w:spacing w:after="0" w:line="70" w:lineRule="exact"/>
        <w:rPr>
          <w:rFonts w:ascii="Arial" w:cs="Arial" w:eastAsia="Arial" w:hAnsi="Arial"/>
          <w:sz w:val="13"/>
          <w:szCs w:val="13"/>
          <w:color w:val="auto"/>
        </w:rPr>
      </w:pPr>
    </w:p>
    <w:p>
      <w:pPr>
        <w:ind w:left="1000" w:hanging="267"/>
        <w:spacing w:after="0"/>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80"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Option Exercises and Stock Vested at Fiscal Year End 2009(1)</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21"/>
        </w:trPr>
        <w:tc>
          <w:tcPr>
            <w:tcW w:w="5080" w:type="dxa"/>
            <w:vAlign w:val="bottom"/>
            <w:tcBorders>
              <w:top w:val="single" w:sz="8" w:color="auto"/>
            </w:tcBorders>
          </w:tcPr>
          <w:p>
            <w:pPr>
              <w:spacing w:after="0"/>
              <w:rPr>
                <w:sz w:val="10"/>
                <w:szCs w:val="10"/>
                <w:color w:val="auto"/>
              </w:rPr>
            </w:pPr>
          </w:p>
        </w:tc>
        <w:tc>
          <w:tcPr>
            <w:tcW w:w="2980" w:type="dxa"/>
            <w:vAlign w:val="bottom"/>
            <w:tcBorders>
              <w:top w:val="single" w:sz="8" w:color="auto"/>
            </w:tcBorders>
          </w:tcPr>
          <w:p>
            <w:pPr>
              <w:jc w:val="center"/>
              <w:ind w:left="1034"/>
              <w:spacing w:after="0" w:line="121" w:lineRule="exact"/>
              <w:rPr>
                <w:sz w:val="20"/>
                <w:szCs w:val="20"/>
                <w:color w:val="auto"/>
              </w:rPr>
            </w:pPr>
            <w:r>
              <w:rPr>
                <w:rFonts w:ascii="Arial" w:cs="Arial" w:eastAsia="Arial" w:hAnsi="Arial"/>
                <w:sz w:val="13"/>
                <w:szCs w:val="13"/>
                <w:b w:val="1"/>
                <w:bCs w:val="1"/>
                <w:color w:val="auto"/>
                <w:w w:val="98"/>
              </w:rPr>
              <w:t>Number of</w:t>
            </w:r>
          </w:p>
        </w:tc>
        <w:tc>
          <w:tcPr>
            <w:tcW w:w="1920" w:type="dxa"/>
            <w:vAlign w:val="bottom"/>
            <w:tcBorders>
              <w:top w:val="single" w:sz="8" w:color="auto"/>
            </w:tcBorders>
          </w:tcPr>
          <w:p>
            <w:pPr>
              <w:spacing w:after="0"/>
              <w:rPr>
                <w:sz w:val="10"/>
                <w:szCs w:val="10"/>
                <w:color w:val="auto"/>
              </w:rPr>
            </w:pPr>
          </w:p>
        </w:tc>
      </w:tr>
      <w:tr>
        <w:trPr>
          <w:trHeight w:val="147"/>
        </w:trPr>
        <w:tc>
          <w:tcPr>
            <w:tcW w:w="5080" w:type="dxa"/>
            <w:vAlign w:val="bottom"/>
          </w:tcPr>
          <w:p>
            <w:pPr>
              <w:spacing w:after="0"/>
              <w:rPr>
                <w:sz w:val="12"/>
                <w:szCs w:val="12"/>
                <w:color w:val="auto"/>
              </w:rPr>
            </w:pP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rPr>
              <w:t>Shares</w:t>
            </w:r>
          </w:p>
        </w:tc>
        <w:tc>
          <w:tcPr>
            <w:tcW w:w="1920" w:type="dxa"/>
            <w:vAlign w:val="bottom"/>
          </w:tcPr>
          <w:p>
            <w:pPr>
              <w:spacing w:after="0"/>
              <w:rPr>
                <w:sz w:val="12"/>
                <w:szCs w:val="12"/>
                <w:color w:val="auto"/>
              </w:rPr>
            </w:pPr>
          </w:p>
        </w:tc>
      </w:tr>
      <w:tr>
        <w:trPr>
          <w:trHeight w:val="147"/>
        </w:trPr>
        <w:tc>
          <w:tcPr>
            <w:tcW w:w="5080" w:type="dxa"/>
            <w:vAlign w:val="bottom"/>
          </w:tcPr>
          <w:p>
            <w:pPr>
              <w:spacing w:after="0"/>
              <w:rPr>
                <w:sz w:val="12"/>
                <w:szCs w:val="12"/>
                <w:color w:val="auto"/>
              </w:rPr>
            </w:pP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rPr>
              <w:t>Acquired on</w:t>
            </w:r>
          </w:p>
        </w:tc>
        <w:tc>
          <w:tcPr>
            <w:tcW w:w="1920" w:type="dxa"/>
            <w:vAlign w:val="bottom"/>
          </w:tcPr>
          <w:p>
            <w:pPr>
              <w:jc w:val="right"/>
              <w:ind w:right="374"/>
              <w:spacing w:after="0" w:line="148" w:lineRule="exact"/>
              <w:rPr>
                <w:sz w:val="20"/>
                <w:szCs w:val="20"/>
                <w:color w:val="auto"/>
              </w:rPr>
            </w:pPr>
            <w:r>
              <w:rPr>
                <w:rFonts w:ascii="Arial" w:cs="Arial" w:eastAsia="Arial" w:hAnsi="Arial"/>
                <w:sz w:val="13"/>
                <w:szCs w:val="13"/>
                <w:b w:val="1"/>
                <w:bCs w:val="1"/>
                <w:color w:val="auto"/>
              </w:rPr>
              <w:t>Value Realized</w:t>
            </w:r>
          </w:p>
        </w:tc>
      </w:tr>
      <w:tr>
        <w:trPr>
          <w:trHeight w:val="147"/>
        </w:trPr>
        <w:tc>
          <w:tcPr>
            <w:tcW w:w="5080" w:type="dxa"/>
            <w:vAlign w:val="bottom"/>
          </w:tcPr>
          <w:p>
            <w:pPr>
              <w:spacing w:after="0"/>
              <w:rPr>
                <w:sz w:val="12"/>
                <w:szCs w:val="12"/>
                <w:color w:val="auto"/>
              </w:rPr>
            </w:pP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rPr>
              <w:t>Vesting</w:t>
            </w:r>
          </w:p>
        </w:tc>
        <w:tc>
          <w:tcPr>
            <w:tcW w:w="1920" w:type="dxa"/>
            <w:vAlign w:val="bottom"/>
          </w:tcPr>
          <w:p>
            <w:pPr>
              <w:jc w:val="right"/>
              <w:ind w:right="514"/>
              <w:spacing w:after="0" w:line="148" w:lineRule="exact"/>
              <w:rPr>
                <w:sz w:val="20"/>
                <w:szCs w:val="20"/>
                <w:color w:val="auto"/>
              </w:rPr>
            </w:pPr>
            <w:r>
              <w:rPr>
                <w:rFonts w:ascii="Arial" w:cs="Arial" w:eastAsia="Arial" w:hAnsi="Arial"/>
                <w:sz w:val="13"/>
                <w:szCs w:val="13"/>
                <w:b w:val="1"/>
                <w:bCs w:val="1"/>
                <w:color w:val="auto"/>
              </w:rPr>
              <w:t>on Vesting</w:t>
            </w:r>
          </w:p>
        </w:tc>
      </w:tr>
      <w:tr>
        <w:trPr>
          <w:trHeight w:val="173"/>
        </w:trPr>
        <w:tc>
          <w:tcPr>
            <w:tcW w:w="5080" w:type="dxa"/>
            <w:vAlign w:val="bottom"/>
          </w:tcPr>
          <w:p>
            <w:pPr>
              <w:ind w:left="306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2980" w:type="dxa"/>
            <w:vAlign w:val="bottom"/>
          </w:tcPr>
          <w:p>
            <w:pPr>
              <w:jc w:val="right"/>
              <w:ind w:right="554"/>
              <w:spacing w:after="0"/>
              <w:rPr>
                <w:sz w:val="20"/>
                <w:szCs w:val="20"/>
                <w:color w:val="auto"/>
              </w:rPr>
            </w:pPr>
            <w:r>
              <w:rPr>
                <w:rFonts w:ascii="Arial" w:cs="Arial" w:eastAsia="Arial" w:hAnsi="Arial"/>
                <w:sz w:val="13"/>
                <w:szCs w:val="13"/>
                <w:b w:val="1"/>
                <w:bCs w:val="1"/>
                <w:color w:val="auto"/>
              </w:rPr>
              <w:t>(#)(2)</w:t>
            </w:r>
          </w:p>
        </w:tc>
        <w:tc>
          <w:tcPr>
            <w:tcW w:w="1920" w:type="dxa"/>
            <w:vAlign w:val="bottom"/>
          </w:tcPr>
          <w:p>
            <w:pPr>
              <w:jc w:val="right"/>
              <w:ind w:right="534"/>
              <w:spacing w:after="0"/>
              <w:rPr>
                <w:sz w:val="20"/>
                <w:szCs w:val="20"/>
                <w:color w:val="auto"/>
              </w:rPr>
            </w:pPr>
            <w:r>
              <w:rPr>
                <w:rFonts w:ascii="Arial" w:cs="Arial" w:eastAsia="Arial" w:hAnsi="Arial"/>
                <w:sz w:val="13"/>
                <w:szCs w:val="13"/>
                <w:b w:val="1"/>
                <w:bCs w:val="1"/>
                <w:color w:val="auto"/>
              </w:rPr>
              <w:t>($)(3)</w:t>
            </w:r>
          </w:p>
        </w:tc>
      </w:tr>
      <w:tr>
        <w:trPr>
          <w:trHeight w:val="50"/>
        </w:trPr>
        <w:tc>
          <w:tcPr>
            <w:tcW w:w="50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147"/>
        </w:trPr>
        <w:tc>
          <w:tcPr>
            <w:tcW w:w="50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Sang Park</w:t>
            </w:r>
          </w:p>
        </w:tc>
        <w:tc>
          <w:tcPr>
            <w:tcW w:w="298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rPr>
              <w:t>95,200</w:t>
            </w:r>
          </w:p>
        </w:tc>
        <w:tc>
          <w:tcPr>
            <w:tcW w:w="19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601,664</w:t>
            </w:r>
          </w:p>
        </w:tc>
      </w:tr>
      <w:tr>
        <w:trPr>
          <w:trHeight w:val="147"/>
        </w:trPr>
        <w:tc>
          <w:tcPr>
            <w:tcW w:w="5080" w:type="dxa"/>
            <w:vAlign w:val="bottom"/>
          </w:tcPr>
          <w:p>
            <w:pPr>
              <w:spacing w:after="0" w:line="148" w:lineRule="exact"/>
              <w:rPr>
                <w:sz w:val="20"/>
                <w:szCs w:val="20"/>
                <w:color w:val="auto"/>
              </w:rPr>
            </w:pPr>
            <w:r>
              <w:rPr>
                <w:rFonts w:ascii="Arial" w:cs="Arial" w:eastAsia="Arial" w:hAnsi="Arial"/>
                <w:sz w:val="13"/>
                <w:szCs w:val="13"/>
                <w:color w:val="auto"/>
              </w:rPr>
              <w:t>Tae Young Hwang</w:t>
            </w: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color w:val="auto"/>
              </w:rPr>
              <w:t>35,700</w:t>
            </w:r>
          </w:p>
        </w:tc>
        <w:tc>
          <w:tcPr>
            <w:tcW w:w="192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225,624</w:t>
            </w:r>
          </w:p>
        </w:tc>
      </w:tr>
      <w:tr>
        <w:trPr>
          <w:trHeight w:val="147"/>
        </w:trPr>
        <w:tc>
          <w:tcPr>
            <w:tcW w:w="50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Brent Rowe</w:t>
            </w:r>
          </w:p>
        </w:tc>
        <w:tc>
          <w:tcPr>
            <w:tcW w:w="298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rPr>
              <w:t>23,800</w:t>
            </w:r>
          </w:p>
        </w:tc>
        <w:tc>
          <w:tcPr>
            <w:tcW w:w="19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150,416</w:t>
            </w:r>
          </w:p>
        </w:tc>
      </w:tr>
      <w:tr>
        <w:trPr>
          <w:trHeight w:val="147"/>
        </w:trPr>
        <w:tc>
          <w:tcPr>
            <w:tcW w:w="5080" w:type="dxa"/>
            <w:vAlign w:val="bottom"/>
          </w:tcPr>
          <w:p>
            <w:pPr>
              <w:spacing w:after="0" w:line="148" w:lineRule="exact"/>
              <w:rPr>
                <w:sz w:val="20"/>
                <w:szCs w:val="20"/>
                <w:color w:val="auto"/>
              </w:rPr>
            </w:pPr>
            <w:r>
              <w:rPr>
                <w:rFonts w:ascii="Arial" w:cs="Arial" w:eastAsia="Arial" w:hAnsi="Arial"/>
                <w:sz w:val="13"/>
                <w:szCs w:val="13"/>
                <w:color w:val="auto"/>
              </w:rPr>
              <w:t>John McFarland</w:t>
            </w: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color w:val="auto"/>
              </w:rPr>
              <w:t>14,280</w:t>
            </w:r>
          </w:p>
        </w:tc>
        <w:tc>
          <w:tcPr>
            <w:tcW w:w="192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90,250</w:t>
            </w:r>
          </w:p>
        </w:tc>
      </w:tr>
      <w:tr>
        <w:trPr>
          <w:trHeight w:val="147"/>
        </w:trPr>
        <w:tc>
          <w:tcPr>
            <w:tcW w:w="50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Margaret Sakai</w:t>
            </w:r>
          </w:p>
        </w:tc>
        <w:tc>
          <w:tcPr>
            <w:tcW w:w="298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rPr>
              <w:t>14,280</w:t>
            </w:r>
          </w:p>
        </w:tc>
        <w:tc>
          <w:tcPr>
            <w:tcW w:w="19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90,250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4948555</wp:posOffset>
            </wp:positionH>
            <wp:positionV relativeFrom="paragraph">
              <wp:posOffset>-498475</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6190615</wp:posOffset>
            </wp:positionH>
            <wp:positionV relativeFrom="paragraph">
              <wp:posOffset>-498475</wp:posOffset>
            </wp:positionV>
            <wp:extent cx="127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78" w:lineRule="exact"/>
        <w:rPr>
          <w:sz w:val="20"/>
          <w:szCs w:val="20"/>
          <w:color w:val="auto"/>
        </w:rPr>
      </w:pPr>
    </w:p>
    <w:p>
      <w:pPr>
        <w:ind w:left="1000" w:right="580" w:hanging="267"/>
        <w:spacing w:after="0" w:line="248" w:lineRule="auto"/>
        <w:tabs>
          <w:tab w:leader="none" w:pos="1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64" w:lineRule="exact"/>
        <w:rPr>
          <w:rFonts w:ascii="Arial" w:cs="Arial" w:eastAsia="Arial" w:hAnsi="Arial"/>
          <w:sz w:val="13"/>
          <w:szCs w:val="13"/>
          <w:color w:val="auto"/>
        </w:rPr>
      </w:pPr>
    </w:p>
    <w:p>
      <w:pPr>
        <w:ind w:left="1000" w:hanging="267"/>
        <w:spacing w:after="0"/>
        <w:tabs>
          <w:tab w:leader="none" w:pos="1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restrictions on the awards lapsed on December 8, 2009 as to 34% of the total number of restricted shares of common stock originally awarded.</w:t>
      </w:r>
    </w:p>
    <w:p>
      <w:pPr>
        <w:spacing w:after="0" w:line="12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00" w:right="160" w:hanging="267"/>
        <w:spacing w:after="0" w:line="248"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vested shares by the value of our shares of $6.32 as of the date of vesting determined on an as converted basis.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MagnaChip Semiconductor LLC 2009 Common Unit Plan</w:t>
      </w:r>
    </w:p>
    <w:p>
      <w:pPr>
        <w:spacing w:after="0" w:line="102" w:lineRule="exact"/>
        <w:rPr>
          <w:sz w:val="20"/>
          <w:szCs w:val="20"/>
          <w:color w:val="auto"/>
        </w:rPr>
      </w:pPr>
    </w:p>
    <w:p>
      <w:pPr>
        <w:ind w:left="680" w:right="100" w:firstLine="499"/>
        <w:spacing w:after="0" w:line="238" w:lineRule="auto"/>
        <w:rPr>
          <w:sz w:val="20"/>
          <w:szCs w:val="20"/>
          <w:color w:val="auto"/>
        </w:rPr>
      </w:pPr>
      <w:r>
        <w:rPr>
          <w:rFonts w:ascii="Arial" w:cs="Arial" w:eastAsia="Arial" w:hAnsi="Arial"/>
          <w:sz w:val="13"/>
          <w:szCs w:val="13"/>
          <w:color w:val="auto"/>
        </w:rPr>
        <w:t>All of our outstanding common and preferred units and options and related plans were terminated as of November 9, 2009 pursuant to our reorganization proceedings. Following our emergence from our reorganization proceedings, in December 2009, our board of directors adopted, and our equityholders approved, the MagnaChip Semiconductor LLC 2009 Common Unit Plan, which we refer to as the 2009 Plan. The 2009 Plan provides for the grant of nonstatutory options, restricted unit bonus and purchase right awards, and deferred unit awards to employees and consultants of our company and our subsidiaries and to members of our board of directors. However, only options and restricted unit bonus awards have been granted under the 2009 Plan. Subject to adjustment in the event of certain changes in capital structure, the maximum aggregate number of MagnaChip Semiconductor LLC common units that are available for grant under the 2009 Plan is 30,000,000. Units subject to awards that expire, are forfeited or otherwise terminate will again be available for grant under the 2009 Plan.</w:t>
      </w:r>
    </w:p>
    <w:p>
      <w:pPr>
        <w:spacing w:after="0" w:line="83" w:lineRule="exact"/>
        <w:rPr>
          <w:sz w:val="20"/>
          <w:szCs w:val="20"/>
          <w:color w:val="auto"/>
        </w:rPr>
      </w:pPr>
    </w:p>
    <w:p>
      <w:pPr>
        <w:ind w:left="680" w:right="380" w:firstLine="499"/>
        <w:spacing w:after="0" w:line="236" w:lineRule="auto"/>
        <w:rPr>
          <w:sz w:val="20"/>
          <w:szCs w:val="20"/>
          <w:color w:val="auto"/>
        </w:rPr>
      </w:pPr>
      <w:r>
        <w:rPr>
          <w:rFonts w:ascii="Arial" w:cs="Arial" w:eastAsia="Arial" w:hAnsi="Arial"/>
          <w:sz w:val="13"/>
          <w:szCs w:val="13"/>
          <w:color w:val="auto"/>
        </w:rPr>
        <w:t>In connection with our corporate conversion, we will assume the rights and obligations of MagnaChip Semiconductor LLC under the 2009 Plan and convert MagnaChip Semiconductor LLC common unit options and restricted common units outstanding under the 2009 Plan into options to acquire a number of shares of our common stock and shares of restricted common stock at a ratio of eight-for-one on substantially equivalent terms and conditions. Based upon our common units outstanding as of April 30, 2010, and after giving effect to the corporate conversion, there would have been outstanding under the 2009 Plan options to purchase</w:t>
      </w:r>
    </w:p>
    <w:p>
      <w:pPr>
        <w:spacing w:after="0" w:line="2" w:lineRule="exact"/>
        <w:rPr>
          <w:sz w:val="20"/>
          <w:szCs w:val="20"/>
          <w:color w:val="auto"/>
        </w:rPr>
      </w:pPr>
    </w:p>
    <w:p>
      <w:pPr>
        <w:ind w:left="680" w:right="80"/>
        <w:spacing w:after="0" w:line="242" w:lineRule="auto"/>
        <w:rPr>
          <w:sz w:val="20"/>
          <w:szCs w:val="20"/>
          <w:color w:val="auto"/>
        </w:rPr>
      </w:pPr>
      <w:r>
        <w:rPr>
          <w:rFonts w:ascii="Arial" w:cs="Arial" w:eastAsia="Arial" w:hAnsi="Arial"/>
          <w:sz w:val="13"/>
          <w:szCs w:val="13"/>
          <w:color w:val="auto"/>
        </w:rPr>
        <w:t>1,995,375 shares of common stock, at a weighted average exercise price of $6.32 per share. The 2009 Plan will terminate immediately following our corporate conversion, and no additional options or other equity awards may be granted under the 2009 Plan following its termination. However, options granted under the 2009 Plan prior to its termination will remain outstanding until they are either exercised or expire.</w:t>
      </w:r>
    </w:p>
    <w:p>
      <w:pPr>
        <w:spacing w:after="0" w:line="79"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2009 Plan is administered by the Committee. Subject to the provisions of the 2009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2009 Plan and awards granted under it.</w:t>
      </w:r>
    </w:p>
    <w:p>
      <w:pPr>
        <w:spacing w:after="0" w:line="79"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Equity Incentive Plan</w:t>
      </w:r>
    </w:p>
    <w:p>
      <w:pPr>
        <w:spacing w:after="0" w:line="102" w:lineRule="exact"/>
        <w:rPr>
          <w:sz w:val="20"/>
          <w:szCs w:val="20"/>
          <w:color w:val="auto"/>
        </w:rPr>
      </w:pPr>
    </w:p>
    <w:p>
      <w:pPr>
        <w:ind w:left="680" w:right="380" w:firstLine="499"/>
        <w:spacing w:after="0" w:line="248" w:lineRule="auto"/>
        <w:rPr>
          <w:sz w:val="20"/>
          <w:szCs w:val="20"/>
          <w:color w:val="auto"/>
        </w:rPr>
      </w:pPr>
      <w:r>
        <w:rPr>
          <w:rFonts w:ascii="Arial" w:cs="Arial" w:eastAsia="Arial" w:hAnsi="Arial"/>
          <w:sz w:val="13"/>
          <w:szCs w:val="13"/>
          <w:color w:val="auto"/>
        </w:rPr>
        <w:t>Our 2010 Equity Incentive Plan, or the 2010 Plan, was approved by our board of directors in March 2010 and will be effective upon our corporate conversion, subject to its approval by our equityholders, which is expected prior to the closing of this offering.</w:t>
      </w:r>
    </w:p>
    <w:p>
      <w:pPr>
        <w:spacing w:after="0" w:line="74"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A number of shares of our common stock equal to the total number of shares of common stock (as adjusted by the conversion ratio in the corporate conversion) remaining available for grant under the 2009 Plan upon its termination immediately following the corporate conversion will be initially authorized and reserved for issuance under the 2010 Plan. As of April 30, 2010, 850,375 shares of</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common stock were reserved for future issuance under the 2009 Plan. This reserve will automatically increase on January 1, 2011 and each subsequent anniversary through 2020, by an amount equal to the smaller of 2% of the number of shares of common stock issued and outstanding on the immediately preceding December 31 or an amount determined by our board of directors. The number of shares authorized for issuance under the 2010 Plan will also be increased from time to time by up to that number of shares of common stock (as adjusted by the conversion ratio in corporate conversion) remaining subject to options and restricted stock awards outstanding under the 2009 Plan at the time of its termination immediately following the corporate conversion that expire or terminate or are forfeited for any reason after the effective date of the 2010 Plan. Appropriate adjustments will be made in the number of authorized shares and other numerical limits in the 2010 Plan and in outstanding awards to prevent dilution or enlargement of participants’ rights in the event of a stock split or other change in our capital structure. Shares subject to awards granted under our 2010 Plan which expire, are repurchased, or are cancelled or forfeited will again become available for issuance under the 2010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2010 Plan.</w:t>
      </w:r>
    </w:p>
    <w:p>
      <w:pPr>
        <w:spacing w:after="0" w:line="215"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Awards may be granted under the 2010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80"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The 2010 Plan is administered by the Committee. Subject to the provisions of the 2010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2010 Plan and awards granted under it.</w:t>
      </w:r>
    </w:p>
    <w:p>
      <w:pPr>
        <w:spacing w:after="0" w:line="7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In the event of a change in control as described in the 2010 Plan, the acquiring or successor entity may assume or continue all or any awards outstanding under the 2010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of directors who are not employees will automatically be accelerated in full. The 2010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Employee Stock Purchase Plan</w:t>
      </w:r>
    </w:p>
    <w:p>
      <w:pPr>
        <w:spacing w:after="0" w:line="102" w:lineRule="exact"/>
        <w:rPr>
          <w:sz w:val="20"/>
          <w:szCs w:val="20"/>
          <w:color w:val="auto"/>
        </w:rPr>
      </w:pPr>
    </w:p>
    <w:p>
      <w:pPr>
        <w:ind w:left="680" w:right="560" w:firstLine="499"/>
        <w:spacing w:after="0" w:line="248" w:lineRule="auto"/>
        <w:rPr>
          <w:sz w:val="20"/>
          <w:szCs w:val="20"/>
          <w:color w:val="auto"/>
        </w:rPr>
      </w:pPr>
      <w:r>
        <w:rPr>
          <w:rFonts w:ascii="Arial" w:cs="Arial" w:eastAsia="Arial" w:hAnsi="Arial"/>
          <w:sz w:val="13"/>
          <w:szCs w:val="13"/>
          <w:color w:val="auto"/>
        </w:rPr>
        <w:t>Our 2010 Employee Stock Purchase Plan, or the Purchase Plan, was approved by our board of directors in March 2010 and, subject to its approval by our equityholders, will become effective upon the commencement of this offering.</w:t>
      </w:r>
    </w:p>
    <w:p>
      <w:pPr>
        <w:spacing w:after="0" w:line="74"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A number of shares of our common stock equal to 2% of the number of shares of common stock estimated to be outstanding immediately after completion of this offering, including the exercise of the underwriters’ option to purchase additional shares will be initially authorized and reserved for sale</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under the Purchase Plan. In addition, the Purchase Plan provides for an automatic annual increase in the number of shares available for issuance under the plan on January 1 of each year beginning in 2011 and continuing through and including January 1, 2020 equal to the lesser of (i) 1% of our then issued and outstanding shares of common stock on the immediately preceding December 31, (ii) a number of shares of our common stock equal to 2% of the number of shares of common stock estimated to be outstanding immediately after completion of this offering, including the exercise of the underwriters’ option to purchase additional shares or (c)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w:t>
      </w:r>
    </w:p>
    <w:p>
      <w:pPr>
        <w:spacing w:after="0" w:line="83"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81"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The Purchase Plan is implemented through a series of sequential offering periods, generally three months in duration beginning on the first trading days of February, May, August, and November each year. However, the Committee may establish an offering period to commence on the effective date of the Purchase Plan that will end on a date, on or about July 31, 2010, determined by the Committee.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80"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80"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Agreements with Executives and Potential Payments Upon Termination or Change in Control</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are obligated to make certain payments to our named executive officers upon termination or a change in control as further described below.</w:t>
      </w:r>
    </w:p>
    <w:p>
      <w:pPr>
        <w:spacing w:after="0" w:line="70"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Sang Park. </w:t>
      </w:r>
      <w:r>
        <w:rPr>
          <w:rFonts w:ascii="Arial" w:cs="Arial" w:eastAsia="Arial" w:hAnsi="Arial"/>
          <w:sz w:val="13"/>
          <w:szCs w:val="13"/>
          <w:color w:val="auto"/>
        </w:rPr>
        <w:t>We are party to an Amended and Restated Services Agreement, dated as of May 8, 2008, with Mr. Park pursuant to which he serves as our Chairman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Chief Executive Officer. Under the agreement, Mr. Park was to receive an initial base salary of $450,000 and a one-time performance bonus payment of $900,000.</w:t>
      </w:r>
    </w:p>
    <w:p>
      <w:pPr>
        <w:spacing w:after="0" w:line="1"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Mr. Park is also entitled to an annual incentive award of 100% of his annual salary based upon the achievement of performance goals, provided that the actual bonus paid may be higher or lower dependent on over- or under-achievement of his performance goals, as determined by the Committee. Mr. Park is entitled to customary employee benefits and certain expatriate, repatriation and international service benefits, including relocation benefits, tax equalization benefits, the cost of housing accommodations and expenses, transportation benefits and repatriation benefits. Pursuant to the agreement Mr. Park was granted options to purchase restricted common units but they were subsequently terminated in connection with our reorganization proceedings. The restated service agreement also contains customary non-competition and non-solicitation covenants lasting two and three years, respectively, from the date of termination of employment and confidentiality covenants of unlimited duration.</w:t>
      </w:r>
    </w:p>
    <w:p>
      <w:pPr>
        <w:spacing w:after="0" w:line="80"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If Mr. Park’s employment is terminated without Cause or if he resigns for good reason, Mr. Park is entitled to receive (i) payment of all salary and benefits accrued up to the date of termination, (ii) payment of his then-current base salary for twelve months, (iii) the annual incentive award to which Mr. Park would have been entitled for the year in which his employment terminates, (iv) twelve months’ accelerated vesting on outstanding equity awards and a twelve-month post-termination equity award exercise period, and (v) continued participation for Mr. Park and his eligible dependents in our benefit plans for twelve months, including certain international service benefits.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If such termination occurs within nine months of a change in control, Mr. Park is entitled to receive (i) payment of all salary and benefits accrued and unpaid up to the date of termination, (ii) payment of his then-current base salary for twenty-four months, (iii) the annual incentive award to which Mr. Park would have been entitled for the year in which his employment terminates, (iv) two years’ accelerated vesting on outstanding equity awards, other than awards granted pursuant to the 2009 Plan, which accelerate in full, (v) a twelve-month post-termination equity award exercise period, and (vi) continued participation for Mr. Park and his eligible dependents in our benefit plans for two years, including certain international service benefits.</w:t>
      </w:r>
    </w:p>
    <w:p>
      <w:pPr>
        <w:spacing w:after="0" w:line="81"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The severance described above payable to Mr. Park upon his termination without Cause or in connection with a change in control shall be reduced to the extent that we pay any statutory severance payments to Mr. Park pursuant to the Korean Commercial Code or any other statute.</w:t>
      </w:r>
    </w:p>
    <w:p>
      <w:pPr>
        <w:spacing w:after="0" w:line="74" w:lineRule="exact"/>
        <w:rPr>
          <w:sz w:val="20"/>
          <w:szCs w:val="20"/>
          <w:color w:val="auto"/>
        </w:rPr>
      </w:pPr>
    </w:p>
    <w:p>
      <w:pPr>
        <w:ind w:left="680" w:firstLine="499"/>
        <w:spacing w:after="0" w:line="236" w:lineRule="auto"/>
        <w:rPr>
          <w:sz w:val="20"/>
          <w:szCs w:val="20"/>
          <w:color w:val="auto"/>
        </w:rPr>
      </w:pPr>
      <w:r>
        <w:rPr>
          <w:rFonts w:ascii="Arial" w:cs="Arial" w:eastAsia="Arial" w:hAnsi="Arial"/>
          <w:sz w:val="13"/>
          <w:szCs w:val="13"/>
          <w:color w:val="auto"/>
        </w:rPr>
        <w:t>As used in the agreement, the term “Cause” means the termination of Mr. Park’s employment because of (i) a failure by Mr. Park to substantially perform his customary duties (other than such failure resulting from incapacity due to physical or mental illness); (ii) Mr. Park’s gross negligence, intentional misconduct or material fraud in the performance of Mr. Park’s employment; (iii) Mr. Park’s conviction of, or plea of nolo contendre to, a felony or to a crime involving fraud or dishonesty; (iv) a judicial determination that Mr. Park committed fraud or dishonesty against any natural person, firm, partnership, limited liability company, association, corporation, company, trust, business trust, governmental authority or other entity; or (v) Mr. Park’s material violation of the agreement or of one or more of the material policies applicable to his employment. Resignation for “good reason” means a resignation upon any of the following events that remains uncured for 30 days after Mr. Park delivers a demand to us:</w:t>
      </w:r>
    </w:p>
    <w:p>
      <w:pPr>
        <w:spacing w:after="0" w:line="3" w:lineRule="exact"/>
        <w:rPr>
          <w:sz w:val="20"/>
          <w:szCs w:val="20"/>
          <w:color w:val="auto"/>
        </w:rPr>
      </w:pPr>
    </w:p>
    <w:p>
      <w:pPr>
        <w:ind w:left="680" w:right="220" w:firstLine="7"/>
        <w:spacing w:after="0" w:line="242" w:lineRule="auto"/>
        <w:tabs>
          <w:tab w:leader="none" w:pos="833"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salary reduction other than a reduction of less than 10% applied to our other officers, (ii) material reduction in benefits, (iii) failure to provide housing, (iv) nature or status of Mr. Park’s authorities, duties or responsibilities are materially and adversely altered, (v) removal from our board of directors without cause, or (vi) Mr. Park is not reappointed as Chief Executive Officer following our initial public offering.</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firstLine="499"/>
        <w:spacing w:after="0" w:line="236" w:lineRule="auto"/>
        <w:rPr>
          <w:sz w:val="20"/>
          <w:szCs w:val="20"/>
          <w:color w:val="auto"/>
        </w:rPr>
      </w:pPr>
      <w:r>
        <w:rPr>
          <w:rFonts w:ascii="Arial" w:cs="Arial" w:eastAsia="Arial" w:hAnsi="Arial"/>
          <w:sz w:val="13"/>
          <w:szCs w:val="13"/>
          <w:color w:val="auto"/>
        </w:rPr>
        <w:t>In the event we terminate Mr. Park’s employment due to Disability, Mr. Park shall be entitled to (i) payment of his Salary and accrued vacation up to and including the date of termination, (ii) payment of any unpaid expense reimbursements, (iii) the prorated amount of any cash incentive to which Mr. Park would have been entitled, and</w:t>
      </w:r>
    </w:p>
    <w:p>
      <w:pPr>
        <w:spacing w:after="0" w:line="1" w:lineRule="exact"/>
        <w:rPr>
          <w:sz w:val="20"/>
          <w:szCs w:val="20"/>
          <w:color w:val="auto"/>
        </w:rPr>
      </w:pPr>
    </w:p>
    <w:p>
      <w:pPr>
        <w:ind w:left="680" w:right="140" w:firstLine="7"/>
        <w:spacing w:after="0" w:line="242" w:lineRule="auto"/>
        <w:tabs>
          <w:tab w:leader="none" w:pos="898" w:val="left"/>
        </w:tabs>
        <w:numPr>
          <w:ilvl w:val="0"/>
          <w:numId w:val="90"/>
        </w:numPr>
        <w:rPr>
          <w:rFonts w:ascii="Arial" w:cs="Arial" w:eastAsia="Arial" w:hAnsi="Arial"/>
          <w:sz w:val="13"/>
          <w:szCs w:val="13"/>
          <w:color w:val="auto"/>
        </w:rPr>
      </w:pPr>
      <w:r>
        <w:rPr>
          <w:rFonts w:ascii="Arial" w:cs="Arial" w:eastAsia="Arial" w:hAnsi="Arial"/>
          <w:sz w:val="13"/>
          <w:szCs w:val="13"/>
          <w:color w:val="auto"/>
        </w:rPr>
        <w:t>other benefits due to Mr. Park through his termination date. As used in the agreement, the term “Disability” means that the we determine that due to physical or mental illness or incapacity, whether total or partial, Mr. Park is substantially unable to perform his duties for a period of 180 consecutive days or shorter periods aggregating 180 days during any period of 365 consecutive days.</w:t>
      </w:r>
    </w:p>
    <w:p>
      <w:pPr>
        <w:spacing w:after="0" w:line="79"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In the event of Mr. Park’s death while employed by us, Mr. Park’s estate or named beneficiary shall be entitled to (i) payment of Mr. Park’s salary and accrued vacation up to and including the date of termination, (ii) payment of any unpaid expense reimbursements, (iii) the prorated amount of any cash incentive to which Mr. Park would have been entitled, and (iv) other benefits due to Mr. Park through his termination date.</w:t>
      </w:r>
    </w:p>
    <w:p>
      <w:pPr>
        <w:spacing w:after="0" w:line="63"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b w:val="1"/>
          <w:bCs w:val="1"/>
          <w:i w:val="1"/>
          <w:iCs w:val="1"/>
          <w:color w:val="auto"/>
        </w:rPr>
        <w:t xml:space="preserve">Tae Young Hwang. </w:t>
      </w:r>
      <w:r>
        <w:rPr>
          <w:rFonts w:ascii="Arial" w:cs="Arial" w:eastAsia="Arial" w:hAnsi="Arial"/>
          <w:sz w:val="13"/>
          <w:szCs w:val="13"/>
          <w:color w:val="auto"/>
        </w:rPr>
        <w:t>We entered into an Entrustment Agreement with Mr. Hwang, effective as of October 1, 2004, under which he serves as our Chief Operating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and President, with an initial base salary of 220 million Korean won per year and with a target annual incentive bonus to be determined by management based on performance. Mr. Hwang is entitled to customary employee benefits and expatriate benefits. The agreement also contains customary non-competition covenants lasting one year from the date of termination of employment and confidentiality covenants of unlimited duration.</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Hwang’s employment is terminated for any reason, he is entitled to statutory severance payments pursuant to the Korean Commercial Code.</w:t>
      </w:r>
    </w:p>
    <w:p>
      <w:pPr>
        <w:spacing w:after="0" w:line="70"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Brent Rowe. </w:t>
      </w:r>
      <w:r>
        <w:rPr>
          <w:rFonts w:ascii="Arial" w:cs="Arial" w:eastAsia="Arial" w:hAnsi="Arial"/>
          <w:sz w:val="13"/>
          <w:szCs w:val="13"/>
          <w:color w:val="auto"/>
        </w:rPr>
        <w:t>We entered into an Offer Letter with Mr. Rowe, dated as of March 7, 2006, pursuant to which Mr. Rowe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Worldwide Sales, with an initial base salary of $220,000 per year, a sign on bonus of $50,000 and with a target annual incentive bonus opportunity of 80% of his base salary. Mr. Rowe is entitled to customary employee benefits. Pursuant to the Offer Letter, Mr. Rowe received an initial grant of options to purchase our common units, but the grant was subsequently terminated in connection with our reorganization proceedings.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Rowe’s employment is terminated without cause, he is entitled to a severance payment equal to six months’ salary.</w:t>
      </w:r>
    </w:p>
    <w:p>
      <w:pPr>
        <w:spacing w:after="0" w:line="70"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Margaret Sakai. </w:t>
      </w:r>
      <w:r>
        <w:rPr>
          <w:rFonts w:ascii="Arial" w:cs="Arial" w:eastAsia="Arial" w:hAnsi="Arial"/>
          <w:sz w:val="13"/>
          <w:szCs w:val="13"/>
          <w:color w:val="auto"/>
        </w:rPr>
        <w:t>We entered into an Offer Letter with Ms. Sakai, dated as of September 5, 2006, pursuant to which Ms. Sakai served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Finance, with an initial base salary of $250,000 per year and with a target annual incentive bonus opportunity of 50% of her base salary. Ms. Sakai’s title was changed to Senior Vice President and Chief Financial officer in 2009. Ms. Sakai is entitled to customary employee benefits and expatriate benefits. Pursuant to her Offer Letter,</w:t>
      </w:r>
    </w:p>
    <w:p>
      <w:pPr>
        <w:ind w:left="680"/>
        <w:spacing w:after="0"/>
        <w:rPr>
          <w:sz w:val="20"/>
          <w:szCs w:val="20"/>
          <w:color w:val="auto"/>
        </w:rPr>
      </w:pPr>
      <w:r>
        <w:rPr>
          <w:rFonts w:ascii="Arial" w:cs="Arial" w:eastAsia="Arial" w:hAnsi="Arial"/>
          <w:sz w:val="13"/>
          <w:szCs w:val="13"/>
          <w:color w:val="auto"/>
        </w:rPr>
        <w:t>Ms. Sakai received an initial grant of options to purchase our common units, but the grant was subsequently terminated in connection with our reorganization proceedings.</w:t>
      </w:r>
    </w:p>
    <w:p>
      <w:pPr>
        <w:spacing w:after="0" w:line="86"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If Ms. Sakai’s employment is terminated by us without cause, Ms. Sakai is entitled to receive payment of all salary and benefits accrued and unpaid up to the date of termination, continued payment of her salary for six months at the rate in effect on the date of termination, payment of a prorated portion of the annual incentive bonus for the year in which termination occurs and paid benefits for Ms. Sakai and her dependents for six months. The severance payable to Ms. Sakai under her Offer Letter will be reduced to the extent we make any statutory severance payments to Ms. Sakai pursuant to the Korean Commercial Code or any other statute.</w:t>
      </w:r>
    </w:p>
    <w:p>
      <w:pPr>
        <w:spacing w:after="0" w:line="64" w:lineRule="exact"/>
        <w:rPr>
          <w:sz w:val="20"/>
          <w:szCs w:val="20"/>
          <w:color w:val="auto"/>
        </w:rPr>
      </w:pPr>
    </w:p>
    <w:p>
      <w:pPr>
        <w:jc w:val="both"/>
        <w:ind w:left="680" w:right="1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John McFarland. </w:t>
      </w:r>
      <w:r>
        <w:rPr>
          <w:rFonts w:ascii="Arial" w:cs="Arial" w:eastAsia="Arial" w:hAnsi="Arial"/>
          <w:sz w:val="13"/>
          <w:szCs w:val="13"/>
          <w:color w:val="auto"/>
        </w:rPr>
        <w:t>We are party to a Service Agreement, dated as of April 1, 2006, with Mr. McFarland pursuant to which he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 Counsel and Secretary. Under the agreement, Mr. McFarland was eligible to receive an initial base salary of 175 million Korean won per year, with a target annual incentive bonus opportunity of 50% of his base salary. Mr. McFarland is entitled to customary employee benefits and certain expatriate, repatriation</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
        <w:spacing w:after="0" w:line="242" w:lineRule="auto"/>
        <w:rPr>
          <w:sz w:val="20"/>
          <w:szCs w:val="20"/>
          <w:color w:val="auto"/>
        </w:rPr>
      </w:pPr>
      <w:r>
        <w:rPr>
          <w:rFonts w:ascii="Arial" w:cs="Arial" w:eastAsia="Arial" w:hAnsi="Arial"/>
          <w:sz w:val="13"/>
          <w:szCs w:val="13"/>
          <w:color w:val="auto"/>
        </w:rPr>
        <w:t>and international service benefits. Mr. McFarland received an initial grant of options to purchase our common units, but the grant was subsequently terminated in connection with our reorganization proceedings. The agreement also contains customary non-competition and non-solicitation covenants lasting one and two years, respectively, from the date of termination of employment and confidentiality covenants of unlimited duration.</w:t>
      </w:r>
    </w:p>
    <w:p>
      <w:pPr>
        <w:spacing w:after="0" w:line="79" w:lineRule="exact"/>
        <w:rPr>
          <w:sz w:val="20"/>
          <w:szCs w:val="20"/>
          <w:color w:val="auto"/>
        </w:rPr>
      </w:pPr>
    </w:p>
    <w:p>
      <w:pPr>
        <w:ind w:left="680" w:right="120" w:firstLine="499"/>
        <w:spacing w:after="0" w:line="236" w:lineRule="auto"/>
        <w:rPr>
          <w:sz w:val="20"/>
          <w:szCs w:val="20"/>
          <w:color w:val="auto"/>
        </w:rPr>
      </w:pPr>
      <w:r>
        <w:rPr>
          <w:rFonts w:ascii="Arial" w:cs="Arial" w:eastAsia="Arial" w:hAnsi="Arial"/>
          <w:sz w:val="13"/>
          <w:szCs w:val="13"/>
          <w:color w:val="auto"/>
        </w:rPr>
        <w:t>Pursuant to the agreement, if Mr. McFarland’s employment is terminated for any reason other than Disability, death or Cause, he shall be entitled to (i) payment of all salary and benefits accrued up to the date of termination, (ii) a severance payment, consisting of the continuation of his then current salary for a period of six months,</w:t>
      </w:r>
    </w:p>
    <w:p>
      <w:pPr>
        <w:spacing w:after="0" w:line="1" w:lineRule="exact"/>
        <w:rPr>
          <w:sz w:val="20"/>
          <w:szCs w:val="20"/>
          <w:color w:val="auto"/>
        </w:rPr>
      </w:pPr>
    </w:p>
    <w:p>
      <w:pPr>
        <w:ind w:left="680" w:right="40" w:firstLine="7"/>
        <w:spacing w:after="0" w:line="242" w:lineRule="auto"/>
        <w:tabs>
          <w:tab w:leader="none" w:pos="891" w:val="left"/>
        </w:tabs>
        <w:numPr>
          <w:ilvl w:val="0"/>
          <w:numId w:val="91"/>
        </w:numPr>
        <w:rPr>
          <w:rFonts w:ascii="Arial" w:cs="Arial" w:eastAsia="Arial" w:hAnsi="Arial"/>
          <w:sz w:val="13"/>
          <w:szCs w:val="13"/>
          <w:color w:val="auto"/>
        </w:rPr>
      </w:pPr>
      <w:r>
        <w:rPr>
          <w:rFonts w:ascii="Arial" w:cs="Arial" w:eastAsia="Arial" w:hAnsi="Arial"/>
          <w:sz w:val="13"/>
          <w:szCs w:val="13"/>
          <w:color w:val="auto"/>
        </w:rPr>
        <w:t>six months of paid benefits for Mr. McFarland and his eligible dependents and (iv) the prorated amount of any cash incentive to which Mr. McFarland would have been entitled. The severance payable to Mr. McFarland under his agreement will be reduced to the extent we make any statutory severance payments to Mr. McFarland pursuant to the Korean Commercial Code or any other statute.</w:t>
      </w:r>
    </w:p>
    <w:p>
      <w:pPr>
        <w:spacing w:after="0" w:line="79"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the event we terminate Mr. McFarland’s employment due to Disability, Mr. McFarland shall be entitled to (i) payment of his then current salary up to and including the date of termination, (ii) the dollar value of all accrued and unused vacation benefits based upon Mr. McFarland’s most recent level of salary, (iii) any cash incentive amount actually earned but not previously paid to Mr. McFarland, (iv) payment of any unpaid expense reimbursements, and (v) the prorated amount of any cash incentive to which Mr. McFarland would have been entitled. As used in the agreement, the term “Disability” means that we reasonably determine that due to physical or mental illness or incapacity, whether total or partial, Mr. McFarland is substantially unable to perform his duties for a period of 180 consecutive days or shorter periods aggregating 180 days during any period of 365 consecutive days.</w:t>
      </w:r>
    </w:p>
    <w:p>
      <w:pPr>
        <w:spacing w:after="0" w:line="80" w:lineRule="exact"/>
        <w:rPr>
          <w:sz w:val="20"/>
          <w:szCs w:val="20"/>
          <w:color w:val="auto"/>
        </w:rPr>
      </w:pPr>
    </w:p>
    <w:p>
      <w:pPr>
        <w:jc w:val="both"/>
        <w:ind w:left="680" w:right="160" w:firstLine="499"/>
        <w:spacing w:after="0" w:line="236" w:lineRule="auto"/>
        <w:rPr>
          <w:sz w:val="20"/>
          <w:szCs w:val="20"/>
          <w:color w:val="auto"/>
        </w:rPr>
      </w:pPr>
      <w:r>
        <w:rPr>
          <w:rFonts w:ascii="Arial" w:cs="Arial" w:eastAsia="Arial" w:hAnsi="Arial"/>
          <w:sz w:val="13"/>
          <w:szCs w:val="13"/>
          <w:color w:val="auto"/>
        </w:rPr>
        <w:t>In the event of Mr. McFarland’s death while employed by us, Mr. McFarland’s estate or named beneficiary shall be entitled to (i) payment of Mr. McFarland’s then current salary up to and including the date of termination, (ii) the dollar value of all accrued and unused vacation benefits based upon Mr. McFarland’s then current salary,</w:t>
      </w:r>
    </w:p>
    <w:p>
      <w:pPr>
        <w:spacing w:after="0" w:line="1" w:lineRule="exact"/>
        <w:rPr>
          <w:sz w:val="20"/>
          <w:szCs w:val="20"/>
          <w:color w:val="auto"/>
        </w:rPr>
      </w:pPr>
    </w:p>
    <w:p>
      <w:pPr>
        <w:ind w:left="680" w:right="100" w:firstLine="7"/>
        <w:spacing w:after="0" w:line="248" w:lineRule="auto"/>
        <w:tabs>
          <w:tab w:leader="none" w:pos="891"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 cash incentive amount actually earned but not previously paid to Mr. McFarland, (iv) payment of any unpaid expense reimbursements, and (v) the prorated amount of any cash incentive to which Mr. McFarland would have been entitled.</w:t>
      </w:r>
    </w:p>
    <w:p>
      <w:pPr>
        <w:spacing w:after="0" w:line="74"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If Mr. McFarland’s employment is terminated for Cause, he will be entitled to receive payment of all salary and benefits and unreimbursed expenses accrued up to the date of termination and will not be entitled to any other compensation. As used in the agreement, the term “Cause” has substantially the same definition as that in Mr. Park’s agreement.</w:t>
      </w:r>
    </w:p>
    <w:p>
      <w:pPr>
        <w:spacing w:after="0" w:line="63"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Robert J. Krakauer. </w:t>
      </w:r>
      <w:r>
        <w:rPr>
          <w:rFonts w:ascii="Arial" w:cs="Arial" w:eastAsia="Arial" w:hAnsi="Arial"/>
          <w:sz w:val="13"/>
          <w:szCs w:val="13"/>
          <w:color w:val="auto"/>
        </w:rPr>
        <w:t>Until April 10, 2009, Robert J. Krakauer served as our President, Chief Financial Officer and director. In April 2009, we entered into a Senior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 Agreement with Mr. Krakauer. Under this agreement, Mr. Krakauer resigned from employment and as a director with us but remains available to consult with us on a limited capacity until April 10, 2010. Pursuant to the Senior Advisor Agreement, Mr. Krakauer is entitled to payments in the aggregate amount of $375,000, payable over a one-year period, plus the re-payment of amounts of reduced salary for the first three months of 2009, in addition to the continuation of certain benefits and perquisites, including health insurance benefits, and the continuation of auto lease payments for a certain number of months. In addition, we waived any right we had to repurchase any restricted units held by Mr. Krakauer at the time of his resignation. All common units held by Mr. Krakauer were terminated in connection with our reorganization proceedings.</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Potential Payments upon Termination or Change in Control.</w:t>
      </w:r>
    </w:p>
    <w:p>
      <w:pPr>
        <w:spacing w:after="0" w:line="86" w:lineRule="exact"/>
        <w:rPr>
          <w:sz w:val="20"/>
          <w:szCs w:val="20"/>
          <w:color w:val="auto"/>
        </w:rPr>
      </w:pPr>
    </w:p>
    <w:p>
      <w:pPr>
        <w:jc w:val="both"/>
        <w:ind w:left="680" w:right="40" w:firstLine="499"/>
        <w:spacing w:after="0" w:line="255" w:lineRule="auto"/>
        <w:rPr>
          <w:sz w:val="20"/>
          <w:szCs w:val="20"/>
          <w:color w:val="auto"/>
        </w:rPr>
      </w:pPr>
      <w:r>
        <w:rPr>
          <w:rFonts w:ascii="Arial" w:cs="Arial" w:eastAsia="Arial" w:hAnsi="Arial"/>
          <w:sz w:val="13"/>
          <w:szCs w:val="13"/>
          <w:b w:val="1"/>
          <w:bCs w:val="1"/>
          <w:i w:val="1"/>
          <w:iCs w:val="1"/>
          <w:color w:val="auto"/>
        </w:rPr>
        <w:t xml:space="preserve">Termination. </w:t>
      </w:r>
      <w:r>
        <w:rPr>
          <w:rFonts w:ascii="Arial" w:cs="Arial" w:eastAsia="Arial" w:hAnsi="Arial"/>
          <w:sz w:val="13"/>
          <w:szCs w:val="13"/>
          <w:color w:val="auto"/>
        </w:rPr>
        <w:t>Our named executive officers are eligible to receive certain payments and benefits in connection with certain service termination events pursuant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terms of our employment agreements with them, as further described under the section entitled “Agreements with Executives and Potential Payments Upon Termination or Change in Control.” The terms “cause” and</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“resignation for good reason” used below have the meanings given to them in the applicable agreements with us.</w:t>
      </w:r>
    </w:p>
    <w:p>
      <w:pPr>
        <w:spacing w:after="0" w:line="70"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b w:val="1"/>
          <w:bCs w:val="1"/>
          <w:i w:val="1"/>
          <w:iCs w:val="1"/>
          <w:color w:val="auto"/>
        </w:rPr>
        <w:t xml:space="preserve">Change in Control. </w:t>
      </w:r>
      <w:r>
        <w:rPr>
          <w:rFonts w:ascii="Arial" w:cs="Arial" w:eastAsia="Arial" w:hAnsi="Arial"/>
          <w:sz w:val="13"/>
          <w:szCs w:val="13"/>
          <w:color w:val="auto"/>
        </w:rPr>
        <w:t>Mr. Park is entitled to receive certain payments and benefits in connection with a change in control of our company pursuant to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employment agreement with him, as further described under the section entitled “Agreements with Executives and Potential Payments Upon Termination or Change in Control.” In addition, in the event of a change in control of our company, the vesting of all outstanding awards issued under the 2009 Plan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 For purposes of the foregoing, a “change in control” is generally defined as the acquisition by a person or entity of more than 51% of the combined voting power of our then outstanding voting securities or a sale or transfer of all or substantially all of our consolidated assets to a person or entity that is not our affiliate. The offering will not constitute a change of control for the purposes of these provisions.</w:t>
      </w:r>
    </w:p>
    <w:p>
      <w:pPr>
        <w:spacing w:after="0" w:line="80"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The following table presents our estimate of the dollar value of the payments and benefits payable to our named executive officers upon the occurrence of the following events, assuming that each such event occurred on December 31, 2009. The disclosure in the following table does not include:</w:t>
      </w:r>
    </w:p>
    <w:p>
      <w:pPr>
        <w:spacing w:after="0" w:line="74" w:lineRule="exact"/>
        <w:rPr>
          <w:sz w:val="20"/>
          <w:szCs w:val="20"/>
          <w:color w:val="auto"/>
        </w:rPr>
      </w:pPr>
    </w:p>
    <w:p>
      <w:pPr>
        <w:ind w:left="1400" w:right="80" w:hanging="212"/>
        <w:spacing w:after="0" w:line="248" w:lineRule="auto"/>
        <w:tabs>
          <w:tab w:leader="none" w:pos="14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any accrued benefits that were earned and payable as of December 31, 2009, including any short-term cash incentive amounts earned by, or any discretionary bonus amounts payable to, the executive officer for 2009 performance; or</w:t>
      </w:r>
    </w:p>
    <w:p>
      <w:pPr>
        <w:spacing w:after="0" w:line="64" w:lineRule="exact"/>
        <w:rPr>
          <w:rFonts w:ascii="Arial" w:cs="Arial" w:eastAsia="Arial" w:hAnsi="Arial"/>
          <w:sz w:val="13"/>
          <w:szCs w:val="13"/>
          <w:color w:val="auto"/>
        </w:rPr>
      </w:pPr>
    </w:p>
    <w:p>
      <w:pPr>
        <w:ind w:left="1400" w:right="220" w:hanging="212"/>
        <w:spacing w:after="0" w:line="248" w:lineRule="auto"/>
        <w:tabs>
          <w:tab w:leader="none" w:pos="14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payments and benefits to the extent they are provided generally to all salaried employees and do not discriminate in scope, terms or operation in favor of the named executive officers.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Value of</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Cash</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Equity</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Severance</w:t>
            </w:r>
          </w:p>
        </w:tc>
        <w:tc>
          <w:tcPr>
            <w:tcW w:w="18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rPr>
              <w:t>Continuation</w:t>
            </w:r>
          </w:p>
        </w:tc>
        <w:tc>
          <w:tcPr>
            <w:tcW w:w="18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Award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00" w:type="dxa"/>
            <w:vAlign w:val="bottom"/>
            <w:vMerge w:val="restart"/>
          </w:tcPr>
          <w:p>
            <w:pPr>
              <w:ind w:left="22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Payment</w:t>
            </w:r>
          </w:p>
        </w:tc>
        <w:tc>
          <w:tcPr>
            <w:tcW w:w="18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rPr>
              <w:t>of Benefits</w:t>
            </w:r>
          </w:p>
        </w:tc>
        <w:tc>
          <w:tcPr>
            <w:tcW w:w="1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Acceleration</w:t>
            </w:r>
          </w:p>
        </w:tc>
        <w:tc>
          <w:tcPr>
            <w:tcW w:w="160" w:type="dxa"/>
            <w:vAlign w:val="bottom"/>
          </w:tcPr>
          <w:p>
            <w:pPr>
              <w:spacing w:after="0"/>
              <w:rPr>
                <w:sz w:val="11"/>
                <w:szCs w:val="11"/>
                <w:color w:val="auto"/>
              </w:rPr>
            </w:pPr>
          </w:p>
        </w:tc>
        <w:tc>
          <w:tcPr>
            <w:tcW w:w="960" w:type="dxa"/>
            <w:vAlign w:val="bottom"/>
          </w:tcPr>
          <w:p>
            <w:pPr>
              <w:jc w:val="right"/>
              <w:ind w:right="30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4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ind w:left="40"/>
              <w:spacing w:after="0"/>
              <w:rPr>
                <w:sz w:val="20"/>
                <w:szCs w:val="20"/>
                <w:color w:val="auto"/>
              </w:rPr>
            </w:pPr>
            <w:r>
              <w:rPr>
                <w:rFonts w:ascii="Arial" w:cs="Arial" w:eastAsia="Arial" w:hAnsi="Arial"/>
                <w:sz w:val="10"/>
                <w:szCs w:val="10"/>
                <w:b w:val="1"/>
                <w:bCs w:val="1"/>
                <w:color w:val="auto"/>
              </w:rPr>
              <w:t>Event</w:t>
            </w:r>
          </w:p>
        </w:tc>
        <w:tc>
          <w:tcPr>
            <w:tcW w:w="1120" w:type="dxa"/>
            <w:vAlign w:val="bottom"/>
            <w:gridSpan w:val="2"/>
          </w:tcPr>
          <w:p>
            <w:pPr>
              <w:jc w:val="center"/>
              <w:ind w:left="128"/>
              <w:spacing w:after="0"/>
              <w:rPr>
                <w:sz w:val="20"/>
                <w:szCs w:val="20"/>
                <w:color w:val="auto"/>
              </w:rPr>
            </w:pPr>
            <w:r>
              <w:rPr>
                <w:rFonts w:ascii="Arial" w:cs="Arial" w:eastAsia="Arial" w:hAnsi="Arial"/>
                <w:sz w:val="10"/>
                <w:szCs w:val="10"/>
                <w:b w:val="1"/>
                <w:bCs w:val="1"/>
                <w:color w:val="auto"/>
              </w:rPr>
              <w:t>($)(1)</w:t>
            </w:r>
          </w:p>
        </w:tc>
        <w:tc>
          <w:tcPr>
            <w:tcW w:w="1300" w:type="dxa"/>
            <w:vAlign w:val="bottom"/>
            <w:gridSpan w:val="2"/>
          </w:tcPr>
          <w:p>
            <w:pPr>
              <w:jc w:val="center"/>
              <w:ind w:left="148"/>
              <w:spacing w:after="0"/>
              <w:rPr>
                <w:sz w:val="20"/>
                <w:szCs w:val="20"/>
                <w:color w:val="auto"/>
              </w:rPr>
            </w:pPr>
            <w:r>
              <w:rPr>
                <w:rFonts w:ascii="Arial" w:cs="Arial" w:eastAsia="Arial" w:hAnsi="Arial"/>
                <w:sz w:val="10"/>
                <w:szCs w:val="10"/>
                <w:b w:val="1"/>
                <w:bCs w:val="1"/>
                <w:color w:val="auto"/>
              </w:rPr>
              <w:t>($)(2)</w:t>
            </w:r>
          </w:p>
        </w:tc>
        <w:tc>
          <w:tcPr>
            <w:tcW w:w="1400" w:type="dxa"/>
            <w:vAlign w:val="bottom"/>
            <w:gridSpan w:val="2"/>
          </w:tcPr>
          <w:p>
            <w:pPr>
              <w:jc w:val="center"/>
              <w:ind w:left="128"/>
              <w:spacing w:after="0"/>
              <w:rPr>
                <w:sz w:val="20"/>
                <w:szCs w:val="20"/>
                <w:color w:val="auto"/>
              </w:rPr>
            </w:pPr>
            <w:r>
              <w:rPr>
                <w:rFonts w:ascii="Arial" w:cs="Arial" w:eastAsia="Arial" w:hAnsi="Arial"/>
                <w:sz w:val="10"/>
                <w:szCs w:val="10"/>
                <w:b w:val="1"/>
                <w:bCs w:val="1"/>
                <w:color w:val="auto"/>
              </w:rPr>
              <w:t>($)(3)</w:t>
            </w:r>
          </w:p>
        </w:tc>
        <w:tc>
          <w:tcPr>
            <w:tcW w:w="1120" w:type="dxa"/>
            <w:vAlign w:val="bottom"/>
            <w:gridSpan w:val="2"/>
          </w:tcPr>
          <w:p>
            <w:pPr>
              <w:jc w:val="right"/>
              <w:ind w:right="368"/>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4600" w:type="dxa"/>
            <w:vAlign w:val="bottom"/>
            <w:shd w:val="clear" w:color="auto" w:fill="CCEEFF"/>
          </w:tcPr>
          <w:p>
            <w:pPr>
              <w:spacing w:after="0"/>
              <w:rPr>
                <w:sz w:val="20"/>
                <w:szCs w:val="20"/>
                <w:color w:val="auto"/>
              </w:rPr>
            </w:pPr>
            <w:r>
              <w:rPr>
                <w:rFonts w:ascii="Arial" w:cs="Arial" w:eastAsia="Arial" w:hAnsi="Arial"/>
                <w:sz w:val="10"/>
                <w:szCs w:val="10"/>
                <w:color w:val="auto"/>
              </w:rPr>
              <w:t>Sang Park</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w w:val="89"/>
              </w:rPr>
              <w:t>(a)(4)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450,000</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314,785(5)</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583,968</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1,348,753</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w w:val="89"/>
              </w:rPr>
              <w:t>(b)(4)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900,000</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629,570(6)</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1,167,936</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2,697,506</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1,167,936</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1,167,936</w:t>
            </w:r>
          </w:p>
        </w:tc>
        <w:tc>
          <w:tcPr>
            <w:tcW w:w="0" w:type="dxa"/>
            <w:vAlign w:val="bottom"/>
          </w:tcPr>
          <w:p>
            <w:pPr>
              <w:spacing w:after="0"/>
              <w:rPr>
                <w:sz w:val="1"/>
                <w:szCs w:val="1"/>
                <w:color w:val="auto"/>
              </w:rPr>
            </w:pPr>
          </w:p>
        </w:tc>
      </w:tr>
      <w:tr>
        <w:trPr>
          <w:trHeight w:val="118"/>
        </w:trPr>
        <w:tc>
          <w:tcPr>
            <w:tcW w:w="4600" w:type="dxa"/>
            <w:vAlign w:val="bottom"/>
          </w:tcPr>
          <w:p>
            <w:pPr>
              <w:spacing w:after="0"/>
              <w:rPr>
                <w:sz w:val="20"/>
                <w:szCs w:val="20"/>
                <w:color w:val="auto"/>
              </w:rPr>
            </w:pPr>
            <w:r>
              <w:rPr>
                <w:rFonts w:ascii="Arial" w:cs="Arial" w:eastAsia="Arial" w:hAnsi="Arial"/>
                <w:sz w:val="10"/>
                <w:szCs w:val="10"/>
                <w:color w:val="auto"/>
              </w:rPr>
              <w:t>Tae Young Hwang</w:t>
            </w:r>
          </w:p>
        </w:tc>
        <w:tc>
          <w:tcPr>
            <w:tcW w:w="100" w:type="dxa"/>
            <w:vAlign w:val="bottom"/>
          </w:tcPr>
          <w:p>
            <w:pPr>
              <w:spacing w:after="0"/>
              <w:rPr>
                <w:sz w:val="10"/>
                <w:szCs w:val="10"/>
                <w:color w:val="auto"/>
              </w:rPr>
            </w:pPr>
          </w:p>
        </w:tc>
        <w:tc>
          <w:tcPr>
            <w:tcW w:w="340" w:type="dxa"/>
            <w:vAlign w:val="bottom"/>
          </w:tcPr>
          <w:p>
            <w:pPr>
              <w:ind w:left="100"/>
              <w:spacing w:after="0"/>
              <w:rPr>
                <w:sz w:val="20"/>
                <w:szCs w:val="20"/>
                <w:color w:val="auto"/>
              </w:rPr>
            </w:pPr>
            <w:r>
              <w:rPr>
                <w:rFonts w:ascii="Arial" w:cs="Arial" w:eastAsia="Arial" w:hAnsi="Arial"/>
                <w:sz w:val="10"/>
                <w:szCs w:val="10"/>
                <w:color w:val="auto"/>
              </w:rPr>
              <w:t>(c)</w:t>
            </w:r>
          </w:p>
        </w:tc>
        <w:tc>
          <w:tcPr>
            <w:tcW w:w="180" w:type="dxa"/>
            <w:vAlign w:val="bottom"/>
          </w:tcPr>
          <w:p>
            <w:pPr>
              <w:spacing w:after="0"/>
              <w:rPr>
                <w:sz w:val="10"/>
                <w:szCs w:val="10"/>
                <w:color w:val="auto"/>
              </w:rPr>
            </w:pPr>
          </w:p>
        </w:tc>
        <w:tc>
          <w:tcPr>
            <w:tcW w:w="94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12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tcPr>
          <w:p>
            <w:pPr>
              <w:jc w:val="right"/>
              <w:ind w:right="328"/>
              <w:spacing w:after="0"/>
              <w:rPr>
                <w:sz w:val="20"/>
                <w:szCs w:val="20"/>
                <w:color w:val="auto"/>
              </w:rPr>
            </w:pPr>
            <w:r>
              <w:rPr>
                <w:rFonts w:ascii="Arial" w:cs="Arial" w:eastAsia="Arial" w:hAnsi="Arial"/>
                <w:sz w:val="10"/>
                <w:szCs w:val="10"/>
                <w:color w:val="auto"/>
              </w:rPr>
              <w:t>437,976</w:t>
            </w:r>
          </w:p>
        </w:tc>
        <w:tc>
          <w:tcPr>
            <w:tcW w:w="1120" w:type="dxa"/>
            <w:vAlign w:val="bottom"/>
            <w:gridSpan w:val="2"/>
          </w:tcPr>
          <w:p>
            <w:pPr>
              <w:jc w:val="right"/>
              <w:ind w:right="188"/>
              <w:spacing w:after="0"/>
              <w:rPr>
                <w:sz w:val="20"/>
                <w:szCs w:val="20"/>
                <w:color w:val="auto"/>
              </w:rPr>
            </w:pPr>
            <w:r>
              <w:rPr>
                <w:rFonts w:ascii="Arial" w:cs="Arial" w:eastAsia="Arial" w:hAnsi="Arial"/>
                <w:sz w:val="10"/>
                <w:szCs w:val="10"/>
                <w:color w:val="auto"/>
              </w:rPr>
              <w:t>437,976</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20"/>
                <w:szCs w:val="20"/>
                <w:color w:val="auto"/>
              </w:rPr>
            </w:pPr>
            <w:r>
              <w:rPr>
                <w:rFonts w:ascii="Arial" w:cs="Arial" w:eastAsia="Arial" w:hAnsi="Arial"/>
                <w:sz w:val="10"/>
                <w:szCs w:val="10"/>
                <w:color w:val="auto"/>
              </w:rPr>
              <w:t>Brent Rowe</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110,000</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0"/>
                <w:szCs w:val="10"/>
                <w:color w:val="auto"/>
              </w:rPr>
              <w:t>—</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110,000</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291,984</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291,984</w:t>
            </w:r>
          </w:p>
        </w:tc>
        <w:tc>
          <w:tcPr>
            <w:tcW w:w="0" w:type="dxa"/>
            <w:vAlign w:val="bottom"/>
          </w:tcPr>
          <w:p>
            <w:pPr>
              <w:spacing w:after="0"/>
              <w:rPr>
                <w:sz w:val="1"/>
                <w:szCs w:val="1"/>
                <w:color w:val="auto"/>
              </w:rPr>
            </w:pPr>
          </w:p>
        </w:tc>
      </w:tr>
      <w:tr>
        <w:trPr>
          <w:trHeight w:val="121"/>
        </w:trPr>
        <w:tc>
          <w:tcPr>
            <w:tcW w:w="4600" w:type="dxa"/>
            <w:vAlign w:val="bottom"/>
          </w:tcPr>
          <w:p>
            <w:pPr>
              <w:spacing w:after="0"/>
              <w:rPr>
                <w:sz w:val="20"/>
                <w:szCs w:val="20"/>
                <w:color w:val="auto"/>
              </w:rPr>
            </w:pPr>
            <w:r>
              <w:rPr>
                <w:rFonts w:ascii="Arial" w:cs="Arial" w:eastAsia="Arial" w:hAnsi="Arial"/>
                <w:sz w:val="10"/>
                <w:szCs w:val="10"/>
                <w:color w:val="auto"/>
              </w:rPr>
              <w:t>Margaret Sakai</w:t>
            </w:r>
          </w:p>
        </w:tc>
        <w:tc>
          <w:tcPr>
            <w:tcW w:w="100" w:type="dxa"/>
            <w:vAlign w:val="bottom"/>
          </w:tcPr>
          <w:p>
            <w:pPr>
              <w:spacing w:after="0"/>
              <w:rPr>
                <w:sz w:val="10"/>
                <w:szCs w:val="10"/>
                <w:color w:val="auto"/>
              </w:rPr>
            </w:pPr>
          </w:p>
        </w:tc>
        <w:tc>
          <w:tcPr>
            <w:tcW w:w="340" w:type="dxa"/>
            <w:vAlign w:val="bottom"/>
          </w:tcPr>
          <w:p>
            <w:pPr>
              <w:ind w:left="100"/>
              <w:spacing w:after="0"/>
              <w:rPr>
                <w:sz w:val="20"/>
                <w:szCs w:val="20"/>
                <w:color w:val="auto"/>
              </w:rPr>
            </w:pPr>
            <w:r>
              <w:rPr>
                <w:rFonts w:ascii="Arial" w:cs="Arial" w:eastAsia="Arial" w:hAnsi="Arial"/>
                <w:sz w:val="10"/>
                <w:szCs w:val="10"/>
                <w:color w:val="auto"/>
              </w:rPr>
              <w:t>(a)</w:t>
            </w:r>
          </w:p>
        </w:tc>
        <w:tc>
          <w:tcPr>
            <w:tcW w:w="1120" w:type="dxa"/>
            <w:vAlign w:val="bottom"/>
            <w:gridSpan w:val="2"/>
          </w:tcPr>
          <w:p>
            <w:pPr>
              <w:jc w:val="right"/>
              <w:ind w:right="228"/>
              <w:spacing w:after="0"/>
              <w:rPr>
                <w:sz w:val="20"/>
                <w:szCs w:val="20"/>
                <w:color w:val="auto"/>
              </w:rPr>
            </w:pPr>
            <w:r>
              <w:rPr>
                <w:rFonts w:ascii="Arial" w:cs="Arial" w:eastAsia="Arial" w:hAnsi="Arial"/>
                <w:sz w:val="10"/>
                <w:szCs w:val="10"/>
                <w:color w:val="auto"/>
              </w:rPr>
              <w:t>130,000</w:t>
            </w:r>
          </w:p>
        </w:tc>
        <w:tc>
          <w:tcPr>
            <w:tcW w:w="1300" w:type="dxa"/>
            <w:vAlign w:val="bottom"/>
            <w:gridSpan w:val="2"/>
          </w:tcPr>
          <w:p>
            <w:pPr>
              <w:jc w:val="right"/>
              <w:ind w:right="188"/>
              <w:spacing w:after="0"/>
              <w:rPr>
                <w:sz w:val="20"/>
                <w:szCs w:val="20"/>
                <w:color w:val="auto"/>
              </w:rPr>
            </w:pPr>
            <w:r>
              <w:rPr>
                <w:rFonts w:ascii="Arial" w:cs="Arial" w:eastAsia="Arial" w:hAnsi="Arial"/>
                <w:sz w:val="10"/>
                <w:szCs w:val="10"/>
                <w:color w:val="auto"/>
              </w:rPr>
              <w:t>81,834(7)</w:t>
            </w:r>
          </w:p>
        </w:tc>
        <w:tc>
          <w:tcPr>
            <w:tcW w:w="180" w:type="dxa"/>
            <w:vAlign w:val="bottom"/>
          </w:tcPr>
          <w:p>
            <w:pPr>
              <w:spacing w:after="0"/>
              <w:rPr>
                <w:sz w:val="10"/>
                <w:szCs w:val="10"/>
                <w:color w:val="auto"/>
              </w:rPr>
            </w:pPr>
          </w:p>
        </w:tc>
        <w:tc>
          <w:tcPr>
            <w:tcW w:w="1220" w:type="dxa"/>
            <w:vAlign w:val="bottom"/>
          </w:tcPr>
          <w:p>
            <w:pPr>
              <w:jc w:val="right"/>
              <w:ind w:right="328"/>
              <w:spacing w:after="0"/>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188"/>
              <w:spacing w:after="0"/>
              <w:rPr>
                <w:sz w:val="20"/>
                <w:szCs w:val="20"/>
                <w:color w:val="auto"/>
              </w:rPr>
            </w:pPr>
            <w:r>
              <w:rPr>
                <w:rFonts w:ascii="Arial" w:cs="Arial" w:eastAsia="Arial" w:hAnsi="Arial"/>
                <w:sz w:val="10"/>
                <w:szCs w:val="10"/>
                <w:color w:val="auto"/>
              </w:rPr>
              <w:t>211,834</w:t>
            </w:r>
          </w:p>
        </w:tc>
        <w:tc>
          <w:tcPr>
            <w:tcW w:w="0" w:type="dxa"/>
            <w:vAlign w:val="bottom"/>
          </w:tcPr>
          <w:p>
            <w:pPr>
              <w:spacing w:after="0"/>
              <w:rPr>
                <w:sz w:val="1"/>
                <w:szCs w:val="1"/>
                <w:color w:val="auto"/>
              </w:rPr>
            </w:pPr>
          </w:p>
        </w:tc>
      </w:tr>
      <w:tr>
        <w:trPr>
          <w:trHeight w:val="114"/>
        </w:trPr>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ind w:left="100"/>
              <w:spacing w:after="0"/>
              <w:rPr>
                <w:sz w:val="20"/>
                <w:szCs w:val="20"/>
                <w:color w:val="auto"/>
              </w:rPr>
            </w:pPr>
            <w:r>
              <w:rPr>
                <w:rFonts w:ascii="Arial" w:cs="Arial" w:eastAsia="Arial" w:hAnsi="Arial"/>
                <w:sz w:val="10"/>
                <w:szCs w:val="10"/>
                <w:color w:val="auto"/>
              </w:rPr>
              <w:t>(c)</w:t>
            </w:r>
          </w:p>
        </w:tc>
        <w:tc>
          <w:tcPr>
            <w:tcW w:w="180" w:type="dxa"/>
            <w:vAlign w:val="bottom"/>
          </w:tcPr>
          <w:p>
            <w:pPr>
              <w:spacing w:after="0"/>
              <w:rPr>
                <w:sz w:val="9"/>
                <w:szCs w:val="9"/>
                <w:color w:val="auto"/>
              </w:rPr>
            </w:pPr>
          </w:p>
        </w:tc>
        <w:tc>
          <w:tcPr>
            <w:tcW w:w="94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12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tcPr>
          <w:p>
            <w:pPr>
              <w:jc w:val="right"/>
              <w:ind w:right="328"/>
              <w:spacing w:after="0"/>
              <w:rPr>
                <w:sz w:val="20"/>
                <w:szCs w:val="20"/>
                <w:color w:val="auto"/>
              </w:rPr>
            </w:pPr>
            <w:r>
              <w:rPr>
                <w:rFonts w:ascii="Arial" w:cs="Arial" w:eastAsia="Arial" w:hAnsi="Arial"/>
                <w:sz w:val="10"/>
                <w:szCs w:val="10"/>
                <w:color w:val="auto"/>
              </w:rPr>
              <w:t>175,190</w:t>
            </w:r>
          </w:p>
        </w:tc>
        <w:tc>
          <w:tcPr>
            <w:tcW w:w="1120" w:type="dxa"/>
            <w:vAlign w:val="bottom"/>
            <w:gridSpan w:val="2"/>
          </w:tcPr>
          <w:p>
            <w:pPr>
              <w:jc w:val="right"/>
              <w:ind w:right="188"/>
              <w:spacing w:after="0"/>
              <w:rPr>
                <w:sz w:val="20"/>
                <w:szCs w:val="20"/>
                <w:color w:val="auto"/>
              </w:rPr>
            </w:pPr>
            <w:r>
              <w:rPr>
                <w:rFonts w:ascii="Arial" w:cs="Arial" w:eastAsia="Arial" w:hAnsi="Arial"/>
                <w:sz w:val="10"/>
                <w:szCs w:val="10"/>
                <w:color w:val="auto"/>
              </w:rPr>
              <w:t>175,190</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20"/>
                <w:szCs w:val="20"/>
                <w:color w:val="auto"/>
              </w:rPr>
            </w:pPr>
            <w:r>
              <w:rPr>
                <w:rFonts w:ascii="Arial" w:cs="Arial" w:eastAsia="Arial" w:hAnsi="Arial"/>
                <w:sz w:val="10"/>
                <w:szCs w:val="10"/>
                <w:color w:val="auto"/>
              </w:rPr>
              <w:t>John McFarland</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94,210</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49,808(8)</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0"/>
                <w:szCs w:val="10"/>
                <w:color w:val="auto"/>
              </w:rPr>
              <w:t>—</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144,018</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175,190</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175,190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7" w:lineRule="exact"/>
        <w:rPr>
          <w:sz w:val="20"/>
          <w:szCs w:val="20"/>
          <w:color w:val="auto"/>
        </w:rPr>
      </w:pPr>
    </w:p>
    <w:p>
      <w:pPr>
        <w:ind w:left="1080" w:hanging="393"/>
        <w:spacing w:after="0"/>
        <w:tabs>
          <w:tab w:leader="none" w:pos="10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Termination without cause in absence of change in control</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Termination without cause within 9 months following a change in control</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Change in control</w:t>
      </w:r>
    </w:p>
    <w:p>
      <w:pPr>
        <w:spacing w:after="0" w:line="37" w:lineRule="exact"/>
        <w:rPr>
          <w:sz w:val="20"/>
          <w:szCs w:val="20"/>
          <w:color w:val="auto"/>
        </w:rPr>
      </w:pPr>
    </w:p>
    <w:p>
      <w:pPr>
        <w:ind w:left="1080" w:right="60" w:hanging="393"/>
        <w:spacing w:after="0" w:line="242" w:lineRule="auto"/>
        <w:tabs>
          <w:tab w:leader="none" w:pos="10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cash severance payments payable to our named executive officers pursuant to our employment agreements with them, prior to giving effect to the terms thereof relating to the Employee Retirement Benefit Security Act of Korea. Other than Mr. Rowe, who is entitled to a lump sum cash severance payment, cash severance payments are paid monthly in accordance with our regular payroll procedures.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Employee Retirement Benefit Security Act, Mr. Hwang, Ms. Sakai and Mr. McFarland are entitled to certain statutory severance benefits from us upon the termination of their employment with us for any reason. See “Management — Compensation Discussion and Analysis — Perquisites and Other Benefits” for additional information. For these executives, the amounts reflected in this column would be reduced to the extent we are obligated to make these statutory severance payments.</w:t>
      </w:r>
    </w:p>
    <w:p>
      <w:pPr>
        <w:spacing w:after="0" w:line="31" w:lineRule="exact"/>
        <w:rPr>
          <w:sz w:val="20"/>
          <w:szCs w:val="20"/>
          <w:color w:val="auto"/>
        </w:rPr>
      </w:pPr>
    </w:p>
    <w:p>
      <w:pPr>
        <w:ind w:left="1080" w:hanging="393"/>
        <w:spacing w:after="0"/>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Calculated assuming the continuation of benefits for the applicable period at the same dollar value of 2009 benefits.</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Reflects the aggregate value of the accelerated vesting of the named executive officer’s unvested options and restricted common units, as applicable.</w:t>
      </w:r>
    </w:p>
    <w:p>
      <w:pPr>
        <w:spacing w:after="0" w:line="37" w:lineRule="exact"/>
        <w:rPr>
          <w:rFonts w:ascii="Arial" w:cs="Arial" w:eastAsia="Arial" w:hAnsi="Arial"/>
          <w:sz w:val="13"/>
          <w:szCs w:val="13"/>
          <w:color w:val="auto"/>
        </w:rPr>
      </w:pPr>
    </w:p>
    <w:p>
      <w:pPr>
        <w:ind w:left="1080"/>
        <w:spacing w:after="0" w:line="242" w:lineRule="auto"/>
        <w:rPr>
          <w:rFonts w:ascii="Arial" w:cs="Arial" w:eastAsia="Arial" w:hAnsi="Arial"/>
          <w:sz w:val="13"/>
          <w:szCs w:val="13"/>
          <w:color w:val="auto"/>
        </w:rPr>
      </w:pPr>
      <w:r>
        <w:rPr>
          <w:rFonts w:ascii="Arial" w:cs="Arial" w:eastAsia="Arial" w:hAnsi="Arial"/>
          <w:sz w:val="13"/>
          <w:szCs w:val="13"/>
          <w:color w:val="auto"/>
        </w:rPr>
        <w:t>Because all of our options outstanding as of December 31, 2009 have an exercise price greater than the fair market value of our common stock of $6.32 as of December 31, 2009, no additional value is represented by the acceleration of outstanding unvested common stock subject to such awards and therefore, the value of accelerated vesting of unvested options is $0.00.</w:t>
      </w:r>
    </w:p>
    <w:p>
      <w:pPr>
        <w:spacing w:after="0" w:line="29" w:lineRule="exact"/>
        <w:rPr>
          <w:rFonts w:ascii="Arial" w:cs="Arial" w:eastAsia="Arial" w:hAnsi="Arial"/>
          <w:sz w:val="13"/>
          <w:szCs w:val="13"/>
          <w:color w:val="auto"/>
        </w:rPr>
      </w:pPr>
    </w:p>
    <w:p>
      <w:pPr>
        <w:ind w:left="1080" w:right="140"/>
        <w:spacing w:after="0" w:line="242" w:lineRule="auto"/>
        <w:rPr>
          <w:rFonts w:ascii="Arial" w:cs="Arial" w:eastAsia="Arial" w:hAnsi="Arial"/>
          <w:sz w:val="13"/>
          <w:szCs w:val="13"/>
          <w:color w:val="auto"/>
        </w:rPr>
      </w:pPr>
      <w:r>
        <w:rPr>
          <w:rFonts w:ascii="Arial" w:cs="Arial" w:eastAsia="Arial" w:hAnsi="Arial"/>
          <w:sz w:val="13"/>
          <w:szCs w:val="13"/>
          <w:color w:val="auto"/>
        </w:rPr>
        <w:t>Because all of our restricted common units issued under the 2009 Plan outstanding as of December 31, 2009 were issued without any required monetary payment, the amounts were calculated by multiplying (i) the number of outstanding restricted common stock subject to award vesting on December 31, 2009 by (ii) the fair market value of our common stock of $6.32 as of December 31, 2009.</w:t>
      </w:r>
    </w:p>
    <w:p>
      <w:pPr>
        <w:spacing w:after="0" w:line="29" w:lineRule="exact"/>
        <w:rPr>
          <w:rFonts w:ascii="Arial" w:cs="Arial" w:eastAsia="Arial" w:hAnsi="Arial"/>
          <w:sz w:val="13"/>
          <w:szCs w:val="13"/>
          <w:color w:val="auto"/>
        </w:rPr>
      </w:pPr>
    </w:p>
    <w:p>
      <w:pPr>
        <w:ind w:left="1080" w:right="400" w:hanging="393"/>
        <w:spacing w:after="0" w:line="248" w:lineRule="auto"/>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Reflected benefits are also payable in connection with Mr. Park’s resignation for good reason. See “Management — Agreements with Executives and Potential Payments Upon Termination or Change in Control — Sang Park.”</w:t>
      </w:r>
    </w:p>
    <w:p>
      <w:pPr>
        <w:spacing w:after="0" w:line="25" w:lineRule="exact"/>
        <w:rPr>
          <w:rFonts w:ascii="Arial" w:cs="Arial" w:eastAsia="Arial" w:hAnsi="Arial"/>
          <w:sz w:val="13"/>
          <w:szCs w:val="13"/>
          <w:color w:val="auto"/>
        </w:rPr>
      </w:pPr>
    </w:p>
    <w:p>
      <w:pPr>
        <w:ind w:left="1080" w:right="100" w:hanging="393"/>
        <w:spacing w:after="0" w:line="242" w:lineRule="auto"/>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twelve months following the date of termination. Mr. Park is also entitled to tax equalization benefits, tax preparation services, the reimbursement of costs associated with one home leave flight and, for a period of twelve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jc w:val="both"/>
        <w:ind w:left="1080" w:right="40" w:hanging="393"/>
        <w:spacing w:after="0" w:line="242" w:lineRule="auto"/>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twenty-four months following the date of termination. Mr. Park is also entitled to tax equalization benefits, tax preparation services, the reimbursement of costs associated with two home leave flights and, for a period of twenty-four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ind w:left="1080" w:right="120" w:hanging="393"/>
        <w:spacing w:after="0" w:line="242" w:lineRule="auto"/>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Ms. Sakai and her eligible dependents for six months following the date of termination. Ms. Sakai is also entitled to tax equalization benefits, tax preparation services, reimbursement of costs associated with one home leave flight and, for a period of six months post-termination, paid housing, the use of a car and a driver and child tuition benefits.</w:t>
      </w:r>
    </w:p>
    <w:p>
      <w:pPr>
        <w:spacing w:after="0" w:line="29" w:lineRule="exact"/>
        <w:rPr>
          <w:rFonts w:ascii="Arial" w:cs="Arial" w:eastAsia="Arial" w:hAnsi="Arial"/>
          <w:sz w:val="13"/>
          <w:szCs w:val="13"/>
          <w:color w:val="auto"/>
        </w:rPr>
      </w:pPr>
    </w:p>
    <w:p>
      <w:pPr>
        <w:ind w:left="1080" w:right="440" w:hanging="393"/>
        <w:spacing w:after="0" w:line="248" w:lineRule="auto"/>
        <w:tabs>
          <w:tab w:leader="none" w:pos="10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continuation of health insurance benefits for Mr. McFarland and his eligible dependents for six months following the date of termination. Mr. McFarland is also entitled to tax equalization, tax preparation services and, for a period of six months post-termination, child tuition benefits.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Pension Benefits for the Fiscal Year Ended December 31, 2009</w:t>
      </w:r>
    </w:p>
    <w:p>
      <w:pPr>
        <w:spacing w:after="0" w:line="102"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Pursuant to the Employee Retirement Benefit Security Act, certain executive officers resident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officer’s salary for the prior three-month period. Accordingly, if the named executive officers in the following table had retired on the last day of our fiscal year ended December 31, 2009, they would have been entitled to the statutory severance payments described below. Assuming no change in the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0"/>
        <w:spacing w:after="0" w:line="248" w:lineRule="auto"/>
        <w:rPr>
          <w:sz w:val="20"/>
          <w:szCs w:val="20"/>
          <w:color w:val="auto"/>
        </w:rPr>
      </w:pPr>
      <w:r>
        <w:rPr>
          <w:rFonts w:ascii="Arial" w:cs="Arial" w:eastAsia="Arial" w:hAnsi="Arial"/>
          <w:sz w:val="13"/>
          <w:szCs w:val="13"/>
          <w:color w:val="auto"/>
        </w:rPr>
        <w:t>applicable law, each of these executives will continue to accrue additional statutory severance benefits at the rate described above until his or her service with us terminates.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0" w:type="dxa"/>
            <w:vAlign w:val="bottom"/>
          </w:tcPr>
          <w:p>
            <w:pPr>
              <w:jc w:val="center"/>
              <w:ind w:right="34"/>
              <w:spacing w:after="0"/>
              <w:rPr>
                <w:sz w:val="20"/>
                <w:szCs w:val="20"/>
                <w:color w:val="auto"/>
              </w:rPr>
            </w:pPr>
            <w:r>
              <w:rPr>
                <w:rFonts w:ascii="Arial" w:cs="Arial" w:eastAsia="Arial" w:hAnsi="Arial"/>
                <w:sz w:val="13"/>
                <w:szCs w:val="13"/>
                <w:b w:val="1"/>
                <w:bCs w:val="1"/>
                <w:color w:val="auto"/>
              </w:rPr>
              <w:t>Number</w:t>
            </w:r>
          </w:p>
        </w:tc>
        <w:tc>
          <w:tcPr>
            <w:tcW w:w="1700" w:type="dxa"/>
            <w:vAlign w:val="bottom"/>
          </w:tcPr>
          <w:p>
            <w:pPr>
              <w:jc w:val="center"/>
              <w:ind w:right="234"/>
              <w:spacing w:after="0"/>
              <w:rPr>
                <w:sz w:val="20"/>
                <w:szCs w:val="20"/>
                <w:color w:val="auto"/>
              </w:rPr>
            </w:pPr>
            <w:r>
              <w:rPr>
                <w:rFonts w:ascii="Arial" w:cs="Arial" w:eastAsia="Arial" w:hAnsi="Arial"/>
                <w:sz w:val="13"/>
                <w:szCs w:val="13"/>
                <w:b w:val="1"/>
                <w:bCs w:val="1"/>
                <w:color w:val="auto"/>
              </w:rPr>
              <w:t>Present</w:t>
            </w:r>
          </w:p>
        </w:tc>
        <w:tc>
          <w:tcPr>
            <w:tcW w:w="13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Payments</w:t>
            </w:r>
          </w:p>
        </w:tc>
      </w:tr>
      <w:tr>
        <w:trPr>
          <w:trHeight w:val="147"/>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of Years</w:t>
            </w:r>
          </w:p>
        </w:tc>
        <w:tc>
          <w:tcPr>
            <w:tcW w:w="1700" w:type="dxa"/>
            <w:vAlign w:val="bottom"/>
          </w:tcPr>
          <w:p>
            <w:pPr>
              <w:jc w:val="center"/>
              <w:ind w:right="214"/>
              <w:spacing w:after="0" w:line="148" w:lineRule="exact"/>
              <w:rPr>
                <w:sz w:val="20"/>
                <w:szCs w:val="20"/>
                <w:color w:val="auto"/>
              </w:rPr>
            </w:pPr>
            <w:r>
              <w:rPr>
                <w:rFonts w:ascii="Arial" w:cs="Arial" w:eastAsia="Arial" w:hAnsi="Arial"/>
                <w:sz w:val="13"/>
                <w:szCs w:val="13"/>
                <w:b w:val="1"/>
                <w:bCs w:val="1"/>
                <w:color w:val="auto"/>
                <w:w w:val="98"/>
              </w:rPr>
              <w:t>Value of</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During</w:t>
            </w:r>
          </w:p>
        </w:tc>
      </w:tr>
      <w:tr>
        <w:trPr>
          <w:trHeight w:val="147"/>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99"/>
              </w:rPr>
              <w:t>of Credited</w:t>
            </w:r>
          </w:p>
        </w:tc>
        <w:tc>
          <w:tcPr>
            <w:tcW w:w="1700" w:type="dxa"/>
            <w:vAlign w:val="bottom"/>
          </w:tcPr>
          <w:p>
            <w:pPr>
              <w:jc w:val="center"/>
              <w:ind w:right="214"/>
              <w:spacing w:after="0" w:line="148" w:lineRule="exact"/>
              <w:rPr>
                <w:sz w:val="20"/>
                <w:szCs w:val="20"/>
                <w:color w:val="auto"/>
              </w:rPr>
            </w:pPr>
            <w:r>
              <w:rPr>
                <w:rFonts w:ascii="Arial" w:cs="Arial" w:eastAsia="Arial" w:hAnsi="Arial"/>
                <w:sz w:val="13"/>
                <w:szCs w:val="13"/>
                <w:b w:val="1"/>
                <w:bCs w:val="1"/>
                <w:color w:val="auto"/>
              </w:rPr>
              <w:t>Accumulated</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the Last</w:t>
            </w:r>
          </w:p>
        </w:tc>
      </w:tr>
      <w:tr>
        <w:trPr>
          <w:trHeight w:val="173"/>
        </w:trPr>
        <w:tc>
          <w:tcPr>
            <w:tcW w:w="13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b w:val="1"/>
                <w:bCs w:val="1"/>
                <w:color w:val="auto"/>
              </w:rPr>
              <w:t>Name</w:t>
            </w:r>
          </w:p>
        </w:tc>
        <w:tc>
          <w:tcPr>
            <w:tcW w:w="2560" w:type="dxa"/>
            <w:vAlign w:val="bottom"/>
          </w:tcPr>
          <w:p>
            <w:pPr>
              <w:ind w:left="1380"/>
              <w:spacing w:after="0"/>
              <w:rPr>
                <w:sz w:val="20"/>
                <w:szCs w:val="20"/>
                <w:color w:val="auto"/>
              </w:rPr>
            </w:pPr>
            <w:r>
              <w:rPr>
                <w:rFonts w:ascii="Arial" w:cs="Arial" w:eastAsia="Arial" w:hAnsi="Arial"/>
                <w:sz w:val="13"/>
                <w:szCs w:val="13"/>
                <w:b w:val="1"/>
                <w:bCs w:val="1"/>
                <w:color w:val="auto"/>
              </w:rPr>
              <w:t>Plan Name</w:t>
            </w:r>
          </w:p>
        </w:tc>
        <w:tc>
          <w:tcPr>
            <w:tcW w:w="1800" w:type="dxa"/>
            <w:vAlign w:val="bottom"/>
          </w:tcPr>
          <w:p>
            <w:pPr>
              <w:jc w:val="right"/>
              <w:ind w:right="214"/>
              <w:spacing w:after="0"/>
              <w:rPr>
                <w:sz w:val="20"/>
                <w:szCs w:val="20"/>
                <w:color w:val="auto"/>
              </w:rPr>
            </w:pPr>
            <w:r>
              <w:rPr>
                <w:rFonts w:ascii="Arial" w:cs="Arial" w:eastAsia="Arial" w:hAnsi="Arial"/>
                <w:sz w:val="13"/>
                <w:szCs w:val="13"/>
                <w:b w:val="1"/>
                <w:bCs w:val="1"/>
                <w:color w:val="auto"/>
              </w:rPr>
              <w:t>Service (#)</w:t>
            </w:r>
          </w:p>
        </w:tc>
        <w:tc>
          <w:tcPr>
            <w:tcW w:w="1700" w:type="dxa"/>
            <w:vAlign w:val="bottom"/>
          </w:tcPr>
          <w:p>
            <w:pPr>
              <w:jc w:val="right"/>
              <w:ind w:right="294"/>
              <w:spacing w:after="0"/>
              <w:rPr>
                <w:sz w:val="20"/>
                <w:szCs w:val="20"/>
                <w:color w:val="auto"/>
              </w:rPr>
            </w:pPr>
            <w:r>
              <w:rPr>
                <w:rFonts w:ascii="Arial" w:cs="Arial" w:eastAsia="Arial" w:hAnsi="Arial"/>
                <w:sz w:val="13"/>
                <w:szCs w:val="13"/>
                <w:b w:val="1"/>
                <w:bCs w:val="1"/>
                <w:color w:val="auto"/>
              </w:rPr>
              <w:t>Benefit ($)</w:t>
            </w:r>
          </w:p>
        </w:tc>
        <w:tc>
          <w:tcPr>
            <w:tcW w:w="1340" w:type="dxa"/>
            <w:vAlign w:val="bottom"/>
            <w:gridSpan w:val="2"/>
          </w:tcPr>
          <w:p>
            <w:pPr>
              <w:ind w:left="640"/>
              <w:spacing w:after="0"/>
              <w:rPr>
                <w:sz w:val="20"/>
                <w:szCs w:val="20"/>
                <w:color w:val="auto"/>
              </w:rPr>
            </w:pPr>
            <w:r>
              <w:rPr>
                <w:rFonts w:ascii="Arial" w:cs="Arial" w:eastAsia="Arial" w:hAnsi="Arial"/>
                <w:sz w:val="13"/>
                <w:szCs w:val="13"/>
                <w:b w:val="1"/>
                <w:bCs w:val="1"/>
                <w:color w:val="auto"/>
                <w:w w:val="98"/>
              </w:rPr>
              <w:t>Fiscal Year</w:t>
            </w:r>
          </w:p>
        </w:tc>
      </w:tr>
      <w:tr>
        <w:trPr>
          <w:trHeight w:val="50"/>
        </w:trPr>
        <w:tc>
          <w:tcPr>
            <w:tcW w:w="1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47"/>
        </w:trPr>
        <w:tc>
          <w:tcPr>
            <w:tcW w:w="272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Tae Young Hwang</w:t>
            </w:r>
          </w:p>
        </w:tc>
        <w:tc>
          <w:tcPr>
            <w:tcW w:w="2560" w:type="dxa"/>
            <w:vAlign w:val="bottom"/>
            <w:shd w:val="clear" w:color="auto" w:fill="CCEEFF"/>
          </w:tcPr>
          <w:p>
            <w:pPr>
              <w:ind w:left="200"/>
              <w:spacing w:after="0" w:line="147" w:lineRule="exact"/>
              <w:rPr>
                <w:sz w:val="20"/>
                <w:szCs w:val="20"/>
                <w:color w:val="auto"/>
              </w:rPr>
            </w:pPr>
            <w:r>
              <w:rPr>
                <w:rFonts w:ascii="Arial" w:cs="Arial" w:eastAsia="Arial" w:hAnsi="Arial"/>
                <w:sz w:val="13"/>
                <w:szCs w:val="13"/>
                <w:color w:val="auto"/>
              </w:rPr>
              <w:t>Statutory Severance with</w:t>
            </w:r>
          </w:p>
        </w:tc>
        <w:tc>
          <w:tcPr>
            <w:tcW w:w="18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13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560" w:type="dxa"/>
            <w:vAlign w:val="bottom"/>
            <w:shd w:val="clear" w:color="auto" w:fill="CCEEFF"/>
          </w:tcPr>
          <w:p>
            <w:pPr>
              <w:ind w:left="200"/>
              <w:spacing w:after="0" w:line="148" w:lineRule="exact"/>
              <w:rPr>
                <w:sz w:val="20"/>
                <w:szCs w:val="20"/>
                <w:color w:val="auto"/>
              </w:rPr>
            </w:pPr>
            <w:r>
              <w:rPr>
                <w:rFonts w:ascii="Arial" w:cs="Arial" w:eastAsia="Arial" w:hAnsi="Arial"/>
                <w:sz w:val="13"/>
                <w:szCs w:val="13"/>
                <w:color w:val="auto"/>
              </w:rPr>
              <w:t>Multiplier for Partial Period</w:t>
            </w:r>
          </w:p>
        </w:tc>
        <w:tc>
          <w:tcPr>
            <w:tcW w:w="1800" w:type="dxa"/>
            <w:vAlign w:val="bottom"/>
            <w:shd w:val="clear" w:color="auto" w:fill="CCEEFF"/>
          </w:tcPr>
          <w:p>
            <w:pPr>
              <w:jc w:val="right"/>
              <w:ind w:right="634"/>
              <w:spacing w:after="0" w:line="148" w:lineRule="exact"/>
              <w:rPr>
                <w:sz w:val="20"/>
                <w:szCs w:val="20"/>
                <w:color w:val="auto"/>
              </w:rPr>
            </w:pPr>
            <w:r>
              <w:rPr>
                <w:rFonts w:ascii="Arial" w:cs="Arial" w:eastAsia="Arial" w:hAnsi="Arial"/>
                <w:sz w:val="13"/>
                <w:szCs w:val="13"/>
                <w:color w:val="auto"/>
              </w:rPr>
              <w:t>14(1)</w:t>
            </w:r>
          </w:p>
        </w:tc>
        <w:tc>
          <w:tcPr>
            <w:tcW w:w="17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686,058</w:t>
            </w:r>
          </w:p>
        </w:tc>
        <w:tc>
          <w:tcPr>
            <w:tcW w:w="1200" w:type="dxa"/>
            <w:vAlign w:val="bottom"/>
            <w:shd w:val="clear" w:color="auto" w:fill="CCEEFF"/>
          </w:tcPr>
          <w:p>
            <w:pPr>
              <w:jc w:val="center"/>
              <w:ind w:left="54"/>
              <w:spacing w:after="0" w:line="148"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r>
      <w:tr>
        <w:trPr>
          <w:trHeight w:val="147"/>
        </w:trPr>
        <w:tc>
          <w:tcPr>
            <w:tcW w:w="2720" w:type="dxa"/>
            <w:vAlign w:val="bottom"/>
            <w:gridSpan w:val="2"/>
          </w:tcPr>
          <w:p>
            <w:pPr>
              <w:spacing w:after="0" w:line="148" w:lineRule="exact"/>
              <w:rPr>
                <w:sz w:val="20"/>
                <w:szCs w:val="20"/>
                <w:color w:val="auto"/>
              </w:rPr>
            </w:pPr>
            <w:r>
              <w:rPr>
                <w:rFonts w:ascii="Arial" w:cs="Arial" w:eastAsia="Arial" w:hAnsi="Arial"/>
                <w:sz w:val="13"/>
                <w:szCs w:val="13"/>
                <w:color w:val="auto"/>
              </w:rPr>
              <w:t>Margaret Sakai</w:t>
            </w:r>
          </w:p>
        </w:tc>
        <w:tc>
          <w:tcPr>
            <w:tcW w:w="2560" w:type="dxa"/>
            <w:vAlign w:val="bottom"/>
          </w:tcPr>
          <w:p>
            <w:pPr>
              <w:ind w:left="200"/>
              <w:spacing w:after="0" w:line="148" w:lineRule="exact"/>
              <w:rPr>
                <w:sz w:val="20"/>
                <w:szCs w:val="20"/>
                <w:color w:val="auto"/>
              </w:rPr>
            </w:pPr>
            <w:r>
              <w:rPr>
                <w:rFonts w:ascii="Arial" w:cs="Arial" w:eastAsia="Arial" w:hAnsi="Arial"/>
                <w:sz w:val="13"/>
                <w:szCs w:val="13"/>
                <w:color w:val="auto"/>
              </w:rPr>
              <w:t>Statutory Severance</w:t>
            </w:r>
          </w:p>
        </w:tc>
        <w:tc>
          <w:tcPr>
            <w:tcW w:w="1800" w:type="dxa"/>
            <w:vAlign w:val="bottom"/>
          </w:tcPr>
          <w:p>
            <w:pPr>
              <w:jc w:val="right"/>
              <w:ind w:right="794"/>
              <w:spacing w:after="0" w:line="148" w:lineRule="exact"/>
              <w:rPr>
                <w:sz w:val="20"/>
                <w:szCs w:val="20"/>
                <w:color w:val="auto"/>
              </w:rPr>
            </w:pPr>
            <w:r>
              <w:rPr>
                <w:rFonts w:ascii="Arial" w:cs="Arial" w:eastAsia="Arial" w:hAnsi="Arial"/>
                <w:sz w:val="13"/>
                <w:szCs w:val="13"/>
                <w:color w:val="auto"/>
              </w:rPr>
              <w:t>3</w:t>
            </w:r>
          </w:p>
        </w:tc>
        <w:tc>
          <w:tcPr>
            <w:tcW w:w="17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68,155</w:t>
            </w:r>
          </w:p>
        </w:tc>
        <w:tc>
          <w:tcPr>
            <w:tcW w:w="1200" w:type="dxa"/>
            <w:vAlign w:val="bottom"/>
          </w:tcPr>
          <w:p>
            <w:pPr>
              <w:jc w:val="center"/>
              <w:ind w:left="54"/>
              <w:spacing w:after="0" w:line="148"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r>
      <w:tr>
        <w:trPr>
          <w:trHeight w:val="147"/>
        </w:trPr>
        <w:tc>
          <w:tcPr>
            <w:tcW w:w="27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John McFarland</w:t>
            </w:r>
          </w:p>
        </w:tc>
        <w:tc>
          <w:tcPr>
            <w:tcW w:w="2560" w:type="dxa"/>
            <w:vAlign w:val="bottom"/>
            <w:shd w:val="clear" w:color="auto" w:fill="CCEEFF"/>
          </w:tcPr>
          <w:p>
            <w:pPr>
              <w:ind w:left="200"/>
              <w:spacing w:after="0" w:line="148" w:lineRule="exact"/>
              <w:rPr>
                <w:sz w:val="20"/>
                <w:szCs w:val="20"/>
                <w:color w:val="auto"/>
              </w:rPr>
            </w:pPr>
            <w:r>
              <w:rPr>
                <w:rFonts w:ascii="Arial" w:cs="Arial" w:eastAsia="Arial" w:hAnsi="Arial"/>
                <w:sz w:val="13"/>
                <w:szCs w:val="13"/>
                <w:color w:val="auto"/>
              </w:rPr>
              <w:t>Statutory Severance</w:t>
            </w:r>
          </w:p>
        </w:tc>
        <w:tc>
          <w:tcPr>
            <w:tcW w:w="1800" w:type="dxa"/>
            <w:vAlign w:val="bottom"/>
            <w:shd w:val="clear" w:color="auto" w:fill="CCEEFF"/>
          </w:tcPr>
          <w:p>
            <w:pPr>
              <w:jc w:val="right"/>
              <w:ind w:right="794"/>
              <w:spacing w:after="0" w:line="148" w:lineRule="exact"/>
              <w:rPr>
                <w:sz w:val="20"/>
                <w:szCs w:val="20"/>
                <w:color w:val="auto"/>
              </w:rPr>
            </w:pPr>
            <w:r>
              <w:rPr>
                <w:rFonts w:ascii="Arial" w:cs="Arial" w:eastAsia="Arial" w:hAnsi="Arial"/>
                <w:sz w:val="13"/>
                <w:szCs w:val="13"/>
                <w:color w:val="auto"/>
              </w:rPr>
              <w:t>5</w:t>
            </w:r>
          </w:p>
        </w:tc>
        <w:tc>
          <w:tcPr>
            <w:tcW w:w="17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81,129</w:t>
            </w:r>
          </w:p>
        </w:tc>
        <w:tc>
          <w:tcPr>
            <w:tcW w:w="1200" w:type="dxa"/>
            <w:vAlign w:val="bottom"/>
            <w:shd w:val="clear" w:color="auto" w:fill="CCEEFF"/>
          </w:tcPr>
          <w:p>
            <w:pPr>
              <w:jc w:val="center"/>
              <w:ind w:left="54"/>
              <w:spacing w:after="0" w:line="148"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r>
      <w:tr>
        <w:trPr>
          <w:trHeight w:val="59"/>
        </w:trPr>
        <w:tc>
          <w:tcPr>
            <w:tcW w:w="130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-448945</wp:posOffset>
            </wp:positionV>
            <wp:extent cx="1841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-448945</wp:posOffset>
            </wp:positionV>
            <wp:extent cx="1841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-448945</wp:posOffset>
            </wp:positionV>
            <wp:extent cx="635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-448945</wp:posOffset>
            </wp:positionV>
            <wp:extent cx="635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-448945</wp:posOffset>
            </wp:positionV>
            <wp:extent cx="635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w:t>
      </w:r>
    </w:p>
    <w:p>
      <w:pPr>
        <w:spacing w:after="0" w:line="47" w:lineRule="exact"/>
        <w:rPr>
          <w:sz w:val="20"/>
          <w:szCs w:val="20"/>
          <w:color w:val="auto"/>
        </w:rPr>
      </w:pPr>
    </w:p>
    <w:p>
      <w:pPr>
        <w:ind w:left="1000" w:right="280" w:hanging="267"/>
        <w:spacing w:after="0" w:line="242" w:lineRule="auto"/>
        <w:tabs>
          <w:tab w:leader="none" w:pos="10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Mr. Hwang accrued severance for his fourteen years of service at MagnaChip and its predecessor corporation. Although the minimum legal severance accrual is one month of base salary per year of service, Mr. Hwang was eligible for accrual of a multiple of two to three months of base salary per year of service during approximately the first ten of his fourteen years of service, or $389,867 in aggregate.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Nonqualified Deferred Compensation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000" w:type="dxa"/>
            <w:vAlign w:val="bottom"/>
          </w:tcPr>
          <w:p>
            <w:pPr>
              <w:ind w:left="500"/>
              <w:spacing w:after="0"/>
              <w:rPr>
                <w:sz w:val="20"/>
                <w:szCs w:val="20"/>
                <w:color w:val="auto"/>
              </w:rPr>
            </w:pPr>
            <w:r>
              <w:rPr>
                <w:rFonts w:ascii="Arial" w:cs="Arial" w:eastAsia="Arial" w:hAnsi="Arial"/>
                <w:sz w:val="13"/>
                <w:szCs w:val="13"/>
                <w:color w:val="auto"/>
              </w:rPr>
              <w:t>We do not maintain any nonqualified deferred compensation plans.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5000" w:type="dxa"/>
            <w:vAlign w:val="bottom"/>
          </w:tcPr>
          <w:p>
            <w:pPr>
              <w:spacing w:after="0"/>
              <w:rPr>
                <w:sz w:val="20"/>
                <w:szCs w:val="20"/>
                <w:color w:val="auto"/>
              </w:rPr>
            </w:pPr>
            <w:r>
              <w:rPr>
                <w:rFonts w:ascii="Arial" w:cs="Arial" w:eastAsia="Arial" w:hAnsi="Arial"/>
                <w:sz w:val="13"/>
                <w:szCs w:val="13"/>
                <w:b w:val="1"/>
                <w:bCs w:val="1"/>
                <w:color w:val="auto"/>
              </w:rPr>
              <w:t>Director Compensation for the Fiscal Year Ended December 31, 2009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Fees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Earned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or Paid</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Option</w:t>
            </w:r>
          </w:p>
        </w:tc>
        <w:tc>
          <w:tcPr>
            <w:tcW w:w="260" w:type="dxa"/>
            <w:vAlign w:val="bottom"/>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000" w:type="dxa"/>
            <w:vAlign w:val="bottom"/>
            <w:vMerge w:val="restart"/>
          </w:tcPr>
          <w:p>
            <w:pPr>
              <w:ind w:left="240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in Cash</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26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240" w:type="dxa"/>
            <w:vAlign w:val="bottom"/>
          </w:tcPr>
          <w:p>
            <w:pPr>
              <w:spacing w:after="0"/>
              <w:rPr>
                <w:sz w:val="13"/>
                <w:szCs w:val="13"/>
                <w:color w:val="auto"/>
              </w:rPr>
            </w:pPr>
          </w:p>
        </w:tc>
        <w:tc>
          <w:tcPr>
            <w:tcW w:w="760" w:type="dxa"/>
            <w:vAlign w:val="bottom"/>
          </w:tcPr>
          <w:p>
            <w:pPr>
              <w:jc w:val="right"/>
              <w:ind w:right="15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5000" w:type="dxa"/>
            <w:vAlign w:val="bottom"/>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rPr>
              <w:t>($)(1)</w:t>
            </w:r>
          </w:p>
        </w:tc>
        <w:tc>
          <w:tcPr>
            <w:tcW w:w="2100" w:type="dxa"/>
            <w:vAlign w:val="bottom"/>
            <w:gridSpan w:val="2"/>
          </w:tcPr>
          <w:p>
            <w:pPr>
              <w:jc w:val="center"/>
              <w:ind w:left="194"/>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Jerry M. Baker(2)(3)</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10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25,751(4)</w:t>
            </w:r>
          </w:p>
        </w:tc>
        <w:tc>
          <w:tcPr>
            <w:tcW w:w="100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75,751</w:t>
            </w:r>
          </w:p>
        </w:tc>
        <w:tc>
          <w:tcPr>
            <w:tcW w:w="0" w:type="dxa"/>
            <w:vAlign w:val="bottom"/>
          </w:tcPr>
          <w:p>
            <w:pPr>
              <w:spacing w:after="0"/>
              <w:rPr>
                <w:sz w:val="1"/>
                <w:szCs w:val="1"/>
                <w:color w:val="auto"/>
              </w:rPr>
            </w:pPr>
          </w:p>
        </w:tc>
      </w:tr>
      <w:tr>
        <w:trPr>
          <w:trHeight w:val="147"/>
        </w:trPr>
        <w:tc>
          <w:tcPr>
            <w:tcW w:w="5000" w:type="dxa"/>
            <w:vAlign w:val="bottom"/>
          </w:tcPr>
          <w:p>
            <w:pPr>
              <w:spacing w:after="0" w:line="148" w:lineRule="exact"/>
              <w:rPr>
                <w:sz w:val="20"/>
                <w:szCs w:val="20"/>
                <w:color w:val="auto"/>
              </w:rPr>
            </w:pPr>
            <w:r>
              <w:rPr>
                <w:rFonts w:ascii="Arial" w:cs="Arial" w:eastAsia="Arial" w:hAnsi="Arial"/>
                <w:sz w:val="13"/>
                <w:szCs w:val="13"/>
                <w:color w:val="auto"/>
              </w:rPr>
              <w:t>Armando Geday(2)(3)</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4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47"/>
        </w:trPr>
        <w:tc>
          <w:tcPr>
            <w:tcW w:w="5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Michael Elkins(5)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4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00" w:type="dxa"/>
            <w:vAlign w:val="bottom"/>
          </w:tcPr>
          <w:p>
            <w:pPr>
              <w:spacing w:after="0" w:line="148" w:lineRule="exact"/>
              <w:rPr>
                <w:sz w:val="20"/>
                <w:szCs w:val="20"/>
                <w:color w:val="auto"/>
              </w:rPr>
            </w:pPr>
            <w:r>
              <w:rPr>
                <w:rFonts w:ascii="Arial" w:cs="Arial" w:eastAsia="Arial" w:hAnsi="Arial"/>
                <w:sz w:val="13"/>
                <w:szCs w:val="13"/>
                <w:color w:val="auto"/>
              </w:rPr>
              <w:t>Randal Klein(5)</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4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Steven Tan(5)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4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Nader Tavakoli(5)</w:t>
            </w:r>
          </w:p>
        </w:tc>
        <w:tc>
          <w:tcPr>
            <w:tcW w:w="92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40" w:type="dxa"/>
            <w:vAlign w:val="bottom"/>
          </w:tcPr>
          <w:p>
            <w:pPr>
              <w:ind w:left="10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50165</wp:posOffset>
            </wp:positionV>
            <wp:extent cx="82359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69" w:lineRule="exact"/>
        <w:rPr>
          <w:sz w:val="20"/>
          <w:szCs w:val="20"/>
          <w:color w:val="auto"/>
        </w:rPr>
      </w:pPr>
    </w:p>
    <w:p>
      <w:pPr>
        <w:ind w:left="680" w:right="460"/>
        <w:spacing w:after="0" w:line="248" w:lineRule="auto"/>
        <w:rPr>
          <w:sz w:val="20"/>
          <w:szCs w:val="20"/>
          <w:color w:val="auto"/>
        </w:rPr>
      </w:pPr>
      <w:r>
        <w:rPr>
          <w:rFonts w:ascii="Arial" w:cs="Arial" w:eastAsia="Arial" w:hAnsi="Arial"/>
          <w:sz w:val="13"/>
          <w:szCs w:val="13"/>
          <w:color w:val="auto"/>
        </w:rPr>
        <w:t>Note: Amounts set forth in the above table that were originally paid in Korean won have been converted into U.S. dollars at the exchange rate as of each payment date during the two-month period ended December 31, 2009 and the ten-month period ended October 25, 2009.</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Footnotes:</w:t>
      </w:r>
    </w:p>
    <w:p>
      <w:pPr>
        <w:spacing w:after="0" w:line="86" w:lineRule="exact"/>
        <w:rPr>
          <w:sz w:val="20"/>
          <w:szCs w:val="20"/>
          <w:color w:val="auto"/>
        </w:rPr>
      </w:pPr>
    </w:p>
    <w:p>
      <w:pPr>
        <w:ind w:left="1000" w:right="680" w:hanging="267"/>
        <w:spacing w:after="0" w:line="248" w:lineRule="auto"/>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All of our common and preferred units and outstanding options, including grants made to our directors outstanding prior to the effective date of our Chapter 11 reorganization of November 9, 2009, were terminated as of such date pursuant to our reorganization proceedings.</w:t>
      </w:r>
    </w:p>
    <w:p>
      <w:pPr>
        <w:spacing w:after="0" w:line="64" w:lineRule="exact"/>
        <w:rPr>
          <w:rFonts w:ascii="Arial" w:cs="Arial" w:eastAsia="Arial" w:hAnsi="Arial"/>
          <w:sz w:val="13"/>
          <w:szCs w:val="13"/>
          <w:color w:val="auto"/>
        </w:rPr>
      </w:pPr>
    </w:p>
    <w:p>
      <w:pPr>
        <w:ind w:left="1000" w:hanging="267"/>
        <w:spacing w:after="0"/>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Resigned as a director effective November 9, 2009.</w:t>
      </w:r>
    </w:p>
    <w:p>
      <w:pPr>
        <w:spacing w:after="0" w:line="76" w:lineRule="exact"/>
        <w:rPr>
          <w:rFonts w:ascii="Arial" w:cs="Arial" w:eastAsia="Arial" w:hAnsi="Arial"/>
          <w:sz w:val="13"/>
          <w:szCs w:val="13"/>
          <w:color w:val="auto"/>
        </w:rPr>
      </w:pPr>
    </w:p>
    <w:p>
      <w:pPr>
        <w:ind w:left="1000" w:hanging="267"/>
        <w:spacing w:after="0"/>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annual retainer of $50,000 paid to non-employee directors prior to our reorganization proceedings.</w:t>
      </w:r>
    </w:p>
    <w:p>
      <w:pPr>
        <w:spacing w:after="0" w:line="76" w:lineRule="exact"/>
        <w:rPr>
          <w:rFonts w:ascii="Arial" w:cs="Arial" w:eastAsia="Arial" w:hAnsi="Arial"/>
          <w:sz w:val="13"/>
          <w:szCs w:val="13"/>
          <w:color w:val="auto"/>
        </w:rPr>
      </w:pPr>
    </w:p>
    <w:p>
      <w:pPr>
        <w:ind w:left="1000" w:hanging="267"/>
        <w:spacing w:after="0"/>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Represents payments for insurance premiums.</w:t>
      </w:r>
    </w:p>
    <w:p>
      <w:pPr>
        <w:spacing w:after="0" w:line="76" w:lineRule="exact"/>
        <w:rPr>
          <w:rFonts w:ascii="Arial" w:cs="Arial" w:eastAsia="Arial" w:hAnsi="Arial"/>
          <w:sz w:val="13"/>
          <w:szCs w:val="13"/>
          <w:color w:val="auto"/>
        </w:rPr>
      </w:pPr>
    </w:p>
    <w:p>
      <w:pPr>
        <w:ind w:left="1000" w:right="740" w:hanging="267"/>
        <w:spacing w:after="0" w:line="248" w:lineRule="auto"/>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of our non-employee directors appointed to our board of directors subsequent to the effective date of our Chapter 11 reorganization did not receive any compensation in 2009.</w:t>
      </w:r>
    </w:p>
    <w:p>
      <w:pPr>
        <w:spacing w:after="0" w:line="26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Further Information Regarding Director Compensation Table</w:t>
      </w:r>
    </w:p>
    <w:p>
      <w:pPr>
        <w:spacing w:after="0" w:line="102" w:lineRule="exact"/>
        <w:rPr>
          <w:sz w:val="20"/>
          <w:szCs w:val="20"/>
          <w:color w:val="auto"/>
        </w:rPr>
      </w:pPr>
    </w:p>
    <w:p>
      <w:pPr>
        <w:ind w:left="680" w:right="20" w:firstLine="499"/>
        <w:spacing w:after="0" w:line="236" w:lineRule="auto"/>
        <w:rPr>
          <w:sz w:val="20"/>
          <w:szCs w:val="20"/>
          <w:color w:val="auto"/>
        </w:rPr>
      </w:pPr>
      <w:r>
        <w:rPr>
          <w:rFonts w:ascii="Arial" w:cs="Arial" w:eastAsia="Arial" w:hAnsi="Arial"/>
          <w:sz w:val="13"/>
          <w:szCs w:val="13"/>
          <w:color w:val="auto"/>
        </w:rPr>
        <w:t>In March 2010, we issued to our director Nader Tavakoli 18,750 shares of restricted common stock pursuant to the 2009 Plan for service as a director to date. In March 2010, we also adopted a new director compensation policy. Under the new policy, each of our non-employee directors is entitled to receive an annual fee of $50,000. In addition, the chairman of our audit committee is entitled to an additional fee of $5,000. We expect to issue each non-employee director an option to purchase</w:t>
      </w:r>
    </w:p>
    <w:p>
      <w:pPr>
        <w:spacing w:after="0" w:line="1" w:lineRule="exact"/>
        <w:rPr>
          <w:sz w:val="20"/>
          <w:szCs w:val="20"/>
          <w:color w:val="auto"/>
        </w:rPr>
      </w:pPr>
    </w:p>
    <w:p>
      <w:pPr>
        <w:ind w:left="680" w:right="260"/>
        <w:spacing w:after="0" w:line="242" w:lineRule="auto"/>
        <w:rPr>
          <w:sz w:val="20"/>
          <w:szCs w:val="20"/>
          <w:color w:val="auto"/>
        </w:rPr>
      </w:pPr>
      <w:r>
        <w:rPr>
          <w:rFonts w:ascii="Arial" w:cs="Arial" w:eastAsia="Arial" w:hAnsi="Arial"/>
          <w:sz w:val="13"/>
          <w:szCs w:val="13"/>
          <w:color w:val="auto"/>
        </w:rPr>
        <w:t>25,000 shares of common stock, which shall vest on the same terms as option grants to our other grantees. In March 2010, pursuant to this policy, we issued options to purchase 25,000 shares of common stock to each of our directors R. Douglas Norby, Gidu Shroff and Nader Tavakoli pursuant to the 2009 Plan at an exercise price of $16.96 per share.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members of the Compensation Committee will be appointed prior to the completion of this offering. We do not anticipate that any of the members of the Compensation Committee will have been an officer or employee of our company during the last fiscal year. During 2009, decisions regarding executive officer compensation were made by our full board of directors. Mr. Sang Park, Chairman of our board of directors and our Chief Executive Officer, participated in deliberations of our board of directors regarding the determination of compensation of our executive officers other than himself. None of our executive officers currently serves, or in the past has served, as a member of the board of directors or the compensation committee of any entity that has one or more executive officers serving on our board of directors.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PRINCIPAL AND SELLING STOCKHOLDERS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Stockholders</w:t>
      </w:r>
    </w:p>
    <w:p>
      <w:pPr>
        <w:spacing w:after="0" w:line="102" w:lineRule="exact"/>
        <w:rPr>
          <w:sz w:val="20"/>
          <w:szCs w:val="20"/>
          <w:color w:val="auto"/>
        </w:rPr>
      </w:pPr>
    </w:p>
    <w:p>
      <w:pPr>
        <w:ind w:left="680" w:right="380" w:firstLine="499"/>
        <w:spacing w:after="0" w:line="248" w:lineRule="auto"/>
        <w:rPr>
          <w:sz w:val="20"/>
          <w:szCs w:val="20"/>
          <w:color w:val="auto"/>
        </w:rPr>
      </w:pPr>
      <w:r>
        <w:rPr>
          <w:rFonts w:ascii="Arial" w:cs="Arial" w:eastAsia="Arial" w:hAnsi="Arial"/>
          <w:sz w:val="13"/>
          <w:szCs w:val="13"/>
          <w:color w:val="auto"/>
        </w:rPr>
        <w:t>The following table and accompanying footnotes set forth information regarding the beneficial ownership of our common stock by each of the following selling stockholders based on the outstanding common units of MagnaChip Semiconductor LLC as of April 30, 2010 as adjusted to reflect the corporate conversion.</w:t>
      </w:r>
    </w:p>
    <w:p>
      <w:pPr>
        <w:spacing w:after="0" w:line="74" w:lineRule="exact"/>
        <w:rPr>
          <w:sz w:val="20"/>
          <w:szCs w:val="20"/>
          <w:color w:val="auto"/>
        </w:rPr>
      </w:pPr>
    </w:p>
    <w:p>
      <w:pPr>
        <w:ind w:left="680" w:right="200" w:firstLine="499"/>
        <w:spacing w:after="0" w:line="242" w:lineRule="auto"/>
        <w:rPr>
          <w:sz w:val="20"/>
          <w:szCs w:val="20"/>
          <w:color w:val="auto"/>
        </w:rPr>
      </w:pPr>
      <w:r>
        <w:rPr>
          <w:rFonts w:ascii="Arial" w:cs="Arial" w:eastAsia="Arial" w:hAnsi="Arial"/>
          <w:sz w:val="13"/>
          <w:szCs w:val="13"/>
          <w:color w:val="auto"/>
        </w:rPr>
        <w:t>As of April 30, 2010, MagnaChip Semiconductor LLC’s outstanding securities consisted of 307,233,996 common units, options to purchase 15,963,000 common units and warrants to purchase 15,000,000 common units and, after giving effect to the corporate conversion, we would have had outstanding 38,404,294 shares of common stock, options to purchase 1,995,375 shares of common stock and warrants to purchase 1,875,015 shares of common stock.</w:t>
      </w:r>
    </w:p>
    <w:p>
      <w:pPr>
        <w:spacing w:after="0" w:line="79"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information set forth in the table below is based on information provided by or on behalf of the selling stockholders.</w:t>
      </w:r>
    </w:p>
    <w:p>
      <w:pPr>
        <w:spacing w:after="0" w:line="3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9"/>
                <w:szCs w:val="9"/>
                <w:b w:val="1"/>
                <w:bCs w:val="1"/>
                <w:color w:val="auto"/>
                <w:w w:val="97"/>
              </w:rPr>
              <w:t>Shares of</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3"/>
          </w:tcPr>
          <w:p>
            <w:pPr>
              <w:jc w:val="center"/>
              <w:ind w:left="310"/>
              <w:spacing w:after="0"/>
              <w:rPr>
                <w:sz w:val="20"/>
                <w:szCs w:val="20"/>
                <w:color w:val="auto"/>
              </w:rPr>
            </w:pPr>
            <w:r>
              <w:rPr>
                <w:rFonts w:ascii="Arial" w:cs="Arial" w:eastAsia="Arial" w:hAnsi="Arial"/>
                <w:sz w:val="9"/>
                <w:szCs w:val="9"/>
                <w:b w:val="1"/>
                <w:bCs w:val="1"/>
                <w:color w:val="auto"/>
              </w:rPr>
              <w:t>Shares of</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Common Stock</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Common Stock</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w w:val="97"/>
              </w:rPr>
              <w:t>Shares of</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Beneficially</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Beneficially</w:t>
            </w:r>
          </w:p>
        </w:tc>
      </w:tr>
      <w:tr>
        <w:trPr>
          <w:trHeight w:val="98"/>
        </w:trPr>
        <w:tc>
          <w:tcPr>
            <w:tcW w:w="3900" w:type="dxa"/>
            <w:vAlign w:val="bottom"/>
          </w:tcPr>
          <w:p>
            <w:pPr>
              <w:spacing w:after="0"/>
              <w:rPr>
                <w:sz w:val="8"/>
                <w:szCs w:val="8"/>
                <w:color w:val="auto"/>
              </w:rPr>
            </w:pPr>
          </w:p>
        </w:tc>
        <w:tc>
          <w:tcPr>
            <w:tcW w:w="1560" w:type="dxa"/>
            <w:vAlign w:val="bottom"/>
            <w:gridSpan w:val="5"/>
          </w:tcPr>
          <w:p>
            <w:pPr>
              <w:jc w:val="center"/>
              <w:ind w:right="200"/>
              <w:spacing w:after="0" w:line="98" w:lineRule="exact"/>
              <w:rPr>
                <w:sz w:val="20"/>
                <w:szCs w:val="20"/>
                <w:color w:val="auto"/>
              </w:rPr>
            </w:pPr>
            <w:r>
              <w:rPr>
                <w:rFonts w:ascii="Arial" w:cs="Arial" w:eastAsia="Arial" w:hAnsi="Arial"/>
                <w:sz w:val="9"/>
                <w:szCs w:val="9"/>
                <w:b w:val="1"/>
                <w:bCs w:val="1"/>
                <w:color w:val="auto"/>
              </w:rPr>
              <w:t>Common Stock</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Shares of</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Owned Following</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Owned Following</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rPr>
              <w:t>Beneficially</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Common</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Offering Assuming</w:t>
            </w:r>
          </w:p>
        </w:tc>
        <w:tc>
          <w:tcPr>
            <w:tcW w:w="1280" w:type="dxa"/>
            <w:vAlign w:val="bottom"/>
            <w:gridSpan w:val="5"/>
          </w:tcPr>
          <w:p>
            <w:pPr>
              <w:jc w:val="center"/>
              <w:ind w:right="100"/>
              <w:spacing w:after="0" w:line="98" w:lineRule="exact"/>
              <w:rPr>
                <w:sz w:val="20"/>
                <w:szCs w:val="20"/>
                <w:color w:val="auto"/>
              </w:rPr>
            </w:pPr>
            <w:r>
              <w:rPr>
                <w:rFonts w:ascii="Arial" w:cs="Arial" w:eastAsia="Arial" w:hAnsi="Arial"/>
                <w:sz w:val="9"/>
                <w:szCs w:val="9"/>
                <w:b w:val="1"/>
                <w:bCs w:val="1"/>
                <w:color w:val="auto"/>
              </w:rPr>
              <w:t>Offering Assuming</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rPr>
              <w:t>Owned</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rPr>
              <w:t>Shares of</w:t>
            </w: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7"/>
              </w:rPr>
              <w:t>Stock</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No Exercise of</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w w:val="99"/>
              </w:rPr>
              <w:t>Exercise of</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w w:val="99"/>
              </w:rPr>
              <w:t>Prior to</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Common</w:t>
            </w: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Subject to</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Underwriters’</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Underwriters’</w:t>
            </w:r>
          </w:p>
        </w:tc>
      </w:tr>
      <w:tr>
        <w:trPr>
          <w:trHeight w:val="113"/>
        </w:trPr>
        <w:tc>
          <w:tcPr>
            <w:tcW w:w="3900" w:type="dxa"/>
            <w:vAlign w:val="bottom"/>
          </w:tcPr>
          <w:p>
            <w:pPr>
              <w:spacing w:after="0"/>
              <w:rPr>
                <w:sz w:val="20"/>
                <w:szCs w:val="20"/>
                <w:color w:val="auto"/>
              </w:rPr>
            </w:pPr>
            <w:r>
              <w:rPr>
                <w:rFonts w:ascii="Arial" w:cs="Arial" w:eastAsia="Arial" w:hAnsi="Arial"/>
                <w:sz w:val="9"/>
                <w:szCs w:val="9"/>
                <w:b w:val="1"/>
                <w:bCs w:val="1"/>
                <w:color w:val="auto"/>
              </w:rPr>
              <w:t>Name and Address</w:t>
            </w:r>
          </w:p>
        </w:tc>
        <w:tc>
          <w:tcPr>
            <w:tcW w:w="960" w:type="dxa"/>
            <w:vAlign w:val="bottom"/>
            <w:gridSpan w:val="3"/>
          </w:tcPr>
          <w:p>
            <w:pPr>
              <w:jc w:val="center"/>
              <w:ind w:left="350"/>
              <w:spacing w:after="0"/>
              <w:rPr>
                <w:sz w:val="20"/>
                <w:szCs w:val="20"/>
                <w:color w:val="auto"/>
              </w:rPr>
            </w:pPr>
            <w:r>
              <w:rPr>
                <w:rFonts w:ascii="Arial" w:cs="Arial" w:eastAsia="Arial" w:hAnsi="Arial"/>
                <w:sz w:val="9"/>
                <w:szCs w:val="9"/>
                <w:b w:val="1"/>
                <w:bCs w:val="1"/>
                <w:color w:val="auto"/>
              </w:rPr>
              <w:t>Offering(1)</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Stock Being</w:t>
            </w:r>
          </w:p>
        </w:tc>
        <w:tc>
          <w:tcPr>
            <w:tcW w:w="9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Underwriters’</w:t>
            </w:r>
          </w:p>
        </w:tc>
        <w:tc>
          <w:tcPr>
            <w:tcW w:w="820" w:type="dxa"/>
            <w:vAlign w:val="bottom"/>
            <w:gridSpan w:val="3"/>
          </w:tcPr>
          <w:p>
            <w:pPr>
              <w:jc w:val="center"/>
              <w:ind w:left="330"/>
              <w:spacing w:after="0"/>
              <w:rPr>
                <w:sz w:val="20"/>
                <w:szCs w:val="20"/>
                <w:color w:val="auto"/>
              </w:rPr>
            </w:pPr>
            <w:r>
              <w:rPr>
                <w:rFonts w:ascii="Arial" w:cs="Arial" w:eastAsia="Arial" w:hAnsi="Arial"/>
                <w:sz w:val="9"/>
                <w:szCs w:val="9"/>
                <w:b w:val="1"/>
                <w:bCs w:val="1"/>
                <w:color w:val="auto"/>
                <w:w w:val="99"/>
              </w:rPr>
              <w:t>Option(1)</w:t>
            </w: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Option in Full(1)</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b w:val="1"/>
                <w:bCs w:val="1"/>
                <w:u w:val="single" w:color="auto"/>
                <w:color w:val="auto"/>
              </w:rPr>
              <w:t>o</w:t>
            </w:r>
            <w:r>
              <w:rPr>
                <w:rFonts w:ascii="Arial" w:cs="Arial" w:eastAsia="Arial" w:hAnsi="Arial"/>
                <w:sz w:val="9"/>
                <w:szCs w:val="9"/>
                <w:b w:val="1"/>
                <w:bCs w:val="1"/>
                <w:color w:val="auto"/>
              </w:rPr>
              <w:t>f Beneficial Owner</w:t>
            </w:r>
          </w:p>
        </w:tc>
        <w:tc>
          <w:tcPr>
            <w:tcW w:w="960" w:type="dxa"/>
            <w:vAlign w:val="bottom"/>
            <w:tcBorders>
              <w:top w:val="single" w:sz="8" w:color="auto"/>
            </w:tcBorders>
            <w:gridSpan w:val="3"/>
          </w:tcPr>
          <w:p>
            <w:pPr>
              <w:ind w:left="200"/>
              <w:spacing w:after="0" w:line="98" w:lineRule="exact"/>
              <w:rPr>
                <w:sz w:val="20"/>
                <w:szCs w:val="20"/>
                <w:color w:val="auto"/>
              </w:rPr>
            </w:pPr>
            <w:r>
              <w:rPr>
                <w:rFonts w:ascii="Arial" w:cs="Arial" w:eastAsia="Arial" w:hAnsi="Arial"/>
                <w:sz w:val="9"/>
                <w:szCs w:val="9"/>
                <w:b w:val="1"/>
                <w:bCs w:val="1"/>
                <w:color w:val="auto"/>
              </w:rPr>
              <w:t>Amount</w:t>
            </w: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9"/>
                <w:szCs w:val="9"/>
                <w:b w:val="1"/>
                <w:bCs w:val="1"/>
                <w:color w:val="auto"/>
              </w:rPr>
              <w:t>Percent</w:t>
            </w:r>
          </w:p>
        </w:tc>
        <w:tc>
          <w:tcPr>
            <w:tcW w:w="22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Offered</w:t>
            </w: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Option</w:t>
            </w:r>
          </w:p>
        </w:tc>
        <w:tc>
          <w:tcPr>
            <w:tcW w:w="820" w:type="dxa"/>
            <w:vAlign w:val="bottom"/>
            <w:tcBorders>
              <w:top w:val="single" w:sz="8" w:color="auto"/>
            </w:tcBorders>
            <w:gridSpan w:val="3"/>
          </w:tcPr>
          <w:p>
            <w:pPr>
              <w:ind w:left="140"/>
              <w:spacing w:after="0" w:line="98" w:lineRule="exact"/>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Percent</w:t>
            </w:r>
          </w:p>
        </w:tc>
        <w:tc>
          <w:tcPr>
            <w:tcW w:w="200" w:type="dxa"/>
            <w:vAlign w:val="bottom"/>
          </w:tcPr>
          <w:p>
            <w:pPr>
              <w:spacing w:after="0"/>
              <w:rPr>
                <w:sz w:val="8"/>
                <w:szCs w:val="8"/>
                <w:color w:val="auto"/>
              </w:rPr>
            </w:pPr>
          </w:p>
        </w:tc>
        <w:tc>
          <w:tcPr>
            <w:tcW w:w="820" w:type="dxa"/>
            <w:vAlign w:val="bottom"/>
            <w:tcBorders>
              <w:top w:val="single" w:sz="8" w:color="auto"/>
            </w:tcBorders>
            <w:gridSpan w:val="3"/>
          </w:tcPr>
          <w:p>
            <w:pPr>
              <w:ind w:left="120"/>
              <w:spacing w:after="0" w:line="98" w:lineRule="exact"/>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Percent</w:t>
            </w:r>
          </w:p>
        </w:tc>
        <w:tc>
          <w:tcPr>
            <w:tcW w:w="100" w:type="dxa"/>
            <w:vAlign w:val="bottom"/>
          </w:tcPr>
          <w:p>
            <w:pPr>
              <w:spacing w:after="0"/>
              <w:rPr>
                <w:sz w:val="8"/>
                <w:szCs w:val="8"/>
                <w:color w:val="auto"/>
              </w:rPr>
            </w:pPr>
          </w:p>
        </w:tc>
      </w:tr>
      <w:tr>
        <w:trPr>
          <w:trHeight w:val="29"/>
        </w:trPr>
        <w:tc>
          <w:tcPr>
            <w:tcW w:w="39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18"/>
        </w:trPr>
        <w:tc>
          <w:tcPr>
            <w:tcW w:w="39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Avenue Special Situations Fund V, L.P. (2)(3)(4)</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11,117,266</w:t>
            </w:r>
          </w:p>
        </w:tc>
        <w:tc>
          <w:tcPr>
            <w:tcW w:w="2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28.7%</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1,825,258</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273,789</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9,292,008</w:t>
            </w: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23.1%</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9,018,219</w:t>
            </w:r>
          </w:p>
        </w:tc>
        <w:tc>
          <w:tcPr>
            <w:tcW w:w="2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22.3%</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Avenue Special Situations Fund IV, L.P. (2)(3)(5)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8,807,283</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1,455,617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218,343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7,351,666</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18.4%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7,133,323</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w:t>
            </w: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Avenue International Master, L.P. (2)(3)(6)</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4,446,037</w:t>
            </w:r>
          </w:p>
        </w:tc>
        <w:tc>
          <w:tcPr>
            <w:tcW w:w="2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11.6%</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736,460</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110,469</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3,709,577</w:t>
            </w: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9.3%</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3,599,108</w:t>
            </w:r>
          </w:p>
        </w:tc>
        <w:tc>
          <w:tcPr>
            <w:tcW w:w="2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9.0%</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Avenue-CDP Global Opportunities Fund, L.P. (2)(3)(7)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1,513,085</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249,567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37,435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1,263,518</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1,226,083</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3.1%</w:t>
            </w: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Avenue Investments, L.P. (2)(3)(8)</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1,482,257</w:t>
            </w:r>
          </w:p>
        </w:tc>
        <w:tc>
          <w:tcPr>
            <w:tcW w:w="2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3.9%</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245,513</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36,827</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1,236,744</w:t>
            </w: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3.1%</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1,199,917</w:t>
            </w:r>
          </w:p>
        </w:tc>
        <w:tc>
          <w:tcPr>
            <w:tcW w:w="2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3.0%</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Southpaw Credit Opportunity Master Fund, L.P (9)(10)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2,860,659</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7.4%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481,481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72,222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2,379,178</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6.0%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2,306,956</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5.7%</w:t>
            </w:r>
          </w:p>
        </w:tc>
      </w:tr>
      <w:tr>
        <w:trPr>
          <w:trHeight w:val="121"/>
        </w:trPr>
        <w:tc>
          <w:tcPr>
            <w:tcW w:w="3900" w:type="dxa"/>
            <w:vAlign w:val="bottom"/>
          </w:tcPr>
          <w:p>
            <w:pPr>
              <w:spacing w:after="0"/>
              <w:rPr>
                <w:sz w:val="20"/>
                <w:szCs w:val="20"/>
                <w:color w:val="auto"/>
              </w:rPr>
            </w:pPr>
            <w:r>
              <w:rPr>
                <w:rFonts w:ascii="Arial" w:cs="Arial" w:eastAsia="Arial" w:hAnsi="Arial"/>
                <w:sz w:val="10"/>
                <w:szCs w:val="10"/>
                <w:color w:val="auto"/>
              </w:rPr>
              <w:t>Wilshire Institutional Master Fund SPC — Wilshire Southpaw Opportunity</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3900" w:type="dxa"/>
            <w:vAlign w:val="bottom"/>
          </w:tcPr>
          <w:p>
            <w:pPr>
              <w:ind w:left="120"/>
              <w:spacing w:after="0"/>
              <w:rPr>
                <w:sz w:val="20"/>
                <w:szCs w:val="20"/>
                <w:color w:val="auto"/>
              </w:rPr>
            </w:pPr>
            <w:r>
              <w:rPr>
                <w:rFonts w:ascii="Arial" w:cs="Arial" w:eastAsia="Arial" w:hAnsi="Arial"/>
                <w:sz w:val="10"/>
                <w:szCs w:val="10"/>
                <w:color w:val="auto"/>
              </w:rPr>
              <w:t>Segregated Portfolio (9)(11)</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72,379</w:t>
            </w:r>
          </w:p>
        </w:tc>
        <w:tc>
          <w:tcPr>
            <w:tcW w:w="20" w:type="dxa"/>
            <w:vAlign w:val="bottom"/>
          </w:tcPr>
          <w:p>
            <w:pPr>
              <w:spacing w:after="0"/>
              <w:rPr>
                <w:sz w:val="9"/>
                <w:szCs w:val="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12,182</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1,827</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60,197</w:t>
            </w:r>
          </w:p>
        </w:tc>
        <w:tc>
          <w:tcPr>
            <w:tcW w:w="20" w:type="dxa"/>
            <w:vAlign w:val="bottom"/>
          </w:tcPr>
          <w:p>
            <w:pPr>
              <w:spacing w:after="0"/>
              <w:rPr>
                <w:sz w:val="9"/>
                <w:szCs w:val="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58,370</w:t>
            </w:r>
          </w:p>
        </w:tc>
        <w:tc>
          <w:tcPr>
            <w:tcW w:w="2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GPC 76, LLC (9)(12)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11,367</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1,913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287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9,454</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9,167</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Tennenbaum Multi-Strategy Fund SPV (Cayman) Ltd. (13)</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2,588,756</w:t>
            </w:r>
          </w:p>
        </w:tc>
        <w:tc>
          <w:tcPr>
            <w:tcW w:w="2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6.7%</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435,716</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65,357</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2,153,040</w:t>
            </w:r>
          </w:p>
        </w:tc>
        <w:tc>
          <w:tcPr>
            <w:tcW w:w="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5.4%</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2,087,683</w:t>
            </w:r>
          </w:p>
        </w:tc>
        <w:tc>
          <w:tcPr>
            <w:tcW w:w="2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5.2%</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O’Connor Capital Structure Opportunity Master Limited ‡ (14)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1,591,791</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267,916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40,187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1,323,875</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1,283,688</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3.2%</w:t>
            </w: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JP Morgan High Yield Fund (15)</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418,073</w:t>
            </w:r>
          </w:p>
        </w:tc>
        <w:tc>
          <w:tcPr>
            <w:tcW w:w="2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1.1%</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70,366</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10,554</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347,707</w:t>
            </w:r>
          </w:p>
        </w:tc>
        <w:tc>
          <w:tcPr>
            <w:tcW w:w="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337,153</w:t>
            </w:r>
          </w:p>
        </w:tc>
        <w:tc>
          <w:tcPr>
            <w:tcW w:w="2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Principal Funds Inc. - High Yield Fund I (16)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133,522</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22,473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3,371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111,048</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107,677</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r>
      <w:tr>
        <w:trPr>
          <w:trHeight w:val="121"/>
        </w:trPr>
        <w:tc>
          <w:tcPr>
            <w:tcW w:w="3900" w:type="dxa"/>
            <w:vAlign w:val="bottom"/>
          </w:tcPr>
          <w:p>
            <w:pPr>
              <w:spacing w:after="0"/>
              <w:rPr>
                <w:sz w:val="20"/>
                <w:szCs w:val="20"/>
                <w:color w:val="auto"/>
              </w:rPr>
            </w:pPr>
            <w:r>
              <w:rPr>
                <w:rFonts w:ascii="Arial" w:cs="Arial" w:eastAsia="Arial" w:hAnsi="Arial"/>
                <w:sz w:val="10"/>
                <w:szCs w:val="10"/>
                <w:color w:val="auto"/>
              </w:rPr>
              <w:t>Pacholder High Yield</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3900" w:type="dxa"/>
            <w:vAlign w:val="bottom"/>
          </w:tcPr>
          <w:p>
            <w:pPr>
              <w:ind w:left="120"/>
              <w:spacing w:after="0"/>
              <w:rPr>
                <w:sz w:val="20"/>
                <w:szCs w:val="20"/>
                <w:color w:val="auto"/>
              </w:rPr>
            </w:pPr>
            <w:r>
              <w:rPr>
                <w:rFonts w:ascii="Arial" w:cs="Arial" w:eastAsia="Arial" w:hAnsi="Arial"/>
                <w:sz w:val="10"/>
                <w:szCs w:val="10"/>
                <w:color w:val="auto"/>
              </w:rPr>
              <w:t>Fund, Inc (17)</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99,140</w:t>
            </w:r>
          </w:p>
        </w:tc>
        <w:tc>
          <w:tcPr>
            <w:tcW w:w="2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16,686</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2,503</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82,454</w:t>
            </w:r>
          </w:p>
        </w:tc>
        <w:tc>
          <w:tcPr>
            <w:tcW w:w="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79,951</w:t>
            </w:r>
          </w:p>
        </w:tc>
        <w:tc>
          <w:tcPr>
            <w:tcW w:w="2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bl>
    <w:p>
      <w:pPr>
        <w:spacing w:after="0" w:line="27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gridSpan w:val="3"/>
          </w:tcPr>
          <w:p>
            <w:pPr>
              <w:jc w:val="center"/>
              <w:ind w:left="331"/>
              <w:spacing w:after="0"/>
              <w:rPr>
                <w:sz w:val="20"/>
                <w:szCs w:val="20"/>
                <w:color w:val="auto"/>
              </w:rPr>
            </w:pPr>
            <w:r>
              <w:rPr>
                <w:rFonts w:ascii="Arial" w:cs="Arial" w:eastAsia="Arial" w:hAnsi="Arial"/>
                <w:sz w:val="9"/>
                <w:szCs w:val="9"/>
                <w:b w:val="1"/>
                <w:bCs w:val="1"/>
                <w:color w:val="auto"/>
                <w:w w:val="97"/>
              </w:rPr>
              <w:t>Shares of</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3"/>
          </w:tcPr>
          <w:p>
            <w:pPr>
              <w:jc w:val="center"/>
              <w:ind w:left="311"/>
              <w:spacing w:after="0"/>
              <w:rPr>
                <w:sz w:val="20"/>
                <w:szCs w:val="20"/>
                <w:color w:val="auto"/>
              </w:rPr>
            </w:pPr>
            <w:r>
              <w:rPr>
                <w:rFonts w:ascii="Arial" w:cs="Arial" w:eastAsia="Arial" w:hAnsi="Arial"/>
                <w:sz w:val="9"/>
                <w:szCs w:val="9"/>
                <w:b w:val="1"/>
                <w:bCs w:val="1"/>
                <w:color w:val="auto"/>
              </w:rPr>
              <w:t>Shares of</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Common Stock</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Common Stock</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w w:val="97"/>
              </w:rPr>
              <w:t>Shares of</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Beneficially</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Beneficially</w:t>
            </w:r>
          </w:p>
        </w:tc>
      </w:tr>
      <w:tr>
        <w:trPr>
          <w:trHeight w:val="98"/>
        </w:trPr>
        <w:tc>
          <w:tcPr>
            <w:tcW w:w="3900" w:type="dxa"/>
            <w:vAlign w:val="bottom"/>
          </w:tcPr>
          <w:p>
            <w:pPr>
              <w:spacing w:after="0"/>
              <w:rPr>
                <w:sz w:val="8"/>
                <w:szCs w:val="8"/>
                <w:color w:val="auto"/>
              </w:rPr>
            </w:pPr>
          </w:p>
        </w:tc>
        <w:tc>
          <w:tcPr>
            <w:tcW w:w="1560" w:type="dxa"/>
            <w:vAlign w:val="bottom"/>
            <w:gridSpan w:val="5"/>
          </w:tcPr>
          <w:p>
            <w:pPr>
              <w:jc w:val="center"/>
              <w:ind w:right="200"/>
              <w:spacing w:after="0" w:line="98" w:lineRule="exact"/>
              <w:rPr>
                <w:sz w:val="20"/>
                <w:szCs w:val="20"/>
                <w:color w:val="auto"/>
              </w:rPr>
            </w:pPr>
            <w:r>
              <w:rPr>
                <w:rFonts w:ascii="Arial" w:cs="Arial" w:eastAsia="Arial" w:hAnsi="Arial"/>
                <w:sz w:val="9"/>
                <w:szCs w:val="9"/>
                <w:b w:val="1"/>
                <w:bCs w:val="1"/>
                <w:color w:val="auto"/>
              </w:rPr>
              <w:t>Common Stock</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Shares of</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Owned Following</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Owned Following</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rPr>
              <w:t>Beneficially</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Common</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Offering Assuming</w:t>
            </w:r>
          </w:p>
        </w:tc>
        <w:tc>
          <w:tcPr>
            <w:tcW w:w="1280" w:type="dxa"/>
            <w:vAlign w:val="bottom"/>
            <w:gridSpan w:val="5"/>
          </w:tcPr>
          <w:p>
            <w:pPr>
              <w:jc w:val="center"/>
              <w:ind w:right="100"/>
              <w:spacing w:after="0" w:line="98" w:lineRule="exact"/>
              <w:rPr>
                <w:sz w:val="20"/>
                <w:szCs w:val="20"/>
                <w:color w:val="auto"/>
              </w:rPr>
            </w:pPr>
            <w:r>
              <w:rPr>
                <w:rFonts w:ascii="Arial" w:cs="Arial" w:eastAsia="Arial" w:hAnsi="Arial"/>
                <w:sz w:val="9"/>
                <w:szCs w:val="9"/>
                <w:b w:val="1"/>
                <w:bCs w:val="1"/>
                <w:color w:val="auto"/>
              </w:rPr>
              <w:t>Offering Assuming</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rPr>
              <w:t>Owned</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rPr>
              <w:t>Shares of</w:t>
            </w: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7"/>
              </w:rPr>
              <w:t>Stock</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No Exercise of</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w w:val="99"/>
              </w:rPr>
              <w:t>Exercise of</w:t>
            </w:r>
          </w:p>
        </w:tc>
      </w:tr>
      <w:tr>
        <w:trPr>
          <w:trHeight w:val="98"/>
        </w:trPr>
        <w:tc>
          <w:tcPr>
            <w:tcW w:w="3900" w:type="dxa"/>
            <w:vAlign w:val="bottom"/>
          </w:tcPr>
          <w:p>
            <w:pPr>
              <w:spacing w:after="0"/>
              <w:rPr>
                <w:sz w:val="8"/>
                <w:szCs w:val="8"/>
                <w:color w:val="auto"/>
              </w:rPr>
            </w:pPr>
          </w:p>
        </w:tc>
        <w:tc>
          <w:tcPr>
            <w:tcW w:w="960" w:type="dxa"/>
            <w:vAlign w:val="bottom"/>
            <w:gridSpan w:val="3"/>
          </w:tcPr>
          <w:p>
            <w:pPr>
              <w:jc w:val="center"/>
              <w:ind w:left="350"/>
              <w:spacing w:after="0" w:line="98" w:lineRule="exact"/>
              <w:rPr>
                <w:sz w:val="20"/>
                <w:szCs w:val="20"/>
                <w:color w:val="auto"/>
              </w:rPr>
            </w:pPr>
            <w:r>
              <w:rPr>
                <w:rFonts w:ascii="Arial" w:cs="Arial" w:eastAsia="Arial" w:hAnsi="Arial"/>
                <w:sz w:val="9"/>
                <w:szCs w:val="9"/>
                <w:b w:val="1"/>
                <w:bCs w:val="1"/>
                <w:color w:val="auto"/>
                <w:w w:val="99"/>
              </w:rPr>
              <w:t>Prior to</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Common</w:t>
            </w:r>
          </w:p>
        </w:tc>
        <w:tc>
          <w:tcPr>
            <w:tcW w:w="9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Subject to</w:t>
            </w:r>
          </w:p>
        </w:tc>
        <w:tc>
          <w:tcPr>
            <w:tcW w:w="1380" w:type="dxa"/>
            <w:vAlign w:val="bottom"/>
            <w:gridSpan w:val="5"/>
          </w:tcPr>
          <w:p>
            <w:pPr>
              <w:jc w:val="center"/>
              <w:ind w:right="180"/>
              <w:spacing w:after="0" w:line="98" w:lineRule="exact"/>
              <w:rPr>
                <w:sz w:val="20"/>
                <w:szCs w:val="20"/>
                <w:color w:val="auto"/>
              </w:rPr>
            </w:pPr>
            <w:r>
              <w:rPr>
                <w:rFonts w:ascii="Arial" w:cs="Arial" w:eastAsia="Arial" w:hAnsi="Arial"/>
                <w:sz w:val="9"/>
                <w:szCs w:val="9"/>
                <w:b w:val="1"/>
                <w:bCs w:val="1"/>
                <w:color w:val="auto"/>
              </w:rPr>
              <w:t>Underwriters’</w:t>
            </w:r>
          </w:p>
        </w:tc>
        <w:tc>
          <w:tcPr>
            <w:tcW w:w="1280" w:type="dxa"/>
            <w:vAlign w:val="bottom"/>
            <w:gridSpan w:val="5"/>
          </w:tcPr>
          <w:p>
            <w:pPr>
              <w:jc w:val="center"/>
              <w:ind w:right="80"/>
              <w:spacing w:after="0" w:line="98" w:lineRule="exact"/>
              <w:rPr>
                <w:sz w:val="20"/>
                <w:szCs w:val="20"/>
                <w:color w:val="auto"/>
              </w:rPr>
            </w:pPr>
            <w:r>
              <w:rPr>
                <w:rFonts w:ascii="Arial" w:cs="Arial" w:eastAsia="Arial" w:hAnsi="Arial"/>
                <w:sz w:val="9"/>
                <w:szCs w:val="9"/>
                <w:b w:val="1"/>
                <w:bCs w:val="1"/>
                <w:color w:val="auto"/>
              </w:rPr>
              <w:t>Underwriters’</w:t>
            </w:r>
          </w:p>
        </w:tc>
      </w:tr>
      <w:tr>
        <w:trPr>
          <w:trHeight w:val="113"/>
        </w:trPr>
        <w:tc>
          <w:tcPr>
            <w:tcW w:w="3900" w:type="dxa"/>
            <w:vAlign w:val="bottom"/>
          </w:tcPr>
          <w:p>
            <w:pPr>
              <w:spacing w:after="0"/>
              <w:rPr>
                <w:sz w:val="20"/>
                <w:szCs w:val="20"/>
                <w:color w:val="auto"/>
              </w:rPr>
            </w:pPr>
            <w:r>
              <w:rPr>
                <w:rFonts w:ascii="Arial" w:cs="Arial" w:eastAsia="Arial" w:hAnsi="Arial"/>
                <w:sz w:val="9"/>
                <w:szCs w:val="9"/>
                <w:b w:val="1"/>
                <w:bCs w:val="1"/>
                <w:color w:val="auto"/>
              </w:rPr>
              <w:t>Name and Address</w:t>
            </w:r>
          </w:p>
        </w:tc>
        <w:tc>
          <w:tcPr>
            <w:tcW w:w="960" w:type="dxa"/>
            <w:vAlign w:val="bottom"/>
            <w:gridSpan w:val="3"/>
          </w:tcPr>
          <w:p>
            <w:pPr>
              <w:jc w:val="center"/>
              <w:ind w:left="350"/>
              <w:spacing w:after="0"/>
              <w:rPr>
                <w:sz w:val="20"/>
                <w:szCs w:val="20"/>
                <w:color w:val="auto"/>
              </w:rPr>
            </w:pPr>
            <w:r>
              <w:rPr>
                <w:rFonts w:ascii="Arial" w:cs="Arial" w:eastAsia="Arial" w:hAnsi="Arial"/>
                <w:sz w:val="9"/>
                <w:szCs w:val="9"/>
                <w:b w:val="1"/>
                <w:bCs w:val="1"/>
                <w:color w:val="auto"/>
              </w:rPr>
              <w:t>Offering(1)</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Stock Being</w:t>
            </w:r>
          </w:p>
        </w:tc>
        <w:tc>
          <w:tcPr>
            <w:tcW w:w="9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Underwriters’</w:t>
            </w:r>
          </w:p>
        </w:tc>
        <w:tc>
          <w:tcPr>
            <w:tcW w:w="820" w:type="dxa"/>
            <w:vAlign w:val="bottom"/>
            <w:gridSpan w:val="3"/>
          </w:tcPr>
          <w:p>
            <w:pPr>
              <w:jc w:val="center"/>
              <w:ind w:left="331"/>
              <w:spacing w:after="0"/>
              <w:rPr>
                <w:sz w:val="20"/>
                <w:szCs w:val="20"/>
                <w:color w:val="auto"/>
              </w:rPr>
            </w:pPr>
            <w:r>
              <w:rPr>
                <w:rFonts w:ascii="Arial" w:cs="Arial" w:eastAsia="Arial" w:hAnsi="Arial"/>
                <w:sz w:val="9"/>
                <w:szCs w:val="9"/>
                <w:b w:val="1"/>
                <w:bCs w:val="1"/>
                <w:color w:val="auto"/>
                <w:w w:val="99"/>
              </w:rPr>
              <w:t>Option(1)</w:t>
            </w: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Option in Full(1)</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b w:val="1"/>
                <w:bCs w:val="1"/>
                <w:u w:val="single" w:color="auto"/>
                <w:color w:val="auto"/>
              </w:rPr>
              <w:t>o</w:t>
            </w:r>
            <w:r>
              <w:rPr>
                <w:rFonts w:ascii="Arial" w:cs="Arial" w:eastAsia="Arial" w:hAnsi="Arial"/>
                <w:sz w:val="9"/>
                <w:szCs w:val="9"/>
                <w:b w:val="1"/>
                <w:bCs w:val="1"/>
                <w:color w:val="auto"/>
              </w:rPr>
              <w:t>f Beneficial Owner</w:t>
            </w:r>
          </w:p>
        </w:tc>
        <w:tc>
          <w:tcPr>
            <w:tcW w:w="960" w:type="dxa"/>
            <w:vAlign w:val="bottom"/>
            <w:tcBorders>
              <w:top w:val="single" w:sz="8" w:color="auto"/>
            </w:tcBorders>
            <w:gridSpan w:val="3"/>
          </w:tcPr>
          <w:p>
            <w:pPr>
              <w:ind w:left="200"/>
              <w:spacing w:after="0" w:line="98" w:lineRule="exact"/>
              <w:rPr>
                <w:sz w:val="20"/>
                <w:szCs w:val="20"/>
                <w:color w:val="auto"/>
              </w:rPr>
            </w:pPr>
            <w:r>
              <w:rPr>
                <w:rFonts w:ascii="Arial" w:cs="Arial" w:eastAsia="Arial" w:hAnsi="Arial"/>
                <w:sz w:val="9"/>
                <w:szCs w:val="9"/>
                <w:b w:val="1"/>
                <w:bCs w:val="1"/>
                <w:color w:val="auto"/>
              </w:rPr>
              <w:t>Amount</w:t>
            </w: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9"/>
                <w:szCs w:val="9"/>
                <w:b w:val="1"/>
                <w:bCs w:val="1"/>
                <w:color w:val="auto"/>
              </w:rPr>
              <w:t>Percent</w:t>
            </w:r>
          </w:p>
        </w:tc>
        <w:tc>
          <w:tcPr>
            <w:tcW w:w="22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Offered</w:t>
            </w: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Option</w:t>
            </w:r>
          </w:p>
        </w:tc>
        <w:tc>
          <w:tcPr>
            <w:tcW w:w="820" w:type="dxa"/>
            <w:vAlign w:val="bottom"/>
            <w:tcBorders>
              <w:top w:val="single" w:sz="8" w:color="auto"/>
            </w:tcBorders>
            <w:gridSpan w:val="3"/>
          </w:tcPr>
          <w:p>
            <w:pPr>
              <w:ind w:left="140"/>
              <w:spacing w:after="0" w:line="98" w:lineRule="exact"/>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Percent</w:t>
            </w:r>
          </w:p>
        </w:tc>
        <w:tc>
          <w:tcPr>
            <w:tcW w:w="200" w:type="dxa"/>
            <w:vAlign w:val="bottom"/>
          </w:tcPr>
          <w:p>
            <w:pPr>
              <w:spacing w:after="0"/>
              <w:rPr>
                <w:sz w:val="8"/>
                <w:szCs w:val="8"/>
                <w:color w:val="auto"/>
              </w:rPr>
            </w:pPr>
          </w:p>
        </w:tc>
        <w:tc>
          <w:tcPr>
            <w:tcW w:w="820" w:type="dxa"/>
            <w:vAlign w:val="bottom"/>
            <w:tcBorders>
              <w:top w:val="single" w:sz="8" w:color="auto"/>
            </w:tcBorders>
            <w:gridSpan w:val="3"/>
          </w:tcPr>
          <w:p>
            <w:pPr>
              <w:ind w:left="120"/>
              <w:spacing w:after="0" w:line="98" w:lineRule="exact"/>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Percent</w:t>
            </w:r>
          </w:p>
        </w:tc>
        <w:tc>
          <w:tcPr>
            <w:tcW w:w="100" w:type="dxa"/>
            <w:vAlign w:val="bottom"/>
          </w:tcPr>
          <w:p>
            <w:pPr>
              <w:spacing w:after="0"/>
              <w:rPr>
                <w:sz w:val="8"/>
                <w:szCs w:val="8"/>
                <w:color w:val="auto"/>
              </w:rPr>
            </w:pPr>
          </w:p>
        </w:tc>
      </w:tr>
      <w:tr>
        <w:trPr>
          <w:trHeight w:val="29"/>
        </w:trPr>
        <w:tc>
          <w:tcPr>
            <w:tcW w:w="39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JP Morgan Core Plus Bond Fund (18)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86,856</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14,619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2,193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72,237</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70,044</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Japan Trustee Services Bank, Ltd. (19)</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27,413</w:t>
            </w:r>
          </w:p>
        </w:tc>
        <w:tc>
          <w:tcPr>
            <w:tcW w:w="2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4,614</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692</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22,799</w:t>
            </w:r>
          </w:p>
        </w:tc>
        <w:tc>
          <w:tcPr>
            <w:tcW w:w="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22,107</w:t>
            </w:r>
          </w:p>
        </w:tc>
        <w:tc>
          <w:tcPr>
            <w:tcW w:w="2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r>
        <w:trPr>
          <w:trHeight w:val="121"/>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Commingled Pension Trust Fund</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(High Yield Bond) of JPMorgan</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4"/>
        </w:trPr>
        <w:tc>
          <w:tcPr>
            <w:tcW w:w="39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Chase Bank, N.A. (20)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23,703</w:t>
            </w:r>
          </w:p>
        </w:tc>
        <w:tc>
          <w:tcPr>
            <w:tcW w:w="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3,989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598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19,714</w:t>
            </w:r>
          </w:p>
        </w:tc>
        <w:tc>
          <w:tcPr>
            <w:tcW w:w="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19,116</w:t>
            </w: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r>
      <w:tr>
        <w:trPr>
          <w:trHeight w:val="121"/>
        </w:trPr>
        <w:tc>
          <w:tcPr>
            <w:tcW w:w="3900" w:type="dxa"/>
            <w:vAlign w:val="bottom"/>
          </w:tcPr>
          <w:p>
            <w:pPr>
              <w:spacing w:after="0"/>
              <w:rPr>
                <w:sz w:val="20"/>
                <w:szCs w:val="20"/>
                <w:color w:val="auto"/>
              </w:rPr>
            </w:pPr>
            <w:r>
              <w:rPr>
                <w:rFonts w:ascii="Arial" w:cs="Arial" w:eastAsia="Arial" w:hAnsi="Arial"/>
                <w:sz w:val="10"/>
                <w:szCs w:val="10"/>
                <w:color w:val="auto"/>
              </w:rPr>
              <w:t>Deutsche Bank</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3900" w:type="dxa"/>
            <w:vAlign w:val="bottom"/>
          </w:tcPr>
          <w:p>
            <w:pPr>
              <w:ind w:left="120"/>
              <w:spacing w:after="0"/>
              <w:rPr>
                <w:sz w:val="20"/>
                <w:szCs w:val="20"/>
                <w:color w:val="auto"/>
              </w:rPr>
            </w:pPr>
            <w:r>
              <w:rPr>
                <w:rFonts w:ascii="Arial" w:cs="Arial" w:eastAsia="Arial" w:hAnsi="Arial"/>
                <w:sz w:val="10"/>
                <w:szCs w:val="10"/>
                <w:color w:val="auto"/>
              </w:rPr>
              <w:t>Securities Inc. † (21)</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660,272</w:t>
            </w:r>
          </w:p>
        </w:tc>
        <w:tc>
          <w:tcPr>
            <w:tcW w:w="2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1.7%</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18,270</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2,741</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642,002</w:t>
            </w:r>
          </w:p>
        </w:tc>
        <w:tc>
          <w:tcPr>
            <w:tcW w:w="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1.6%</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639,261</w:t>
            </w:r>
          </w:p>
        </w:tc>
        <w:tc>
          <w:tcPr>
            <w:tcW w:w="20" w:type="dxa"/>
            <w:vAlign w:val="bottom"/>
          </w:tcPr>
          <w:p>
            <w:pPr>
              <w:spacing w:after="0"/>
              <w:rPr>
                <w:sz w:val="9"/>
                <w:szCs w:val="9"/>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1.6%</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Carlyle Strategic Partners LP (22)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533,668</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89,822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13,473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443,846</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430,373</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w:t>
            </w: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Caspian Capital Partners LP (23)</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83,516</w:t>
            </w:r>
          </w:p>
        </w:tc>
        <w:tc>
          <w:tcPr>
            <w:tcW w:w="2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13,255</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1,988</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70,261</w:t>
            </w:r>
          </w:p>
        </w:tc>
        <w:tc>
          <w:tcPr>
            <w:tcW w:w="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68,273</w:t>
            </w:r>
          </w:p>
        </w:tc>
        <w:tc>
          <w:tcPr>
            <w:tcW w:w="2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Mariner LDC (24)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83,516</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13,255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1,988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70,261</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68,273</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r>
      <w:tr>
        <w:trPr>
          <w:trHeight w:val="118"/>
        </w:trPr>
        <w:tc>
          <w:tcPr>
            <w:tcW w:w="3900" w:type="dxa"/>
            <w:vAlign w:val="bottom"/>
          </w:tcPr>
          <w:p>
            <w:pPr>
              <w:spacing w:after="0"/>
              <w:rPr>
                <w:sz w:val="20"/>
                <w:szCs w:val="20"/>
                <w:color w:val="auto"/>
              </w:rPr>
            </w:pPr>
            <w:r>
              <w:rPr>
                <w:rFonts w:ascii="Arial" w:cs="Arial" w:eastAsia="Arial" w:hAnsi="Arial"/>
                <w:sz w:val="10"/>
                <w:szCs w:val="10"/>
                <w:color w:val="auto"/>
              </w:rPr>
              <w:t>Quattro Fund, Ltd (25)</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93,392</w:t>
            </w:r>
          </w:p>
        </w:tc>
        <w:tc>
          <w:tcPr>
            <w:tcW w:w="2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14,845</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2,227</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78,547</w:t>
            </w:r>
          </w:p>
        </w:tc>
        <w:tc>
          <w:tcPr>
            <w:tcW w:w="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76,320</w:t>
            </w:r>
          </w:p>
        </w:tc>
        <w:tc>
          <w:tcPr>
            <w:tcW w:w="2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r>
        <w:trPr>
          <w:trHeight w:val="118"/>
        </w:trPr>
        <w:tc>
          <w:tcPr>
            <w:tcW w:w="3900" w:type="dxa"/>
            <w:vAlign w:val="bottom"/>
            <w:shd w:val="clear" w:color="auto" w:fill="CCEEFF"/>
          </w:tcPr>
          <w:p>
            <w:pPr>
              <w:spacing w:after="0"/>
              <w:rPr>
                <w:sz w:val="20"/>
                <w:szCs w:val="20"/>
                <w:color w:val="auto"/>
              </w:rPr>
            </w:pPr>
            <w:r>
              <w:rPr>
                <w:rFonts w:ascii="Arial" w:cs="Arial" w:eastAsia="Arial" w:hAnsi="Arial"/>
                <w:sz w:val="10"/>
                <w:szCs w:val="10"/>
                <w:color w:val="auto"/>
              </w:rPr>
              <w:t>Quattro Distressed Opportunities Fund LP (26)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20,013</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3,182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478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16,831</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16,353</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r>
      <w:tr>
        <w:trPr>
          <w:trHeight w:val="128"/>
        </w:trPr>
        <w:tc>
          <w:tcPr>
            <w:tcW w:w="3900" w:type="dxa"/>
            <w:vAlign w:val="bottom"/>
          </w:tcPr>
          <w:p>
            <w:pPr>
              <w:spacing w:after="0"/>
              <w:rPr>
                <w:sz w:val="20"/>
                <w:szCs w:val="20"/>
                <w:color w:val="auto"/>
              </w:rPr>
            </w:pPr>
            <w:r>
              <w:rPr>
                <w:rFonts w:ascii="Arial" w:cs="Arial" w:eastAsia="Arial" w:hAnsi="Arial"/>
                <w:sz w:val="10"/>
                <w:szCs w:val="10"/>
                <w:color w:val="auto"/>
              </w:rPr>
              <w:t>Concise Capital Master Fund SPC (27)</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18,879</w:t>
            </w:r>
          </w:p>
        </w:tc>
        <w:tc>
          <w:tcPr>
            <w:tcW w:w="2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3,001</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451</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15,878</w:t>
            </w:r>
          </w:p>
        </w:tc>
        <w:tc>
          <w:tcPr>
            <w:tcW w:w="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15,427</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1080" w:hanging="176"/>
        <w:spacing w:after="0"/>
        <w:tabs>
          <w:tab w:leader="none" w:pos="10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37" w:lineRule="exact"/>
        <w:rPr>
          <w:sz w:val="20"/>
          <w:szCs w:val="20"/>
          <w:color w:val="auto"/>
        </w:rPr>
      </w:pPr>
    </w:p>
    <w:p>
      <w:pPr>
        <w:ind w:left="1080" w:right="100" w:hanging="198"/>
        <w:spacing w:after="0" w:line="248" w:lineRule="auto"/>
        <w:tabs>
          <w:tab w:leader="none" w:pos="10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selling stockholder is a wholly-owned subsidiary of Deutsche Bank AG and will be deemed an “underwriter” within the meaning of the Securities Act of 1933, as amended, with respect to its shares.</w:t>
      </w:r>
    </w:p>
    <w:p>
      <w:pPr>
        <w:spacing w:after="0" w:line="25" w:lineRule="exact"/>
        <w:rPr>
          <w:sz w:val="20"/>
          <w:szCs w:val="20"/>
          <w:color w:val="auto"/>
        </w:rPr>
      </w:pPr>
    </w:p>
    <w:p>
      <w:pPr>
        <w:ind w:left="1080" w:right="340" w:hanging="198"/>
        <w:spacing w:after="0" w:line="248" w:lineRule="auto"/>
        <w:tabs>
          <w:tab w:leader="none" w:pos="10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selling stockholder is an affiliate of a broker-dealer and has certified that it acquired the shares of common stock in the ordinary course of business, with no arrangement or understanding with any person to distribute such shares.</w:t>
      </w:r>
    </w:p>
    <w:p>
      <w:pPr>
        <w:spacing w:after="0" w:line="35" w:lineRule="exact"/>
        <w:rPr>
          <w:sz w:val="20"/>
          <w:szCs w:val="20"/>
          <w:color w:val="auto"/>
        </w:rPr>
      </w:pPr>
    </w:p>
    <w:p>
      <w:pPr>
        <w:ind w:left="1080" w:right="360" w:hanging="248"/>
        <w:spacing w:after="0" w:line="248" w:lineRule="auto"/>
        <w:tabs>
          <w:tab w:leader="none" w:pos="10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any outstanding shares of common stock held and, to the extent applicable, shares issuable upon the exercise or conversion of any securities that are exercisable or convertible within 60 days of April 30, 2010.</w:t>
      </w:r>
    </w:p>
    <w:p>
      <w:pPr>
        <w:spacing w:after="0" w:line="25" w:lineRule="exact"/>
        <w:rPr>
          <w:rFonts w:ascii="Arial" w:cs="Arial" w:eastAsia="Arial" w:hAnsi="Arial"/>
          <w:sz w:val="13"/>
          <w:szCs w:val="13"/>
          <w:color w:val="auto"/>
        </w:rPr>
      </w:pPr>
    </w:p>
    <w:p>
      <w:pPr>
        <w:ind w:left="1080" w:right="80" w:hanging="248"/>
        <w:spacing w:after="0" w:line="248" w:lineRule="auto"/>
        <w:tabs>
          <w:tab w:leader="none" w:pos="10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Affiliated with the Company as described in “Certain Relationships and Related Transactions.” As described in “Management,” three of our directors, Messrs. Elkins, Klein and Tan are employed by Avenue.</w:t>
      </w:r>
    </w:p>
    <w:p>
      <w:pPr>
        <w:spacing w:after="0" w:line="23" w:lineRule="exact"/>
        <w:rPr>
          <w:rFonts w:ascii="Arial" w:cs="Arial" w:eastAsia="Arial" w:hAnsi="Arial"/>
          <w:sz w:val="13"/>
          <w:szCs w:val="13"/>
          <w:color w:val="auto"/>
        </w:rPr>
      </w:pPr>
    </w:p>
    <w:p>
      <w:pPr>
        <w:ind w:left="1080" w:hanging="248"/>
        <w:spacing w:after="0"/>
        <w:tabs>
          <w:tab w:leader="none" w:pos="10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following entities and person are collectively referred to in this table as the “Avenue Capital Group”: (i) Avenue Investments, L.P. (“Avenue Investments”),</w:t>
      </w:r>
    </w:p>
    <w:p>
      <w:pPr>
        <w:ind w:left="1080" w:right="140" w:firstLine="10"/>
        <w:spacing w:after="0" w:line="236" w:lineRule="auto"/>
        <w:tabs>
          <w:tab w:leader="none" w:pos="1255"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Avenue International Master, L.P. (“Avenue International Master”), (iii) Avenue International, Ltd. (“Avenue International”), the sole limited partner of Avenue International Master, (iv) Avenue International Master GenPar, Ltd. (“Avenue International GenPar”), the general partner of Avenue International Master, (v) Avenue Partners, LLC (“Avenue Partners”), the general partner of Avenue Investments and the sole shareholder of Avenue International GenPar, (vi) Avenue-CDP Global Opportunities Fund, L.P. (“CDP Global”), (vii) Avenue Global Opportunities Fund GenPar, LLC (“CDP Global GenPar”), the general partner of CDP Global,</w:t>
      </w:r>
    </w:p>
    <w:p>
      <w:pPr>
        <w:spacing w:after="0" w:line="1" w:lineRule="exact"/>
        <w:rPr>
          <w:rFonts w:ascii="Arial" w:cs="Arial" w:eastAsia="Arial" w:hAnsi="Arial"/>
          <w:sz w:val="13"/>
          <w:szCs w:val="13"/>
          <w:color w:val="auto"/>
        </w:rPr>
      </w:pPr>
    </w:p>
    <w:p>
      <w:pPr>
        <w:ind w:left="1360" w:hanging="270"/>
        <w:spacing w:after="0" w:line="236" w:lineRule="auto"/>
        <w:tabs>
          <w:tab w:leader="none" w:pos="1360" w:val="left"/>
        </w:tabs>
        <w:numPr>
          <w:ilvl w:val="1"/>
          <w:numId w:val="103"/>
        </w:numPr>
        <w:rPr>
          <w:rFonts w:ascii="Arial" w:cs="Arial" w:eastAsia="Arial" w:hAnsi="Arial"/>
          <w:sz w:val="13"/>
          <w:szCs w:val="13"/>
          <w:color w:val="auto"/>
        </w:rPr>
      </w:pPr>
      <w:r>
        <w:rPr>
          <w:rFonts w:ascii="Arial" w:cs="Arial" w:eastAsia="Arial" w:hAnsi="Arial"/>
          <w:sz w:val="13"/>
          <w:szCs w:val="13"/>
          <w:color w:val="auto"/>
        </w:rPr>
        <w:t>Avenue Special Situations Fund IV, L.P. (“Avenue Fund IV”), (ix) Avenue Capital Partners IV, LLC (“Avenue Capital IV”), the general partner of Avenue Fund IV,</w:t>
      </w:r>
    </w:p>
    <w:p>
      <w:pPr>
        <w:ind w:left="1080" w:right="220" w:firstLine="10"/>
        <w:spacing w:after="0" w:line="236" w:lineRule="auto"/>
        <w:tabs>
          <w:tab w:leader="none" w:pos="1269" w:val="left"/>
        </w:tabs>
        <w:numPr>
          <w:ilvl w:val="1"/>
          <w:numId w:val="104"/>
        </w:numPr>
        <w:rPr>
          <w:rFonts w:ascii="Arial" w:cs="Arial" w:eastAsia="Arial" w:hAnsi="Arial"/>
          <w:sz w:val="13"/>
          <w:szCs w:val="13"/>
          <w:color w:val="auto"/>
        </w:rPr>
      </w:pPr>
      <w:r>
        <w:rPr>
          <w:rFonts w:ascii="Arial" w:cs="Arial" w:eastAsia="Arial" w:hAnsi="Arial"/>
          <w:sz w:val="13"/>
          <w:szCs w:val="13"/>
          <w:color w:val="auto"/>
        </w:rPr>
        <w:t>GL Partners IV, LLC (“GL IV”), the managing member of Avenue Capital IV, (xi) Avenue Special Situations Fund V, L.P. (“Avenue Fund V”), (xii) Avenue Capital Partners V, LLC (“Avenue Capital V”), the general partner of Avenue Fund V, (xiii) GL Partners V, LLC (“GL V”), the managing member of Avenue Capital V,</w:t>
      </w:r>
    </w:p>
    <w:p>
      <w:pPr>
        <w:ind w:left="1080" w:right="280" w:firstLine="10"/>
        <w:spacing w:after="0" w:line="248" w:lineRule="auto"/>
        <w:tabs>
          <w:tab w:leader="none" w:pos="1357" w:val="left"/>
        </w:tabs>
        <w:numPr>
          <w:ilvl w:val="1"/>
          <w:numId w:val="105"/>
        </w:numPr>
        <w:rPr>
          <w:rFonts w:ascii="Arial" w:cs="Arial" w:eastAsia="Arial" w:hAnsi="Arial"/>
          <w:sz w:val="13"/>
          <w:szCs w:val="13"/>
          <w:color w:val="auto"/>
        </w:rPr>
      </w:pPr>
      <w:r>
        <w:rPr>
          <w:rFonts w:ascii="Arial" w:cs="Arial" w:eastAsia="Arial" w:hAnsi="Arial"/>
          <w:sz w:val="13"/>
          <w:szCs w:val="13"/>
          <w:color w:val="auto"/>
        </w:rPr>
        <w:t>Avenue Capital Management II, L.P. (“Avenue Capital II”), the investment advisor to Avenue Investments, Avenue International Master, CDP Global, Avenue Fund IV and Avenue Fund V (collectively, the “Avenue Funds”),</w:t>
      </w:r>
    </w:p>
    <w:p>
      <w:pPr>
        <w:spacing w:after="0" w:line="11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080" w:right="60" w:firstLine="10"/>
        <w:spacing w:after="0" w:line="248" w:lineRule="auto"/>
        <w:tabs>
          <w:tab w:leader="none" w:pos="1327"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Avenue Capital Management II GenPar, LLC (“GenPar”), the general partner of Avenue Capital II, and (xvi) Marc Lasry, the managing member of GenPar, GL V, GL IV, CDP Global GenPar and Avenue Partners and a director of Avenue International GenPar.</w:t>
      </w:r>
    </w:p>
    <w:p>
      <w:pPr>
        <w:spacing w:after="0" w:line="25" w:lineRule="exact"/>
        <w:rPr>
          <w:sz w:val="20"/>
          <w:szCs w:val="20"/>
          <w:color w:val="auto"/>
        </w:rPr>
      </w:pPr>
    </w:p>
    <w:p>
      <w:pPr>
        <w:ind w:left="1080"/>
        <w:spacing w:after="0" w:line="248" w:lineRule="auto"/>
        <w:rPr>
          <w:sz w:val="20"/>
          <w:szCs w:val="20"/>
          <w:color w:val="auto"/>
        </w:rPr>
      </w:pPr>
      <w:r>
        <w:rPr>
          <w:rFonts w:ascii="Arial" w:cs="Arial" w:eastAsia="Arial" w:hAnsi="Arial"/>
          <w:sz w:val="13"/>
          <w:szCs w:val="13"/>
          <w:color w:val="auto"/>
        </w:rPr>
        <w:t>Prior to the offering, the Avenue Capital Group beneficially owns 27,365,928 shares of common stock, including 555,961 shares of common stock the Avenue Capital Group may receive through the exercise of outstanding warrants.</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Avenue Funds have the sole power to vote and dispose of the shares of common stock and warrants held by them. Avenue International, Avenue International GenPar, Avenue Partners, CDP Global GenPar, Avenue Capital IV, GL IV, Avenue Capital V, GL V, Avenue Capital II, GenPar and Marc Lasry have the shared power to vote and dispose of the shares of common stock and warrants held by the Avenue Funds, all of whom disclaim any beneficial ownership except to the extent of their respective pecuniary interest.</w:t>
      </w:r>
    </w:p>
    <w:p>
      <w:pPr>
        <w:spacing w:after="0" w:line="31" w:lineRule="exact"/>
        <w:rPr>
          <w:sz w:val="20"/>
          <w:szCs w:val="20"/>
          <w:color w:val="auto"/>
        </w:rPr>
      </w:pPr>
    </w:p>
    <w:p>
      <w:pPr>
        <w:ind w:left="1080" w:right="20" w:hanging="248"/>
        <w:spacing w:after="0" w:line="239" w:lineRule="auto"/>
        <w:tabs>
          <w:tab w:leader="none" w:pos="10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Avenue Fund V beneficially owns 11,117,266 shares of common stock, including 272,715 shares of common stock issuable upon the exercise of warrants held by Avenue Fund V. The securities owned by Avenue Fund V may also be deemed to be beneficially owned by Avenue Capital V, its general partner; GL V, the managing member of Avenue Capital V; Avenue Capital II, its investment adviser; GenPar, the general partner of Avenue Capital II; and Mr. Lasry, the managing member of GenPar and GL V; all of whom disclaim any beneficial ownership except to the extent of their respective pecuniary interest. For further information regarding Avenue Fund V, please see footnote (3).</w:t>
      </w:r>
    </w:p>
    <w:p>
      <w:pPr>
        <w:spacing w:after="0" w:line="32" w:lineRule="exact"/>
        <w:rPr>
          <w:rFonts w:ascii="Arial" w:cs="Arial" w:eastAsia="Arial" w:hAnsi="Arial"/>
          <w:sz w:val="13"/>
          <w:szCs w:val="13"/>
          <w:color w:val="auto"/>
        </w:rPr>
      </w:pPr>
    </w:p>
    <w:p>
      <w:pPr>
        <w:ind w:left="1080" w:right="60" w:hanging="248"/>
        <w:spacing w:after="0" w:line="239" w:lineRule="auto"/>
        <w:tabs>
          <w:tab w:leader="none" w:pos="10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Avenue Fund IV beneficially owns 8,807,283 shares of common stock, including 158,910 shares of common stock issuable upon the exercise of warrants held by Avenue Fund IV. The securities owned by Avenue Fund IV may also be deemed to be beneficially owned by Avenue Capital IV, its general partner; GL IV, the managing member of Avenue Capital IV; Avenue Capital II, its investment adviser; GenPar, the general partner of Avenue Capital II; and Mr. Lasry, the managing member of GenPar and GL IV; all of whom disclaim any beneficial ownership except to the extent of their respective pecuniary interest. For further information regarding Avenue Fund IV, please see footnote (3).</w:t>
      </w:r>
    </w:p>
    <w:p>
      <w:pPr>
        <w:spacing w:after="0" w:line="32" w:lineRule="exact"/>
        <w:rPr>
          <w:rFonts w:ascii="Arial" w:cs="Arial" w:eastAsia="Arial" w:hAnsi="Arial"/>
          <w:sz w:val="13"/>
          <w:szCs w:val="13"/>
          <w:color w:val="auto"/>
        </w:rPr>
      </w:pPr>
    </w:p>
    <w:p>
      <w:pPr>
        <w:ind w:left="1080" w:right="60" w:hanging="248"/>
        <w:spacing w:after="0" w:line="239" w:lineRule="auto"/>
        <w:tabs>
          <w:tab w:leader="none" w:pos="10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Avenue International Master beneficially owns 4,446,037 shares of common stock, including 70,448 shares of common stock issuable upon the exercise of warrants held by Avenue International Master. The securities owned by Avenue International Master may also be deemed to be beneficially owned by Avenue International, its sole limited partner; Avenue International GenPar, its general partner; Avenue Partners, the sole shareholder of Avenue International GenPar; Avenue Capital II, its investment adviser; GenPar, the general partner of Avenue Capital II; and Mr. Lasry, the managing member of GenPar and Avenue Partners and a director of Avenue International GenPar; all of whom disclaim any beneficial ownership except to the extent of their respective pecuniary interest. For further information regarding Avenue International Master, please see footnote (3).</w:t>
      </w:r>
    </w:p>
    <w:p>
      <w:pPr>
        <w:spacing w:after="0" w:line="30" w:lineRule="exact"/>
        <w:rPr>
          <w:rFonts w:ascii="Arial" w:cs="Arial" w:eastAsia="Arial" w:hAnsi="Arial"/>
          <w:sz w:val="13"/>
          <w:szCs w:val="13"/>
          <w:color w:val="auto"/>
        </w:rPr>
      </w:pPr>
    </w:p>
    <w:p>
      <w:pPr>
        <w:ind w:left="1080" w:right="360" w:hanging="248"/>
        <w:spacing w:after="0" w:line="239" w:lineRule="auto"/>
        <w:tabs>
          <w:tab w:leader="none" w:pos="10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CDP Global beneficially owns 1,513,085 shares of common stock, including 30,315 shares of common stock issuable upon the exercise of warrants held by CDP Global. The securities owned by CDP Global may also be deemed to be beneficially owned by CDP Global GenPar, its general partner; Avenue Capital II, its investment adviser; GenPar, the general partner of Avenue Capital II; and Mr. Lasry, the managing member of GenPar and CDP Global GenPar; all of whom disclaim any beneficial ownership except to the extent of their respective pecuniary interest. For further information regarding CDP Global, please see footnote (3).</w:t>
      </w:r>
    </w:p>
    <w:p>
      <w:pPr>
        <w:spacing w:after="0" w:line="32" w:lineRule="exact"/>
        <w:rPr>
          <w:rFonts w:ascii="Arial" w:cs="Arial" w:eastAsia="Arial" w:hAnsi="Arial"/>
          <w:sz w:val="13"/>
          <w:szCs w:val="13"/>
          <w:color w:val="auto"/>
        </w:rPr>
      </w:pPr>
    </w:p>
    <w:p>
      <w:pPr>
        <w:ind w:left="1080" w:right="20" w:hanging="248"/>
        <w:spacing w:after="0"/>
        <w:tabs>
          <w:tab w:leader="none" w:pos="10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Avenue Investments beneficially owns 1,482,257 shares of common stock, including 23,573 shares of common stock issuable upon the exercise of warrants held by Avenue Investments. The securities owned by Avenue Investments may also be deemed to be beneficially owned by Avenue Partners, its general partner; Avenue Capital II, its investment adviser; GenPar, the general partner of Avenue Capital II; and Mr. Lasry, the managing member of GenPar and Avenue Partners; all of whom disclaim any beneficial ownership except to the</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extent of their respective pecuniary interest. For further information regarding Avenue Investments, please see footnote (3).</w:t>
      </w:r>
    </w:p>
    <w:p>
      <w:pPr>
        <w:spacing w:after="0" w:line="37" w:lineRule="exact"/>
        <w:rPr>
          <w:sz w:val="20"/>
          <w:szCs w:val="20"/>
          <w:color w:val="auto"/>
        </w:rPr>
      </w:pPr>
    </w:p>
    <w:p>
      <w:pPr>
        <w:ind w:left="1080" w:right="80" w:hanging="248"/>
        <w:spacing w:after="0" w:line="239" w:lineRule="auto"/>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Southpaw Asset Management LP (“Southpaw Management”) may be deemed to beneficially own 2,944,405 shares of common stock as it serves as the discretionary investment manager or investment adviser for Southpaw Credit Opportunity Master Fund, L.P. (“Southpaw Master Fund”), Wilshire Institutional Master Fund SPC — Wilshire Southpaw Opportunity Segregated Portfolio (“Wilshire Opportunity Segregated Portfolio”) and GPC 76, LLC (“GPC 76,” and together with Southpaw Master Fund and Wilshire Opportunity Segregated Portfolio, the “Southpaw Client Accounts”). The common units deemed beneficially owned by Southpaw Management may be deemed beneficially owned by Southpaw Holdings LLC (“Southpaw Holdings”), which is the general partner of Southpaw Management, and by each of Kevin Wyman and Howard Golden, who are principals of Southpaw Holdings.</w:t>
      </w:r>
    </w:p>
    <w:p>
      <w:pPr>
        <w:spacing w:after="0" w:line="30" w:lineRule="exact"/>
        <w:rPr>
          <w:rFonts w:ascii="Arial" w:cs="Arial" w:eastAsia="Arial" w:hAnsi="Arial"/>
          <w:sz w:val="13"/>
          <w:szCs w:val="13"/>
          <w:color w:val="auto"/>
        </w:rPr>
      </w:pPr>
    </w:p>
    <w:p>
      <w:pPr>
        <w:ind w:left="1080" w:right="40"/>
        <w:spacing w:after="0" w:line="242" w:lineRule="auto"/>
        <w:rPr>
          <w:rFonts w:ascii="Arial" w:cs="Arial" w:eastAsia="Arial" w:hAnsi="Arial"/>
          <w:sz w:val="13"/>
          <w:szCs w:val="13"/>
          <w:color w:val="auto"/>
        </w:rPr>
      </w:pPr>
      <w:r>
        <w:rPr>
          <w:rFonts w:ascii="Arial" w:cs="Arial" w:eastAsia="Arial" w:hAnsi="Arial"/>
          <w:sz w:val="13"/>
          <w:szCs w:val="13"/>
          <w:color w:val="auto"/>
        </w:rPr>
        <w:t>For the avoidance of doubt, none of Southpaw Management, Southpaw Holdings, or Messrs. Wyman and Golden hold common units for their personal accounts, and each reports beneficial ownership of common units held by the Southpaw Client Accounts due solely to the fact that such persons have the ability to vote and/or dispose of the common units held by Southpaw Client Accounts.</w:t>
      </w:r>
    </w:p>
    <w:p>
      <w:pPr>
        <w:spacing w:after="0" w:line="29" w:lineRule="exact"/>
        <w:rPr>
          <w:rFonts w:ascii="Arial" w:cs="Arial" w:eastAsia="Arial" w:hAnsi="Arial"/>
          <w:sz w:val="13"/>
          <w:szCs w:val="13"/>
          <w:color w:val="auto"/>
        </w:rPr>
      </w:pPr>
    </w:p>
    <w:p>
      <w:pPr>
        <w:ind w:left="1080" w:right="240" w:hanging="321"/>
        <w:spacing w:after="0" w:line="239" w:lineRule="auto"/>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Southpaw Master Fund beneficially owns 2,860,659 shares of common stock. The securities owned by Southpaw Master Fund may also be deemed beneficially owned by Southpaw Management, in its capacity as the investment manager of Southpaw Master Fund, and Southpaw GP LLC (“Southpaw GP”), in its capacity as general partner of Southpaw Master Fund. The shares deemed beneficially owned by Southpaw Management may also be deemed beneficially owned by Southpaw Holdings, which is the general partner of Southpaw Management, and by each of Kevin Wyman and Howard Golden, who are principals of Southpaw Holdings and Southpaw GP, all of whom disclaim any beneficial ownership except to the extent of their respective pecuniary interest. For further information regarding Southpaw Management, please see footnote (10).</w:t>
      </w:r>
    </w:p>
    <w:p>
      <w:pPr>
        <w:spacing w:after="0" w:line="30" w:lineRule="exact"/>
        <w:rPr>
          <w:rFonts w:ascii="Arial" w:cs="Arial" w:eastAsia="Arial" w:hAnsi="Arial"/>
          <w:sz w:val="13"/>
          <w:szCs w:val="13"/>
          <w:color w:val="auto"/>
        </w:rPr>
      </w:pPr>
    </w:p>
    <w:p>
      <w:pPr>
        <w:ind w:left="1080" w:right="180" w:hanging="321"/>
        <w:spacing w:after="0" w:line="239" w:lineRule="auto"/>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Wilshire Opportunity Segregated Portfolio beneficially owns 72,379 shares of common stock. The securities owned by Wilshire Opportunity Segregated Portfolio may also be deemed beneficially owned by Southpaw Management, in its capacity as the investment adviser of Wilshire Opportunity Segregated Portfolio. The shares deemed beneficially owned by Southpaw Management may also be deemed beneficially owned by Southpaw Holdings, which is the general partner of Southpaw Management, and by each of Kevin Wyman and Howard Golden, who are principals of Southpaw Holdings, all of whom disclaim any beneficial ownership except to the extent of their respective pecuniary interest. For further information regarding Southpaw Management, please see footnote (10).</w:t>
      </w:r>
    </w:p>
    <w:p>
      <w:pPr>
        <w:spacing w:after="0" w:line="30" w:lineRule="exact"/>
        <w:rPr>
          <w:rFonts w:ascii="Arial" w:cs="Arial" w:eastAsia="Arial" w:hAnsi="Arial"/>
          <w:sz w:val="13"/>
          <w:szCs w:val="13"/>
          <w:color w:val="auto"/>
        </w:rPr>
      </w:pPr>
    </w:p>
    <w:p>
      <w:pPr>
        <w:ind w:left="1080" w:right="60" w:hanging="321"/>
        <w:spacing w:after="0" w:line="239" w:lineRule="auto"/>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GPC 76 beneficially owns 11,367 shares of common stock. The securities owned by GPC 76 may also be deemed beneficially owned by Southpaw Management, in its capacity as the investment adviser of GPC 76. The shares deemed beneficially owned by Southpaw Management may also be deemed beneficially owned by Southpaw Holdings, which is the general partner of Southpaw Management, and by each of Kevin Wyman and Howard Golden, who are principals of Southpaw Holdings, all of whom disclaim any beneficial ownership except to the extent of their respective pecuniary interest. For further information regarding Southpaw Management, please see footnote (10).</w:t>
      </w:r>
    </w:p>
    <w:p>
      <w:pPr>
        <w:spacing w:after="0" w:line="32" w:lineRule="exact"/>
        <w:rPr>
          <w:rFonts w:ascii="Arial" w:cs="Arial" w:eastAsia="Arial" w:hAnsi="Arial"/>
          <w:sz w:val="13"/>
          <w:szCs w:val="13"/>
          <w:color w:val="auto"/>
        </w:rPr>
      </w:pPr>
    </w:p>
    <w:p>
      <w:pPr>
        <w:ind w:left="1080" w:hanging="321"/>
        <w:spacing w:after="0"/>
        <w:tabs>
          <w:tab w:leader="none" w:pos="10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Tennenbaum Multi-Strategy Fund SPV (Cayman) Ltd. (“Tennenbaum Cayman SPV”) beneficially owns 2,588,756 shares of common stock. Tennenbaum Capital Partners, LLC, as the investment manager of Tennenbaum Cayman SPV, and Eric Pagel, as a director of Tennenbaum Cayman SPV, may each be deemed to be the beneficial owner of the common units held by Tennenbaum Cayman SPV. Tennenbaum Capital Partners, LLC and Mr. Pagel disclaim beneficial ownership of these common units, except to the extent of their pecuniary interest therein.</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hanging="321"/>
        <w:spacing w:after="0" w:line="238" w:lineRule="auto"/>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O’Connor Capital Structure Opportunity Master Limited beneficially owns 1,591,791 shares of common stock. UBS O’Connor LLC is the investment manager for O’Connor Capital Structure Opportunity Master Limited and, as such, has the ability to direct decisions made by O’Connor Capital Structure Opportunity Master Limited. UBS O’Connor LLC is a wholly owned subsidiary of UBS AG, a publicly held entity traded on the New York Stock Exchange. UBS O’Connor LLC and UBS AG both disclaim any beneficial ownership, except to the extent of their respective pecuniary interest, if any. Both the selling stockholder and UBS O’Connor LLC are associated with the following FINRA members: UBS Financial Services Inc., UBS Financial Services Incorporated of Puerto Rico, UBS Fund Services (USA) LLC, UBS Global Asset Management (US) Inc. and UBS Securities LLC. The selling stockholder, UBS O’Connor LLC and UBS AG are also affiliated with UBS Securities LLC, a registered broker-dealer, and an underwriter in this offering.</w:t>
      </w:r>
    </w:p>
    <w:p>
      <w:pPr>
        <w:spacing w:after="0" w:line="43" w:lineRule="exact"/>
        <w:rPr>
          <w:rFonts w:ascii="Arial" w:cs="Arial" w:eastAsia="Arial" w:hAnsi="Arial"/>
          <w:sz w:val="13"/>
          <w:szCs w:val="13"/>
          <w:color w:val="auto"/>
        </w:rPr>
      </w:pPr>
    </w:p>
    <w:p>
      <w:pPr>
        <w:ind w:left="1080" w:right="320" w:hanging="321"/>
        <w:spacing w:after="0"/>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JP Morgan High Yield Fund beneficially owns 418,073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0" w:lineRule="exact"/>
        <w:rPr>
          <w:rFonts w:ascii="Arial" w:cs="Arial" w:eastAsia="Arial" w:hAnsi="Arial"/>
          <w:sz w:val="13"/>
          <w:szCs w:val="13"/>
          <w:color w:val="auto"/>
        </w:rPr>
      </w:pPr>
    </w:p>
    <w:p>
      <w:pPr>
        <w:ind w:left="1080" w:right="60" w:hanging="321"/>
        <w:spacing w:after="0"/>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Principal Funds Inc. — High Yield Fund I beneficially owns 133,522 shares of common stock.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0" w:lineRule="exact"/>
        <w:rPr>
          <w:rFonts w:ascii="Arial" w:cs="Arial" w:eastAsia="Arial" w:hAnsi="Arial"/>
          <w:sz w:val="13"/>
          <w:szCs w:val="13"/>
          <w:color w:val="auto"/>
        </w:rPr>
      </w:pPr>
    </w:p>
    <w:p>
      <w:pPr>
        <w:ind w:left="1080" w:right="60" w:hanging="321"/>
        <w:spacing w:after="0"/>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Pacholder High Yield Fund, Inc beneficially owns 99,140 shares of common stock.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0" w:lineRule="exact"/>
        <w:rPr>
          <w:rFonts w:ascii="Arial" w:cs="Arial" w:eastAsia="Arial" w:hAnsi="Arial"/>
          <w:sz w:val="13"/>
          <w:szCs w:val="13"/>
          <w:color w:val="auto"/>
        </w:rPr>
      </w:pPr>
    </w:p>
    <w:p>
      <w:pPr>
        <w:ind w:left="1080" w:right="60" w:hanging="321"/>
        <w:spacing w:after="0"/>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JP Morgan Core Plus Bond Fund beneficially owns 86,856 shares of common stock.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0" w:lineRule="exact"/>
        <w:rPr>
          <w:rFonts w:ascii="Arial" w:cs="Arial" w:eastAsia="Arial" w:hAnsi="Arial"/>
          <w:sz w:val="13"/>
          <w:szCs w:val="13"/>
          <w:color w:val="auto"/>
        </w:rPr>
      </w:pPr>
    </w:p>
    <w:p>
      <w:pPr>
        <w:ind w:left="1080" w:right="60" w:hanging="321"/>
        <w:spacing w:after="0"/>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Japan Trustee Services Bank, Ltd.. beneficially owns 27,413 shares of common stock.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0" w:lineRule="exact"/>
        <w:rPr>
          <w:rFonts w:ascii="Arial" w:cs="Arial" w:eastAsia="Arial" w:hAnsi="Arial"/>
          <w:sz w:val="13"/>
          <w:szCs w:val="13"/>
          <w:color w:val="auto"/>
        </w:rPr>
      </w:pPr>
    </w:p>
    <w:p>
      <w:pPr>
        <w:ind w:left="1080" w:hanging="321"/>
        <w:spacing w:after="0"/>
        <w:tabs>
          <w:tab w:leader="none" w:pos="10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Commingled Pension Trust Fund (High Yield Bond) of JPMorgan Chase Bank, N.A. beneficially owns 23,703 shares of common stock.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hanging="321"/>
        <w:spacing w:after="0" w:line="242" w:lineRule="auto"/>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Deutsche Bank Securities Inc. beneficially owns 660,272 shares of common stock, including 551,720 shares of common stock issuable upon the exercise of warrants held by it. Deutsche Bank Securities Inc. is an indirect wholly-owned subsidiary of Deutsche Bank AG, a publicly held entity. Deutsche Bank Securities Inc. is an underwriter in this offering.</w:t>
      </w:r>
    </w:p>
    <w:p>
      <w:pPr>
        <w:spacing w:after="0" w:line="39" w:lineRule="exact"/>
        <w:rPr>
          <w:rFonts w:ascii="Arial" w:cs="Arial" w:eastAsia="Arial" w:hAnsi="Arial"/>
          <w:sz w:val="13"/>
          <w:szCs w:val="13"/>
          <w:color w:val="auto"/>
        </w:rPr>
      </w:pPr>
    </w:p>
    <w:p>
      <w:pPr>
        <w:ind w:left="1080" w:hanging="321"/>
        <w:spacing w:after="0" w:line="239" w:lineRule="auto"/>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Carlyle Strategic Partners, L.P. beneficially owns 533,668 shares of common stock. Carlyle Strategic Partners, L.P. is controlled by its general partner, CSP General Partner, L.P., a Delaware limited liability company (“CSP General Partner”). All decisions pertaining to investments held by Carlyle Strategic Partners, L.P. are made through CSP General Partner’s investment committee comprising the following individuals: William E. Conway, Jr., Mitch Petrick, James Hance, Raymond Whiteman and Brett Wyard. In addition, Carlyle Investment Management L.L.C. serves as the investment advisor to Carlyle Strategic Partners, L.P. Carlyle Investment Management L.L.C. is registered with the Securities and Exchange Commission as an investment advisor under the Investment Advisers Act of 1940, as amended.</w:t>
      </w:r>
    </w:p>
    <w:p>
      <w:pPr>
        <w:spacing w:after="0" w:line="40" w:lineRule="exact"/>
        <w:rPr>
          <w:rFonts w:ascii="Arial" w:cs="Arial" w:eastAsia="Arial" w:hAnsi="Arial"/>
          <w:sz w:val="13"/>
          <w:szCs w:val="13"/>
          <w:color w:val="auto"/>
        </w:rPr>
      </w:pPr>
    </w:p>
    <w:p>
      <w:pPr>
        <w:ind w:left="1080" w:right="180" w:hanging="321"/>
        <w:spacing w:after="0" w:line="236" w:lineRule="auto"/>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Caspian Capital Partners LP beneficially owns 83,516 shares of common stock. Mariner Investment Group, LLC (“Mariner”), an investment adviser registered under Section 203 of the Investment Advisers Act of 1940, furnishes investment advice to several pooled investment vehicles exempt from the Investment Company Act of 1940, and serves as investment manager to certain other separate accounts. In its role as investment adviser, Mariner, and William J. Michaelcheck, as chairman of Mariner, possess voting and/or investment power over the securities that are owned by the selling stockholder. Mariner and</w:t>
      </w:r>
    </w:p>
    <w:p>
      <w:pPr>
        <w:spacing w:after="0" w:line="1"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Mr. Michaelcheck disclaim beneficial ownership of these shares of common stock, except to the extent of their pecuniary interest therein.</w:t>
      </w:r>
    </w:p>
    <w:p>
      <w:pPr>
        <w:spacing w:after="0" w:line="47" w:lineRule="exact"/>
        <w:rPr>
          <w:rFonts w:ascii="Arial" w:cs="Arial" w:eastAsia="Arial" w:hAnsi="Arial"/>
          <w:sz w:val="13"/>
          <w:szCs w:val="13"/>
          <w:color w:val="auto"/>
        </w:rPr>
      </w:pPr>
    </w:p>
    <w:p>
      <w:pPr>
        <w:ind w:left="1080" w:right="40" w:hanging="321"/>
        <w:spacing w:after="0" w:line="239" w:lineRule="auto"/>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Mariner LDC beneficially owns 83,516 shares of common stock. Mariner Investment Group, LLC (“Mariner”), an investment adviser registered under Section 203 of the Investment Advisers Act of 1940, furnishes investment advice to several pooled investment vehicles exempt from the Investment Company Act of 1940, and serves as investment manager to certain other separate accounts. In its role as investment adviser, Mariner, and William J. Michaelcheck, as chairman of Mariner, possess voting and/or investment power over the securities that are owned by the selling stockholder. Mariner and Mr. Michaelcheck disclaim beneficial ownership of these shares of common stock, except to the extent of their pecuniary interest therein.</w:t>
      </w:r>
    </w:p>
    <w:p>
      <w:pPr>
        <w:spacing w:after="0" w:line="41" w:lineRule="exact"/>
        <w:rPr>
          <w:rFonts w:ascii="Arial" w:cs="Arial" w:eastAsia="Arial" w:hAnsi="Arial"/>
          <w:sz w:val="13"/>
          <w:szCs w:val="13"/>
          <w:color w:val="auto"/>
        </w:rPr>
      </w:pPr>
    </w:p>
    <w:p>
      <w:pPr>
        <w:ind w:left="1080" w:right="20" w:hanging="321"/>
        <w:spacing w:after="0" w:line="242" w:lineRule="auto"/>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Quattro Fund, Ltd. beneficially owns 93,392 shares of common stock. Andrew Kaplan, Brian Swain and Louis Napoli, as the managing members of Quattro Global Capital, LLC, the investment adviser to the selling stockholder, have voting and investment control over these securities. Quattro Global Capital, LLC and Messrs. Kaplan, Swain and Napoli all disclaim any beneficial ownership, except to the extent of their respective pecuniary interest.</w:t>
      </w:r>
    </w:p>
    <w:p>
      <w:pPr>
        <w:spacing w:after="0" w:line="39" w:lineRule="exact"/>
        <w:rPr>
          <w:rFonts w:ascii="Arial" w:cs="Arial" w:eastAsia="Arial" w:hAnsi="Arial"/>
          <w:sz w:val="13"/>
          <w:szCs w:val="13"/>
          <w:color w:val="auto"/>
        </w:rPr>
      </w:pPr>
    </w:p>
    <w:p>
      <w:pPr>
        <w:ind w:left="1080" w:right="20" w:hanging="321"/>
        <w:spacing w:after="0"/>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Quattro Distressed Opportunities Fund LP beneficially owns 20,013 shares of common stock. Andrew Kaplan, Brian Swain and Louis Napoli, as the managing members of Quattro Global Capital, LLC, the investment adviser to the selling stockholder, have voting and investment control over these securities. Quattro Global Capital, LLC and Messrs. Kaplan, Swain and Napoli all disclaim any beneficial ownership over the securities held by the selling stockholder, except to the extent of their respective pecuniary interest.</w:t>
      </w:r>
    </w:p>
    <w:p>
      <w:pPr>
        <w:spacing w:after="0" w:line="40" w:lineRule="exact"/>
        <w:rPr>
          <w:rFonts w:ascii="Arial" w:cs="Arial" w:eastAsia="Arial" w:hAnsi="Arial"/>
          <w:sz w:val="13"/>
          <w:szCs w:val="13"/>
          <w:color w:val="auto"/>
        </w:rPr>
      </w:pPr>
    </w:p>
    <w:p>
      <w:pPr>
        <w:ind w:left="1080" w:right="200" w:hanging="321"/>
        <w:spacing w:after="0"/>
        <w:tabs>
          <w:tab w:leader="none" w:pos="10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Concise Capital Master Fund SPC beneficially owns 18,879 shares of common stock. Thomas P. Krasner, the portfolio manager of the selling stockholder, and Concise Capital Management, L.P., a registered investment advisor and the manager of the selling stockholder, exercise on behalf of the selling stockholder voting and dispositive power with respect to the shares of common stock registered hereby for the account of the selling stockholder. Mr. Krasner and Concise Capital Management, L.P., each disclaim beneficial ownership of these common units, except to the extent of their respective pecuniary interest therein.</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680" w:right="20" w:firstLine="499"/>
        <w:spacing w:after="0" w:line="223" w:lineRule="auto"/>
        <w:rPr>
          <w:sz w:val="20"/>
          <w:szCs w:val="20"/>
          <w:color w:val="auto"/>
        </w:rPr>
      </w:pPr>
      <w:r>
        <w:rPr>
          <w:rFonts w:ascii="Arial" w:cs="Arial" w:eastAsia="Arial" w:hAnsi="Arial"/>
          <w:sz w:val="13"/>
          <w:szCs w:val="13"/>
          <w:color w:val="auto"/>
        </w:rPr>
        <w:t>Each of the selling stockholders will acquire the shares of common stock to be sold by such stockholders in this offering pursuant to the conversion of common units of MagnaChip Semiconductor LLC into common shares of MagnaChip Semiconductor Corporation pursuant to the corporate conversion, which will occur prior to the effectiveness of the registration statement of which this prospectus is a part. Such selling stockholders acquired such common units under our plan of reorganization in November 2009. In accordance with our plan of reorganization, in exchange for the claims, (i) holders of our Floating Rate Second Priority Senior Secured Notes due 2011, or the Floating Rate Notes, and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due 2011, or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received their pro rata share of newly issued common units equal to five percent of the then outstanding common units, which was equal to 29.667627 common units (approximately 3.7 shares of common stock following the corporate conversion) per $1,000 principal amount of Floating Rate Notes and 30.498559 common units (approximately 3.8 shares of common stock following the corporate conversion) per $1,000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(ii) the holders of our 8% Senior Subordinated Notes due 2014, or the Subordinated Notes, received their pro rata share of (a) newly issued common units equal to one percent of the then outstanding common units, which was equal to 12 common units (approximately 1.5 shares of common stock following the corporate conversion) per $1,000 principal amount of Subordinated Notes and (b) warrants to purchase five percent of MagnaChip Semiconductor LLC’s then outstanding equity, which was equal to 60 warrants (approximately 7.5 warrants following the corporate conversion) per $1,000 principal amount of Subordinated Notes.</w:t>
      </w:r>
    </w:p>
    <w:p>
      <w:pPr>
        <w:spacing w:after="0" w:line="80" w:lineRule="exact"/>
        <w:rPr>
          <w:sz w:val="20"/>
          <w:szCs w:val="20"/>
          <w:color w:val="auto"/>
        </w:rPr>
      </w:pPr>
    </w:p>
    <w:p>
      <w:pPr>
        <w:ind w:left="680" w:firstLine="499"/>
        <w:spacing w:after="0" w:line="224" w:lineRule="auto"/>
        <w:rPr>
          <w:sz w:val="20"/>
          <w:szCs w:val="20"/>
          <w:color w:val="auto"/>
        </w:rPr>
      </w:pPr>
      <w:r>
        <w:rPr>
          <w:rFonts w:ascii="Arial" w:cs="Arial" w:eastAsia="Arial" w:hAnsi="Arial"/>
          <w:sz w:val="13"/>
          <w:szCs w:val="13"/>
          <w:color w:val="auto"/>
        </w:rPr>
        <w:t>In addition, under our plan of reorganization, holders of the Floating Rate Notes and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who were accredited investors received a pro-rata right to participate in an offering of up to $35 million in new common units, which we refer to as the rights offering, which was equal to 84% of the outstanding common units following the completion of the rights offering at a price per common unit of $0.14 or $1.12 per share after reflecting the corporate conversion. Subject to certain conditions, Avenue agreed to purchase any unsubscribed common units. In consideration of this obligation, Avenue received a backstop fee equal to 10% of the then outstanding common units, or 3,750,000 shares of common stock. No additional cash consideration was paid by Avenue for the 3,750,000 shares received as a backstop fee. In addition, Avenue acquired 176,131,368 common units, or 22,016,423 shares of common stock after reflecting the corporate conversion, in the rights offering at a price per common unit of $0.14 or $1.12 per share of common stock. Avenue also received 4,260,449 common units, or 532,557 shares of common stock after reflecting the corporate conversion, in exchange for the release of their claims on the Floating Rate Notes, 3,198,353 common units, or 399,795 shares of common stock after reflecting the corporate conversion, in exchange for the release of their claims on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889,536 common units, or 111,192 shares of common stock after reflecting the corporate conversion, in exchange for the release of their claims on the Subordinated Notes. Tennenbaum Multi-Strategy Fund SPV (Cayman) Ltd., or Tennenbaum, acquired 19,540,080 common units, or 2,442,510 shares of common stock after reflecting the corporate conversion, in the rights offering at a price per common unit of $0.14 or $1.12 per share of common stock and received 445,014 common units, or 55,627 shares of common stock after reflecting the corporate conversion, in exchange for the release of its claims on the Floating Rate Notes and 724,951 common units, or 90,619 shares of common stock after reflecting the corporate conversion, in exchange for the release of its claims on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Southpaw Credit Opportunity Master Fund LP acquired 21,613,032 common units, or 2,701,629 shares of common stock after reflecting the corporate conversion, in the rights offering at a price per common unit of $ 0.14 or $1.12 per share of common stock and received 1,272,237 common units, or 159,030 shares of common stock after reflecting the corporate conversion, in exchange for the release of their claims on the Floating Rate Notes. Wilshire Institutional Master Fund SPC — Wilshire Southpaw Opportunity Segregated Portfolio acquired 546,840 common units, or 68,355 shares of common stock after reflecting the corporate conversion, in the rights offering at a price per common unit of $ 0.14 or $1.12 per share of common stock and 32,189 common units, or 4,024 shares of common stock after reflecting the corporate conversion, in exchange for the release of their claims on the Floating Rate Notes. GPC 76, LLC received 90,931 common units, or 11,367 shares of common stock after</w:t>
      </w:r>
    </w:p>
    <w:p>
      <w:pPr>
        <w:spacing w:after="0" w:line="28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reflecting the corporate conversion, in exchange for the release of their claims on the Floating Rate Notes.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information regarding the beneficial ownership of our outstanding common stock after giving effect to the corporate conversion by:</w:t>
      </w:r>
    </w:p>
    <w:p>
      <w:pPr>
        <w:ind w:left="680" w:right="40" w:firstLine="7"/>
        <w:spacing w:after="0" w:line="242" w:lineRule="auto"/>
        <w:tabs>
          <w:tab w:leader="none" w:pos="87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each person or entity known to us to beneficially own more than 5% of any class of our outstanding securities; (2) each member of our board of directors; (3) each of our named executive officers; and (4) all of the members of our board of directors and executive officers, as a group. As of April 30, 2010, our outstanding securities consisted of 38,404,294 shares of common stock, options to purchase 1,995,375 shares of common stock and warrants to purchase 1,875,015 shares of common stock.</w:t>
      </w:r>
    </w:p>
    <w:p>
      <w:pPr>
        <w:spacing w:after="0" w:line="79"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80"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900" w:type="dxa"/>
            <w:vAlign w:val="bottom"/>
          </w:tcPr>
          <w:p>
            <w:pPr>
              <w:jc w:val="center"/>
              <w:ind w:left="654"/>
              <w:spacing w:after="0"/>
              <w:rPr>
                <w:sz w:val="20"/>
                <w:szCs w:val="20"/>
                <w:color w:val="auto"/>
              </w:rPr>
            </w:pPr>
            <w:r>
              <w:rPr>
                <w:rFonts w:ascii="Arial" w:cs="Arial" w:eastAsia="Arial" w:hAnsi="Arial"/>
                <w:sz w:val="13"/>
                <w:szCs w:val="13"/>
                <w:b w:val="1"/>
                <w:bCs w:val="1"/>
                <w:color w:val="auto"/>
              </w:rPr>
              <w:t>Amount and</w:t>
            </w:r>
          </w:p>
        </w:tc>
        <w:tc>
          <w:tcPr>
            <w:tcW w:w="1100" w:type="dxa"/>
            <w:vAlign w:val="bottom"/>
          </w:tcPr>
          <w:p>
            <w:pPr>
              <w:spacing w:after="0"/>
              <w:rPr>
                <w:sz w:val="13"/>
                <w:szCs w:val="13"/>
                <w:color w:val="auto"/>
              </w:rPr>
            </w:pPr>
          </w:p>
        </w:tc>
      </w:tr>
      <w:tr>
        <w:trPr>
          <w:trHeight w:val="147"/>
        </w:trPr>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900" w:type="dxa"/>
            <w:vAlign w:val="bottom"/>
          </w:tcPr>
          <w:p>
            <w:pPr>
              <w:jc w:val="center"/>
              <w:ind w:left="654"/>
              <w:spacing w:after="0" w:line="148" w:lineRule="exact"/>
              <w:rPr>
                <w:sz w:val="20"/>
                <w:szCs w:val="20"/>
                <w:color w:val="auto"/>
              </w:rPr>
            </w:pPr>
            <w:r>
              <w:rPr>
                <w:rFonts w:ascii="Arial" w:cs="Arial" w:eastAsia="Arial" w:hAnsi="Arial"/>
                <w:sz w:val="13"/>
                <w:szCs w:val="13"/>
                <w:b w:val="1"/>
                <w:bCs w:val="1"/>
                <w:color w:val="auto"/>
              </w:rPr>
              <w:t>Nature of</w:t>
            </w:r>
          </w:p>
        </w:tc>
        <w:tc>
          <w:tcPr>
            <w:tcW w:w="1100" w:type="dxa"/>
            <w:vAlign w:val="bottom"/>
          </w:tcPr>
          <w:p>
            <w:pPr>
              <w:spacing w:after="0"/>
              <w:rPr>
                <w:sz w:val="12"/>
                <w:szCs w:val="12"/>
                <w:color w:val="auto"/>
              </w:rPr>
            </w:pPr>
          </w:p>
        </w:tc>
      </w:tr>
      <w:tr>
        <w:trPr>
          <w:trHeight w:val="147"/>
        </w:trPr>
        <w:tc>
          <w:tcPr>
            <w:tcW w:w="5980" w:type="dxa"/>
            <w:vAlign w:val="bottom"/>
            <w:gridSpan w:val="3"/>
          </w:tcPr>
          <w:p>
            <w:pPr>
              <w:ind w:left="2760"/>
              <w:spacing w:after="0" w:line="148" w:lineRule="exact"/>
              <w:rPr>
                <w:sz w:val="20"/>
                <w:szCs w:val="20"/>
                <w:color w:val="auto"/>
              </w:rPr>
            </w:pPr>
            <w:r>
              <w:rPr>
                <w:rFonts w:ascii="Arial" w:cs="Arial" w:eastAsia="Arial" w:hAnsi="Arial"/>
                <w:sz w:val="13"/>
                <w:szCs w:val="13"/>
                <w:b w:val="1"/>
                <w:bCs w:val="1"/>
                <w:color w:val="auto"/>
              </w:rPr>
              <w:t>Name and Address</w:t>
            </w:r>
          </w:p>
        </w:tc>
        <w:tc>
          <w:tcPr>
            <w:tcW w:w="2900" w:type="dxa"/>
            <w:vAlign w:val="bottom"/>
          </w:tcPr>
          <w:p>
            <w:pPr>
              <w:jc w:val="center"/>
              <w:ind w:left="654"/>
              <w:spacing w:after="0" w:line="148" w:lineRule="exact"/>
              <w:rPr>
                <w:sz w:val="20"/>
                <w:szCs w:val="20"/>
                <w:color w:val="auto"/>
              </w:rPr>
            </w:pPr>
            <w:r>
              <w:rPr>
                <w:rFonts w:ascii="Arial" w:cs="Arial" w:eastAsia="Arial" w:hAnsi="Arial"/>
                <w:sz w:val="13"/>
                <w:szCs w:val="13"/>
                <w:b w:val="1"/>
                <w:bCs w:val="1"/>
                <w:color w:val="auto"/>
              </w:rPr>
              <w:t>Beneficial</w:t>
            </w:r>
          </w:p>
        </w:tc>
        <w:tc>
          <w:tcPr>
            <w:tcW w:w="1100" w:type="dxa"/>
            <w:vAlign w:val="bottom"/>
          </w:tcPr>
          <w:p>
            <w:pPr>
              <w:jc w:val="right"/>
              <w:ind w:right="114"/>
              <w:spacing w:after="0" w:line="148" w:lineRule="exact"/>
              <w:rPr>
                <w:sz w:val="20"/>
                <w:szCs w:val="20"/>
                <w:color w:val="auto"/>
              </w:rPr>
            </w:pPr>
            <w:r>
              <w:rPr>
                <w:rFonts w:ascii="Arial" w:cs="Arial" w:eastAsia="Arial" w:hAnsi="Arial"/>
                <w:sz w:val="13"/>
                <w:szCs w:val="13"/>
                <w:b w:val="1"/>
                <w:bCs w:val="1"/>
                <w:color w:val="auto"/>
              </w:rPr>
              <w:t>Percent of</w:t>
            </w:r>
          </w:p>
        </w:tc>
      </w:tr>
      <w:tr>
        <w:trPr>
          <w:trHeight w:val="173"/>
        </w:trPr>
        <w:tc>
          <w:tcPr>
            <w:tcW w:w="332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of Beneficial Owner</w:t>
            </w:r>
          </w:p>
        </w:tc>
        <w:tc>
          <w:tcPr>
            <w:tcW w:w="2900" w:type="dxa"/>
            <w:vAlign w:val="bottom"/>
          </w:tcPr>
          <w:p>
            <w:pPr>
              <w:jc w:val="right"/>
              <w:ind w:right="194"/>
              <w:spacing w:after="0"/>
              <w:rPr>
                <w:sz w:val="20"/>
                <w:szCs w:val="20"/>
                <w:color w:val="auto"/>
              </w:rPr>
            </w:pPr>
            <w:r>
              <w:rPr>
                <w:rFonts w:ascii="Arial" w:cs="Arial" w:eastAsia="Arial" w:hAnsi="Arial"/>
                <w:sz w:val="13"/>
                <w:szCs w:val="13"/>
                <w:b w:val="1"/>
                <w:bCs w:val="1"/>
                <w:color w:val="auto"/>
              </w:rPr>
              <w:t>Ownership(1)</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Class(1)</w:t>
            </w:r>
          </w:p>
        </w:tc>
      </w:tr>
      <w:tr>
        <w:trPr>
          <w:trHeight w:val="30"/>
        </w:trPr>
        <w:tc>
          <w:tcPr>
            <w:tcW w:w="33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Principal Stockholders</w:t>
            </w:r>
          </w:p>
        </w:tc>
        <w:tc>
          <w:tcPr>
            <w:tcW w:w="2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Funds managed by Avenue Capital Management II, L.P(2)</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27,365,928</w:t>
            </w:r>
          </w:p>
        </w:tc>
        <w:tc>
          <w:tcPr>
            <w:tcW w:w="110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70.2%</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Funds and accounts managed by Southpaw Asset Management LP(3)</w:t>
            </w:r>
          </w:p>
        </w:tc>
        <w:tc>
          <w:tcPr>
            <w:tcW w:w="29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2,944,405</w:t>
            </w:r>
          </w:p>
        </w:tc>
        <w:tc>
          <w:tcPr>
            <w:tcW w:w="110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7.7%</w:t>
            </w: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Tennenbaum Multi-Strategy Fund SPV (Cayman) Ltd.(4)</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2,588,756</w:t>
            </w:r>
          </w:p>
        </w:tc>
        <w:tc>
          <w:tcPr>
            <w:tcW w:w="110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6.7%</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Directors and Executive Officers</w:t>
            </w:r>
          </w:p>
        </w:tc>
        <w:tc>
          <w:tcPr>
            <w:tcW w:w="2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Sang Park(5)</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280,000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Tae Young Hwang(6)</w:t>
            </w:r>
          </w:p>
        </w:tc>
        <w:tc>
          <w:tcPr>
            <w:tcW w:w="29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105,000</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Brent Rowe(7)</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70,000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Margaret Sakai(8)</w:t>
            </w:r>
          </w:p>
        </w:tc>
        <w:tc>
          <w:tcPr>
            <w:tcW w:w="29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42,000</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John McFarland(9)</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42,000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Michael Elkins(10)</w:t>
            </w:r>
          </w:p>
        </w:tc>
        <w:tc>
          <w:tcPr>
            <w:tcW w:w="29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Randal Klein(10)</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Steven Tan(10)</w:t>
            </w:r>
          </w:p>
        </w:tc>
        <w:tc>
          <w:tcPr>
            <w:tcW w:w="29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Nader Tavakoli(11)</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18,750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 Douglas Norby</w:t>
            </w:r>
          </w:p>
        </w:tc>
        <w:tc>
          <w:tcPr>
            <w:tcW w:w="29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tcPr>
          <w:p>
            <w:pPr>
              <w:spacing w:after="0" w:line="148" w:lineRule="exact"/>
              <w:rPr>
                <w:sz w:val="20"/>
                <w:szCs w:val="20"/>
                <w:color w:val="auto"/>
              </w:rPr>
            </w:pPr>
            <w:r>
              <w:rPr>
                <w:rFonts w:ascii="Arial" w:cs="Arial" w:eastAsia="Arial" w:hAnsi="Arial"/>
                <w:sz w:val="13"/>
                <w:szCs w:val="13"/>
                <w:color w:val="auto"/>
              </w:rPr>
              <w:t>Gidu Shroff</w:t>
            </w:r>
          </w:p>
        </w:tc>
        <w:tc>
          <w:tcPr>
            <w:tcW w:w="2900" w:type="dxa"/>
            <w:vAlign w:val="bottom"/>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Robert Krakauer(12)</w:t>
            </w:r>
          </w:p>
        </w:tc>
        <w:tc>
          <w:tcPr>
            <w:tcW w:w="2900" w:type="dxa"/>
            <w:vAlign w:val="bottom"/>
            <w:shd w:val="clear" w:color="auto" w:fill="CCEEFF"/>
          </w:tcPr>
          <w:p>
            <w:pPr>
              <w:jc w:val="right"/>
              <w:ind w:right="69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57"/>
        </w:trPr>
        <w:tc>
          <w:tcPr>
            <w:tcW w:w="5980" w:type="dxa"/>
            <w:vAlign w:val="bottom"/>
            <w:gridSpan w:val="3"/>
          </w:tcPr>
          <w:p>
            <w:pPr>
              <w:spacing w:after="0"/>
              <w:rPr>
                <w:sz w:val="20"/>
                <w:szCs w:val="20"/>
                <w:color w:val="auto"/>
              </w:rPr>
            </w:pPr>
            <w:r>
              <w:rPr>
                <w:rFonts w:ascii="Arial" w:cs="Arial" w:eastAsia="Arial" w:hAnsi="Arial"/>
                <w:sz w:val="13"/>
                <w:szCs w:val="13"/>
                <w:color w:val="auto"/>
              </w:rPr>
              <w:t>Directors and executive officers as a group (13 persons)(13)</w:t>
            </w:r>
          </w:p>
        </w:tc>
        <w:tc>
          <w:tcPr>
            <w:tcW w:w="2900" w:type="dxa"/>
            <w:vAlign w:val="bottom"/>
          </w:tcPr>
          <w:p>
            <w:pPr>
              <w:jc w:val="right"/>
              <w:ind w:right="694"/>
              <w:spacing w:after="0"/>
              <w:rPr>
                <w:sz w:val="20"/>
                <w:szCs w:val="20"/>
                <w:color w:val="auto"/>
              </w:rPr>
            </w:pPr>
            <w:r>
              <w:rPr>
                <w:rFonts w:ascii="Arial" w:cs="Arial" w:eastAsia="Arial" w:hAnsi="Arial"/>
                <w:sz w:val="13"/>
                <w:szCs w:val="13"/>
                <w:color w:val="auto"/>
              </w:rPr>
              <w:t>613,750</w:t>
            </w:r>
          </w:p>
        </w:tc>
        <w:tc>
          <w:tcPr>
            <w:tcW w:w="1100" w:type="dxa"/>
            <w:vAlign w:val="bottom"/>
          </w:tcPr>
          <w:p>
            <w:pPr>
              <w:jc w:val="right"/>
              <w:ind w:right="194"/>
              <w:spacing w:after="0"/>
              <w:rPr>
                <w:sz w:val="20"/>
                <w:szCs w:val="20"/>
                <w:color w:val="auto"/>
              </w:rPr>
            </w:pPr>
            <w:r>
              <w:rPr>
                <w:rFonts w:ascii="Arial" w:cs="Arial" w:eastAsia="Arial" w:hAnsi="Arial"/>
                <w:sz w:val="13"/>
                <w:szCs w:val="13"/>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-1721485</wp:posOffset>
            </wp:positionV>
            <wp:extent cx="1270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-1721485</wp:posOffset>
            </wp:positionV>
            <wp:extent cx="635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56515</wp:posOffset>
            </wp:positionV>
            <wp:extent cx="82359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78" w:lineRule="exact"/>
        <w:rPr>
          <w:sz w:val="20"/>
          <w:szCs w:val="20"/>
          <w:color w:val="auto"/>
        </w:rPr>
      </w:pPr>
    </w:p>
    <w:p>
      <w:pPr>
        <w:ind w:left="900"/>
        <w:spacing w:after="0"/>
        <w:tabs>
          <w:tab w:leader="none" w:pos="1060" w:val="left"/>
        </w:tabs>
        <w:rPr>
          <w:sz w:val="20"/>
          <w:szCs w:val="20"/>
          <w:color w:val="auto"/>
        </w:rPr>
      </w:pPr>
      <w:r>
        <w:rPr>
          <w:rFonts w:ascii="Arial" w:cs="Arial" w:eastAsia="Arial" w:hAnsi="Arial"/>
          <w:sz w:val="13"/>
          <w:szCs w:val="13"/>
          <w:color w:val="auto"/>
        </w:rPr>
        <w:t>*</w:t>
        <w:tab/>
        <w:t>Less than one percent.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right="60" w:hanging="248"/>
        <w:spacing w:after="0" w:line="248" w:lineRule="auto"/>
        <w:tabs>
          <w:tab w:leader="none" w:pos="10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Includes any outstanding common stock held and, to the extent applicable, shares issuable upon the exercise or conversion of any securities that are exercisable or convertible within 60 days of April 30, 2010.</w:t>
      </w:r>
    </w:p>
    <w:p>
      <w:pPr>
        <w:spacing w:after="0" w:line="23" w:lineRule="exact"/>
        <w:rPr>
          <w:rFonts w:ascii="Arial" w:cs="Arial" w:eastAsia="Arial" w:hAnsi="Arial"/>
          <w:sz w:val="13"/>
          <w:szCs w:val="13"/>
          <w:color w:val="auto"/>
        </w:rPr>
      </w:pPr>
    </w:p>
    <w:p>
      <w:pPr>
        <w:ind w:left="1080" w:hanging="248"/>
        <w:spacing w:after="0"/>
        <w:tabs>
          <w:tab w:leader="none" w:pos="10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following entities and person are collectively referred to in this table as the “Avenue Capital Group”: (i) Avenue Investments, L.P. (“Avenue Investments”),</w:t>
      </w:r>
    </w:p>
    <w:p>
      <w:pPr>
        <w:ind w:left="1080" w:right="120" w:firstLine="10"/>
        <w:spacing w:after="0" w:line="236" w:lineRule="auto"/>
        <w:tabs>
          <w:tab w:leader="none" w:pos="1255"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Avenue International Master, L.P. (“Avenue International Master”), (iii) Avenue International, Ltd. (“Avenue International”), the sole limited partner of Avenue International Master, (iv) Avenue International Master GenPar, Ltd. (“Avenue International GenPar”), the general partner of Avenue International Master, (v) Avenue Partners, LLC (“Avenue Partners”), the general partner of Avenue Investments and the sole shareholder of Avenue International GenPar, (vi) Avenue-CDP Global Opportunities Fund, L.P. (“CDP Global”), (vii) Avenue Global Opportunities Fund GenPar, LLC (“CDP Global GenPar”), the general partner of CDP Global,</w:t>
      </w:r>
    </w:p>
    <w:p>
      <w:pPr>
        <w:spacing w:after="0" w:line="1" w:lineRule="exact"/>
        <w:rPr>
          <w:rFonts w:ascii="Arial" w:cs="Arial" w:eastAsia="Arial" w:hAnsi="Arial"/>
          <w:sz w:val="13"/>
          <w:szCs w:val="13"/>
          <w:color w:val="auto"/>
        </w:rPr>
      </w:pPr>
    </w:p>
    <w:p>
      <w:pPr>
        <w:ind w:left="1360" w:hanging="270"/>
        <w:spacing w:after="0" w:line="236" w:lineRule="auto"/>
        <w:tabs>
          <w:tab w:leader="none" w:pos="13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Avenue Special Situations Fund IV, L.P. (“Avenue Fund IV”), (ix) Avenue Capital Partners IV, LLC (“Avenue Capital IV”), the general partner of Avenue Fund IV,</w:t>
      </w:r>
    </w:p>
    <w:p>
      <w:pPr>
        <w:ind w:left="1080" w:right="200" w:firstLine="10"/>
        <w:spacing w:after="0" w:line="236" w:lineRule="auto"/>
        <w:tabs>
          <w:tab w:leader="none" w:pos="1269" w:val="left"/>
        </w:tabs>
        <w:numPr>
          <w:ilvl w:val="1"/>
          <w:numId w:val="114"/>
        </w:numPr>
        <w:rPr>
          <w:rFonts w:ascii="Arial" w:cs="Arial" w:eastAsia="Arial" w:hAnsi="Arial"/>
          <w:sz w:val="13"/>
          <w:szCs w:val="13"/>
          <w:color w:val="auto"/>
        </w:rPr>
      </w:pPr>
      <w:r>
        <w:rPr>
          <w:rFonts w:ascii="Arial" w:cs="Arial" w:eastAsia="Arial" w:hAnsi="Arial"/>
          <w:sz w:val="13"/>
          <w:szCs w:val="13"/>
          <w:color w:val="auto"/>
        </w:rPr>
        <w:t>GL Partners IV, LLC (“GL IV”), the managing member of Avenue Capital IV, (xi) Avenue Special Situations Fund V, L.P. (“Avenue Fund V”), (xii) Avenue Capital Partners V, LLC (“Avenue Capital V”), the general partner of Avenue Fund V, (xiii) GL Partners V, LLC (“GL V”), the managing member of Avenue Capital V,</w:t>
      </w:r>
    </w:p>
    <w:p>
      <w:pPr>
        <w:ind w:left="1080" w:right="120" w:firstLine="10"/>
        <w:spacing w:after="0" w:line="242" w:lineRule="auto"/>
        <w:tabs>
          <w:tab w:leader="none" w:pos="1357"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Avenue Capital Management II, L.P. (“Avenue Capital II”), the investment advisor to Avenue Investments, Avenue International Master, CDP Global, Avenue Fund IV and Avenue Fund V (collectively, the “Avenue Funds”), (xv) Avenue Capital Management II GenPar, LLC (“GenPar”), the general partner of Avenue Capital II, and (xvi) Marc Lasry, the managing member of GenPar, GL V, GL IV, CDP Global GenPar and Avenue Partners and a director of Avenue International GenPar.</w:t>
      </w:r>
    </w:p>
    <w:p>
      <w:pPr>
        <w:spacing w:after="0" w:line="29" w:lineRule="exact"/>
        <w:rPr>
          <w:sz w:val="20"/>
          <w:szCs w:val="20"/>
          <w:color w:val="auto"/>
        </w:rPr>
      </w:pPr>
    </w:p>
    <w:p>
      <w:pPr>
        <w:ind w:left="1080" w:right="220"/>
        <w:spacing w:after="0" w:line="248" w:lineRule="auto"/>
        <w:rPr>
          <w:sz w:val="20"/>
          <w:szCs w:val="20"/>
          <w:color w:val="auto"/>
        </w:rPr>
      </w:pPr>
      <w:r>
        <w:rPr>
          <w:rFonts w:ascii="Arial" w:cs="Arial" w:eastAsia="Arial" w:hAnsi="Arial"/>
          <w:sz w:val="13"/>
          <w:szCs w:val="13"/>
          <w:color w:val="auto"/>
        </w:rPr>
        <w:t>The Avenue Capital Group beneficially owns 27,365,928 shares of common stock, including the 555,961 shares of common stock the Avenue Capital Group may receive through the exercise of outstanding warrants.</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Avenue Funds have the sole power to vote and dispose of the common units held by them. Avenue International, Avenue International GenPar, Avenue Partners, CDP Global GenPar, Avenue Capital IV, GL IV, Avenue Capital V, GL V, Avenue Capital II, GenPar and Marc Lasry have the shared power to vote and dispose of the common units held by the Avenue Funds, all of whom disclaim any beneficial ownership except to the extent of their respective pecuniary interest. The address for all of the Avenue Funds is 535 Madison Avenue, New York, NY 10022.</w:t>
      </w:r>
    </w:p>
    <w:p>
      <w:pPr>
        <w:spacing w:after="0" w:line="31" w:lineRule="exact"/>
        <w:rPr>
          <w:sz w:val="20"/>
          <w:szCs w:val="20"/>
          <w:color w:val="auto"/>
        </w:rPr>
      </w:pPr>
    </w:p>
    <w:p>
      <w:pPr>
        <w:ind w:left="1080" w:right="160"/>
        <w:spacing w:after="0" w:line="239" w:lineRule="auto"/>
        <w:rPr>
          <w:sz w:val="20"/>
          <w:szCs w:val="20"/>
          <w:color w:val="auto"/>
        </w:rPr>
      </w:pPr>
      <w:r>
        <w:rPr>
          <w:rFonts w:ascii="Arial" w:cs="Arial" w:eastAsia="Arial" w:hAnsi="Arial"/>
          <w:sz w:val="13"/>
          <w:szCs w:val="13"/>
          <w:color w:val="auto"/>
        </w:rPr>
        <w:t>Avenue Fund V beneficially owns 11,117,266 shares of common stock, or 28.7%, which represents 10,844,551 shares of common stock and 272,715 shares of common stock issuable upon the exercise of warrants held by Avenue Fund V. The securities owned by Avenue Fund V may also be deemed to be beneficially owned by Avenue Capital V, its general partner; GL V, the managing member of Avenue Capital V; Avenue Capital II, its investment adviser; GenPar, the general partner of Avenue Capital II; and Mr. Lasry, the managing member of GenPar and GL V; all of whom disclaim any beneficial ownership except to the extent of their respective pecuniary interest. For further information regarding Avenue Fund V, please see above.</w:t>
      </w:r>
    </w:p>
    <w:p>
      <w:pPr>
        <w:spacing w:after="0" w:line="32" w:lineRule="exact"/>
        <w:rPr>
          <w:sz w:val="20"/>
          <w:szCs w:val="20"/>
          <w:color w:val="auto"/>
        </w:rPr>
      </w:pPr>
    </w:p>
    <w:p>
      <w:pPr>
        <w:ind w:left="1080" w:right="120"/>
        <w:spacing w:after="0" w:line="239" w:lineRule="auto"/>
        <w:rPr>
          <w:sz w:val="20"/>
          <w:szCs w:val="20"/>
          <w:color w:val="auto"/>
        </w:rPr>
      </w:pPr>
      <w:r>
        <w:rPr>
          <w:rFonts w:ascii="Arial" w:cs="Arial" w:eastAsia="Arial" w:hAnsi="Arial"/>
          <w:sz w:val="13"/>
          <w:szCs w:val="13"/>
          <w:color w:val="auto"/>
        </w:rPr>
        <w:t>Avenue Fund IV beneficially owns 8,807,283 shares of common stock, or 22.8%, which represents 8,648,373 shares of common stock and 158,910 shares of common stock issuable upon the exercise of warrants held by Avenue Fund IV. The securities owned by Avenue Fund IV may also be deemed to be beneficially owned by Avenue Capital IV, its general partner; GL IV, the managing member of Avenue Capital IV; Avenue Capital II, its investment adviser; GenPar, the general partner of Avenue Capital II; and Mr. Lasry, the managing member of GenPar and GL IV; all of whom disclaim any beneficial ownership except to the extent of their respective pecuniary interest. For further information regarding Avenue Fund IV, please see above.</w:t>
      </w:r>
    </w:p>
    <w:p>
      <w:pPr>
        <w:spacing w:after="0" w:line="32" w:lineRule="exact"/>
        <w:rPr>
          <w:sz w:val="20"/>
          <w:szCs w:val="20"/>
          <w:color w:val="auto"/>
        </w:rPr>
      </w:pPr>
    </w:p>
    <w:p>
      <w:pPr>
        <w:ind w:left="1080" w:right="20"/>
        <w:spacing w:after="0" w:line="242" w:lineRule="auto"/>
        <w:rPr>
          <w:sz w:val="20"/>
          <w:szCs w:val="20"/>
          <w:color w:val="auto"/>
        </w:rPr>
      </w:pPr>
      <w:r>
        <w:rPr>
          <w:rFonts w:ascii="Arial" w:cs="Arial" w:eastAsia="Arial" w:hAnsi="Arial"/>
          <w:sz w:val="13"/>
          <w:szCs w:val="13"/>
          <w:color w:val="auto"/>
        </w:rPr>
        <w:t>Avenue International Master beneficially owns 4,446,037 shares of common stock, or 11.6%, which represents 4,375,589 shares of common stock and 70,448 shares of common stock issuable upon the exercise of warrants held by Avenue International Master. The securities owned by Avenue International Master may also be deemed to be beneficially owned by Avenue</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080" w:right="180"/>
        <w:spacing w:after="0"/>
        <w:rPr>
          <w:sz w:val="20"/>
          <w:szCs w:val="20"/>
          <w:color w:val="auto"/>
        </w:rPr>
      </w:pPr>
      <w:r>
        <w:rPr>
          <w:rFonts w:ascii="Arial" w:cs="Arial" w:eastAsia="Arial" w:hAnsi="Arial"/>
          <w:sz w:val="13"/>
          <w:szCs w:val="13"/>
          <w:color w:val="auto"/>
        </w:rPr>
        <w:t>International, its sole limited partner; Avenue International GenPar, its general partner; Avenue Partners, the sole shareholder of Avenue International GenPar; Avenue Capital II, its investment adviser; GenPar, the general partner of Avenue Capital II; and Mr. Lasry, the managing member of GenPar and Avenue Partners and a director of Avenue International GenPar; all of whom disclaim any beneficial ownership except to the extent of their respective pecuniary interest. For further information regarding Avenue International Master, please see above.</w:t>
      </w:r>
    </w:p>
    <w:p>
      <w:pPr>
        <w:spacing w:after="0" w:line="31" w:lineRule="exact"/>
        <w:rPr>
          <w:sz w:val="20"/>
          <w:szCs w:val="20"/>
          <w:color w:val="auto"/>
        </w:rPr>
      </w:pPr>
    </w:p>
    <w:p>
      <w:pPr>
        <w:ind w:left="1080"/>
        <w:spacing w:after="0" w:line="239" w:lineRule="auto"/>
        <w:rPr>
          <w:sz w:val="20"/>
          <w:szCs w:val="20"/>
          <w:color w:val="auto"/>
        </w:rPr>
      </w:pPr>
      <w:r>
        <w:rPr>
          <w:rFonts w:ascii="Arial" w:cs="Arial" w:eastAsia="Arial" w:hAnsi="Arial"/>
          <w:sz w:val="13"/>
          <w:szCs w:val="13"/>
          <w:color w:val="auto"/>
        </w:rPr>
        <w:t>CDP Global beneficially owns 1,513,085 shares of common stock, or 3.9%, which represents 1,482,770 shares of common stock and 30,315 shares of common stock issuable upon the exercise of warrants held by CDP Global. The securities owned by CDP Global may also be deemed to be beneficially owned by CDP Global GenPar, its general partner; Avenue Capital II, its investment adviser; GenPar, the general partner of Avenue Capital II; and Mr. Lasry, the managing member of GenPar and CDP Global GenPar; all of whom disclaim any beneficial ownership except to the extent of their respective pecuniary interest. For further information regarding CDP Global, please see above.</w:t>
      </w:r>
    </w:p>
    <w:p>
      <w:pPr>
        <w:spacing w:after="0" w:line="32" w:lineRule="exact"/>
        <w:rPr>
          <w:sz w:val="20"/>
          <w:szCs w:val="20"/>
          <w:color w:val="auto"/>
        </w:rPr>
      </w:pPr>
    </w:p>
    <w:p>
      <w:pPr>
        <w:ind w:left="1080" w:right="20"/>
        <w:spacing w:after="0" w:line="239" w:lineRule="auto"/>
        <w:rPr>
          <w:sz w:val="20"/>
          <w:szCs w:val="20"/>
          <w:color w:val="auto"/>
        </w:rPr>
      </w:pPr>
      <w:r>
        <w:rPr>
          <w:rFonts w:ascii="Arial" w:cs="Arial" w:eastAsia="Arial" w:hAnsi="Arial"/>
          <w:sz w:val="13"/>
          <w:szCs w:val="13"/>
          <w:color w:val="auto"/>
        </w:rPr>
        <w:t>Avenue Investments beneficially owns 1,482,257 shares of common stock, or 3.9%, which represents 1,458,684 shares of common stock and 23,573 shares of common stock issuable upon the exercise of warrants held by Avenue Investments. The securities owned by Avenue Investments may also be deemed to be beneficially owned by Avenue Partners, its general partner; Avenue Capital II, its investment adviser; GenPar, the general partner of Avenue Capital II; and Mr. Lasry, the managing member of GenPar and Avenue Partners; all of whom disclaim any beneficial ownership except to the extent of their respective pecuniary interest. For further information regarding Avenue Investments, please see above.</w:t>
      </w:r>
    </w:p>
    <w:p>
      <w:pPr>
        <w:spacing w:after="0" w:line="32" w:lineRule="exact"/>
        <w:rPr>
          <w:sz w:val="20"/>
          <w:szCs w:val="20"/>
          <w:color w:val="auto"/>
        </w:rPr>
      </w:pPr>
    </w:p>
    <w:p>
      <w:pPr>
        <w:ind w:left="1080" w:right="140" w:hanging="248"/>
        <w:spacing w:after="0"/>
        <w:tabs>
          <w:tab w:leader="none" w:pos="10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Represents 2,944,405 shares of common stock that may be deemed to be beneficially owned by Southpaw Asset Management LP (“Southpaw Management”) as it serves as the discretionary investment manager for several funds and accounts (the “Managed Accounts”). The common units deemed beneficially owned by Southpaw Management may be deemed beneficially owned by Southpaw Holdings LLC (“Southpaw Holdings”), which is the general partner of Southpaw Management, and by each of Kevin Wyman and Howard Golden, who are principals of Southpaw Holdings.</w:t>
      </w:r>
    </w:p>
    <w:p>
      <w:pPr>
        <w:spacing w:after="0" w:line="31" w:lineRule="exact"/>
        <w:rPr>
          <w:rFonts w:ascii="Arial" w:cs="Arial" w:eastAsia="Arial" w:hAnsi="Arial"/>
          <w:sz w:val="13"/>
          <w:szCs w:val="13"/>
          <w:color w:val="auto"/>
        </w:rPr>
      </w:pPr>
    </w:p>
    <w:p>
      <w:pPr>
        <w:ind w:left="1080" w:right="40"/>
        <w:spacing w:after="0" w:line="239" w:lineRule="auto"/>
        <w:rPr>
          <w:rFonts w:ascii="Arial" w:cs="Arial" w:eastAsia="Arial" w:hAnsi="Arial"/>
          <w:sz w:val="13"/>
          <w:szCs w:val="13"/>
          <w:color w:val="auto"/>
        </w:rPr>
      </w:pPr>
      <w:r>
        <w:rPr>
          <w:rFonts w:ascii="Arial" w:cs="Arial" w:eastAsia="Arial" w:hAnsi="Arial"/>
          <w:sz w:val="13"/>
          <w:szCs w:val="13"/>
          <w:color w:val="auto"/>
        </w:rPr>
        <w:t>Southpaw Credit Opportunity Master Fund, L.P (“Southpaw Master Fund”) beneficially owns 2,860,659 shares of common stock. The securities owned by Southpaw Master Fund may also be deemed beneficially owned by Southpaw Management, in its capacity as the investment manager of Southpaw Master Fund, and Southpaw GP LLC (“Southpaw GP”), in its capacity as general partner of Southpaw Master Fund. The shares deemed beneficially owned by Southpaw Management may also be deemed beneficially owned by Southpaw Holdings, which is the general partner of Southpaw Management, and by each of Kevin Wyman and Howard Golden, who are principals of Southpaw Holdings and Southpaw GP.</w:t>
      </w:r>
    </w:p>
    <w:p>
      <w:pPr>
        <w:spacing w:after="0" w:line="71" w:lineRule="exact"/>
        <w:rPr>
          <w:rFonts w:ascii="Arial" w:cs="Arial" w:eastAsia="Arial" w:hAnsi="Arial"/>
          <w:sz w:val="13"/>
          <w:szCs w:val="13"/>
          <w:color w:val="auto"/>
        </w:rPr>
      </w:pPr>
    </w:p>
    <w:p>
      <w:pPr>
        <w:ind w:left="1080" w:right="40"/>
        <w:spacing w:after="0" w:line="239" w:lineRule="auto"/>
        <w:rPr>
          <w:rFonts w:ascii="Arial" w:cs="Arial" w:eastAsia="Arial" w:hAnsi="Arial"/>
          <w:sz w:val="13"/>
          <w:szCs w:val="13"/>
          <w:color w:val="auto"/>
        </w:rPr>
      </w:pPr>
      <w:r>
        <w:rPr>
          <w:rFonts w:ascii="Arial" w:cs="Arial" w:eastAsia="Arial" w:hAnsi="Arial"/>
          <w:sz w:val="13"/>
          <w:szCs w:val="13"/>
          <w:color w:val="auto"/>
        </w:rPr>
        <w:t>The business address of each of Southpaw Master Fund, Southpaw Management, Southpaw GP, Southpaw Holdings, and Messrs. Wyman and Golden is 2 Greenwich Office Park, 1st floor, Greenwich, CT 06831. For the avoidance of doubt, none of Southpaw Management, Southpaw GP, Southpaw Holdings, or Messrs. Wyman and Golden hold common stock for their personal accounts, and each reports beneficial ownership of common stock held by Southpaw Master Fund and the Managed Accounts due solely to the fact that such persons have the ability to vote and/or dispose of the common stock held by Southpaw Master Fund and the Managed Accounts.</w:t>
      </w:r>
    </w:p>
    <w:p>
      <w:pPr>
        <w:spacing w:after="0" w:line="32" w:lineRule="exact"/>
        <w:rPr>
          <w:rFonts w:ascii="Arial" w:cs="Arial" w:eastAsia="Arial" w:hAnsi="Arial"/>
          <w:sz w:val="13"/>
          <w:szCs w:val="13"/>
          <w:color w:val="auto"/>
        </w:rPr>
      </w:pPr>
    </w:p>
    <w:p>
      <w:pPr>
        <w:ind w:left="1080" w:right="100" w:hanging="248"/>
        <w:spacing w:after="0"/>
        <w:tabs>
          <w:tab w:leader="none" w:pos="10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Represents 2,588,756 shares of common stock held by Tennenbaum Multi-Strategy Fund SPV (Cayman) Ltd. (“Tennenbaum Cayman SPV”). Tennenbaum Capital Partners, LLC is the investment manager of Tennenbaum Cayman SPV, and may be deemed to be the beneficial owner of the common stock held by such principal unitholders. Tennenbaum Capital Partners, LLC, however, disclaims beneficial ownership of these shares at common stock, except to the extent of its pecuniary interest therein. The address for Tennenbaum Cayman SPV is 2951 28th Street, Suite 1000, Santa Monica, CA 90405.</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hanging="248"/>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280,000 shares of common stock, of which 184,800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105,000 shares of common stock, of which 69,300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70,000 shares of common stock, of which 46,200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42,000 shares of common stock, of which 27,720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42,000 shares of common stock, of which 27,720 are subject to a right of repurchase by MagnaChip.</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address for Messrs. Elkins, Klein and Tan is 535 Madison Avenue, New York, NY 10022.</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18,750 shares of common stock.</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613,750 shares of common stock, of which 392,700 are subject to a right of repurchase by MagnaChip.</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Under our Code of Business Conduct and Ethics,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(i) compliance with laws, rules and regulations, (ii) the adverse affect on our business and results of operations, (iii) the adverse affect on our relationships with third parties such as customers, vendors and potential investors, (iv) the benefit to the director, officer or employee at issue, and (v) the creation of morale problems among other employees. Our board of directors will only approve those related party transactions that, in light of known circumstances, are in, or are not inconsistent with, our best interests.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Debt</w:t>
      </w:r>
    </w:p>
    <w:p>
      <w:pPr>
        <w:spacing w:after="0" w:line="102" w:lineRule="exact"/>
        <w:rPr>
          <w:sz w:val="20"/>
          <w:szCs w:val="20"/>
          <w:color w:val="auto"/>
        </w:rPr>
      </w:pPr>
    </w:p>
    <w:p>
      <w:pPr>
        <w:jc w:val="both"/>
        <w:ind w:left="680" w:right="60" w:firstLine="499"/>
        <w:spacing w:after="0" w:line="236" w:lineRule="auto"/>
        <w:rPr>
          <w:sz w:val="20"/>
          <w:szCs w:val="20"/>
          <w:color w:val="auto"/>
        </w:rPr>
      </w:pPr>
      <w:r>
        <w:rPr>
          <w:rFonts w:ascii="Arial" w:cs="Arial" w:eastAsia="Arial" w:hAnsi="Arial"/>
          <w:sz w:val="13"/>
          <w:szCs w:val="13"/>
          <w:color w:val="auto"/>
        </w:rPr>
        <w:t>Avenue Investments, L.P. (one of the Funds affiliated with Avenue Capital Management II, L.P., which is, together with other affiliates, our majority stockholder, and an affiliate of our directors Messrs. Elkins, Klein and Tan) was a lender under our senior secured credit facility. On November 6, 2009, in connection with the reorganization proceedings, our senior secured credit agreement was amended and restated to, among other things, reduce the outstanding principal amount from $95 million to</w:t>
      </w:r>
    </w:p>
    <w:p>
      <w:pPr>
        <w:spacing w:after="0" w:line="1" w:lineRule="exact"/>
        <w:rPr>
          <w:sz w:val="20"/>
          <w:szCs w:val="20"/>
          <w:color w:val="auto"/>
        </w:rPr>
      </w:pPr>
    </w:p>
    <w:p>
      <w:pPr>
        <w:ind w:left="680" w:right="80"/>
        <w:spacing w:after="0" w:line="238" w:lineRule="auto"/>
        <w:rPr>
          <w:sz w:val="20"/>
          <w:szCs w:val="20"/>
          <w:color w:val="auto"/>
        </w:rPr>
      </w:pPr>
      <w:r>
        <w:rPr>
          <w:rFonts w:ascii="Arial" w:cs="Arial" w:eastAsia="Arial" w:hAnsi="Arial"/>
          <w:sz w:val="13"/>
          <w:szCs w:val="13"/>
          <w:color w:val="auto"/>
        </w:rPr>
        <w:t>$61.8 million, pursuant to which we repaid $33.2 million in principal, $22.6 million of which was paid to Avenue Investments, L.P. As of December 31, 2009, the outstanding indebtedness under our senior secured credit facility was $61.8 million, of which $ 42.1 million was held by Avenue Investments, L.P. As of December 31, 2009, the interest rate for all borrowings under the senior secured credit facility was 6 month LIBOR plus 12% per annum and we accrued $1.2 million in interest under the senior secured credit facility as of December 31, 2009, of which $0.8 million was accrued for Avenue Investments, L.P. Other Funds affiliated with Avenue Capital Management II, L.P. participate in the loan from Avenue Investments, L.P. under our senior secured credit agreement pursuant to a master participation agreement. Our senior secured credit agreement was repaid in April 2010 with a portion of the proceeds from our $250 million senior notes offering, $42.8 million of which was paid to Avenue Investments, L.P., including $0.9 million of accrued interest. Avenue purchased $35 million in principal amount our $250 million senior notes. See “Description of Certain Indebtedness” for additional information.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Common Stock</w:t>
      </w:r>
    </w:p>
    <w:p>
      <w:pPr>
        <w:spacing w:after="0" w:line="102"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Prior to the completion of the corporate conversion, all of our outstanding equity securities were issued in the form of units by MagnaChip Semiconductor LLC. The following paragraphs discuss the number of shares of our common stock that will be issued in conversion of the units upon the completion of the corporate conversion.</w:t>
      </w:r>
    </w:p>
    <w:p>
      <w:pPr>
        <w:spacing w:after="0" w:line="74" w:lineRule="exact"/>
        <w:rPr>
          <w:sz w:val="20"/>
          <w:szCs w:val="20"/>
          <w:color w:val="auto"/>
        </w:rPr>
      </w:pPr>
    </w:p>
    <w:p>
      <w:pPr>
        <w:ind w:left="680" w:right="40" w:firstLine="499"/>
        <w:spacing w:after="0" w:line="236" w:lineRule="auto"/>
        <w:rPr>
          <w:sz w:val="20"/>
          <w:szCs w:val="20"/>
          <w:color w:val="auto"/>
        </w:rPr>
      </w:pPr>
      <w:r>
        <w:rPr>
          <w:rFonts w:ascii="Arial" w:cs="Arial" w:eastAsia="Arial" w:hAnsi="Arial"/>
          <w:sz w:val="13"/>
          <w:szCs w:val="13"/>
          <w:color w:val="auto"/>
        </w:rPr>
        <w:t>In connection with our plan of reorganization, Avenue received an aggregate of 1,043,544 shares of common stock and warrants to purchase up to an aggregate of 555,961 shares of common stock in exchange for the release of claims relating to outstanding indebtedness in an aggregate principal amount of approximately</w:t>
      </w:r>
    </w:p>
    <w:p>
      <w:pPr>
        <w:spacing w:after="0" w:line="1"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$322.6 million. Avenue also acquired 22,016,423 shares of common stock at $1.12 per share pursuant to a $35 million rights offering that we completed in November 2009 and an additional 3,750,000 shares of common stock for providing a backstop service in agreeing to purchase any unsubscribed units in the offering.</w:t>
      </w:r>
    </w:p>
    <w:p>
      <w:pPr>
        <w:spacing w:after="0" w:line="74" w:lineRule="exact"/>
        <w:rPr>
          <w:sz w:val="20"/>
          <w:szCs w:val="20"/>
          <w:color w:val="auto"/>
        </w:rPr>
      </w:pPr>
    </w:p>
    <w:p>
      <w:pPr>
        <w:jc w:val="both"/>
        <w:ind w:left="680" w:right="20" w:firstLine="499"/>
        <w:spacing w:after="0" w:line="242" w:lineRule="auto"/>
        <w:rPr>
          <w:sz w:val="20"/>
          <w:szCs w:val="20"/>
          <w:color w:val="auto"/>
        </w:rPr>
      </w:pPr>
      <w:r>
        <w:rPr>
          <w:rFonts w:ascii="Arial" w:cs="Arial" w:eastAsia="Arial" w:hAnsi="Arial"/>
          <w:sz w:val="13"/>
          <w:szCs w:val="13"/>
          <w:color w:val="auto"/>
        </w:rPr>
        <w:t>In connection with our plan of reorganization, Tennenbaum Multi-Strategy Fund SPV (Cayman) Ltd., or Tennenbaum, received 146,246 shares of common stock in exchange for the release of claims relating to approximately the principal amount of $38.8 million of outstanding indebtedness. Tennenbaum also acquired 2,442,510 shares of common stock in the rights offering.</w:t>
      </w:r>
    </w:p>
    <w:p>
      <w:pPr>
        <w:spacing w:after="0" w:line="79"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In connection with our plan of reorganization, Southpaw Credit Opportunity Master Fund LP, or Southpaw Master Fund, received 159,030 shares of common stock in exchange for the release of</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their claims relating to approximately the principal amount of $42.9 million of outstanding indebtedness. Southpaw Master Fund also acquired 2,701,629 shares of common stock in the rights offering. Wilshire Institutional Master Fund SPC — Wilshire Southpaw Opportunity Segregated Portfolio, or Wilshire Institutional, received 4,024 shares of common stock in exchange for the release of their claims relating to approximately the principal amount of $1.1 million of outstanding indebtedness. Wilshire Institutional also acquired 68,355 shares of common stock in the rights offering. Lastly, GPC 76, LLC received 11,367 shares of common stock in exchange for the release of their claims relating to approximately the principal amount of $3.1 million of outstanding indebtedness.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2" w:lineRule="exact"/>
        <w:rPr>
          <w:sz w:val="20"/>
          <w:szCs w:val="20"/>
          <w:color w:val="auto"/>
        </w:rPr>
      </w:pPr>
    </w:p>
    <w:p>
      <w:pPr>
        <w:jc w:val="both"/>
        <w:ind w:left="680" w:right="680" w:firstLine="499"/>
        <w:spacing w:after="0" w:line="242" w:lineRule="auto"/>
        <w:rPr>
          <w:sz w:val="20"/>
          <w:szCs w:val="20"/>
          <w:color w:val="auto"/>
        </w:rPr>
      </w:pPr>
      <w:r>
        <w:rPr>
          <w:rFonts w:ascii="Arial" w:cs="Arial" w:eastAsia="Arial" w:hAnsi="Arial"/>
          <w:sz w:val="13"/>
          <w:szCs w:val="13"/>
          <w:color w:val="auto"/>
        </w:rPr>
        <w:t>On November 9, 2009, we entered into a registration rights agreement with the holders of MagnaChip Semiconductor LLC’s common units issued in our reorganization proceedings, including Avenue, where we granted them registration rights with respect to our common stock. See “Description of Capital Stock — Registration Rights.”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 Agreement</w:t>
      </w:r>
    </w:p>
    <w:p>
      <w:pPr>
        <w:spacing w:after="0" w:line="102"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On November 9, 2009, we entered into a warrant agreement with American Stock Transfer &amp; Trust Company, LLC whereby we issued warrants to purchase an aggregate of 1,875,015 shares of common stock pursuant to the reorganization proceedings to certain former creditors, which included Avenue.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Advisor Agreement</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April 2009, we entered into a Senior Advisor Agreement with Mr. Krakauer, who formerly served as our President, Chief Financial Officer and director, pursuant to which he remained available to consult with us through April 10, 2010. Under this agreement, Mr. Krakauer was entitled to payments in the aggregate amount of $375,000, payable over a one-year period, plus the repayment of amounts of reduced salary for the first three months of 2009, in addition to the continuation of certain benefits and perquisites, including health insurance benefits, and the continuation of auto lease payments for a certain number of months. In addition, we waived any right we had to repurchase any restricted units held by Mr. Krakauer at the time of his resignation. All common units held by Mr. Krakauer were terminated in connection with our reorganization proceedings.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CAPITAL STOCK</w:t>
      </w:r>
    </w:p>
    <w:p>
      <w:pPr>
        <w:spacing w:after="0" w:line="8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i w:val="1"/>
          <w:iCs w:val="1"/>
          <w:color w:val="auto"/>
        </w:rPr>
        <w:t>The following description of our capital stock and provisions of our certificate of incorporation and our bylaws are summaries and are qualified by reference to the certificate of incorporation and the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prior to and upon the closing of this offering.</w:t>
      </w:r>
    </w:p>
    <w:p>
      <w:pPr>
        <w:spacing w:after="0" w:line="77"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Upon the closing of this offering, our authorized capital stock will consist of 150,000,000 shares of common stock, par value $0.01 per share, and 5,000,000 shares of undesignated preferred stock, par value $0.01 per share, the rights and preferences of which may be established from time to time by our board of directors.</w:t>
      </w:r>
    </w:p>
    <w:p>
      <w:pPr>
        <w:spacing w:after="0" w:line="74"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As of April 30, 2010, MagnaChip Semiconductor LLC had issued and outstanding 307,233,996 common units held by 136 holders of record. As of April 30, 2010, MagnaChip Semiconductor LLC also had outstanding options to purchase 15,963,000 common units at a weighted average exercise price of $0.79 per unit and warrants to purchase 15,000,000 common units at an exercise price of $1.97 per unit.</w:t>
      </w:r>
    </w:p>
    <w:p>
      <w:pPr>
        <w:spacing w:after="0" w:line="79"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Prior to the effectiveness of the registration statement of which this prospectus is a part, we will consummate the corporate conversion. As part of the corporate conversion:</w:t>
      </w:r>
    </w:p>
    <w:p>
      <w:pPr>
        <w:spacing w:after="0" w:line="74" w:lineRule="exact"/>
        <w:rPr>
          <w:sz w:val="20"/>
          <w:szCs w:val="20"/>
          <w:color w:val="auto"/>
        </w:rPr>
      </w:pPr>
    </w:p>
    <w:p>
      <w:pPr>
        <w:ind w:left="1400" w:right="720" w:hanging="212"/>
        <w:spacing w:after="0" w:line="248" w:lineRule="auto"/>
        <w:tabs>
          <w:tab w:leader="none" w:pos="14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all of the outstanding common units of MagnaChip Semiconductor LLC will be automatically converted into shares of our common stock at a ratio of eight-for-one;</w:t>
      </w:r>
    </w:p>
    <w:p>
      <w:pPr>
        <w:spacing w:after="0" w:line="64" w:lineRule="exact"/>
        <w:rPr>
          <w:rFonts w:ascii="Arial" w:cs="Arial" w:eastAsia="Arial" w:hAnsi="Arial"/>
          <w:sz w:val="13"/>
          <w:szCs w:val="13"/>
          <w:color w:val="auto"/>
        </w:rPr>
      </w:pPr>
    </w:p>
    <w:p>
      <w:pPr>
        <w:ind w:left="1400" w:right="100" w:hanging="212"/>
        <w:spacing w:after="0" w:line="248" w:lineRule="auto"/>
        <w:tabs>
          <w:tab w:leader="none" w:pos="14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each outstanding option to purchase common units of MagnaChip Semiconductor LLC will be automatically converted into an option to purchase 0.125 shares of our common stock at a weighted average exercise price of $6.32 per share; and</w:t>
      </w:r>
    </w:p>
    <w:p>
      <w:pPr>
        <w:spacing w:after="0" w:line="64" w:lineRule="exact"/>
        <w:rPr>
          <w:rFonts w:ascii="Arial" w:cs="Arial" w:eastAsia="Arial" w:hAnsi="Arial"/>
          <w:sz w:val="13"/>
          <w:szCs w:val="13"/>
          <w:color w:val="auto"/>
        </w:rPr>
      </w:pPr>
    </w:p>
    <w:p>
      <w:pPr>
        <w:ind w:left="1400" w:hanging="212"/>
        <w:spacing w:after="0" w:line="248" w:lineRule="auto"/>
        <w:tabs>
          <w:tab w:leader="none" w:pos="14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each outstanding warrant to purchase common units of MagnaChip Semiconductor LLC will be automatically converted into a warrant to purchase 0.125 shares of our common stock at a weighted average exercise price of $15.76 per share.</w:t>
      </w:r>
    </w:p>
    <w:p>
      <w:pPr>
        <w:spacing w:after="0" w:line="74"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The following description summarizes the terms of our capital stock. Because it is only a summary, it does not contain all the information that may be important to you. For a complete description, you should refer to our certificate of incorporation and bylaws, as in effect immediately following the closing of this offering, copies of which have been filed as exhibits to the registration statement of which this prospectus is a part.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Assuming the automatic conversion of all of the common units of MagnaChip Semiconductor LLC for our common stock prior to the closing of this offering, there will be 39,904,294 shares of our common stock outstanding upon the closing of this offering. MagnaChip Semiconductor LLC has reserved an aggregate of 30,000,000 common units for issuance to current and future directors, employees and consultants of MagnaChip Semiconductor LLC and its subsidiaries pursuant to the MagnaChip Semiconductor LLC 2009 Common Unit Plan. Of this amount, at April 30, 2010, 15,963,000 common units were subject to outstanding options, 6,803,000 were available for future issuance and no common units have been purchased in connection with the exercise of previously issued options. In connection with the corporate conversion, the existing options will be automatically converted into options to acquire 0.125 shares of our common stock. Following the offering, our board of directors may issue options exercisable for up to 1,652,961 shares of our common stock under our 2010 Equity Incentive Plan and 2010 Employee Stock Purchase Plan. MagnaChip Semiconductor LLC issued warrants to purchase an aggregate of 15,000,000 common units pursuant to the reorganization proceedings, which are subject to a warrant agreement dated November 9, 2009 between us and American Stock Transfer &amp; Trust Company, LLC, our warrant agent. At April 30, 2010, 15,000,000</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spacing w:after="0" w:line="248" w:lineRule="auto"/>
        <w:rPr>
          <w:sz w:val="20"/>
          <w:szCs w:val="20"/>
          <w:color w:val="auto"/>
        </w:rPr>
      </w:pPr>
      <w:r>
        <w:rPr>
          <w:rFonts w:ascii="Arial" w:cs="Arial" w:eastAsia="Arial" w:hAnsi="Arial"/>
          <w:sz w:val="13"/>
          <w:szCs w:val="13"/>
          <w:color w:val="auto"/>
        </w:rPr>
        <w:t>common units were subject to outstanding warrants and no common units had been purchased in connection with the exercise of previously issued warrants. In connection with the corporate conversion, the existing warrants will be automatically converted into warrants to acquire 1,875,015 shares of our common stock.</w:t>
      </w:r>
    </w:p>
    <w:p>
      <w:pPr>
        <w:spacing w:after="0" w:line="74"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See “Dividend Policy.” In the event of our liquidation, dissolution or winding up, holders of our common stock are entitled to share ratably in all of our assets remaining after we pay our liabilities and any liquidation preferences granted to the holders of outstanding shares of preferred stock. Holders of our common stock have no preemptive or other subscription or conversion rights. There are no redemption or sinking fund provisions applicable to our common stock. All shares of our common stock that will be outstanding at the time of the completion of the offering will be fully paid and non-assessable.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Our certificate of incorporation authorizes the issuance of 5,000,000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2" w:lineRule="exact"/>
        <w:rPr>
          <w:sz w:val="20"/>
          <w:szCs w:val="20"/>
          <w:color w:val="auto"/>
        </w:rPr>
      </w:pPr>
    </w:p>
    <w:p>
      <w:pPr>
        <w:ind w:left="680" w:right="180" w:firstLine="499"/>
        <w:spacing w:after="0" w:line="248" w:lineRule="auto"/>
        <w:rPr>
          <w:sz w:val="20"/>
          <w:szCs w:val="20"/>
          <w:color w:val="auto"/>
        </w:rPr>
      </w:pPr>
      <w:r>
        <w:rPr>
          <w:rFonts w:ascii="Arial" w:cs="Arial" w:eastAsia="Arial" w:hAnsi="Arial"/>
          <w:sz w:val="13"/>
          <w:szCs w:val="13"/>
          <w:color w:val="auto"/>
        </w:rPr>
        <w:t>Upon the closing of this offering, holders of 31,499,288 shares of our common stock will be entitled to certain rights with respect to the registration of their shares under the Securities Act.</w:t>
      </w:r>
    </w:p>
    <w:p>
      <w:pPr>
        <w:spacing w:after="0" w:line="58"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b w:val="1"/>
          <w:bCs w:val="1"/>
          <w:i w:val="1"/>
          <w:iCs w:val="1"/>
          <w:color w:val="auto"/>
        </w:rPr>
        <w:t xml:space="preserve">Demand Registration Rights. </w:t>
      </w:r>
      <w:r>
        <w:rPr>
          <w:rFonts w:ascii="Arial" w:cs="Arial" w:eastAsia="Arial" w:hAnsi="Arial"/>
          <w:sz w:val="13"/>
          <w:szCs w:val="13"/>
          <w:color w:val="auto"/>
        </w:rPr>
        <w:t>Commencing 90 days following the effective date of the registration statement relating to this prospectus, any holder who is a party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registration rights agreement and who holds a minimum of 20% of the common stock covered by the registration rights agreement, has the right to demand that we file a registration statement covering the resale of its common stock, subject to a maximum of four such demands in the aggregate for all holders and to other specified exceptions. After we become eligible for the use of SEC Form S-3, any holder who is a party to the registration rights agreement, has the right to demand that we file with the SEC a registration statement under SEC Form S-3 or any similar short-form registration statement covering the shares of common stock held by these stockholders to be offered to the public, subject to specified exceptions. At the request of the holders, a demand registration may be a shelf registration pursuant to Rule 415 of the Securities Act. The underwriters of any such offerings will have the right to limit the number of shares to be offered except that if a limit is imposed, then only shares held by holders who are parties to the registration rights agreement will be included in such offering and the number of shares to be included in such offering will be allocated pro rata among those same parties. In any event, we will not include any securities of any other person (including us) in any demand registration statement without the prior written consent of the holders of a majority of the shares of common stock covered by such demand registration statement.</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no event will we be required to effect more than one demand registration under the registration rights agreement within any three-month period (or within a given one-month period, in the case of any registration under Form S-3 or any similar short-form registration statement), and we will not be obligated to effect any demand registration unless the aggregate gross proceeds to be received from the sale of common stock equals or exceeds $10.0 million (or $1.0 million, in the case of any registration under Form S-3 or any similar short-form registration statement).</w:t>
      </w:r>
    </w:p>
    <w:p>
      <w:pPr>
        <w:spacing w:after="0" w:line="64"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Piggyback Registration Rights. </w:t>
      </w:r>
      <w:r>
        <w:rPr>
          <w:rFonts w:ascii="Arial" w:cs="Arial" w:eastAsia="Arial" w:hAnsi="Arial"/>
          <w:sz w:val="13"/>
          <w:szCs w:val="13"/>
          <w:color w:val="auto"/>
        </w:rPr>
        <w:t>If we register any equity securities for our own account for public sale, stockholders with registration rights will, with specified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exceptions, have the right to include their shares in the registration statement. The underwriters of any underwritten offering will have the right to limit the number of such shares to be included in the registration statement if the inclusion of all common stock of the holders who are a party to the registration rights agreement proposed to be included in such offering would materially and adversely interfere with the successful marketing of our securities. Priority of inclusion in the registration shall be given first to us, second to stockholders with registration rights,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on the basis of the relative number of securities requested to be registered by such stockholder, and third to any other participating person on such basis as we determine.</w:t>
      </w:r>
    </w:p>
    <w:p>
      <w:pPr>
        <w:spacing w:after="0" w:line="61" w:lineRule="exact"/>
        <w:rPr>
          <w:sz w:val="20"/>
          <w:szCs w:val="20"/>
          <w:color w:val="auto"/>
        </w:rPr>
      </w:pPr>
    </w:p>
    <w:p>
      <w:pPr>
        <w:ind w:left="680" w:right="540" w:firstLine="499"/>
        <w:spacing w:after="0" w:line="255" w:lineRule="auto"/>
        <w:rPr>
          <w:sz w:val="20"/>
          <w:szCs w:val="20"/>
          <w:color w:val="auto"/>
        </w:rPr>
      </w:pPr>
      <w:r>
        <w:rPr>
          <w:rFonts w:ascii="Arial" w:cs="Arial" w:eastAsia="Arial" w:hAnsi="Arial"/>
          <w:sz w:val="13"/>
          <w:szCs w:val="13"/>
          <w:b w:val="1"/>
          <w:bCs w:val="1"/>
          <w:i w:val="1"/>
          <w:iCs w:val="1"/>
          <w:color w:val="auto"/>
        </w:rPr>
        <w:t xml:space="preserve">Expenses of Registration. </w:t>
      </w:r>
      <w:r>
        <w:rPr>
          <w:rFonts w:ascii="Arial" w:cs="Arial" w:eastAsia="Arial" w:hAnsi="Arial"/>
          <w:sz w:val="13"/>
          <w:szCs w:val="13"/>
          <w:color w:val="auto"/>
        </w:rPr>
        <w:t>Other than underwriting fees, discounts, commissions, stock transfer taxes and fees and disbursements of legal counsel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participating holders (excluding the fees of one firm of legal counsel to all of the participating holders participating in an underwritten public offering), we will pay all expenses relating to demand registrations and all expenses relating to piggyback registrations.</w:t>
      </w:r>
    </w:p>
    <w:p>
      <w:pPr>
        <w:spacing w:after="0" w:line="54" w:lineRule="exact"/>
        <w:rPr>
          <w:sz w:val="20"/>
          <w:szCs w:val="20"/>
          <w:color w:val="auto"/>
        </w:rPr>
      </w:pPr>
    </w:p>
    <w:p>
      <w:pPr>
        <w:ind w:left="680" w:right="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Indemnification and Contribution. </w:t>
      </w:r>
      <w:r>
        <w:rPr>
          <w:rFonts w:ascii="Arial" w:cs="Arial" w:eastAsia="Arial" w:hAnsi="Arial"/>
          <w:sz w:val="13"/>
          <w:szCs w:val="13"/>
          <w:color w:val="auto"/>
        </w:rPr>
        <w:t>The registration rights agreement contains indemnification and contribution arrangements between us and stockholders who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a party to the registration rights agreement with respect to each registration statement.</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Anti-takeover Effects of Delaware Law and our Certificate of Incorporation and Bylaws</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provisions of Delaware law, our certificate of incorporation and our bylaws described below may have the effect of delaying, deferring or discouraging another party from acquiring control of us.</w:t>
      </w:r>
    </w:p>
    <w:p>
      <w:pPr>
        <w:spacing w:after="0" w:line="58" w:lineRule="exact"/>
        <w:rPr>
          <w:sz w:val="20"/>
          <w:szCs w:val="20"/>
          <w:color w:val="auto"/>
        </w:rPr>
      </w:pPr>
    </w:p>
    <w:p>
      <w:pPr>
        <w:ind w:left="680" w:right="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Delaware Law. </w:t>
      </w:r>
      <w:r>
        <w:rPr>
          <w:rFonts w:ascii="Arial" w:cs="Arial" w:eastAsia="Arial" w:hAnsi="Arial"/>
          <w:sz w:val="13"/>
          <w:szCs w:val="13"/>
          <w:color w:val="auto"/>
        </w:rPr>
        <w:t>We will be subject to the provisions of Section 203 of the DGCL regulating corporate takeovers. In general, those provisions prohibit a public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Delaware corporation from engaging in any business combination with any interested stockholder for a period of three years following the date that the stockholder became an interested stockholder, unless:</w:t>
      </w:r>
    </w:p>
    <w:p>
      <w:pPr>
        <w:spacing w:after="0" w:line="70" w:lineRule="exact"/>
        <w:rPr>
          <w:sz w:val="20"/>
          <w:szCs w:val="20"/>
          <w:color w:val="auto"/>
        </w:rPr>
      </w:pPr>
    </w:p>
    <w:p>
      <w:pPr>
        <w:ind w:left="1400" w:hanging="212"/>
        <w:spacing w:after="0"/>
        <w:tabs>
          <w:tab w:leader="none" w:pos="140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76" w:lineRule="exact"/>
        <w:rPr>
          <w:rFonts w:ascii="Arial" w:cs="Arial" w:eastAsia="Arial" w:hAnsi="Arial"/>
          <w:sz w:val="13"/>
          <w:szCs w:val="13"/>
          <w:color w:val="auto"/>
        </w:rPr>
      </w:pPr>
    </w:p>
    <w:p>
      <w:pPr>
        <w:ind w:left="1400" w:right="80" w:hanging="212"/>
        <w:spacing w:after="0" w:line="248" w:lineRule="auto"/>
        <w:tabs>
          <w:tab w:leader="none" w:pos="140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4" w:lineRule="exact"/>
        <w:rPr>
          <w:rFonts w:ascii="Arial" w:cs="Arial" w:eastAsia="Arial" w:hAnsi="Arial"/>
          <w:sz w:val="13"/>
          <w:szCs w:val="13"/>
          <w:color w:val="auto"/>
        </w:rPr>
      </w:pPr>
    </w:p>
    <w:p>
      <w:pPr>
        <w:ind w:left="1400" w:right="40" w:hanging="212"/>
        <w:spacing w:after="0" w:line="248" w:lineRule="auto"/>
        <w:tabs>
          <w:tab w:leader="none" w:pos="140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on or after the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86" w:lineRule="exact"/>
        <w:rPr>
          <w:sz w:val="20"/>
          <w:szCs w:val="20"/>
          <w:color w:val="auto"/>
        </w:rPr>
      </w:pPr>
    </w:p>
    <w:p>
      <w:pPr>
        <w:ind w:left="1400" w:hanging="212"/>
        <w:spacing w:after="0"/>
        <w:tabs>
          <w:tab w:leader="none" w:pos="14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76" w:lineRule="exact"/>
        <w:rPr>
          <w:rFonts w:ascii="Arial" w:cs="Arial" w:eastAsia="Arial" w:hAnsi="Arial"/>
          <w:sz w:val="13"/>
          <w:szCs w:val="13"/>
          <w:color w:val="auto"/>
        </w:rPr>
      </w:pPr>
    </w:p>
    <w:p>
      <w:pPr>
        <w:ind w:left="1400" w:right="540" w:hanging="212"/>
        <w:spacing w:after="0" w:line="248" w:lineRule="auto"/>
        <w:tabs>
          <w:tab w:leader="none" w:pos="14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00" w:right="640" w:hanging="212"/>
        <w:spacing w:after="0" w:line="248" w:lineRule="auto"/>
        <w:tabs>
          <w:tab w:leader="none" w:pos="14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64" w:lineRule="exact"/>
        <w:rPr>
          <w:rFonts w:ascii="Arial" w:cs="Arial" w:eastAsia="Arial" w:hAnsi="Arial"/>
          <w:sz w:val="13"/>
          <w:szCs w:val="13"/>
          <w:color w:val="auto"/>
        </w:rPr>
      </w:pPr>
    </w:p>
    <w:p>
      <w:pPr>
        <w:ind w:left="1400" w:right="440" w:hanging="212"/>
        <w:spacing w:after="0" w:line="248" w:lineRule="auto"/>
        <w:tabs>
          <w:tab w:leader="none" w:pos="14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74"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The statute could prohibit or delay mergers or other takeover or change in control attempts and, accordingly, may discourage attempts to acquire us.</w:t>
      </w:r>
    </w:p>
    <w:p>
      <w:pPr>
        <w:spacing w:after="0" w:line="63" w:lineRule="exact"/>
        <w:rPr>
          <w:sz w:val="20"/>
          <w:szCs w:val="20"/>
          <w:color w:val="auto"/>
        </w:rPr>
      </w:pPr>
    </w:p>
    <w:p>
      <w:pPr>
        <w:ind w:left="680" w:right="80" w:firstLine="499"/>
        <w:spacing w:after="0" w:line="255" w:lineRule="auto"/>
        <w:rPr>
          <w:sz w:val="20"/>
          <w:szCs w:val="20"/>
          <w:color w:val="auto"/>
        </w:rPr>
      </w:pPr>
      <w:r>
        <w:rPr>
          <w:rFonts w:ascii="Arial" w:cs="Arial" w:eastAsia="Arial" w:hAnsi="Arial"/>
          <w:sz w:val="13"/>
          <w:szCs w:val="13"/>
          <w:b w:val="1"/>
          <w:bCs w:val="1"/>
          <w:i w:val="1"/>
          <w:iCs w:val="1"/>
          <w:color w:val="auto"/>
        </w:rPr>
        <w:t xml:space="preserve">Charter and Bylaws. </w:t>
      </w:r>
      <w:r>
        <w:rPr>
          <w:rFonts w:ascii="Arial" w:cs="Arial" w:eastAsia="Arial" w:hAnsi="Arial"/>
          <w:sz w:val="13"/>
          <w:szCs w:val="13"/>
          <w:color w:val="auto"/>
        </w:rPr>
        <w:t>Our certificate of incorporation and bylaws contain certain provisions that are intended to enhance the likelihood of continuity and stability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54" w:lineRule="exact"/>
        <w:rPr>
          <w:sz w:val="20"/>
          <w:szCs w:val="20"/>
          <w:color w:val="auto"/>
        </w:rPr>
      </w:pPr>
    </w:p>
    <w:p>
      <w:pPr>
        <w:ind w:left="1400" w:right="40" w:hanging="212"/>
        <w:spacing w:after="0" w:line="273" w:lineRule="auto"/>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Authorized but Unissued Preferred Stock. </w:t>
      </w:r>
      <w:r>
        <w:rPr>
          <w:rFonts w:ascii="Arial" w:cs="Arial" w:eastAsia="Arial" w:hAnsi="Arial"/>
          <w:sz w:val="13"/>
          <w:szCs w:val="13"/>
          <w:color w:val="auto"/>
        </w:rPr>
        <w:t>Our board of directors is authorized to issue, without stockholder approval, preferred stock with such terms as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of directors may determine. For more information, see “Description of Capital Stock — Preferred Stock.”</w:t>
      </w:r>
    </w:p>
    <w:p>
      <w:pPr>
        <w:spacing w:after="0" w:line="33" w:lineRule="exact"/>
        <w:rPr>
          <w:rFonts w:ascii="Arial" w:cs="Arial" w:eastAsia="Arial" w:hAnsi="Arial"/>
          <w:sz w:val="13"/>
          <w:szCs w:val="13"/>
          <w:color w:val="auto"/>
        </w:rPr>
      </w:pPr>
    </w:p>
    <w:p>
      <w:pPr>
        <w:jc w:val="both"/>
        <w:ind w:left="1400" w:right="40" w:hanging="212"/>
        <w:spacing w:after="0" w:line="255" w:lineRule="auto"/>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Calling Special Stockholder Meetings. </w:t>
      </w:r>
      <w:r>
        <w:rPr>
          <w:rFonts w:ascii="Arial" w:cs="Arial" w:eastAsia="Arial" w:hAnsi="Arial"/>
          <w:sz w:val="13"/>
          <w:szCs w:val="13"/>
          <w:color w:val="auto"/>
        </w:rPr>
        <w:t>Our bylaws provide that special meetings of our stockholders may be called only pursuant to the request of our board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directors, by the chairman of our board of directors, by our chief executive officer or by the holders of at least 25% of the voting power of all then outstanding shares of our common stock. In addition, stockholders may not fill vacancies on the board of directors and may not act by written consent.</w:t>
      </w:r>
    </w:p>
    <w:p>
      <w:pPr>
        <w:spacing w:after="0" w:line="44" w:lineRule="exact"/>
        <w:rPr>
          <w:rFonts w:ascii="Arial" w:cs="Arial" w:eastAsia="Arial" w:hAnsi="Arial"/>
          <w:sz w:val="13"/>
          <w:szCs w:val="13"/>
          <w:color w:val="auto"/>
        </w:rPr>
      </w:pPr>
    </w:p>
    <w:p>
      <w:pPr>
        <w:ind w:left="1400" w:right="500" w:hanging="212"/>
        <w:spacing w:after="0" w:line="273" w:lineRule="auto"/>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Notice Procedures. </w:t>
      </w:r>
      <w:r>
        <w:rPr>
          <w:rFonts w:ascii="Arial" w:cs="Arial" w:eastAsia="Arial" w:hAnsi="Arial"/>
          <w:sz w:val="13"/>
          <w:szCs w:val="13"/>
          <w:color w:val="auto"/>
        </w:rPr>
        <w:t>Stockholders must timely provide advance notice, with specific requirements as to form and content, of nominations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or the proposal of business to be voted on at an annual meeting.</w:t>
      </w:r>
    </w:p>
    <w:p>
      <w:pPr>
        <w:spacing w:after="0" w:line="33" w:lineRule="exact"/>
        <w:rPr>
          <w:rFonts w:ascii="Arial" w:cs="Arial" w:eastAsia="Arial" w:hAnsi="Arial"/>
          <w:sz w:val="13"/>
          <w:szCs w:val="13"/>
          <w:color w:val="auto"/>
        </w:rPr>
      </w:pPr>
    </w:p>
    <w:p>
      <w:pPr>
        <w:ind w:left="1400" w:hanging="212"/>
        <w:spacing w:after="0" w:line="242" w:lineRule="auto"/>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Classified Board of Directors. </w:t>
      </w:r>
      <w:r>
        <w:rPr>
          <w:rFonts w:ascii="Arial" w:cs="Arial" w:eastAsia="Arial" w:hAnsi="Arial"/>
          <w:sz w:val="13"/>
          <w:szCs w:val="13"/>
          <w:color w:val="auto"/>
        </w:rPr>
        <w:t>Our bylaws provide that our board of directors will be divided into three classes of directors, with the classes to be as nearly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equal in number as possible. Prior to consummation of this offering, our board will assign each of the current members to their respective class as the board shall determine in its sole discretion, subject to the foregoing requirement that the classes be nearly equal in size. We anticipate we will have a classified board, with two directors in Class I, two directors in Class II and three directors in Class III. The members of each class will serve for a term expiring at the third succeeding annual meeting of stockholders. As a result, approximately one-third of our board will be elected each year. A replacement director shall serve in the same class as the former director he or she is replacing. The classification of our board will have the effect of making it more difficult for stockholders to change the composition of our board.</w:t>
      </w:r>
    </w:p>
    <w:p>
      <w:pPr>
        <w:spacing w:after="0" w:line="55" w:lineRule="exact"/>
        <w:rPr>
          <w:rFonts w:ascii="Arial" w:cs="Arial" w:eastAsia="Arial" w:hAnsi="Arial"/>
          <w:sz w:val="13"/>
          <w:szCs w:val="13"/>
          <w:color w:val="auto"/>
        </w:rPr>
      </w:pPr>
    </w:p>
    <w:p>
      <w:pPr>
        <w:ind w:left="1400" w:right="160" w:hanging="212"/>
        <w:spacing w:after="0" w:line="249" w:lineRule="auto"/>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Other Board of Director Requirements. </w:t>
      </w:r>
      <w:r>
        <w:rPr>
          <w:rFonts w:ascii="Arial" w:cs="Arial" w:eastAsia="Arial" w:hAnsi="Arial"/>
          <w:sz w:val="13"/>
          <w:szCs w:val="13"/>
          <w:color w:val="auto"/>
        </w:rPr>
        <w:t>Our authorized number of directors may be changed only by resolution of the board of directors and all vacancies,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newly created directorships, may, except as otherwise required by law, be filled by the affirmative vote of a majority of directors then in office, even if less than a quorum. In addition, directors may only be removed for cause and then only by a vote of holders of a majority of the shares entitled to vote at an election of directors.</w:t>
      </w: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400" w:hanging="212"/>
        <w:spacing w:after="0" w:line="241" w:lineRule="auto"/>
        <w:tabs>
          <w:tab w:leader="none" w:pos="140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Conflicts of Interest. </w:t>
      </w:r>
      <w:r>
        <w:rPr>
          <w:rFonts w:ascii="Arial" w:cs="Arial" w:eastAsia="Arial" w:hAnsi="Arial"/>
          <w:sz w:val="13"/>
          <w:szCs w:val="13"/>
          <w:color w:val="auto"/>
        </w:rPr>
        <w:t>Delaware law permits corporations to adopt provisions renouncing any interest or expectancy in certain opportunities that are presented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corporation or its officers, directors or stockholders. Our certificate of incorporation renounces any interest or expectancy that we have in, or right to be offered an opportunity to participate in, specified business opportunities. Our certificate of incorporation provides that none of our non-employee directors, non-employee 5% or greater stockholders or their affiliates will have any duty to refrain from engaging in a corporate opportunity in the same or similar lines of business in which we or our affiliates now engage or propose to engage. In addition, in the event that any such director, stockholder or affiliate acquires knowledge of a potential transaction or other business opportunity which may be a corporate opportunity for us or our affiliates, such person will have no duty to communicate or offer such transaction or business opportunity to us and may take any such opportunity for themselves or offer it to another person or entity. Our certificate of incorporation does not renounce our interest in any business opportunity that is expressly offered to a director solely in his or her capacity as our director.</w:t>
      </w:r>
    </w:p>
    <w:p>
      <w:pPr>
        <w:spacing w:after="0" w:line="54" w:lineRule="exact"/>
        <w:rPr>
          <w:rFonts w:ascii="Arial" w:cs="Arial" w:eastAsia="Arial" w:hAnsi="Arial"/>
          <w:sz w:val="13"/>
          <w:szCs w:val="13"/>
          <w:color w:val="auto"/>
        </w:rPr>
      </w:pPr>
    </w:p>
    <w:p>
      <w:pPr>
        <w:ind w:left="1400" w:right="360" w:hanging="212"/>
        <w:spacing w:after="0" w:line="273" w:lineRule="auto"/>
        <w:tabs>
          <w:tab w:leader="none" w:pos="140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Director and Officer Indemnification</w:t>
      </w:r>
      <w:r>
        <w:rPr>
          <w:rFonts w:ascii="Arial" w:cs="Arial" w:eastAsia="Arial" w:hAnsi="Arial"/>
          <w:sz w:val="13"/>
          <w:szCs w:val="13"/>
          <w:color w:val="auto"/>
        </w:rPr>
        <w:t>. We will indemnify officers and directors against losses that they may incur in investigations and legal proceedings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resulting from their services to us, which may include services in connection with takeover defense measures.</w:t>
      </w:r>
    </w:p>
    <w:p>
      <w:pPr>
        <w:spacing w:after="0" w:line="33" w:lineRule="exact"/>
        <w:rPr>
          <w:rFonts w:ascii="Arial" w:cs="Arial" w:eastAsia="Arial" w:hAnsi="Arial"/>
          <w:sz w:val="13"/>
          <w:szCs w:val="13"/>
          <w:color w:val="auto"/>
        </w:rPr>
      </w:pPr>
    </w:p>
    <w:p>
      <w:pPr>
        <w:ind w:left="1400" w:right="40" w:hanging="212"/>
        <w:spacing w:after="0" w:line="221" w:lineRule="auto"/>
        <w:tabs>
          <w:tab w:leader="none" w:pos="140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Supermajority Voting Requirements. </w:t>
      </w:r>
      <w:r>
        <w:rPr>
          <w:rFonts w:ascii="Arial" w:cs="Arial" w:eastAsia="Arial" w:hAnsi="Arial"/>
          <w:sz w:val="13"/>
          <w:szCs w:val="13"/>
          <w:color w:val="auto"/>
        </w:rPr>
        <w:t>The affirmative vote of the holders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in voting power of all shares of our stock entitled to vote generally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election of directors, voting together as a single class, is required in order for our stockholders to alter, amend or repeal the provisions of our bylaws or amend or repeal of certain provisions of our certificate of incorporation including the following:</w:t>
      </w:r>
    </w:p>
    <w:p>
      <w:pPr>
        <w:spacing w:after="0" w:line="80"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classified board (the election and term of our directors);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resignation and removal of directors;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provisions regarding competition and corporate opportunities;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provisions regarding stockholder action by written consent;</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provisions regarding calling special meetings of stockholders;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filling vacancies on our board and newly created directorships;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advance notice requirements for stockholder proposals and director nominations; and</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indemnification provisions.</w:t>
      </w:r>
    </w:p>
    <w:p>
      <w:pPr>
        <w:spacing w:after="0" w:line="86"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addition, our certificate of incorporation grants our board the authority to amend and repeal our bylaws without a stockholder vote in any manner not inconsistent with the laws of the State of Delaware or our certificate of incorporation.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Liability and Indemnification of Officers and Directors</w:t>
      </w:r>
    </w:p>
    <w:p>
      <w:pPr>
        <w:spacing w:after="0" w:line="102" w:lineRule="exact"/>
        <w:rPr>
          <w:sz w:val="20"/>
          <w:szCs w:val="20"/>
          <w:color w:val="auto"/>
        </w:rPr>
      </w:pPr>
    </w:p>
    <w:p>
      <w:pPr>
        <w:jc w:val="both"/>
        <w:ind w:left="680" w:right="60" w:firstLine="499"/>
        <w:spacing w:after="0" w:line="242" w:lineRule="auto"/>
        <w:rPr>
          <w:sz w:val="20"/>
          <w:szCs w:val="20"/>
          <w:color w:val="auto"/>
        </w:rPr>
      </w:pPr>
      <w:r>
        <w:rPr>
          <w:rFonts w:ascii="Arial" w:cs="Arial" w:eastAsia="Arial" w:hAnsi="Arial"/>
          <w:sz w:val="13"/>
          <w:szCs w:val="13"/>
          <w:color w:val="auto"/>
        </w:rPr>
        <w:t>The DGCL authorizes corporations to limit or eliminate the personal liability of directors to corporations and their stockholders for monetary damages for breaches of directors’ fiduciary duties. Our certificate of incorporation includes a provision that eliminates the personal liability of directors for monetary damages for actions taken as a director, except to the extent such exemption from liability is not permitted by the DGCL.</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certificate of incorporation and bylaws provide that we must indemnify our directors and officers to the fullest extent authorized by the DGCL. We are also expressly obligated to advance certain expenses (including attorneys’ fees and disbursements and court costs) and carry directors’ and officers’ insurance providing indemnification for our directors, officers and certain employees for some liabilities. We believe that these indemnification provisions and insurance are useful to attract and retain qualified directors and executive officers.</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Our depositary shares and common stock have been approved for listing on the NYSE under the symbol “MX.”</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 Warrant Agent</w:t>
      </w:r>
    </w:p>
    <w:p>
      <w:pPr>
        <w:spacing w:after="0" w:line="102"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The transfer agent and registrar for our common stock and the warrant agent for our warrants is American Stock Transfer &amp; Trust Company, LLC and its telephone number is (800) 937-5449.</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DEPOSITARY SHARES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2" w:lineRule="exact"/>
        <w:rPr>
          <w:sz w:val="20"/>
          <w:szCs w:val="20"/>
          <w:color w:val="auto"/>
        </w:rPr>
      </w:pPr>
    </w:p>
    <w:p>
      <w:pPr>
        <w:ind w:left="680" w:right="920" w:firstLine="499"/>
        <w:spacing w:after="0" w:line="239" w:lineRule="auto"/>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 share of common stock and will be evidenced by a depositary receipt in the form described below. The shares of common stock represented by depositary shares will be deposited under a deposit agreement among MagnaChip Semiconductor Corporation, American Stock Transfer &amp; Trust Company, LLC, as the depositary, and the holders from time to time of the depositary shares. Each holder of a depositary share will be entitled, through the depositary, to all the rights and preferences of the shares of common stock represented thereby.</w:t>
      </w:r>
    </w:p>
    <w:p>
      <w:pPr>
        <w:spacing w:after="0" w:line="81" w:lineRule="exact"/>
        <w:rPr>
          <w:sz w:val="20"/>
          <w:szCs w:val="20"/>
          <w:color w:val="auto"/>
        </w:rPr>
      </w:pPr>
    </w:p>
    <w:p>
      <w:pPr>
        <w:ind w:left="680" w:right="920" w:firstLine="499"/>
        <w:spacing w:after="0"/>
        <w:rPr>
          <w:sz w:val="20"/>
          <w:szCs w:val="20"/>
          <w:color w:val="auto"/>
        </w:rPr>
      </w:pPr>
      <w:r>
        <w:rPr>
          <w:rFonts w:ascii="Arial" w:cs="Arial" w:eastAsia="Arial" w:hAnsi="Arial"/>
          <w:sz w:val="13"/>
          <w:szCs w:val="13"/>
          <w:color w:val="auto"/>
        </w:rPr>
        <w:t>To enable our unitholders to obtain the preferred income tax treatment for the corporate conversion, this offering has been structured so that each purchaser will purchase a combination of shares sold by us (primary shares) and shares sold by the selling stockholders (secondary shares) in a specified ratio. Each depositary share sold in this offering represents a fraction of a primary share and a fraction of a secondary share in such specified ratio. The offering of depositary shares will enable us and our unitholders to establish that each purchaser will purchase such fixed ratio of primary to secondary shares.</w:t>
      </w:r>
    </w:p>
    <w:p>
      <w:pPr>
        <w:spacing w:after="0" w:line="80" w:lineRule="exact"/>
        <w:rPr>
          <w:sz w:val="20"/>
          <w:szCs w:val="20"/>
          <w:color w:val="auto"/>
        </w:rPr>
      </w:pPr>
    </w:p>
    <w:p>
      <w:pPr>
        <w:jc w:val="both"/>
        <w:ind w:left="680" w:right="860" w:firstLine="499"/>
        <w:spacing w:after="0" w:line="242" w:lineRule="auto"/>
        <w:rPr>
          <w:sz w:val="20"/>
          <w:szCs w:val="20"/>
          <w:color w:val="auto"/>
        </w:rPr>
      </w:pPr>
      <w:r>
        <w:rPr>
          <w:rFonts w:ascii="Arial" w:cs="Arial" w:eastAsia="Arial" w:hAnsi="Arial"/>
          <w:sz w:val="13"/>
          <w:szCs w:val="13"/>
          <w:color w:val="auto"/>
        </w:rPr>
        <w:t>All of the shares of common stock sold in this offering will be deposited with the depositary prior to the completion of this offering. We then will issue the depositary shares to the underwriters via the depositary pursuant to the deposit agreement. A copy of the form of the deposit agreement has been filed as an exhibit to the registration statement of which this prospectus is a part.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Cancellation of Depositary Shares</w:t>
      </w:r>
    </w:p>
    <w:p>
      <w:pPr>
        <w:spacing w:after="0" w:line="102" w:lineRule="exact"/>
        <w:rPr>
          <w:sz w:val="20"/>
          <w:szCs w:val="20"/>
          <w:color w:val="auto"/>
        </w:rPr>
      </w:pPr>
    </w:p>
    <w:p>
      <w:pPr>
        <w:jc w:val="both"/>
        <w:ind w:left="680" w:right="860" w:firstLine="499"/>
        <w:spacing w:after="0" w:line="248" w:lineRule="auto"/>
        <w:rPr>
          <w:sz w:val="20"/>
          <w:szCs w:val="20"/>
          <w:color w:val="auto"/>
        </w:rPr>
      </w:pPr>
      <w:r>
        <w:rPr>
          <w:rFonts w:ascii="Arial" w:cs="Arial" w:eastAsia="Arial" w:hAnsi="Arial"/>
          <w:sz w:val="13"/>
          <w:szCs w:val="13"/>
          <w:color w:val="auto"/>
        </w:rPr>
        <w:t>On , 2010 (45 days after the date of this prospectus), each holder of depositary shares will be credited with a number of shares of common stock equal to the number of depositary shares held by such holder on that date, and the depositary shares will be canceled.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Fees and Expenses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Except as described under “Withdrawal,” we will pay all fees, charges and expenses of the depositary and any agent of the depositary, including any fees, charges</w:t>
      </w:r>
    </w:p>
    <w:tbl>
      <w:tblPr>
        <w:tblLayout w:type="fixed"/>
        <w:tblInd w:w="680" w:type="dxa"/>
        <w:tblCellMar>
          <w:top w:w="0" w:type="dxa"/>
          <w:left w:w="0" w:type="dxa"/>
          <w:bottom w:w="0" w:type="dxa"/>
          <w:right w:w="0" w:type="dxa"/>
        </w:tblCellMar>
      </w:tblPr>
      <w:tr>
        <w:trPr>
          <w:trHeight w:val="157"/>
        </w:trPr>
        <w:tc>
          <w:tcPr>
            <w:tcW w:w="5140" w:type="dxa"/>
            <w:vAlign w:val="bottom"/>
          </w:tcPr>
          <w:p>
            <w:pPr>
              <w:spacing w:after="0"/>
              <w:rPr>
                <w:sz w:val="20"/>
                <w:szCs w:val="20"/>
                <w:color w:val="auto"/>
              </w:rPr>
            </w:pPr>
            <w:r>
              <w:rPr>
                <w:rFonts w:ascii="Arial" w:cs="Arial" w:eastAsia="Arial" w:hAnsi="Arial"/>
                <w:sz w:val="13"/>
                <w:szCs w:val="13"/>
                <w:color w:val="auto"/>
              </w:rPr>
              <w:t>and expenses payable in connection with the cancellation of the depositary shares on</w:t>
            </w:r>
          </w:p>
        </w:tc>
        <w:tc>
          <w:tcPr>
            <w:tcW w:w="1960" w:type="dxa"/>
            <w:vAlign w:val="bottom"/>
          </w:tcPr>
          <w:p>
            <w:pPr>
              <w:jc w:val="right"/>
              <w:ind w:right="1314"/>
              <w:spacing w:after="0"/>
              <w:rPr>
                <w:sz w:val="20"/>
                <w:szCs w:val="20"/>
                <w:color w:val="auto"/>
              </w:rPr>
            </w:pPr>
            <w:r>
              <w:rPr>
                <w:rFonts w:ascii="Arial" w:cs="Arial" w:eastAsia="Arial" w:hAnsi="Arial"/>
                <w:sz w:val="13"/>
                <w:szCs w:val="13"/>
                <w:color w:val="auto"/>
              </w:rPr>
              <w:t>, 2010.</w:t>
            </w:r>
          </w:p>
        </w:tc>
        <w:tc>
          <w:tcPr>
            <w:tcW w:w="580" w:type="dxa"/>
            <w:vAlign w:val="bottom"/>
          </w:tcPr>
          <w:p>
            <w:pPr>
              <w:spacing w:after="0"/>
              <w:rPr>
                <w:sz w:val="13"/>
                <w:szCs w:val="13"/>
                <w:color w:val="auto"/>
              </w:rPr>
            </w:pPr>
          </w:p>
        </w:tc>
      </w:tr>
      <w:tr>
        <w:trPr>
          <w:trHeight w:val="315"/>
        </w:trPr>
        <w:tc>
          <w:tcPr>
            <w:tcW w:w="5140" w:type="dxa"/>
            <w:vAlign w:val="bottom"/>
          </w:tcPr>
          <w:p>
            <w:pPr>
              <w:spacing w:after="0"/>
              <w:rPr>
                <w:sz w:val="20"/>
                <w:szCs w:val="20"/>
                <w:color w:val="auto"/>
              </w:rPr>
            </w:pPr>
            <w:r>
              <w:rPr>
                <w:rFonts w:ascii="Arial" w:cs="Arial" w:eastAsia="Arial" w:hAnsi="Arial"/>
                <w:sz w:val="13"/>
                <w:szCs w:val="13"/>
                <w:b w:val="1"/>
                <w:bCs w:val="1"/>
                <w:color w:val="auto"/>
              </w:rPr>
              <w:t>Dividends and Other Distributions</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6"/>
        </w:trPr>
        <w:tc>
          <w:tcPr>
            <w:tcW w:w="7100" w:type="dxa"/>
            <w:vAlign w:val="bottom"/>
            <w:gridSpan w:val="2"/>
          </w:tcPr>
          <w:p>
            <w:pPr>
              <w:ind w:left="500"/>
              <w:spacing w:after="0"/>
              <w:rPr>
                <w:sz w:val="20"/>
                <w:szCs w:val="20"/>
                <w:color w:val="auto"/>
              </w:rPr>
            </w:pPr>
            <w:r>
              <w:rPr>
                <w:rFonts w:ascii="Arial" w:cs="Arial" w:eastAsia="Arial" w:hAnsi="Arial"/>
                <w:sz w:val="13"/>
                <w:szCs w:val="13"/>
                <w:color w:val="auto"/>
              </w:rPr>
              <w:t>We do not expect to pay any dividends or other distribution prior to the cancellation of the depositary shares on</w:t>
            </w:r>
          </w:p>
        </w:tc>
        <w:tc>
          <w:tcPr>
            <w:tcW w:w="580" w:type="dxa"/>
            <w:vAlign w:val="bottom"/>
          </w:tcPr>
          <w:p>
            <w:pPr>
              <w:jc w:val="right"/>
              <w:spacing w:after="0"/>
              <w:rPr>
                <w:sz w:val="20"/>
                <w:szCs w:val="20"/>
                <w:color w:val="auto"/>
              </w:rPr>
            </w:pPr>
            <w:r>
              <w:rPr>
                <w:rFonts w:ascii="Arial" w:cs="Arial" w:eastAsia="Arial" w:hAnsi="Arial"/>
                <w:sz w:val="13"/>
                <w:szCs w:val="13"/>
                <w:color w:val="auto"/>
              </w:rPr>
              <w:t>, 2010.</w:t>
            </w:r>
          </w:p>
        </w:tc>
      </w:tr>
    </w:tbl>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Our depositary shares and common stock have been approved for listing on the New York Stock Exchange under the symbol “MX.” Before the cancellation of the</w:t>
      </w:r>
    </w:p>
    <w:p>
      <w:pPr>
        <w:ind w:left="680" w:right="1160"/>
        <w:spacing w:after="0" w:line="236" w:lineRule="auto"/>
        <w:rPr>
          <w:sz w:val="20"/>
          <w:szCs w:val="20"/>
          <w:color w:val="auto"/>
        </w:rPr>
      </w:pPr>
      <w:r>
        <w:rPr>
          <w:rFonts w:ascii="Arial" w:cs="Arial" w:eastAsia="Arial" w:hAnsi="Arial"/>
          <w:sz w:val="13"/>
          <w:szCs w:val="13"/>
          <w:color w:val="auto"/>
        </w:rPr>
        <w:t>depositary shares on , 2010, all of the shares of common stock sold in this offering will be deposited with the depositary and there will not be any separate public trading market for our shares of common stock, except as represented by the depositary shares and only the depositary shares will be listed on the New York Stock</w:t>
      </w:r>
    </w:p>
    <w:tbl>
      <w:tblPr>
        <w:tblLayout w:type="fixed"/>
        <w:tblInd w:w="0" w:type="dxa"/>
        <w:tblCellMar>
          <w:top w:w="0" w:type="dxa"/>
          <w:left w:w="0" w:type="dxa"/>
          <w:bottom w:w="0" w:type="dxa"/>
          <w:right w:w="0" w:type="dxa"/>
        </w:tblCellMar>
      </w:tblPr>
      <w:tr>
        <w:trPr>
          <w:trHeight w:val="148"/>
        </w:trPr>
        <w:tc>
          <w:tcPr>
            <w:tcW w:w="4360" w:type="dxa"/>
            <w:vAlign w:val="bottom"/>
          </w:tcPr>
          <w:p>
            <w:pPr>
              <w:ind w:left="680"/>
              <w:spacing w:after="0" w:line="149" w:lineRule="exact"/>
              <w:rPr>
                <w:sz w:val="20"/>
                <w:szCs w:val="20"/>
                <w:color w:val="auto"/>
              </w:rPr>
            </w:pPr>
            <w:r>
              <w:rPr>
                <w:rFonts w:ascii="Arial" w:cs="Arial" w:eastAsia="Arial" w:hAnsi="Arial"/>
                <w:sz w:val="13"/>
                <w:szCs w:val="13"/>
                <w:color w:val="auto"/>
              </w:rPr>
              <w:t>Exchange. After the cancellation of the depositary shares on</w:t>
            </w:r>
          </w:p>
        </w:tc>
        <w:tc>
          <w:tcPr>
            <w:tcW w:w="7100" w:type="dxa"/>
            <w:vAlign w:val="bottom"/>
          </w:tcPr>
          <w:p>
            <w:pPr>
              <w:jc w:val="right"/>
              <w:ind w:right="794"/>
              <w:spacing w:after="0" w:line="149" w:lineRule="exact"/>
              <w:rPr>
                <w:sz w:val="20"/>
                <w:szCs w:val="20"/>
                <w:color w:val="auto"/>
              </w:rPr>
            </w:pPr>
            <w:r>
              <w:rPr>
                <w:rFonts w:ascii="Arial" w:cs="Arial" w:eastAsia="Arial" w:hAnsi="Arial"/>
                <w:sz w:val="13"/>
                <w:szCs w:val="13"/>
                <w:color w:val="auto"/>
              </w:rPr>
              <w:t>, 2010, we expect that our shares of common stock will be listed on the New York Stock Exchange under</w:t>
            </w:r>
          </w:p>
        </w:tc>
      </w:tr>
      <w:tr>
        <w:trPr>
          <w:trHeight w:val="157"/>
        </w:trPr>
        <w:tc>
          <w:tcPr>
            <w:tcW w:w="4360" w:type="dxa"/>
            <w:vAlign w:val="bottom"/>
          </w:tcPr>
          <w:p>
            <w:pPr>
              <w:ind w:left="680"/>
              <w:spacing w:after="0"/>
              <w:rPr>
                <w:sz w:val="20"/>
                <w:szCs w:val="20"/>
                <w:color w:val="auto"/>
              </w:rPr>
            </w:pPr>
            <w:r>
              <w:rPr>
                <w:rFonts w:ascii="Arial" w:cs="Arial" w:eastAsia="Arial" w:hAnsi="Arial"/>
                <w:sz w:val="13"/>
                <w:szCs w:val="13"/>
                <w:color w:val="auto"/>
              </w:rPr>
              <w:t>the symbol “MX.”</w:t>
            </w:r>
          </w:p>
        </w:tc>
        <w:tc>
          <w:tcPr>
            <w:tcW w:w="7100" w:type="dxa"/>
            <w:vAlign w:val="bottom"/>
          </w:tcPr>
          <w:p>
            <w:pPr>
              <w:spacing w:after="0"/>
              <w:rPr>
                <w:sz w:val="13"/>
                <w:szCs w:val="13"/>
                <w:color w:val="auto"/>
              </w:rPr>
            </w:pPr>
          </w:p>
        </w:tc>
      </w:tr>
      <w:tr>
        <w:trPr>
          <w:trHeight w:val="432"/>
        </w:trPr>
        <w:tc>
          <w:tcPr>
            <w:tcW w:w="4360" w:type="dxa"/>
            <w:vAlign w:val="bottom"/>
          </w:tcPr>
          <w:p>
            <w:pPr>
              <w:spacing w:after="0"/>
              <w:rPr>
                <w:sz w:val="24"/>
                <w:szCs w:val="24"/>
                <w:color w:val="auto"/>
              </w:rPr>
            </w:pPr>
          </w:p>
        </w:tc>
        <w:tc>
          <w:tcPr>
            <w:tcW w:w="7100" w:type="dxa"/>
            <w:vAlign w:val="bottom"/>
          </w:tcPr>
          <w:p>
            <w:pPr>
              <w:jc w:val="right"/>
              <w:ind w:right="5614"/>
              <w:spacing w:after="0"/>
              <w:rPr>
                <w:sz w:val="20"/>
                <w:szCs w:val="20"/>
                <w:color w:val="auto"/>
              </w:rPr>
            </w:pPr>
            <w:r>
              <w:rPr>
                <w:rFonts w:ascii="Arial" w:cs="Arial" w:eastAsia="Arial" w:hAnsi="Arial"/>
                <w:sz w:val="13"/>
                <w:szCs w:val="13"/>
                <w:color w:val="auto"/>
              </w:rPr>
              <w:t>159</w:t>
            </w:r>
          </w:p>
        </w:tc>
      </w:tr>
      <w:tr>
        <w:trPr>
          <w:trHeight w:val="153"/>
        </w:trPr>
        <w:tc>
          <w:tcPr>
            <w:tcW w:w="4360" w:type="dxa"/>
            <w:vAlign w:val="bottom"/>
            <w:tcBorders>
              <w:bottom w:val="single" w:sz="8" w:color="808080"/>
            </w:tcBorders>
          </w:tcPr>
          <w:p>
            <w:pPr>
              <w:spacing w:after="0"/>
              <w:rPr>
                <w:sz w:val="13"/>
                <w:szCs w:val="13"/>
                <w:color w:val="auto"/>
              </w:rPr>
            </w:pPr>
          </w:p>
        </w:tc>
        <w:tc>
          <w:tcPr>
            <w:tcW w:w="71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Withdrawal</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Holders of depositary shares have the right to cancel their depositary shares and withdraw the underlying common shares at any time subject only to:</w:t>
      </w:r>
    </w:p>
    <w:p>
      <w:pPr>
        <w:spacing w:after="0" w:line="86" w:lineRule="exact"/>
        <w:rPr>
          <w:sz w:val="20"/>
          <w:szCs w:val="20"/>
          <w:color w:val="auto"/>
        </w:rPr>
      </w:pPr>
    </w:p>
    <w:p>
      <w:pPr>
        <w:ind w:left="1400" w:hanging="212"/>
        <w:spacing w:after="0"/>
        <w:tabs>
          <w:tab w:leader="none" w:pos="140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temporary delays caused by closing of our or the depositary’s transfer books;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payment of fees, charges, taxes and other governmental charges; or</w:t>
      </w:r>
    </w:p>
    <w:p>
      <w:pPr>
        <w:spacing w:after="0" w:line="76" w:lineRule="exact"/>
        <w:rPr>
          <w:rFonts w:ascii="Arial" w:cs="Arial" w:eastAsia="Arial" w:hAnsi="Arial"/>
          <w:sz w:val="13"/>
          <w:szCs w:val="13"/>
          <w:color w:val="auto"/>
        </w:rPr>
      </w:pPr>
    </w:p>
    <w:p>
      <w:pPr>
        <w:ind w:left="1400" w:hanging="212"/>
        <w:spacing w:after="0" w:line="242" w:lineRule="auto"/>
        <w:tabs>
          <w:tab w:leader="none" w:pos="140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where deemed necessary or advisable by the depositary or us in good faith due to any requirement of any U.S. or foreign laws, government, governmental body or commission, any securities exchange on which the depositary shares are listed or governmental regulations relating to the depositary shares or the withdrawal of the underlying shares of common stock.</w:t>
      </w:r>
    </w:p>
    <w:p>
      <w:pPr>
        <w:spacing w:after="0" w:line="79"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However, until , 2010, our common stock will not be listed on any exchange. Therefore, until that date, it may be more difficult to dispose of our shares of common stock than it will be to dispose of our depositary shares.</w:t>
      </w:r>
    </w:p>
    <w:p>
      <w:pPr>
        <w:spacing w:after="0" w:line="74"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If you elect to withdraw the shares of common stock underlying your depositary shares from the depositary, you will be required to pay any taxes or charges, such as stamp taxes or stock transfer taxes or fees, in connection with the withdrawal.</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Form of Depositary Shares and Depositary Receipts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depositary shares shall be issued in book-entry form and American Stock Transfer &amp; Trust Company, LLC will serve as depositary. Ownership of the depositary shares shall be recorded in the depositary’s book-entry system. The depositary receipts shall be statements delivered by the depositary evidencing the depositary shares held under the terms of the deposit agreement and shall not be physical certificated depositary receipts. The shares of common stock sold in this offering will be issued in registered form and held by the depositary.</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Obligations and Liability</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deposit agreement expressly limits our and the depositary’s obligations and liability.</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and the depositary:</w:t>
      </w:r>
    </w:p>
    <w:p>
      <w:pPr>
        <w:spacing w:after="0" w:line="86" w:lineRule="exact"/>
        <w:rPr>
          <w:sz w:val="20"/>
          <w:szCs w:val="20"/>
          <w:color w:val="auto"/>
        </w:rPr>
      </w:pPr>
    </w:p>
    <w:p>
      <w:pPr>
        <w:ind w:left="1400" w:hanging="212"/>
        <w:spacing w:after="0"/>
        <w:tabs>
          <w:tab w:leader="none" w:pos="14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have agreed to perform our respective obligations specifically set forth in the deposit agreement without gross negligence or bad faith;</w:t>
      </w:r>
    </w:p>
    <w:p>
      <w:pPr>
        <w:spacing w:after="0" w:line="76" w:lineRule="exact"/>
        <w:rPr>
          <w:rFonts w:ascii="Arial" w:cs="Arial" w:eastAsia="Arial" w:hAnsi="Arial"/>
          <w:sz w:val="13"/>
          <w:szCs w:val="13"/>
          <w:color w:val="auto"/>
        </w:rPr>
      </w:pPr>
    </w:p>
    <w:p>
      <w:pPr>
        <w:ind w:left="1400" w:right="20" w:hanging="212"/>
        <w:spacing w:after="0"/>
        <w:tabs>
          <w:tab w:leader="none" w:pos="14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are not liable if either of us by law or circumstances beyond our control is prevented from, or delayed in, performing any obligation under the deposit agreement, including, without limitation, requirements of any present or future law, regulation, governmental or regulatory authority or stock exchange of any applicable jurisdiction, any present or future provision of our certificate of incorporation and bylaws, on account of possible civil or criminal penalties or restraint, any provisions of or governing the deposited securities, any act of God, war or other circumstances beyond each of our control as set forth in the deposit agreement;</w:t>
      </w:r>
    </w:p>
    <w:p>
      <w:pPr>
        <w:spacing w:after="0" w:line="217" w:lineRule="exact"/>
        <w:rPr>
          <w:rFonts w:ascii="Arial" w:cs="Arial" w:eastAsia="Arial" w:hAnsi="Arial"/>
          <w:sz w:val="13"/>
          <w:szCs w:val="13"/>
          <w:color w:val="auto"/>
        </w:rPr>
      </w:pPr>
    </w:p>
    <w:p>
      <w:pPr>
        <w:ind w:left="1400" w:right="320" w:hanging="212"/>
        <w:spacing w:after="0" w:line="248" w:lineRule="auto"/>
        <w:tabs>
          <w:tab w:leader="none" w:pos="14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are not liable if either of us exercises or fails to exercise the discretion permitted under the deposit agreement, the provisions of or governing the deposited shares of common stock or our certificate of incorporation and bylaws;</w:t>
      </w:r>
    </w:p>
    <w:p>
      <w:pPr>
        <w:spacing w:after="0" w:line="64" w:lineRule="exact"/>
        <w:rPr>
          <w:rFonts w:ascii="Arial" w:cs="Arial" w:eastAsia="Arial" w:hAnsi="Arial"/>
          <w:sz w:val="13"/>
          <w:szCs w:val="13"/>
          <w:color w:val="auto"/>
        </w:rPr>
      </w:pPr>
    </w:p>
    <w:p>
      <w:pPr>
        <w:ind w:left="1400" w:right="180" w:hanging="212"/>
        <w:spacing w:after="0" w:line="242" w:lineRule="auto"/>
        <w:tabs>
          <w:tab w:leader="none" w:pos="14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are not liable for any action or inaction on the advice or information of legal counsel, accountants, any person presenting common shares for deposit, holders and beneficial owners (or authorized representatives) of depositary shares, or any person believed in good faith to be competent to give such advice or information;</w:t>
      </w:r>
    </w:p>
    <w:p>
      <w:pPr>
        <w:spacing w:after="0" w:line="68" w:lineRule="exact"/>
        <w:rPr>
          <w:rFonts w:ascii="Arial" w:cs="Arial" w:eastAsia="Arial" w:hAnsi="Arial"/>
          <w:sz w:val="13"/>
          <w:szCs w:val="13"/>
          <w:color w:val="auto"/>
        </w:rPr>
      </w:pPr>
    </w:p>
    <w:p>
      <w:pPr>
        <w:ind w:left="1400" w:right="40" w:hanging="212"/>
        <w:spacing w:after="0" w:line="248" w:lineRule="auto"/>
        <w:tabs>
          <w:tab w:leader="none" w:pos="14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are not liable for the inability of any holder to benefit from any distribution, offering, right or other benefit if made in accordance with the provisions of the deposit agreement;</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00" w:hanging="212"/>
        <w:spacing w:after="0" w:line="248" w:lineRule="auto"/>
        <w:tabs>
          <w:tab w:leader="none" w:pos="14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have no obligation to become involved in a lawsuit or other proceeding related to any deposited shares of common stock or the depositary shares or the deposit agreement on behalf of holders of depositary shares or on behalf of any other party;</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may rely upon any documents we believe in good faith to be genuine and to have been signed or presented by the proper party;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shall not incur any liability for any indirect, special, punitive or consequential damages for any breach of the terms of the deposit agreement.</w:t>
      </w:r>
    </w:p>
    <w:p>
      <w:pPr>
        <w:spacing w:after="0" w:line="86"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depositary and its agents will not incur any liability under the deposit agreement for the failure to determine that any action may be lawful or reasonably practicable, allowing any rights to lapse in accordance with the provisions of the deposit agreement, the failure or timeliness of any notice from us, the content of any information submitted to it by us for distribution to holders of depositary shares, any investment risk associated with the acquisition of an interest in our shares of common stock, the validity or worth of the deposited shares of common stock, any tax consequences that may result from ownership of depositary shares or shares of common stock, the creditworthiness of any third party and for any indirect, special, punitive or consequential damage. We also have agreed to indemnify the depositary under certain circumstances. The depositary may own and deal in any class of our securities, including the depositary shares.</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Notwithstanding the foregoing, the deposit agreement does not limit our liability under federal securities laws.</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CERTAIN INDEBTEDNESS</w:t>
      </w:r>
    </w:p>
    <w:p>
      <w:pPr>
        <w:spacing w:after="0" w:line="102" w:lineRule="exact"/>
        <w:rPr>
          <w:sz w:val="20"/>
          <w:szCs w:val="20"/>
          <w:color w:val="auto"/>
        </w:rPr>
      </w:pPr>
    </w:p>
    <w:p>
      <w:pPr>
        <w:ind w:left="680" w:right="860" w:firstLine="499"/>
        <w:spacing w:after="0"/>
        <w:rPr>
          <w:sz w:val="20"/>
          <w:szCs w:val="20"/>
          <w:color w:val="auto"/>
        </w:rPr>
      </w:pPr>
      <w:r>
        <w:rPr>
          <w:rFonts w:ascii="Arial" w:cs="Arial" w:eastAsia="Arial" w:hAnsi="Arial"/>
          <w:sz w:val="13"/>
          <w:szCs w:val="13"/>
          <w:color w:val="auto"/>
        </w:rPr>
        <w:t>On April 9, 2010, MagnaChip Semiconductor S.A. and MagnaChip Semiconductor Finance Company, or the Issuers, two of our wholly-owned subsidiaries, issued $250 million aggregate principal amount of 10.500% Senior Notes due 2018, or the senior notes. The senior notes mature on April 15, 2018, at which time the principal amount outstanding thereunder will be due and payable. The Issuers may issue additional senior notes from time to time under the indenture governing the senior notes, or the Indenture, subject to compliance with the terms of the Indenture.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Ranking</w:t>
      </w:r>
    </w:p>
    <w:p>
      <w:pPr>
        <w:spacing w:after="0" w:line="102" w:lineRule="exact"/>
        <w:rPr>
          <w:sz w:val="20"/>
          <w:szCs w:val="20"/>
          <w:color w:val="auto"/>
        </w:rPr>
      </w:pPr>
    </w:p>
    <w:p>
      <w:pPr>
        <w:ind w:left="680" w:right="900" w:firstLine="499"/>
        <w:spacing w:after="0" w:line="242" w:lineRule="auto"/>
        <w:rPr>
          <w:sz w:val="20"/>
          <w:szCs w:val="20"/>
          <w:color w:val="auto"/>
        </w:rPr>
      </w:pPr>
      <w:r>
        <w:rPr>
          <w:rFonts w:ascii="Arial" w:cs="Arial" w:eastAsia="Arial" w:hAnsi="Arial"/>
          <w:sz w:val="13"/>
          <w:szCs w:val="13"/>
          <w:color w:val="auto"/>
        </w:rPr>
        <w:t>The senior notes are the Issuers’ general unsecured senior obligations, rank equally in right of payment with all of their existing and future unsecured senior indebtedness, are effectively subordinated to all their secured indebtedness, to the extent of the value of the collateral securing such indebtedness, and rank senior in right of payment to all of their subordinated indebtedness.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w:t>
      </w:r>
    </w:p>
    <w:p>
      <w:pPr>
        <w:spacing w:after="0" w:line="102" w:lineRule="exact"/>
        <w:rPr>
          <w:sz w:val="20"/>
          <w:szCs w:val="20"/>
          <w:color w:val="auto"/>
        </w:rPr>
      </w:pPr>
    </w:p>
    <w:p>
      <w:pPr>
        <w:ind w:left="680" w:right="820" w:firstLine="499"/>
        <w:spacing w:after="0"/>
        <w:rPr>
          <w:sz w:val="20"/>
          <w:szCs w:val="20"/>
          <w:color w:val="auto"/>
        </w:rPr>
      </w:pPr>
      <w:r>
        <w:rPr>
          <w:rFonts w:ascii="Arial" w:cs="Arial" w:eastAsia="Arial" w:hAnsi="Arial"/>
          <w:sz w:val="13"/>
          <w:szCs w:val="13"/>
          <w:color w:val="auto"/>
        </w:rPr>
        <w:t>Interest on the senior notes accrues at the rate of 10.500% per annum and is payable semi-annually in arrears on April 15 and October 15 to the holders of the senior notes of record on the immediately preceding April 1 and October 1. Interest on the senior notes will be computed on the basis of a 360-day year comprised of twelve 30-day months. Special interest may accrue on the senior notes in certain circumstances if we fail to comply with our registration obligations with respect to the senior notes pursuant to an exchange and registration rights agreement. Any special interest on the senior notes will be payable in cash.</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Guarantees</w:t>
      </w:r>
    </w:p>
    <w:p>
      <w:pPr>
        <w:spacing w:after="0" w:line="102" w:lineRule="exact"/>
        <w:rPr>
          <w:sz w:val="20"/>
          <w:szCs w:val="20"/>
          <w:color w:val="auto"/>
        </w:rPr>
      </w:pPr>
    </w:p>
    <w:p>
      <w:pPr>
        <w:ind w:left="680" w:right="980" w:firstLine="499"/>
        <w:spacing w:after="0" w:line="239" w:lineRule="auto"/>
        <w:rPr>
          <w:sz w:val="20"/>
          <w:szCs w:val="20"/>
          <w:color w:val="auto"/>
        </w:rPr>
      </w:pPr>
      <w:r>
        <w:rPr>
          <w:rFonts w:ascii="Arial" w:cs="Arial" w:eastAsia="Arial" w:hAnsi="Arial"/>
          <w:sz w:val="13"/>
          <w:szCs w:val="13"/>
          <w:color w:val="auto"/>
        </w:rPr>
        <w:t>The obligations under the senior notes are fully and unconditionally guaranteed on an unsecured senior basis by us and all of our subsidiaries, other than our insignificant subsidiaries, as defined in the Indenture, our unrestricted subsidiaries, as defined in the Indenture, our subsidiaries organized under the laws of the People’s Republic of China, and MagnaChip Korea. The guarantees of the senior notes rank equally in right of payment with or senior to all indebtedness of us and all such subsidiaries. Such guarantees are effectively subordinated in right of payment to all secured indebtedness of us and all such subsidiaries, to the extent of the value of the collateral securing such indebtedness, and rank senior in right of payment to all of subordinated indebtedness of us and all such subsidiaries.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Optional Redemption</w:t>
      </w:r>
    </w:p>
    <w:p>
      <w:pPr>
        <w:spacing w:after="0" w:line="102" w:lineRule="exact"/>
        <w:rPr>
          <w:sz w:val="20"/>
          <w:szCs w:val="20"/>
          <w:color w:val="auto"/>
        </w:rPr>
      </w:pPr>
    </w:p>
    <w:p>
      <w:pPr>
        <w:jc w:val="both"/>
        <w:ind w:left="680" w:right="800" w:firstLine="499"/>
        <w:spacing w:after="0" w:line="242" w:lineRule="auto"/>
        <w:rPr>
          <w:sz w:val="20"/>
          <w:szCs w:val="20"/>
          <w:color w:val="auto"/>
        </w:rPr>
      </w:pPr>
      <w:r>
        <w:rPr>
          <w:rFonts w:ascii="Arial" w:cs="Arial" w:eastAsia="Arial" w:hAnsi="Arial"/>
          <w:sz w:val="13"/>
          <w:szCs w:val="13"/>
          <w:color w:val="auto"/>
        </w:rPr>
        <w:t>At any time prior to April 15, 2013, the Issuers may, on one or more occasions, redeem up to 35% of the aggregate principal amount of the senior notes with the net cash proceeds of certain qualified equity offerings by us, at a redemption price equal to 110.500% of the principal amount of the senior notes to be redeemed, plus accrued and unpaid interest and special interest, if any, to the redemption date.</w:t>
      </w:r>
    </w:p>
    <w:p>
      <w:pPr>
        <w:spacing w:after="0" w:line="79" w:lineRule="exact"/>
        <w:rPr>
          <w:sz w:val="20"/>
          <w:szCs w:val="20"/>
          <w:color w:val="auto"/>
        </w:rPr>
      </w:pPr>
    </w:p>
    <w:p>
      <w:pPr>
        <w:ind w:left="680" w:right="860" w:firstLine="499"/>
        <w:spacing w:after="0" w:line="242" w:lineRule="auto"/>
        <w:rPr>
          <w:sz w:val="20"/>
          <w:szCs w:val="20"/>
          <w:color w:val="auto"/>
        </w:rPr>
      </w:pPr>
      <w:r>
        <w:rPr>
          <w:rFonts w:ascii="Arial" w:cs="Arial" w:eastAsia="Arial" w:hAnsi="Arial"/>
          <w:sz w:val="13"/>
          <w:szCs w:val="13"/>
          <w:color w:val="auto"/>
        </w:rPr>
        <w:t>Also, at any time prior to April 15, 2014, the Issuers may, on one or more occasions, redeem some or all of the senior notes at a redemption price equal to 100% of the principal amount of the senior notes redeemed, plus accrued and unpaid interest and special interest, if any, to the redemption date and a “make-whole” premium calculated as provided in the Indenture.</w:t>
      </w:r>
    </w:p>
    <w:p>
      <w:pPr>
        <w:spacing w:after="0" w:line="79" w:lineRule="exact"/>
        <w:rPr>
          <w:sz w:val="20"/>
          <w:szCs w:val="20"/>
          <w:color w:val="auto"/>
        </w:rPr>
      </w:pPr>
    </w:p>
    <w:p>
      <w:pPr>
        <w:ind w:left="680" w:right="900" w:firstLine="499"/>
        <w:spacing w:after="0" w:line="242" w:lineRule="auto"/>
        <w:rPr>
          <w:sz w:val="20"/>
          <w:szCs w:val="20"/>
          <w:color w:val="auto"/>
        </w:rPr>
      </w:pPr>
      <w:r>
        <w:rPr>
          <w:rFonts w:ascii="Arial" w:cs="Arial" w:eastAsia="Arial" w:hAnsi="Arial"/>
          <w:sz w:val="13"/>
          <w:szCs w:val="13"/>
          <w:color w:val="auto"/>
        </w:rPr>
        <w:t>In addition, on or after April 15, 2014, the Issuers may, on one or more occasions, redeem some or all of the senior notes at the redemption prices (expressed as percentages of principal amount) set forth below, plus accrued and unpaid interest and special interest, if any, to the redemption date, if redeemed during the twelve-month period beginning on April 15 of each of the years indicated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80" w:type="dxa"/>
            <w:vAlign w:val="bottom"/>
          </w:tcPr>
          <w:p>
            <w:pPr>
              <w:spacing w:after="0"/>
              <w:rPr>
                <w:sz w:val="11"/>
                <w:szCs w:val="11"/>
                <w:color w:val="auto"/>
              </w:rPr>
            </w:pPr>
          </w:p>
        </w:tc>
        <w:tc>
          <w:tcPr>
            <w:tcW w:w="3020" w:type="dxa"/>
            <w:vAlign w:val="bottom"/>
            <w:gridSpan w:val="2"/>
          </w:tcPr>
          <w:p>
            <w:pPr>
              <w:spacing w:after="0"/>
              <w:rPr>
                <w:sz w:val="20"/>
                <w:szCs w:val="20"/>
                <w:color w:val="auto"/>
              </w:rPr>
            </w:pPr>
            <w:r>
              <w:rPr>
                <w:rFonts w:ascii="Arial" w:cs="Arial" w:eastAsia="Arial" w:hAnsi="Arial"/>
                <w:sz w:val="10"/>
                <w:szCs w:val="10"/>
                <w:b w:val="1"/>
                <w:bCs w:val="1"/>
                <w:color w:val="auto"/>
              </w:rPr>
              <w:t>Year</w:t>
            </w:r>
          </w:p>
        </w:tc>
        <w:tc>
          <w:tcPr>
            <w:tcW w:w="5960" w:type="dxa"/>
            <w:vAlign w:val="bottom"/>
          </w:tcPr>
          <w:p>
            <w:pPr>
              <w:spacing w:after="0"/>
              <w:rPr>
                <w:sz w:val="11"/>
                <w:szCs w:val="11"/>
                <w:color w:val="auto"/>
              </w:rPr>
            </w:pPr>
          </w:p>
        </w:tc>
        <w:tc>
          <w:tcPr>
            <w:tcW w:w="1800" w:type="dxa"/>
            <w:vAlign w:val="bottom"/>
            <w:gridSpan w:val="3"/>
          </w:tcPr>
          <w:p>
            <w:pPr>
              <w:ind w:left="160"/>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0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105.250%</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020" w:type="dxa"/>
            <w:vAlign w:val="bottom"/>
            <w:gridSpan w:val="2"/>
          </w:tcPr>
          <w:p>
            <w:pPr>
              <w:spacing w:after="0" w:line="148" w:lineRule="exact"/>
              <w:rPr>
                <w:sz w:val="20"/>
                <w:szCs w:val="20"/>
                <w:color w:val="auto"/>
              </w:rPr>
            </w:pPr>
            <w:r>
              <w:rPr>
                <w:rFonts w:ascii="Arial" w:cs="Arial" w:eastAsia="Arial" w:hAnsi="Arial"/>
                <w:sz w:val="13"/>
                <w:szCs w:val="13"/>
                <w:color w:val="auto"/>
              </w:rPr>
              <w:t>2015</w:t>
            </w:r>
          </w:p>
        </w:tc>
        <w:tc>
          <w:tcPr>
            <w:tcW w:w="696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102.625%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0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2016 and thereafter</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960" w:type="dxa"/>
            <w:vAlign w:val="bottom"/>
          </w:tcPr>
          <w:p>
            <w:pPr>
              <w:jc w:val="right"/>
              <w:ind w:right="3814"/>
              <w:spacing w:after="0"/>
              <w:rPr>
                <w:sz w:val="20"/>
                <w:szCs w:val="20"/>
                <w:color w:val="auto"/>
              </w:rPr>
            </w:pPr>
            <w:r>
              <w:rPr>
                <w:rFonts w:ascii="Arial" w:cs="Arial" w:eastAsia="Arial" w:hAnsi="Arial"/>
                <w:sz w:val="13"/>
                <w:szCs w:val="13"/>
                <w:color w:val="auto"/>
              </w:rPr>
              <w:t>162</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920" w:type="dxa"/>
            <w:vAlign w:val="bottom"/>
            <w:tcBorders>
              <w:bottom w:val="single" w:sz="8" w:color="808080"/>
            </w:tcBorders>
          </w:tcPr>
          <w:p>
            <w:pPr>
              <w:spacing w:after="0"/>
              <w:rPr>
                <w:sz w:val="13"/>
                <w:szCs w:val="13"/>
                <w:color w:val="auto"/>
              </w:rPr>
            </w:pPr>
          </w:p>
        </w:tc>
        <w:tc>
          <w:tcPr>
            <w:tcW w:w="59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Control</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Upon the occurrence of a change of control, as defined in the Indenture, unless the Issuers have mailed a redemption notice with respect to the senior notes and do not default in the payment of the applicable redemption price or a third party makes a similar offer to purchase all of the senior notes, we must make an offer to purchase all of the senior notes at a price in cash equal to 101% of the aggregate principal amount thereof plus accrued and unpaid interest and special interest, if any, to the date of purchase.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Asset Sales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Indenture provides that we and our restricted subsidiaries (including MagnaChip Korea but excluding unrestricted subsidiaries, as defined in the Indenture) will not consummate an asset sale, as defined in the Indenture, unless certain conditions are met, including that the consideration received is at least equal to the fair market value of the assets sold, and that a specified percentage of such consideration is in the form of cash. If we do not use the sale proceeds in our business as specified in the Indenture, we must apply such proceeds to an offer to repurchase senior notes at a price in cash equal to 100% of the aggregate principal amount thereof plus accrued and unpaid interest and special interest, if any, to the repurchase date.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Amounts; Redemption Upon Changes in Withholding Taxes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Payments on the senior notes are to be made without withholding or deduction for any current or future taxes, unless required by law. If such withholding is required, we will pay such additional amounts as are needed for the net amounts received by the holders of the senior notes to equal the amount that they would have received if the taxes had not been withheld. We may redeem all of the senior notes at a redemption price equal to the aggregate principal amount of the senior notes outstanding plus accrued and unpaid interest, special interest, if any, and the additional amounts due, if any, to the redemption date, if we are required to pay such amounts as a result of certain changes in law.</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Indenture contains covenants that limit our ability and the ability of our restricted subsidiaries to:</w:t>
      </w:r>
    </w:p>
    <w:p>
      <w:pPr>
        <w:spacing w:after="0" w:line="86" w:lineRule="exact"/>
        <w:rPr>
          <w:sz w:val="20"/>
          <w:szCs w:val="20"/>
          <w:color w:val="auto"/>
        </w:rPr>
      </w:pPr>
    </w:p>
    <w:p>
      <w:pPr>
        <w:ind w:left="1400" w:right="320" w:hanging="212"/>
        <w:spacing w:after="0" w:line="248" w:lineRule="auto"/>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declare or pay any dividend or make any payment or distribution on account of or purchase or redeem our capital stock or equity interests of our restricted subsidiaries;</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make any principal payment on, or redeem or repurchase, prior to any scheduled repayment, sinking fund payment or maturity, any subordinated indebtedness;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make certain investments, including capital expenditures;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incur additional indebtedness and issue certain types of capital stock;</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create or incur any lien (except for permitted liens) that secures obligations under any indebtedness or related guarantee;</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merge with or into or sell all or substantially all of our assets to other companies;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guarantee the payment of any indebtedness;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enter into sale-leaseback transactions;</w:t>
      </w:r>
    </w:p>
    <w:p>
      <w:pPr>
        <w:spacing w:after="0" w:line="76" w:lineRule="exact"/>
        <w:rPr>
          <w:rFonts w:ascii="Arial" w:cs="Arial" w:eastAsia="Arial" w:hAnsi="Arial"/>
          <w:sz w:val="13"/>
          <w:szCs w:val="13"/>
          <w:color w:val="auto"/>
        </w:rPr>
      </w:pPr>
    </w:p>
    <w:p>
      <w:pPr>
        <w:ind w:left="1400" w:right="140" w:hanging="212"/>
        <w:spacing w:after="0" w:line="248" w:lineRule="auto"/>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enter into agreements that would restrict the ability of the restricted subsidiaries to make distributions with respect to their equity, to make loans to us or other restricted subsidiaries or to transfer assets to us or other restricted subsidiaries; and</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designate unrestricted subsidiaries.</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jc w:val="both"/>
        <w:ind w:left="680" w:right="20"/>
        <w:spacing w:after="0" w:line="248" w:lineRule="auto"/>
        <w:rPr>
          <w:sz w:val="20"/>
          <w:szCs w:val="20"/>
          <w:color w:val="auto"/>
        </w:rPr>
      </w:pPr>
      <w:r>
        <w:rPr>
          <w:rFonts w:ascii="Arial" w:cs="Arial" w:eastAsia="Arial" w:hAnsi="Arial"/>
          <w:sz w:val="13"/>
          <w:szCs w:val="13"/>
          <w:color w:val="auto"/>
        </w:rPr>
        <w:t>Certain of these covenant restrictions will be suspended during any time period that the senior notes are rated investment grade. The current rating of our senior notes is B2 by Moody’s and B+ by Standard and Poors, both of which are below investment grade.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w:t>
      </w:r>
    </w:p>
    <w:p>
      <w:pPr>
        <w:spacing w:after="0" w:line="102" w:lineRule="exact"/>
        <w:rPr>
          <w:sz w:val="20"/>
          <w:szCs w:val="20"/>
          <w:color w:val="auto"/>
        </w:rPr>
      </w:pPr>
    </w:p>
    <w:p>
      <w:pPr>
        <w:jc w:val="both"/>
        <w:ind w:left="680" w:firstLine="499"/>
        <w:spacing w:after="0" w:line="242" w:lineRule="auto"/>
        <w:rPr>
          <w:sz w:val="20"/>
          <w:szCs w:val="20"/>
          <w:color w:val="auto"/>
        </w:rPr>
      </w:pPr>
      <w:r>
        <w:rPr>
          <w:rFonts w:ascii="Arial" w:cs="Arial" w:eastAsia="Arial" w:hAnsi="Arial"/>
          <w:sz w:val="13"/>
          <w:szCs w:val="13"/>
          <w:color w:val="auto"/>
        </w:rPr>
        <w:t>The Indenture includes certain events of default, including payment defaults, covenant defaults, cross-defaults to certain indebtedness, certain events of bankruptcy with respect to us, the Issuers and the restricted subsidiaries that are defined in the Indenture as significant subsidiaries, failure to pay certain judgments, and invalidation or unenforceability of the guarantees of the senior notes.</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SHARES ELIGIBLE FOR FUTURE SALE</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Prior to this offering, there has been no public market for our common stock, and a significant public market for our common stock may not develop or be sustained after this offering. Future sales of significant amounts of our common stock, including shares of our outstanding common stock and shares of our common stock issued upon exercise of outstanding options and warrants, in the public market after this offering could adversely affect the prevailing market price of our common stock and could impair our future ability to raise capital through the sale of securities.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 of Restricted Shares and Lock-Up Agreements</w:t>
      </w:r>
    </w:p>
    <w:p>
      <w:pPr>
        <w:spacing w:after="0" w:line="102"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Upon the closing of this offering, we will have outstanding 39,904,294 shares of common stock, based upon the common units of MagnaChip Semiconductor LLC outstanding as of April 30, 2010 after giving effect to the corporate conversion pursuant to which each common unit will be automatically converted into shares of our common stock at a ratio of eight-for-one.</w:t>
      </w:r>
    </w:p>
    <w:p>
      <w:pPr>
        <w:spacing w:after="0" w:line="79"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Of these shares, the 7,500,000 shares of common stock sold in this offering, or 8,625,000 shares if the underwriters exercise their option to purchase additional shares in full, will be freely tradable without restriction under the Securities Act, unless purchased by affiliates of our company, as that term is defined in Rule 144 under the Securities Act.</w:t>
      </w:r>
    </w:p>
    <w:p>
      <w:pPr>
        <w:spacing w:after="0" w:line="79"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32,404,294 remaining shares of common stock are subject to a registration rights agreement or restricted unit agreements that restricts their sale for 180 days after the date of this prospectus unless Goldman, Sachs &amp; Co. and Barclays Capital Inc., the representatives of the underwriters, agree to a lesser period. These lock-up agreements do not restrict the ability of the stockholders party to the registration rights agreement to cause a resale registration statement to be filed in accordance with the demand registration rights described above under “Description of Capital Stock — Registration Rights.”</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Goldman, Sachs &amp; Co. and Barclays Capital Inc., as representatives of the underwriters, may, at any time without notice, release all or any portion of the securities subject to the lock-up agreements. We have been advised by the representatives of the underwriters that, when determining whether or not to release shares from the lock-up agreements, the representatives of the underwriters will consider, among other factors, the stockholder’s reasons for requesting the release, the number of shares for which the release is being requested and market conditions at the time. The representatives of the underwriters have advised us that they have no present intention to release any of the shares subject to the lock-up agreements prior to the expiration of the lock-up period.</w:t>
      </w:r>
    </w:p>
    <w:p>
      <w:pPr>
        <w:spacing w:after="0" w:line="81"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Following expiration of the lock-up agreements or upon any earlier release of the shares, all of the shares subject to such agreements will be eligible for resale in compliance with Rule 144 or Rule 701 of the Securities Act.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2" w:lineRule="exact"/>
        <w:rPr>
          <w:sz w:val="20"/>
          <w:szCs w:val="20"/>
          <w:color w:val="auto"/>
        </w:rPr>
      </w:pPr>
    </w:p>
    <w:p>
      <w:pPr>
        <w:jc w:val="both"/>
        <w:ind w:left="680" w:right="280" w:firstLine="499"/>
        <w:spacing w:after="0"/>
        <w:rPr>
          <w:sz w:val="20"/>
          <w:szCs w:val="20"/>
          <w:color w:val="auto"/>
        </w:rPr>
      </w:pPr>
      <w:r>
        <w:rPr>
          <w:rFonts w:ascii="Arial" w:cs="Arial" w:eastAsia="Arial" w:hAnsi="Arial"/>
          <w:sz w:val="13"/>
          <w:szCs w:val="13"/>
          <w:color w:val="auto"/>
        </w:rPr>
        <w:t>In general, Rule 144 allows a stockholder (or stockholders where shares of common stock are aggregated) who has beneficially owned shares of our common stock for at least six months to sell an unlimited number of shares of our common stock provided current public information about us is available and, after one year, an unlimited number of shares of our common stock without restriction. Our affiliates who have beneficially owned shares of our common stock for at least six months are entitled to sell within any three-month period commencing 90 days after the date of this prospectus a number of those shares that does not exceed the greater of:</w:t>
      </w:r>
    </w:p>
    <w:p>
      <w:pPr>
        <w:spacing w:after="0" w:line="80" w:lineRule="exact"/>
        <w:rPr>
          <w:sz w:val="20"/>
          <w:szCs w:val="20"/>
          <w:color w:val="auto"/>
        </w:rPr>
      </w:pPr>
    </w:p>
    <w:p>
      <w:pPr>
        <w:ind w:left="1400" w:hanging="212"/>
        <w:spacing w:after="0"/>
        <w:tabs>
          <w:tab w:leader="none" w:pos="1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one percent of the number of shares of common stock then outstanding, which will equal approximately 399,042 shares immediately after this offering; or</w:t>
      </w:r>
    </w:p>
    <w:p>
      <w:pPr>
        <w:spacing w:after="0" w:line="86" w:lineRule="exact"/>
        <w:rPr>
          <w:rFonts w:ascii="Arial" w:cs="Arial" w:eastAsia="Arial" w:hAnsi="Arial"/>
          <w:sz w:val="13"/>
          <w:szCs w:val="13"/>
          <w:color w:val="auto"/>
        </w:rPr>
      </w:pPr>
    </w:p>
    <w:p>
      <w:pPr>
        <w:ind w:left="1400" w:right="280" w:hanging="212"/>
        <w:spacing w:after="0" w:line="248" w:lineRule="auto"/>
        <w:tabs>
          <w:tab w:leader="none" w:pos="1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on all national securities exchanges and/or reported through the automated quotation system of a registered securities association during the four calendar weeks preceding the sale.</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Sales under Rule 144 by our affiliates are subject to specific manner of sales provisions, notice requirements and the availability of current information about us. We cannot estimate the number of shares of common stock our existing stockholders will sell under Rule 144, as this will depend on the market price for our common stock, the personal circumstances of the stockholders and other factors.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In addition to the 39,904,294 shares of common stock outstanding immediately after this offering, based upon the common units of MagnaChip Semiconductor LLC outstanding as of April 30, 2010 after giving effect to the corporate conversion pursuant to which each common unit will be automatically converted into shares of our common stock at a ratio of eight-for-one, there were outstanding options to purchase 1,995,375 shares of our common stock. As soon as practicable after the closing of this offering, we intend to file a registration statement on Form S-8 under the Securities Act covering shares of our common stock reserved for issuance upon exercise of stock options outstanding as of April 30, 2010 at a weighted average exercise price of $6.32 per share and 1,652,961 shares of our common stock reserved for issuance pursuant to future grants under our 2010 Equity Incentive Plan and 2010 Employee Stock Purchase Plan. Accordingly, shares of our common stock registered under such registration statement will be available for sale in the open market upon exercise by the holders, subject to vesting restrictions with us, contractual lock-up restrictions, our securities trading policy and/or market stand-off provisions applicable to each other agreement that prohibits the sale or other disposition of the shares of common stock underlying the options for a period of 180 days after the date of this prospectus without the prior written consent from us or Goldman, Sachs &amp; Co. and Barclays Capital Inc.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addition to the 39,904,294 shares of common stock outstanding immediately after this offering after giving effect to the corporate conversion, as of April 30, 2010, there were outstanding warrants to purchase 1,875,015 shares of our common stock. The warrants were issued under Section 1145 of the U.S. Bankruptcy Code in connection with our reorganization proceedings and such warrants were deemed to have been issued, and shares of common stock issued upon exercise of such warrants will be deemed to be issued, in a public offering and may be resold as freely tradeable securities under Section 4(1) of the Securities Act, except for such warrants and shares of common stock issued upon exercise of such warrants held by our affiliates or holders deemed to be “underwriters,” as that term is defined in Section 1145(b) of the U.S. Bankruptcy Code, who may be subject to applicable resale limitations under Rule 144. The warrants and shares of common stock issued upon exercise of such warrants are subject to a warrant agreement that restricts their sale for 180 days after the date of this prospectus unless we and the managing underwriters, agree to a lesser period.</w:t>
      </w:r>
    </w:p>
    <w:p>
      <w:pPr>
        <w:spacing w:after="0" w:line="28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2"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Upon the closing of this offering, certain holders of our shares of common stock will have the right to register their remaining shares of common stock pursuant to a registration rights agreement. In addition, some holders will have certain “piggyback” registration rights, pursuant to that agreement. See “Description of Capital Stock.”</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MATERIAL U.S. FEDERAL INCOME TAX CONSEQUENCES</w:t>
      </w:r>
    </w:p>
    <w:p>
      <w:pPr>
        <w:spacing w:after="0" w:line="102" w:lineRule="exact"/>
        <w:rPr>
          <w:sz w:val="20"/>
          <w:szCs w:val="20"/>
          <w:color w:val="auto"/>
        </w:rPr>
      </w:pPr>
    </w:p>
    <w:p>
      <w:pPr>
        <w:jc w:val="both"/>
        <w:ind w:left="680" w:right="40" w:firstLine="499"/>
        <w:spacing w:after="0" w:line="242" w:lineRule="auto"/>
        <w:rPr>
          <w:sz w:val="20"/>
          <w:szCs w:val="20"/>
          <w:color w:val="auto"/>
        </w:rPr>
      </w:pPr>
      <w:r>
        <w:rPr>
          <w:rFonts w:ascii="Arial" w:cs="Arial" w:eastAsia="Arial" w:hAnsi="Arial"/>
          <w:sz w:val="13"/>
          <w:szCs w:val="13"/>
          <w:color w:val="auto"/>
        </w:rPr>
        <w:t>The following is a summary of the material U.S. federal income tax consequences of the ownership and disposition of shares of our common stock to a U.S. holder or non-U.S. holder (each, as defined below) who purchases our common stock in this offering. For purposes of this discussion, a U.S. holder is any beneficial owner (other than an entity treated as a partnership for U.S. federal income tax purposes) of our common stock that for U.S. federal income tax purposes is:</w:t>
      </w:r>
    </w:p>
    <w:p>
      <w:pPr>
        <w:spacing w:after="0" w:line="79" w:lineRule="exact"/>
        <w:rPr>
          <w:sz w:val="20"/>
          <w:szCs w:val="20"/>
          <w:color w:val="auto"/>
        </w:rPr>
      </w:pPr>
    </w:p>
    <w:p>
      <w:pPr>
        <w:ind w:left="1400" w:hanging="212"/>
        <w:spacing w:after="0"/>
        <w:tabs>
          <w:tab w:leader="none" w:pos="14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an individual citizen or resident of the United States;</w:t>
      </w:r>
    </w:p>
    <w:p>
      <w:pPr>
        <w:spacing w:after="0" w:line="76" w:lineRule="exact"/>
        <w:rPr>
          <w:rFonts w:ascii="Arial" w:cs="Arial" w:eastAsia="Arial" w:hAnsi="Arial"/>
          <w:sz w:val="13"/>
          <w:szCs w:val="13"/>
          <w:color w:val="auto"/>
        </w:rPr>
      </w:pPr>
    </w:p>
    <w:p>
      <w:pPr>
        <w:ind w:left="1400" w:right="20" w:hanging="212"/>
        <w:spacing w:after="0" w:line="248" w:lineRule="auto"/>
        <w:tabs>
          <w:tab w:leader="none" w:pos="14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 corporation or other entity taxable as a corporation created or organized in the United States or under the laws of the United States or any state thereof or the District of Columbia;</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an estate whose income is subject to U.S. federal income tax regardless of its source; or</w:t>
      </w:r>
    </w:p>
    <w:p>
      <w:pPr>
        <w:spacing w:after="0" w:line="76" w:lineRule="exact"/>
        <w:rPr>
          <w:rFonts w:ascii="Arial" w:cs="Arial" w:eastAsia="Arial" w:hAnsi="Arial"/>
          <w:sz w:val="13"/>
          <w:szCs w:val="13"/>
          <w:color w:val="auto"/>
        </w:rPr>
      </w:pPr>
    </w:p>
    <w:p>
      <w:pPr>
        <w:ind w:left="1400" w:right="100" w:hanging="212"/>
        <w:spacing w:after="0" w:line="248" w:lineRule="auto"/>
        <w:tabs>
          <w:tab w:leader="none" w:pos="14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74"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A non-U.S. holder is any beneficial owner of our common stock that is not a U.S. holder and is not an entity treated as a partnership for U.S. federal income tax purposes.</w:t>
      </w:r>
    </w:p>
    <w:p>
      <w:pPr>
        <w:spacing w:after="0" w:line="74" w:lineRule="exact"/>
        <w:rPr>
          <w:sz w:val="20"/>
          <w:szCs w:val="20"/>
          <w:color w:val="auto"/>
        </w:rPr>
      </w:pPr>
    </w:p>
    <w:p>
      <w:pPr>
        <w:ind w:left="680" w:right="240" w:firstLine="499"/>
        <w:spacing w:after="0" w:line="242" w:lineRule="auto"/>
        <w:rPr>
          <w:sz w:val="20"/>
          <w:szCs w:val="20"/>
          <w:color w:val="auto"/>
        </w:rPr>
      </w:pPr>
      <w:r>
        <w:rPr>
          <w:rFonts w:ascii="Arial" w:cs="Arial" w:eastAsia="Arial" w:hAnsi="Arial"/>
          <w:sz w:val="13"/>
          <w:szCs w:val="13"/>
          <w:color w:val="auto"/>
        </w:rPr>
        <w:t>If a partnership or other pass-through entity holds our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these partnerships or other entities to consult their tax advisors.</w:t>
      </w:r>
    </w:p>
    <w:p>
      <w:pPr>
        <w:spacing w:after="0" w:line="7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This discussion assumes that shares of our common stock issued pursuant to the offering will be held as a capital asset (generally, property held for investment). This discussion does not address all aspects of U.S. federal income taxation that may be relevant in light of a holder’s special tax status or special tax situations. U.S. expatriates, life insurance companies, tax-exempt organizations, dealers in securities or currency, banks or other financial institutions, pension funds and investors that hold our shares of common stock as part of a hedge, straddle or conversion transaction are among those categories of potential investors that are subject to special rules not covered in this discussion. This discussion does not address any non-income tax consequences or any income tax consequences arising under the laws of any state, local or non-U.S. taxing jurisdiction. Furthermore, the following discussion is based on current provisions of the Internal Revenue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a tax advisor regarding the U.S. federal, state, local and non-U.S. income and other tax consequences of acquiring, holding and disposing of shares of our common stock.</w:t>
      </w:r>
    </w:p>
    <w:p>
      <w:pPr>
        <w:spacing w:after="0" w:line="80" w:lineRule="exact"/>
        <w:rPr>
          <w:sz w:val="20"/>
          <w:szCs w:val="20"/>
          <w:color w:val="auto"/>
        </w:rPr>
      </w:pPr>
    </w:p>
    <w:p>
      <w:pPr>
        <w:ind w:left="680" w:right="80" w:firstLine="499"/>
        <w:spacing w:after="0" w:line="238" w:lineRule="auto"/>
        <w:rPr>
          <w:sz w:val="20"/>
          <w:szCs w:val="20"/>
          <w:color w:val="auto"/>
        </w:rPr>
      </w:pPr>
      <w:r>
        <w:rPr>
          <w:rFonts w:ascii="Arial" w:cs="Arial" w:eastAsia="Arial" w:hAnsi="Arial"/>
          <w:sz w:val="13"/>
          <w:szCs w:val="13"/>
          <w:color w:val="auto"/>
        </w:rPr>
        <w:t>The U.S. federal income tax consequences of cancellation of the depositary shares, and issuance of a credit for the number of shares of common stock equal to the number of cancelled depositary shares, under circumstances comparable to ours are not specifically addressed in the Internal Revenue Code, Treasury Regulations or administrative or judicial interpretations thereof. The IRS, however, has ruled for various purposes of the Internal Revenue Code that a holder of an American Depositary Receipt representing shares of a foreign corporation is treated as if such holder held the underlying shares of stock directly, based in part on the fact that such holder had full voting rights with respect to the corporation stock represented by the receipts, was entitled to dividends paid, and was entitled to surrender the receipts and have the stock delivered to the holder. Based on this analogous authority, it is reasonable to conclude that depositary shares sold in this offering should represent beneficial ownership in the underlying shares of our common stock for U.S. federal income tax purposes because, among other things, the holders of the depositary shares will have the right to</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spacing w:after="0" w:line="238" w:lineRule="auto"/>
        <w:rPr>
          <w:sz w:val="20"/>
          <w:szCs w:val="20"/>
          <w:color w:val="auto"/>
        </w:rPr>
      </w:pPr>
      <w:r>
        <w:rPr>
          <w:rFonts w:ascii="Arial" w:cs="Arial" w:eastAsia="Arial" w:hAnsi="Arial"/>
          <w:sz w:val="13"/>
          <w:szCs w:val="13"/>
          <w:color w:val="auto"/>
        </w:rPr>
        <w:t>receive dividends, if declared and paid, with respect to the underlying shares, the right to vote with respect to the underlying shares, and the right to receive the underlying shares upon demand or upon cancellation of the depositary shares. On the date that the depositary shares are cancelled and each holder is credited with a number of shares of common stock equal to the number of depositary shares held by such holder, the holder should retain ownership in the shares of common stock for U.S. federal income tax purposes without recognition of gain or loss and with such holder’s holding period of the underlying common stock including the period during which the depositary shares are outstanding. Because the Company will not be obtaining a ruling from the IRS regarding the treatment of the depositary share cancellation, there can be no assurance that the IRS will not adopt a contrary position. Although unlikely, if the IRS were to conclude that a holder of our depositary shares did not own the underlying shares, the cancellation of the depositary shares might be a taxable transaction to the holder, causing the holder to recognize gain or loss in an amount equal to the fair market value of the underlying common stock at the time of cancellation of the depositary shares and the holder’s tax basis in the depositary shares.</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All references in this discussion to “our common stock” include references to “the depositary shares representing ownership rights in the underlying common stock”.</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 Holders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If we make distributions on our common stock, those payments will generally constitute dividends for U.S. tax purposes to the extent paid from our current or accumulated earnings and profits, as determined under U.S. federal income tax principles. With respect to certain non-corporate U.S. holders, including individual U.S. holders, for taxable years beginning before January 1, 2011, dividends will be taxed at the lower capital gains rate applicable to “qualified dividend income,” provided that certain holding period requirements are met. To the extent those distributions exceed our current and accumulated earnings and profits, the distributions will first constitute a return of capital and will reduce a U.S. holder’s basis, but not below zero, and then will be treated as gain from the sale of shares and may be subject to U.S. federal income tax as described below. Dividends received by a corporation may be eligible for a dividends received deduction, subject to applicable limitations.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Disposition of Shares of Common Stock</w:t>
      </w:r>
    </w:p>
    <w:p>
      <w:pPr>
        <w:spacing w:after="0" w:line="102"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A U.S. holder generally will recognize gain or loss upon the taxable sale or other disposition of shares of our common stock in an amount equal to the difference between the amount realized upon such sale or disposition and the U.S. holder’s tax basis in the shares of our common stock. Such gain or loss generally will be capital gain or loss. Capital gain will be long-term capital gain if the U.S. holder’s holding period for such shares is more than one year at the time of disposition. Long-term capital gains are generally subject to a reduced rate of taxation for non-corporate U.S. holders. A deduction with respect to a capital loss may be subject to limitation.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Non-U.S. Holders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 distributions will first constitute a return of capital and will reduce a holder’s basis, but not below zero, and then will be treated as gain from the sale of shares and may be subject to U.S. federal income tax as described below.</w:t>
      </w:r>
    </w:p>
    <w:p>
      <w:pPr>
        <w:spacing w:after="0" w:line="80"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Any distribution that is a dividend, as defined above, paid to a non-U.S. holder generally will be subject to U.S. withholding tax either at a rate of 30% of the gross amount of the dividend or such lower rate as may be specified by an applicable tax treaty. In order to receive a reduced treaty rate, a</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non-U.S. holder must timely provide us with an IRS Form W-8BEN or other appropriate version of IRS Form W-8 properly certifying qualification for the reduced rate.</w:t>
      </w:r>
    </w:p>
    <w:p>
      <w:pPr>
        <w:spacing w:after="0" w:line="86"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Dividends received by a non-U.S. holder that are effectively connected with a U.S. trade or business conducted by the non-U.S. holder (and dividends attributable to a non-U.S. holder’s permanent establishment in the United States if a tax treaty applies) are exempt from this withholding tax. In order to obtain this exemption, a non-U.S. holder must timely provide us with an IRS Form W-8ECI properly certifying this exemption. Dividends that are so effectively connected (and, if required by an applicable tax treaty, attributable to a permanent establishment), although not subject to withholding tax, are taxed at the same graduated rates applicable to U.S. persons, net of specified deductions and credits. In addition, such dividends received by a corporate non-U.S. holder may also be subject to a branch profits tax at a rate of 30% (or such lower rate as may be specified in a tax treaty).</w:t>
      </w:r>
    </w:p>
    <w:p>
      <w:pPr>
        <w:spacing w:after="0" w:line="80" w:lineRule="exact"/>
        <w:rPr>
          <w:sz w:val="20"/>
          <w:szCs w:val="20"/>
          <w:color w:val="auto"/>
        </w:rPr>
      </w:pPr>
    </w:p>
    <w:p>
      <w:pPr>
        <w:ind w:left="680" w:right="480" w:firstLine="499"/>
        <w:spacing w:after="0" w:line="248" w:lineRule="auto"/>
        <w:rPr>
          <w:sz w:val="20"/>
          <w:szCs w:val="20"/>
          <w:color w:val="auto"/>
        </w:rPr>
      </w:pPr>
      <w:r>
        <w:rPr>
          <w:rFonts w:ascii="Arial" w:cs="Arial" w:eastAsia="Arial" w:hAnsi="Arial"/>
          <w:sz w:val="13"/>
          <w:szCs w:val="13"/>
          <w:color w:val="auto"/>
        </w:rPr>
        <w:t>A non-U.S. holder of common stock that is eligible for a reduced rate of withholding tax pursuant to a tax treaty may obtain a refund of any excess amounts withheld if an appropriate claim for refund is filed with the IRS.</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Gain on Disposition of Shares of Common Stock</w:t>
      </w:r>
    </w:p>
    <w:p>
      <w:pPr>
        <w:spacing w:after="0" w:line="102"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A non-U.S. holder generally will not be subject to United States federal income tax on gain realized upon the sale or other disposition of shares of our common stock unless:</w:t>
      </w:r>
    </w:p>
    <w:p>
      <w:pPr>
        <w:spacing w:after="0" w:line="74" w:lineRule="exact"/>
        <w:rPr>
          <w:sz w:val="20"/>
          <w:szCs w:val="20"/>
          <w:color w:val="auto"/>
        </w:rPr>
      </w:pPr>
    </w:p>
    <w:p>
      <w:pPr>
        <w:ind w:left="1400" w:hanging="212"/>
        <w:spacing w:after="0" w:line="248" w:lineRule="auto"/>
        <w:tabs>
          <w:tab w:leader="none" w:pos="14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gain is effectively connected with a U.S. trade or business of the non-U.S. holder (and attributable to a permanent establishment in the United States if a tax treaty applies);</w:t>
      </w:r>
    </w:p>
    <w:p>
      <w:pPr>
        <w:spacing w:after="0" w:line="64" w:lineRule="exact"/>
        <w:rPr>
          <w:rFonts w:ascii="Arial" w:cs="Arial" w:eastAsia="Arial" w:hAnsi="Arial"/>
          <w:sz w:val="13"/>
          <w:szCs w:val="13"/>
          <w:color w:val="auto"/>
        </w:rPr>
      </w:pPr>
    </w:p>
    <w:p>
      <w:pPr>
        <w:ind w:left="1400" w:right="160" w:hanging="212"/>
        <w:spacing w:after="0" w:line="248" w:lineRule="auto"/>
        <w:tabs>
          <w:tab w:leader="none" w:pos="14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64" w:lineRule="exact"/>
        <w:rPr>
          <w:rFonts w:ascii="Arial" w:cs="Arial" w:eastAsia="Arial" w:hAnsi="Arial"/>
          <w:sz w:val="13"/>
          <w:szCs w:val="13"/>
          <w:color w:val="auto"/>
        </w:rPr>
      </w:pPr>
    </w:p>
    <w:p>
      <w:pPr>
        <w:ind w:left="1400" w:hanging="212"/>
        <w:spacing w:after="0" w:line="238" w:lineRule="auto"/>
        <w:tabs>
          <w:tab w:leader="none" w:pos="14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our common stock constitutes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will not be, immediately after our conversion to a corporation, and we believe that we will not become, a “United States real property holding corporation” for U.S. federal income tax purposes. If we become a “United States real property holding corporation,” so long as our common stock is “regularly traded” on an established securities market, only a non-U.S. holder who, actually or constructively, holds or held (at any time during the shorter of the five year period preceding the date of disposition or the holder’s holding period) more than 5% of shares of our common stock will be subject to U.S. federal income tax on the disposition of shares of our common stock.</w:t>
      </w:r>
    </w:p>
    <w:p>
      <w:pPr>
        <w:spacing w:after="0" w:line="8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If the recipient is a non-U.S. holder described in the first bullet above, the recipient will be required to pay tax on the net gain derived from the sale under regular graduated U.S. federal income tax rates, and corporate non-U.S. holders described in the first bullet above may be subject to the branch profits tax at a 30% rate or such lower rate as may be specified by an applicable income tax treaty. Non-U.S. holders should consult their tax advisors regarding any applicable income tax treaties that may provide for different rules.</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If the recipient is an individual non-U.S. holder described in the second bullet above, the recipient will be required to pay a flat 30% tax on the gain derived from the sale, which gain may be offset by U.S. source capital losses provided that the non-U.S. holder has timely filed U.S. federal income tax returns with respect to such losses.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and Information Reporting</w:t>
      </w:r>
    </w:p>
    <w:p>
      <w:pPr>
        <w:spacing w:after="0" w:line="102"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Payments of dividends or of proceeds on the disposition of shares made to a U.S. holder may be subject to information reporting and backup withholding at the then effective rate unless the U.S.</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0"/>
        <w:spacing w:after="0"/>
        <w:rPr>
          <w:sz w:val="20"/>
          <w:szCs w:val="20"/>
          <w:color w:val="auto"/>
        </w:rPr>
      </w:pPr>
      <w:r>
        <w:rPr>
          <w:rFonts w:ascii="Arial" w:cs="Arial" w:eastAsia="Arial" w:hAnsi="Arial"/>
          <w:sz w:val="13"/>
          <w:szCs w:val="13"/>
          <w:color w:val="auto"/>
        </w:rPr>
        <w:t>holder provides a correct taxpayer identification number (which, in the case of an individual, is his or her social security number) and certifies whether such U.S. holder is subject to backup withholding of U.S. federal income tax by completing Form W-9 or otherwise establishing a basis for exemption from backup withholding. U.S. holders who fail to provide their correct taxpayer identification numbers and the appropriate certifications or fail to establish an exemption as described above will be subject to backup withholding and may be subject to a penalty imposed by the IRS.</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Payments of dividends or of proceeds on the disposition of shares made to a non-U.S. holder may be subject to information reporting and backup withholding at the then effective rate unless the non-U.S. holder establishes an exemption, for example, by properly certifying its non-U.S. status on a Form W-8BEN or another appropriate version of Form W-8. Notwithstanding the foregoing, information reporting and backup withholding may apply if either we or our paying agent has actual knowledge, or reason to know, that the holder is a U.S. person.</w:t>
      </w:r>
    </w:p>
    <w:p>
      <w:pPr>
        <w:spacing w:after="0" w:line="80"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Even if a non-U.S. holder establishes an exemption from information reporting, we may still be required to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79"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Backup withholding is not an additional tax. Rather, the U.S.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Legislation Relating to Foreign Accounts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Newly enacted legislation may impose withholding taxes on certain types of payments made to “foreign financial institutions” and certain other non-U.S. entities. Under this legislation, the failure to comply with additional certification, information reporting and other specified requirements could result in withholding tax being imposed on payments of dividends and sales proceeds to U.S. holders who own the shares through foreign accounts or foreign intermediaries and certain non-U.S. holders. The legislation imposes a 30% withholding tax on dividends on, or gross proceeds from the sale or other disposition of, our common stock paid to a foreign financial institution or to a foreign non-financial entity, unless (i) the foreign financial institution undertakes certain diligence and reporting obligations or (ii) the foreign non-financial entity either certifies it does not have any substantial U.S. owners or furnishes identifying information regarding each substantial U.S. owner. In addition,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The legislation applies to payments made after December 31, 2012. Prospective investors should consult their tax advisors regarding this legislation.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Surtax on Certain Net Investment Income.</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Under recent legislation, certain U.S. holders who are individuals, estates or trusts will be required to pay an additional 3.8% tax on, among other things, dividends and capital gains from the sale or other disposition of stock for taxable years beginning after December 31, 2012.</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39"/>
        <w:spacing w:after="0"/>
        <w:rPr>
          <w:sz w:val="20"/>
          <w:szCs w:val="20"/>
          <w:color w:val="auto"/>
        </w:rPr>
      </w:pPr>
      <w:r>
        <w:rPr>
          <w:rFonts w:ascii="Arial" w:cs="Arial" w:eastAsia="Arial" w:hAnsi="Arial"/>
          <w:sz w:val="13"/>
          <w:szCs w:val="13"/>
          <w:b w:val="1"/>
          <w:bCs w:val="1"/>
          <w:color w:val="auto"/>
        </w:rPr>
        <w:t>UNDERWRITING</w:t>
      </w:r>
    </w:p>
    <w:p>
      <w:pPr>
        <w:spacing w:after="0" w:line="102" w:lineRule="exact"/>
        <w:rPr>
          <w:sz w:val="20"/>
          <w:szCs w:val="20"/>
          <w:color w:val="auto"/>
        </w:rPr>
      </w:pPr>
    </w:p>
    <w:p>
      <w:pPr>
        <w:jc w:val="both"/>
        <w:ind w:left="680" w:right="240" w:firstLine="499"/>
        <w:spacing w:after="0" w:line="242" w:lineRule="auto"/>
        <w:rPr>
          <w:sz w:val="20"/>
          <w:szCs w:val="20"/>
          <w:color w:val="auto"/>
        </w:rPr>
      </w:pPr>
      <w:r>
        <w:rPr>
          <w:rFonts w:ascii="Arial" w:cs="Arial" w:eastAsia="Arial" w:hAnsi="Arial"/>
          <w:sz w:val="13"/>
          <w:szCs w:val="13"/>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and Barclays Capital Inc. are the representatives of the underwriters.</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rPr>
              <w:t>Number of</w:t>
            </w:r>
          </w:p>
        </w:tc>
      </w:tr>
      <w:tr>
        <w:trPr>
          <w:trHeight w:val="173"/>
        </w:trPr>
        <w:tc>
          <w:tcPr>
            <w:tcW w:w="8800" w:type="dxa"/>
            <w:vAlign w:val="bottom"/>
            <w:gridSpan w:val="2"/>
          </w:tcPr>
          <w:p>
            <w:pPr>
              <w:spacing w:after="0"/>
              <w:rPr>
                <w:sz w:val="20"/>
                <w:szCs w:val="20"/>
                <w:color w:val="auto"/>
              </w:rPr>
            </w:pPr>
            <w:r>
              <w:rPr>
                <w:rFonts w:ascii="Arial" w:cs="Arial" w:eastAsia="Arial" w:hAnsi="Arial"/>
                <w:sz w:val="13"/>
                <w:szCs w:val="13"/>
                <w:b w:val="1"/>
                <w:bCs w:val="1"/>
                <w:color w:val="auto"/>
              </w:rPr>
              <w:t>Underwriters</w:t>
            </w:r>
          </w:p>
        </w:tc>
        <w:tc>
          <w:tcPr>
            <w:tcW w:w="1180" w:type="dxa"/>
            <w:vAlign w:val="bottom"/>
            <w:gridSpan w:val="2"/>
          </w:tcPr>
          <w:p>
            <w:pPr>
              <w:ind w:left="540"/>
              <w:spacing w:after="0"/>
              <w:rPr>
                <w:sz w:val="20"/>
                <w:szCs w:val="20"/>
                <w:color w:val="auto"/>
              </w:rPr>
            </w:pPr>
            <w:r>
              <w:rPr>
                <w:rFonts w:ascii="Arial" w:cs="Arial" w:eastAsia="Arial" w:hAnsi="Arial"/>
                <w:sz w:val="13"/>
                <w:szCs w:val="13"/>
                <w:b w:val="1"/>
                <w:bCs w:val="1"/>
                <w:color w:val="auto"/>
              </w:rPr>
              <w:t>Shares</w:t>
            </w:r>
          </w:p>
        </w:tc>
      </w:tr>
      <w:tr>
        <w:trPr>
          <w:trHeight w:val="30"/>
        </w:trPr>
        <w:tc>
          <w:tcPr>
            <w:tcW w:w="100" w:type="dxa"/>
            <w:vAlign w:val="bottom"/>
            <w:tcBorders>
              <w:top w:val="single" w:sz="8" w:color="auto"/>
            </w:tcBorders>
          </w:tcPr>
          <w:p>
            <w:pPr>
              <w:spacing w:after="0"/>
              <w:rPr>
                <w:sz w:val="2"/>
                <w:szCs w:val="2"/>
                <w:color w:val="auto"/>
              </w:rPr>
            </w:pPr>
          </w:p>
        </w:tc>
        <w:tc>
          <w:tcPr>
            <w:tcW w:w="8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88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Goldman, Sachs &amp; Co.</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8800" w:type="dxa"/>
            <w:vAlign w:val="bottom"/>
            <w:gridSpan w:val="2"/>
          </w:tcPr>
          <w:p>
            <w:pPr>
              <w:spacing w:after="0" w:line="148" w:lineRule="exact"/>
              <w:rPr>
                <w:sz w:val="20"/>
                <w:szCs w:val="20"/>
                <w:color w:val="auto"/>
              </w:rPr>
            </w:pPr>
            <w:r>
              <w:rPr>
                <w:rFonts w:ascii="Arial" w:cs="Arial" w:eastAsia="Arial" w:hAnsi="Arial"/>
                <w:sz w:val="13"/>
                <w:szCs w:val="13"/>
                <w:color w:val="auto"/>
              </w:rPr>
              <w:t>Barclays Capital Inc.</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88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Deutsche Bank Securities Inc.</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8800" w:type="dxa"/>
            <w:vAlign w:val="bottom"/>
            <w:gridSpan w:val="2"/>
          </w:tcPr>
          <w:p>
            <w:pPr>
              <w:spacing w:after="0" w:line="148" w:lineRule="exact"/>
              <w:rPr>
                <w:sz w:val="20"/>
                <w:szCs w:val="20"/>
                <w:color w:val="auto"/>
              </w:rPr>
            </w:pPr>
            <w:r>
              <w:rPr>
                <w:rFonts w:ascii="Arial" w:cs="Arial" w:eastAsia="Arial" w:hAnsi="Arial"/>
                <w:sz w:val="13"/>
                <w:szCs w:val="13"/>
                <w:color w:val="auto"/>
              </w:rPr>
              <w:t>Citigroup Global Markets Inc.</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88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UBS Securities LLC</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100" w:type="dxa"/>
            <w:vAlign w:val="bottom"/>
          </w:tcPr>
          <w:p>
            <w:pPr>
              <w:spacing w:after="0"/>
              <w:rPr>
                <w:sz w:val="13"/>
                <w:szCs w:val="13"/>
                <w:color w:val="auto"/>
              </w:rPr>
            </w:pPr>
          </w:p>
        </w:tc>
        <w:tc>
          <w:tcPr>
            <w:tcW w:w="8700" w:type="dxa"/>
            <w:vAlign w:val="bottom"/>
          </w:tcPr>
          <w:p>
            <w:pPr>
              <w:ind w:left="40"/>
              <w:spacing w:after="0" w:line="148" w:lineRule="exact"/>
              <w:rPr>
                <w:sz w:val="20"/>
                <w:szCs w:val="20"/>
                <w:color w:val="auto"/>
              </w:rPr>
            </w:pPr>
            <w:r>
              <w:rPr>
                <w:rFonts w:ascii="Arial" w:cs="Arial" w:eastAsia="Arial" w:hAnsi="Arial"/>
                <w:sz w:val="13"/>
                <w:szCs w:val="13"/>
                <w:color w:val="auto"/>
              </w:rPr>
              <w:t>Total</w:t>
            </w:r>
          </w:p>
        </w:tc>
        <w:tc>
          <w:tcPr>
            <w:tcW w:w="10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7,500,000</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-610870</wp:posOffset>
            </wp:positionV>
            <wp:extent cx="635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underwriters are committed to take and pay for all of the shares being offered, if any are taken, other than the shares covered by the option described below unless and until this option is exercised. If the underwriters sell more shares than the total number set forth in the table above, the underwriters have an option to buy up to an additional 225,000 shares from us and 900,000 shares from the selling stockholders. They may exercise that option in whole or in part and from time to time for 30 days. If any shares are purchased pursuant to this option, the underwriters will severally purchase shares in approximately the same proportion as set forth in the table above.</w:t>
      </w:r>
    </w:p>
    <w:p>
      <w:pPr>
        <w:spacing w:after="0" w:line="80"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The following table shows the per share and total underwriting discount to be paid to the underwriters by us and the selling stockholders. Such amounts are shown assuming both no exercise and full exercise of the underwriters’ option to purchase 1,125,000 additional shares.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3980" w:type="dxa"/>
            <w:vAlign w:val="bottom"/>
          </w:tcPr>
          <w:p>
            <w:pPr>
              <w:jc w:val="right"/>
              <w:ind w:right="654"/>
              <w:spacing w:after="0"/>
              <w:rPr>
                <w:sz w:val="20"/>
                <w:szCs w:val="20"/>
                <w:color w:val="auto"/>
              </w:rPr>
            </w:pPr>
            <w:r>
              <w:rPr>
                <w:rFonts w:ascii="Arial" w:cs="Arial" w:eastAsia="Arial" w:hAnsi="Arial"/>
                <w:sz w:val="13"/>
                <w:szCs w:val="13"/>
                <w:b w:val="1"/>
                <w:bCs w:val="1"/>
                <w:color w:val="auto"/>
              </w:rPr>
              <w:t>No</w:t>
            </w:r>
          </w:p>
        </w:tc>
        <w:tc>
          <w:tcPr>
            <w:tcW w:w="100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3"/>
        </w:trPr>
        <w:tc>
          <w:tcPr>
            <w:tcW w:w="5060" w:type="dxa"/>
            <w:vAlign w:val="bottom"/>
            <w:gridSpan w:val="2"/>
          </w:tcPr>
          <w:p>
            <w:pPr>
              <w:spacing w:after="0"/>
              <w:rPr>
                <w:sz w:val="20"/>
                <w:szCs w:val="20"/>
                <w:color w:val="auto"/>
              </w:rPr>
            </w:pPr>
            <w:r>
              <w:rPr>
                <w:rFonts w:ascii="Arial" w:cs="Arial" w:eastAsia="Arial" w:hAnsi="Arial"/>
                <w:sz w:val="13"/>
                <w:szCs w:val="13"/>
                <w:b w:val="1"/>
                <w:bCs w:val="1"/>
                <w:color w:val="auto"/>
              </w:rPr>
              <w:t>Paid by Us</w:t>
            </w:r>
          </w:p>
        </w:tc>
        <w:tc>
          <w:tcPr>
            <w:tcW w:w="398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7"/>
        </w:trPr>
        <w:tc>
          <w:tcPr>
            <w:tcW w:w="5060" w:type="dxa"/>
            <w:vAlign w:val="bottom"/>
            <w:gridSpan w:val="2"/>
          </w:tcPr>
          <w:p>
            <w:pPr>
              <w:spacing w:after="0"/>
              <w:rPr>
                <w:sz w:val="20"/>
                <w:szCs w:val="20"/>
                <w:color w:val="auto"/>
              </w:rPr>
            </w:pPr>
            <w:r>
              <w:rPr>
                <w:rFonts w:ascii="Arial" w:cs="Arial" w:eastAsia="Arial" w:hAnsi="Arial"/>
                <w:sz w:val="13"/>
                <w:szCs w:val="13"/>
                <w:color w:val="auto"/>
              </w:rPr>
              <w:t>Per share</w:t>
            </w:r>
          </w:p>
        </w:tc>
        <w:tc>
          <w:tcPr>
            <w:tcW w:w="398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r>
        <w:trPr>
          <w:trHeight w:val="157"/>
        </w:trPr>
        <w:tc>
          <w:tcPr>
            <w:tcW w:w="5060" w:type="dxa"/>
            <w:vAlign w:val="bottom"/>
            <w:gridSpan w:val="2"/>
          </w:tcPr>
          <w:p>
            <w:pPr>
              <w:spacing w:after="0"/>
              <w:rPr>
                <w:sz w:val="20"/>
                <w:szCs w:val="20"/>
                <w:color w:val="auto"/>
              </w:rPr>
            </w:pPr>
            <w:r>
              <w:rPr>
                <w:rFonts w:ascii="Arial" w:cs="Arial" w:eastAsia="Arial" w:hAnsi="Arial"/>
                <w:sz w:val="13"/>
                <w:szCs w:val="13"/>
                <w:color w:val="auto"/>
              </w:rPr>
              <w:t>Total</w:t>
            </w:r>
          </w:p>
        </w:tc>
        <w:tc>
          <w:tcPr>
            <w:tcW w:w="398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r>
        <w:trPr>
          <w:trHeight w:val="221"/>
        </w:trPr>
        <w:tc>
          <w:tcPr>
            <w:tcW w:w="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980" w:type="dxa"/>
            <w:vAlign w:val="bottom"/>
          </w:tcPr>
          <w:p>
            <w:pPr>
              <w:jc w:val="right"/>
              <w:ind w:right="654"/>
              <w:spacing w:after="0"/>
              <w:rPr>
                <w:sz w:val="20"/>
                <w:szCs w:val="20"/>
                <w:color w:val="auto"/>
              </w:rPr>
            </w:pPr>
            <w:r>
              <w:rPr>
                <w:rFonts w:ascii="Arial" w:cs="Arial" w:eastAsia="Arial" w:hAnsi="Arial"/>
                <w:sz w:val="13"/>
                <w:szCs w:val="13"/>
                <w:b w:val="1"/>
                <w:bCs w:val="1"/>
                <w:color w:val="auto"/>
              </w:rPr>
              <w:t>No</w:t>
            </w:r>
          </w:p>
        </w:tc>
        <w:tc>
          <w:tcPr>
            <w:tcW w:w="100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3"/>
        </w:trPr>
        <w:tc>
          <w:tcPr>
            <w:tcW w:w="5060" w:type="dxa"/>
            <w:vAlign w:val="bottom"/>
            <w:gridSpan w:val="2"/>
          </w:tcPr>
          <w:p>
            <w:pPr>
              <w:spacing w:after="0"/>
              <w:rPr>
                <w:sz w:val="20"/>
                <w:szCs w:val="20"/>
                <w:color w:val="auto"/>
              </w:rPr>
            </w:pPr>
            <w:r>
              <w:rPr>
                <w:rFonts w:ascii="Arial" w:cs="Arial" w:eastAsia="Arial" w:hAnsi="Arial"/>
                <w:sz w:val="13"/>
                <w:szCs w:val="13"/>
                <w:b w:val="1"/>
                <w:bCs w:val="1"/>
                <w:color w:val="auto"/>
              </w:rPr>
              <w:t>Paid by the Selling Stockholders</w:t>
            </w:r>
          </w:p>
        </w:tc>
        <w:tc>
          <w:tcPr>
            <w:tcW w:w="398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7"/>
        </w:trPr>
        <w:tc>
          <w:tcPr>
            <w:tcW w:w="5060" w:type="dxa"/>
            <w:vAlign w:val="bottom"/>
            <w:gridSpan w:val="2"/>
          </w:tcPr>
          <w:p>
            <w:pPr>
              <w:spacing w:after="0"/>
              <w:rPr>
                <w:sz w:val="20"/>
                <w:szCs w:val="20"/>
                <w:color w:val="auto"/>
              </w:rPr>
            </w:pPr>
            <w:r>
              <w:rPr>
                <w:rFonts w:ascii="Arial" w:cs="Arial" w:eastAsia="Arial" w:hAnsi="Arial"/>
                <w:sz w:val="13"/>
                <w:szCs w:val="13"/>
                <w:color w:val="auto"/>
              </w:rPr>
              <w:t>Per share</w:t>
            </w:r>
          </w:p>
        </w:tc>
        <w:tc>
          <w:tcPr>
            <w:tcW w:w="398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r>
        <w:trPr>
          <w:trHeight w:val="157"/>
        </w:trPr>
        <w:tc>
          <w:tcPr>
            <w:tcW w:w="5060" w:type="dxa"/>
            <w:vAlign w:val="bottom"/>
            <w:gridSpan w:val="2"/>
          </w:tcPr>
          <w:p>
            <w:pPr>
              <w:spacing w:after="0"/>
              <w:rPr>
                <w:sz w:val="20"/>
                <w:szCs w:val="20"/>
                <w:color w:val="auto"/>
              </w:rPr>
            </w:pPr>
            <w:r>
              <w:rPr>
                <w:rFonts w:ascii="Arial" w:cs="Arial" w:eastAsia="Arial" w:hAnsi="Arial"/>
                <w:sz w:val="13"/>
                <w:szCs w:val="13"/>
                <w:color w:val="auto"/>
              </w:rPr>
              <w:t>Total</w:t>
            </w:r>
          </w:p>
        </w:tc>
        <w:tc>
          <w:tcPr>
            <w:tcW w:w="398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-697865</wp:posOffset>
            </wp:positionV>
            <wp:extent cx="635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-697865</wp:posOffset>
            </wp:positionV>
            <wp:extent cx="635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-223520</wp:posOffset>
            </wp:positionV>
            <wp:extent cx="635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-223520</wp:posOffset>
            </wp:positionV>
            <wp:extent cx="63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9"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If all the shares are not sold at the initial public offering price,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We and our executive officers, directors, selling stockholders and certain other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provided, that this agreement does not restrict the ability of the stockholders party to the registration rights agreement to cause a resale registration statement to be filed in accordance with the demand registration rights described above under “Description of Capital Stock — Registration Rights.” See “Shares Eligible for Future Sale” for a discussion of certain transfer restrictions.</w:t>
      </w:r>
    </w:p>
    <w:p>
      <w:pPr>
        <w:spacing w:after="0" w:line="200" w:lineRule="exact"/>
        <w:rPr>
          <w:sz w:val="20"/>
          <w:szCs w:val="20"/>
          <w:color w:val="auto"/>
        </w:rPr>
      </w:pPr>
    </w:p>
    <w:p>
      <w:pPr>
        <w:spacing w:after="0" w:line="22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180-day restricted period described in the preceding paragraph will be automatically extended if: (1) during the last 17 days of the 180-day restricted period we issue an earnings release or announce material news or a material event; or (2) prior to the expiration of the 180-day restricted period, we announce that we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80"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Our depositary shares and common stock have been approved for listing on the NYSE under the symbol “MX” with the listing being only for the depositary shares upon the completion of this offering and only for the common stock following cancellation of the depositary shares.</w:t>
      </w:r>
    </w:p>
    <w:p>
      <w:pPr>
        <w:spacing w:after="0" w:line="74"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us and the selling stockholders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80" w:lineRule="exact"/>
        <w:rPr>
          <w:sz w:val="20"/>
          <w:szCs w:val="20"/>
          <w:color w:val="auto"/>
        </w:rPr>
      </w:pPr>
    </w:p>
    <w:p>
      <w:pPr>
        <w:ind w:left="680" w:right="440" w:firstLine="499"/>
        <w:spacing w:after="0" w:line="248" w:lineRule="auto"/>
        <w:rPr>
          <w:sz w:val="20"/>
          <w:szCs w:val="20"/>
          <w:color w:val="auto"/>
        </w:rPr>
      </w:pPr>
      <w:r>
        <w:rPr>
          <w:rFonts w:ascii="Arial" w:cs="Arial" w:eastAsia="Arial" w:hAnsi="Arial"/>
          <w:sz w:val="13"/>
          <w:szCs w:val="13"/>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4"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If these activities are commenced, they may be discontinued at any time. These transactions may be effected on the NYSE, in the over-the-counter market or otherwise.</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or a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0"/>
        <w:spacing w:after="0" w:line="248" w:lineRule="auto"/>
        <w:rPr>
          <w:sz w:val="20"/>
          <w:szCs w:val="20"/>
          <w:color w:val="auto"/>
        </w:rPr>
      </w:pPr>
      <w:r>
        <w:rPr>
          <w:rFonts w:ascii="Arial" w:cs="Arial" w:eastAsia="Arial" w:hAnsi="Arial"/>
          <w:sz w:val="13"/>
          <w:szCs w:val="13"/>
          <w:color w:val="auto"/>
        </w:rPr>
        <w:t>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74" w:lineRule="exact"/>
        <w:rPr>
          <w:sz w:val="20"/>
          <w:szCs w:val="20"/>
          <w:color w:val="auto"/>
        </w:rPr>
      </w:pPr>
    </w:p>
    <w:p>
      <w:pPr>
        <w:ind w:left="1180" w:right="200" w:firstLine="480"/>
        <w:spacing w:after="0" w:line="248" w:lineRule="auto"/>
        <w:tabs>
          <w:tab w:leader="none" w:pos="1851"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to legal entities which are authorized or regulated to operate in the financial markets or, if not so authorized or regulated, whose corporate purpose is solely to invest in securities;</w:t>
      </w:r>
    </w:p>
    <w:p>
      <w:pPr>
        <w:spacing w:after="0" w:line="74" w:lineRule="exact"/>
        <w:rPr>
          <w:rFonts w:ascii="Arial" w:cs="Arial" w:eastAsia="Arial" w:hAnsi="Arial"/>
          <w:sz w:val="13"/>
          <w:szCs w:val="13"/>
          <w:color w:val="auto"/>
        </w:rPr>
      </w:pPr>
    </w:p>
    <w:p>
      <w:pPr>
        <w:ind w:left="1180" w:right="240" w:firstLine="480"/>
        <w:spacing w:after="0" w:line="248" w:lineRule="auto"/>
        <w:tabs>
          <w:tab w:leader="none" w:pos="1851"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to any legal entity which has two or more of (1) an average of at least 250 employees during the last financial year; (2) a total balance sheet of more than €43 million and (3) an annual net turnover of more than €50 million, as shown in its last annual or consolidated accounts;</w:t>
      </w:r>
    </w:p>
    <w:p>
      <w:pPr>
        <w:spacing w:after="0" w:line="74" w:lineRule="exact"/>
        <w:rPr>
          <w:rFonts w:ascii="Arial" w:cs="Arial" w:eastAsia="Arial" w:hAnsi="Arial"/>
          <w:sz w:val="13"/>
          <w:szCs w:val="13"/>
          <w:color w:val="auto"/>
        </w:rPr>
      </w:pPr>
    </w:p>
    <w:p>
      <w:pPr>
        <w:ind w:left="1180" w:right="40" w:firstLine="480"/>
        <w:spacing w:after="0" w:line="248" w:lineRule="auto"/>
        <w:tabs>
          <w:tab w:leader="none" w:pos="1843"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to fewer than 100 natural or legal persons (other than qualified investors as defined in the Prospectus Directive) subject to obtaining the prior consent of the representatives for any such offer; or</w:t>
      </w:r>
    </w:p>
    <w:p>
      <w:pPr>
        <w:spacing w:after="0" w:line="74" w:lineRule="exact"/>
        <w:rPr>
          <w:rFonts w:ascii="Arial" w:cs="Arial" w:eastAsia="Arial" w:hAnsi="Arial"/>
          <w:sz w:val="13"/>
          <w:szCs w:val="13"/>
          <w:color w:val="auto"/>
        </w:rPr>
      </w:pPr>
    </w:p>
    <w:p>
      <w:pPr>
        <w:ind w:left="1860" w:hanging="200"/>
        <w:spacing w:after="0"/>
        <w:tabs>
          <w:tab w:leader="none" w:pos="18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the Issuer of a prospectus pursuant to Article 3 of the Prospectus Directive.</w:t>
      </w:r>
    </w:p>
    <w:p>
      <w:pPr>
        <w:spacing w:after="0" w:line="86" w:lineRule="exact"/>
        <w:rPr>
          <w:sz w:val="20"/>
          <w:szCs w:val="20"/>
          <w:color w:val="auto"/>
        </w:rPr>
      </w:pPr>
    </w:p>
    <w:p>
      <w:pPr>
        <w:ind w:left="680" w:right="280" w:firstLine="499"/>
        <w:spacing w:after="0"/>
        <w:rPr>
          <w:sz w:val="20"/>
          <w:szCs w:val="20"/>
          <w:color w:val="auto"/>
        </w:rPr>
      </w:pPr>
      <w:r>
        <w:rPr>
          <w:rFonts w:ascii="Arial" w:cs="Arial" w:eastAsia="Arial" w:hAnsi="Arial"/>
          <w:sz w:val="13"/>
          <w:szCs w:val="13"/>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Each underwriter has represented and agreed that:</w:t>
      </w:r>
    </w:p>
    <w:p>
      <w:pPr>
        <w:spacing w:after="0" w:line="86" w:lineRule="exact"/>
        <w:rPr>
          <w:sz w:val="20"/>
          <w:szCs w:val="20"/>
          <w:color w:val="auto"/>
        </w:rPr>
      </w:pPr>
    </w:p>
    <w:p>
      <w:pPr>
        <w:ind w:left="1180" w:right="80" w:firstLine="480"/>
        <w:spacing w:after="0" w:line="242" w:lineRule="auto"/>
        <w:tabs>
          <w:tab w:leader="none" w:pos="185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the issuer; and</w:t>
      </w:r>
    </w:p>
    <w:p>
      <w:pPr>
        <w:spacing w:after="0" w:line="78" w:lineRule="exact"/>
        <w:rPr>
          <w:rFonts w:ascii="Arial" w:cs="Arial" w:eastAsia="Arial" w:hAnsi="Arial"/>
          <w:sz w:val="13"/>
          <w:szCs w:val="13"/>
          <w:color w:val="auto"/>
        </w:rPr>
      </w:pPr>
    </w:p>
    <w:p>
      <w:pPr>
        <w:ind w:left="1180" w:right="520" w:firstLine="480"/>
        <w:spacing w:after="0" w:line="248" w:lineRule="auto"/>
        <w:tabs>
          <w:tab w:leader="none" w:pos="185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it has complied and will comply with all applicable provisions of the FSMA with respect to anything done by it in relation to the shares in, from or otherwise involving the United Kingdom.</w:t>
      </w:r>
    </w:p>
    <w:p>
      <w:pPr>
        <w:spacing w:after="0" w:line="74"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83" w:lineRule="exact"/>
        <w:rPr>
          <w:sz w:val="20"/>
          <w:szCs w:val="20"/>
          <w:color w:val="auto"/>
        </w:rPr>
      </w:pPr>
    </w:p>
    <w:p>
      <w:pPr>
        <w:ind w:left="680" w:right="220" w:firstLine="499"/>
        <w:spacing w:after="0" w:line="239" w:lineRule="auto"/>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SFA or (iii) otherwise pursuant to, and in accordance with the conditions of, any other applicable provision of the SFA.</w:t>
      </w:r>
    </w:p>
    <w:p>
      <w:pPr>
        <w:spacing w:after="0" w:line="86" w:lineRule="exact"/>
        <w:rPr>
          <w:sz w:val="20"/>
          <w:szCs w:val="20"/>
          <w:color w:val="auto"/>
        </w:rPr>
      </w:pPr>
    </w:p>
    <w:p>
      <w:pPr>
        <w:ind w:left="680" w:right="120" w:firstLine="499"/>
        <w:spacing w:after="0" w:line="236" w:lineRule="auto"/>
        <w:rPr>
          <w:sz w:val="20"/>
          <w:szCs w:val="20"/>
          <w:color w:val="auto"/>
        </w:rPr>
      </w:pPr>
      <w:r>
        <w:rPr>
          <w:rFonts w:ascii="Arial" w:cs="Arial" w:eastAsia="Arial" w:hAnsi="Arial"/>
          <w:sz w:val="13"/>
          <w:szCs w:val="13"/>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Section 275(1A), and in accordance with the conditions, specified in Section 275 of the SFA; (2) where no consideration is given for the transfer; or (3) by operation of law.</w:t>
      </w:r>
    </w:p>
    <w:p>
      <w:pPr>
        <w:spacing w:after="0" w:line="86"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81"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A prospectus in electronic format will be available on the websites maintained by one or more of the underwriters participating in this offering. The representatives may agree to allocate a number of shares to underwriters for sale to their online brokerage account holders. Internet distributions will be allocated by the underwriters that make internet distributions on the same basis as other allocations.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underwriters do not expect sales to discretionary accounts to exceed five percent of the total number of shares offered.</w:t>
      </w:r>
    </w:p>
    <w:p>
      <w:pPr>
        <w:spacing w:after="0" w:line="86"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We estimate that our share of the total expenses of the offering, excluding underwriting discount but including the expenses of the selling stockholders, will be approximately $6.4 million.</w:t>
      </w:r>
    </w:p>
    <w:p>
      <w:pPr>
        <w:spacing w:after="0" w:line="74" w:lineRule="exact"/>
        <w:rPr>
          <w:sz w:val="20"/>
          <w:szCs w:val="20"/>
          <w:color w:val="auto"/>
        </w:rPr>
      </w:pPr>
    </w:p>
    <w:p>
      <w:pPr>
        <w:ind w:left="680" w:right="200" w:firstLine="499"/>
        <w:spacing w:after="0" w:line="248" w:lineRule="auto"/>
        <w:rPr>
          <w:sz w:val="20"/>
          <w:szCs w:val="20"/>
          <w:color w:val="auto"/>
        </w:rPr>
      </w:pPr>
      <w:r>
        <w:rPr>
          <w:rFonts w:ascii="Arial" w:cs="Arial" w:eastAsia="Arial" w:hAnsi="Arial"/>
          <w:sz w:val="13"/>
          <w:szCs w:val="13"/>
          <w:color w:val="auto"/>
        </w:rPr>
        <w:t>We and the selling stockholders have agreed to indemnify the several underwriters against certain liabilities, including liabilities under the Securities Act of 1933, and to contribute to payments that the underwriters may be required to make for any such liabilities.</w:t>
      </w:r>
    </w:p>
    <w:p>
      <w:pPr>
        <w:spacing w:after="0" w:line="74"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74" w:lineRule="exact"/>
        <w:rPr>
          <w:sz w:val="20"/>
          <w:szCs w:val="20"/>
          <w:color w:val="auto"/>
        </w:rPr>
      </w:pPr>
    </w:p>
    <w:p>
      <w:pPr>
        <w:ind w:left="680" w:right="60" w:firstLine="499"/>
        <w:spacing w:after="0" w:line="238" w:lineRule="auto"/>
        <w:rPr>
          <w:sz w:val="20"/>
          <w:szCs w:val="20"/>
          <w:color w:val="auto"/>
        </w:rPr>
      </w:pPr>
      <w:r>
        <w:rPr>
          <w:rFonts w:ascii="Arial" w:cs="Arial" w:eastAsia="Arial" w:hAnsi="Arial"/>
          <w:sz w:val="13"/>
          <w:szCs w:val="13"/>
          <w:color w:val="auto"/>
        </w:rPr>
        <w:t>Certain of 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Goldman, Sachs &amp; Co., Barclays Capital Inc., Deutsche Bank Securities Inc., Citigroup Global Markets Inc. and UBS Securities LLC are managing underwriters in this offering. An affiliate of Goldman, Sachs &amp; Co. is the counterparty to our currency hedging transactions. An affiliate of UBS Securities LLC holds 4.1% and Deutsche Bank Securities Inc. holds 1.7% of our outstanding common stock as of April 30, 2010 and are participating as selling stockholders in the offering as described under “Principal and Selling Stockholders.” Neither UBS Securities LLC, together with its affiliates and associated persons, or Deutsche Bank Securities Inc., together with its affiliates and associated persons, will receive 5% or more of the net proceeds from this offering, not including underwriting compensation. Goldman, Sachs &amp; Co., Barclays Capital Inc., Deutsche Bank Securities, Inc., Citigroup Global Markets Inc. and UBS Securities LLC acted as initial purchasers in our private placement of $250 million in aggregate</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principal amount of senior notes, which closed on April 9, 2010 and for which they received discounts and commissions. The principal amount of senior notes purchased by each of the managing underwriters in this offering were as follows: (i) Goldman, Sachs &amp; Co., $125 million; (ii) Barclays Capital Inc., $ 45.0 million; (iii) Deutsche Bank Securities Inc., $16.0 million; (iv) Citigroup Global Markets Inc., $11.5 million and (v) UBS Securities LLC, $11.5 million. In connection with the sale of the senior notes, we entered into an exchange and registration rights agreement with the managing underwriters and the other initial purchasers thereto pursuant to which we have certain registration obligations, including the obligation to file a registration statement with the SEC to register notes for which the senior notes sold in the offering may be exchanged. As a portion of the proceeds from the sale of the senior notes were used to repay all outstanding borrowings under our new term loan, Goldman Sachs Lending Partners LLC, an affiliate of Goldman, Sachs &amp; Co., and Citicorp North America, Inc., an affiliate of Citigroup Global Markets Inc., as lenders under the new term loan, were repaid $12.5 million and $7.5 million, respectively, with proceeds from the sale of the senior notes.</w:t>
      </w:r>
    </w:p>
    <w:p>
      <w:pPr>
        <w:spacing w:after="0" w:line="8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Prior to the reorganization proceedings, affiliates of Citigroup Global Markets Inc. directly or indirectly held in excess of 10% of our outstanding common units and preferred units, and were considered our affiliates. In the reorganization proceedings, all equity interests in our company, including interests in common units and preferred units, were assigned to Class 8 of our plan of reorganization. Members of Class 8, including the affiliates of Citigroup Global Markets Inc. that directly or indirectly held common or preferred units in our company, received no distributions or recoveries on account of their equity interests and these equity interests were cancelled and extinguished as of the effective date of our plan of reorganization.</w:t>
      </w:r>
    </w:p>
    <w:p>
      <w:pPr>
        <w:spacing w:after="0" w:line="81" w:lineRule="exact"/>
        <w:rPr>
          <w:sz w:val="20"/>
          <w:szCs w:val="20"/>
          <w:color w:val="auto"/>
        </w:rPr>
      </w:pPr>
    </w:p>
    <w:p>
      <w:pPr>
        <w:jc w:val="both"/>
        <w:ind w:left="680" w:right="100" w:firstLine="499"/>
        <w:spacing w:after="0"/>
        <w:rPr>
          <w:sz w:val="20"/>
          <w:szCs w:val="20"/>
          <w:color w:val="auto"/>
        </w:rPr>
      </w:pPr>
      <w:r>
        <w:rPr>
          <w:rFonts w:ascii="Arial" w:cs="Arial" w:eastAsia="Arial" w:hAnsi="Arial"/>
          <w:sz w:val="13"/>
          <w:szCs w:val="13"/>
          <w:color w:val="auto"/>
        </w:rPr>
        <w:t>In the ordinary course of their various business activities, certain of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our company.</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2" w:lineRule="exact"/>
        <w:rPr>
          <w:sz w:val="20"/>
          <w:szCs w:val="20"/>
          <w:color w:val="auto"/>
        </w:rPr>
      </w:pPr>
    </w:p>
    <w:p>
      <w:pPr>
        <w:ind w:left="680" w:right="300" w:firstLine="499"/>
        <w:spacing w:after="0" w:line="248" w:lineRule="auto"/>
        <w:rPr>
          <w:sz w:val="20"/>
          <w:szCs w:val="20"/>
          <w:color w:val="auto"/>
        </w:rPr>
      </w:pPr>
      <w:r>
        <w:rPr>
          <w:rFonts w:ascii="Arial" w:cs="Arial" w:eastAsia="Arial" w:hAnsi="Arial"/>
          <w:sz w:val="13"/>
          <w:szCs w:val="13"/>
          <w:color w:val="auto"/>
        </w:rPr>
        <w:t>The validity of our depositary shares and the common stock represented by the depositary shares offered hereby will be passed upon for us by DLA Piper LLP (US), East Palo Alto, California. Certain matters will be passed upon for the underwriters by Latham &amp; Watkins LLP, New York, New York.</w:t>
      </w:r>
    </w:p>
    <w:p>
      <w:pPr>
        <w:spacing w:after="0" w:line="21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Our consolidated financial statements as of and for the two-month period ended December 31, 2009, and consolidated financial statements as of December 31, 2008 and for the ten-month period ended October 25, 2009 and for each of the two years in the periods ended December 31, 2008 and 2007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LS Yongsan Tower, 191 Hangangro 2ga, Yongsan-gu, Seoul 140-702, Korea. Samil PricewaterhouseCoopers is a member of the Korean Institute of Certified Public Accountants.</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have filed with the SEC a registration statement on Form S-1 under the Securities Act of 1933, covering our depositary shares and our common stock to be issued pursuant to this offering (Registration No. 333-165467).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MagnaChip and the depositary shares to be issued in the offering, please refer to the registration statement, including its exhibits. If we have filed any contract, agreement or other document as an exhibit to the registration statement, you should read the exhibit for a more complete understanding of the documents or matters involved.</w:t>
      </w:r>
    </w:p>
    <w:p>
      <w:pPr>
        <w:spacing w:after="0" w:line="80" w:lineRule="exact"/>
        <w:rPr>
          <w:sz w:val="20"/>
          <w:szCs w:val="20"/>
          <w:color w:val="auto"/>
        </w:rPr>
      </w:pPr>
    </w:p>
    <w:p>
      <w:pPr>
        <w:ind w:left="680" w:firstLine="499"/>
        <w:spacing w:after="0" w:line="236" w:lineRule="auto"/>
        <w:rPr>
          <w:sz w:val="20"/>
          <w:szCs w:val="20"/>
          <w:color w:val="auto"/>
        </w:rPr>
      </w:pPr>
      <w:r>
        <w:rPr>
          <w:rFonts w:ascii="Arial" w:cs="Arial" w:eastAsia="Arial" w:hAnsi="Arial"/>
          <w:sz w:val="13"/>
          <w:szCs w:val="13"/>
          <w:color w:val="auto"/>
        </w:rPr>
        <w:t>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website at “www.sec.gov.” In addition, you may request a copy of any of these filings, at no cost, by writing or telephoning us at the following address or phone number:</w:t>
      </w:r>
    </w:p>
    <w:p>
      <w:pPr>
        <w:spacing w:after="0" w:line="2" w:lineRule="exact"/>
        <w:rPr>
          <w:sz w:val="20"/>
          <w:szCs w:val="20"/>
          <w:color w:val="auto"/>
        </w:rPr>
      </w:pPr>
    </w:p>
    <w:p>
      <w:pPr>
        <w:ind w:left="680"/>
        <w:spacing w:after="0" w:line="248" w:lineRule="auto"/>
        <w:rPr>
          <w:sz w:val="20"/>
          <w:szCs w:val="20"/>
          <w:color w:val="auto"/>
        </w:rPr>
      </w:pPr>
      <w:r>
        <w:rPr>
          <w:rFonts w:ascii="Arial" w:cs="Arial" w:eastAsia="Arial" w:hAnsi="Arial"/>
          <w:sz w:val="13"/>
          <w:szCs w:val="13"/>
          <w:color w:val="auto"/>
        </w:rPr>
        <w:t>c/o MagnaChip Semiconductor, Inc., 20400 Stevens Creek Boulevard, Suite 370 Cupertino, CA 95014, attention: Senior Vice President, General Counsel and Secretary; the telephone number at that address is 408-625-5999.</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49"/>
        </w:trPr>
        <w:tc>
          <w:tcPr>
            <w:tcW w:w="10200" w:type="dxa"/>
            <w:vAlign w:val="bottom"/>
            <w:gridSpan w:val="20"/>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26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20" w:type="dxa"/>
            <w:vAlign w:val="bottom"/>
            <w:gridSpan w:val="15"/>
          </w:tcPr>
          <w:p>
            <w:pPr>
              <w:jc w:val="center"/>
              <w:ind w:right="2040"/>
              <w:spacing w:after="0"/>
              <w:rPr>
                <w:sz w:val="20"/>
                <w:szCs w:val="20"/>
                <w:color w:val="auto"/>
              </w:rPr>
            </w:pPr>
            <w:r>
              <w:rPr>
                <w:rFonts w:ascii="Arial" w:cs="Arial" w:eastAsia="Arial" w:hAnsi="Arial"/>
                <w:sz w:val="13"/>
                <w:szCs w:val="13"/>
                <w:b w:val="1"/>
                <w:bCs w:val="1"/>
                <w:color w:val="auto"/>
                <w:w w:val="99"/>
              </w:rPr>
              <w:t>INDEX TO CONSOLIDATED FINANCIAL STATEMENTS</w:t>
            </w:r>
          </w:p>
        </w:tc>
        <w:tc>
          <w:tcPr>
            <w:tcW w:w="1260" w:type="dxa"/>
            <w:vAlign w:val="bottom"/>
          </w:tcPr>
          <w:p>
            <w:pPr>
              <w:spacing w:after="0"/>
              <w:rPr>
                <w:sz w:val="24"/>
                <w:szCs w:val="24"/>
                <w:color w:val="auto"/>
              </w:rPr>
            </w:pPr>
          </w:p>
        </w:tc>
      </w:tr>
      <w:tr>
        <w:trPr>
          <w:trHeight w:val="236"/>
        </w:trPr>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20" w:type="dxa"/>
            <w:vAlign w:val="bottom"/>
            <w:gridSpan w:val="15"/>
          </w:tcPr>
          <w:p>
            <w:pPr>
              <w:jc w:val="center"/>
              <w:ind w:right="2020"/>
              <w:spacing w:after="0"/>
              <w:rPr>
                <w:sz w:val="20"/>
                <w:szCs w:val="20"/>
                <w:color w:val="auto"/>
              </w:rPr>
            </w:pPr>
            <w:r>
              <w:rPr>
                <w:rFonts w:ascii="Arial" w:cs="Arial" w:eastAsia="Arial" w:hAnsi="Arial"/>
                <w:sz w:val="13"/>
                <w:szCs w:val="13"/>
                <w:b w:val="1"/>
                <w:bCs w:val="1"/>
                <w:color w:val="auto"/>
              </w:rPr>
              <w:t>Interim consolidated financial statements (unaudited)</w:t>
            </w:r>
          </w:p>
        </w:tc>
        <w:tc>
          <w:tcPr>
            <w:tcW w:w="1260" w:type="dxa"/>
            <w:vAlign w:val="bottom"/>
          </w:tcPr>
          <w:p>
            <w:pPr>
              <w:spacing w:after="0"/>
              <w:rPr>
                <w:sz w:val="20"/>
                <w:szCs w:val="20"/>
                <w:color w:val="auto"/>
              </w:rPr>
            </w:pPr>
          </w:p>
        </w:tc>
      </w:tr>
      <w:tr>
        <w:trPr>
          <w:trHeight w:val="296"/>
        </w:trPr>
        <w:tc>
          <w:tcPr>
            <w:tcW w:w="68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3"/>
                <w:szCs w:val="13"/>
                <w:color w:val="0000EE"/>
              </w:rPr>
            </w:pPr>
            <w:hyperlink w:anchor="page183">
              <w:r>
                <w:rPr>
                  <w:rFonts w:ascii="Arial" w:cs="Arial" w:eastAsia="Arial" w:hAnsi="Arial"/>
                  <w:sz w:val="13"/>
                  <w:szCs w:val="13"/>
                  <w:color w:val="0000EE"/>
                </w:rPr>
                <w:t>MagnaChip Semiconductor Corporation Consolidated Balance Sheets as of March 31, 2010 and December 31, 2009 (Successor Company)</w:t>
              </w:r>
            </w:hyperlink>
          </w:p>
        </w:tc>
        <w:tc>
          <w:tcPr>
            <w:tcW w:w="1260" w:type="dxa"/>
            <w:vAlign w:val="bottom"/>
          </w:tcPr>
          <w:p>
            <w:pPr>
              <w:jc w:val="right"/>
              <w:ind w:right="774"/>
              <w:spacing w:after="0"/>
              <w:rPr>
                <w:sz w:val="20"/>
                <w:szCs w:val="20"/>
                <w:color w:val="auto"/>
              </w:rPr>
            </w:pPr>
            <w:r>
              <w:rPr>
                <w:rFonts w:ascii="Arial" w:cs="Arial" w:eastAsia="Arial" w:hAnsi="Arial"/>
                <w:sz w:val="13"/>
                <w:szCs w:val="13"/>
                <w:color w:val="auto"/>
              </w:rPr>
              <w:t>F-2</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8840" w:type="dxa"/>
            <w:vAlign w:val="bottom"/>
            <w:tcBorders>
              <w:bottom w:val="single" w:sz="8" w:color="0000EE"/>
            </w:tcBorders>
            <w:gridSpan w:val="14"/>
          </w:tcPr>
          <w:p>
            <w:pPr>
              <w:spacing w:after="0" w:line="128" w:lineRule="exact"/>
              <w:rPr>
                <w:rFonts w:ascii="Arial" w:cs="Arial" w:eastAsia="Arial" w:hAnsi="Arial"/>
                <w:sz w:val="13"/>
                <w:szCs w:val="13"/>
                <w:color w:val="0000EE"/>
              </w:rPr>
            </w:pPr>
            <w:hyperlink w:anchor="page184">
              <w:r>
                <w:rPr>
                  <w:rFonts w:ascii="Arial" w:cs="Arial" w:eastAsia="Arial" w:hAnsi="Arial"/>
                  <w:sz w:val="13"/>
                  <w:szCs w:val="13"/>
                  <w:color w:val="0000EE"/>
                </w:rPr>
                <w:t>MagnaChip Semiconductor Corporation Consolidated Statements of Operations for the Three Months Ended March 31, 2010 (Successor Company) and</w:t>
              </w:r>
            </w:hyperlink>
          </w:p>
        </w:tc>
        <w:tc>
          <w:tcPr>
            <w:tcW w:w="680" w:type="dxa"/>
            <w:vAlign w:val="bottom"/>
            <w:gridSpan w:val="5"/>
          </w:tcPr>
          <w:p>
            <w:pPr>
              <w:spacing w:after="0"/>
              <w:rPr>
                <w:sz w:val="11"/>
                <w:szCs w:val="11"/>
                <w:color w:val="auto"/>
              </w:rPr>
            </w:pPr>
          </w:p>
        </w:tc>
        <w:tc>
          <w:tcPr>
            <w:tcW w:w="126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380" w:type="dxa"/>
            <w:vAlign w:val="bottom"/>
            <w:gridSpan w:val="18"/>
          </w:tcPr>
          <w:p>
            <w:pPr>
              <w:spacing w:after="0" w:line="128" w:lineRule="exact"/>
              <w:rPr>
                <w:rFonts w:ascii="Arial" w:cs="Arial" w:eastAsia="Arial" w:hAnsi="Arial"/>
                <w:sz w:val="13"/>
                <w:szCs w:val="13"/>
                <w:color w:val="0000EE"/>
              </w:rPr>
            </w:pPr>
            <w:hyperlink w:anchor="page184">
              <w:r>
                <w:rPr>
                  <w:rFonts w:ascii="Arial" w:cs="Arial" w:eastAsia="Arial" w:hAnsi="Arial"/>
                  <w:sz w:val="13"/>
                  <w:szCs w:val="13"/>
                  <w:color w:val="0000EE"/>
                </w:rPr>
                <w:t>March 29, 2009 (Predecessor Company)</w:t>
              </w:r>
            </w:hyperlink>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9220" w:type="dxa"/>
            <w:vAlign w:val="bottom"/>
            <w:tcBorders>
              <w:bottom w:val="single" w:sz="8" w:color="0000EE"/>
            </w:tcBorders>
            <w:gridSpan w:val="17"/>
          </w:tcPr>
          <w:p>
            <w:pPr>
              <w:spacing w:after="0" w:line="128" w:lineRule="exact"/>
              <w:rPr>
                <w:rFonts w:ascii="Arial" w:cs="Arial" w:eastAsia="Arial" w:hAnsi="Arial"/>
                <w:sz w:val="13"/>
                <w:szCs w:val="13"/>
                <w:color w:val="0000EE"/>
              </w:rPr>
            </w:pPr>
            <w:hyperlink w:anchor="page185">
              <w:r>
                <w:rPr>
                  <w:rFonts w:ascii="Arial" w:cs="Arial" w:eastAsia="Arial" w:hAnsi="Arial"/>
                  <w:sz w:val="13"/>
                  <w:szCs w:val="13"/>
                  <w:color w:val="0000EE"/>
                </w:rPr>
                <w:t>MagnaChip Semiconductor Corporation Consolidated Statements of Changes in Stockholders’/Unitholders’ Equity for the Three Months Ended March 31, 2010</w:t>
              </w:r>
            </w:hyperlink>
          </w:p>
        </w:tc>
        <w:tc>
          <w:tcPr>
            <w:tcW w:w="300" w:type="dxa"/>
            <w:vAlign w:val="bottom"/>
            <w:gridSpan w:val="2"/>
          </w:tcPr>
          <w:p>
            <w:pPr>
              <w:spacing w:after="0"/>
              <w:rPr>
                <w:sz w:val="11"/>
                <w:szCs w:val="11"/>
                <w:color w:val="auto"/>
              </w:rPr>
            </w:pPr>
          </w:p>
        </w:tc>
        <w:tc>
          <w:tcPr>
            <w:tcW w:w="126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60" w:type="dxa"/>
            <w:vAlign w:val="bottom"/>
            <w:tcBorders>
              <w:bottom w:val="single" w:sz="8" w:color="0000EE"/>
            </w:tcBorders>
            <w:gridSpan w:val="5"/>
          </w:tcPr>
          <w:p>
            <w:pPr>
              <w:spacing w:after="0" w:line="128" w:lineRule="exact"/>
              <w:rPr>
                <w:rFonts w:ascii="Arial" w:cs="Arial" w:eastAsia="Arial" w:hAnsi="Arial"/>
                <w:sz w:val="13"/>
                <w:szCs w:val="13"/>
                <w:color w:val="0000EE"/>
              </w:rPr>
            </w:pPr>
            <w:hyperlink w:anchor="page185">
              <w:r>
                <w:rPr>
                  <w:rFonts w:ascii="Arial" w:cs="Arial" w:eastAsia="Arial" w:hAnsi="Arial"/>
                  <w:sz w:val="13"/>
                  <w:szCs w:val="13"/>
                  <w:color w:val="0000EE"/>
                </w:rPr>
                <w:t>(Successor Company) and March 29, 2009 (Predecessor Company)</w:t>
              </w:r>
            </w:hyperlink>
          </w:p>
        </w:tc>
        <w:tc>
          <w:tcPr>
            <w:tcW w:w="5420" w:type="dxa"/>
            <w:vAlign w:val="bottom"/>
            <w:gridSpan w:val="13"/>
          </w:tcPr>
          <w:p>
            <w:pPr>
              <w:spacing w:after="0"/>
              <w:rPr>
                <w:sz w:val="11"/>
                <w:szCs w:val="11"/>
                <w:color w:val="auto"/>
              </w:rPr>
            </w:pPr>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F-4</w:t>
            </w:r>
          </w:p>
        </w:tc>
      </w:tr>
      <w:tr>
        <w:trPr>
          <w:trHeight w:val="127"/>
        </w:trPr>
        <w:tc>
          <w:tcPr>
            <w:tcW w:w="680" w:type="dxa"/>
            <w:vAlign w:val="bottom"/>
          </w:tcPr>
          <w:p>
            <w:pPr>
              <w:spacing w:after="0"/>
              <w:rPr>
                <w:sz w:val="11"/>
                <w:szCs w:val="11"/>
                <w:color w:val="auto"/>
              </w:rPr>
            </w:pPr>
          </w:p>
        </w:tc>
        <w:tc>
          <w:tcPr>
            <w:tcW w:w="8880" w:type="dxa"/>
            <w:vAlign w:val="bottom"/>
            <w:tcBorders>
              <w:bottom w:val="single" w:sz="8" w:color="0000EE"/>
            </w:tcBorders>
            <w:gridSpan w:val="15"/>
          </w:tcPr>
          <w:p>
            <w:pPr>
              <w:spacing w:after="0" w:line="128" w:lineRule="exact"/>
              <w:rPr>
                <w:rFonts w:ascii="Arial" w:cs="Arial" w:eastAsia="Arial" w:hAnsi="Arial"/>
                <w:sz w:val="13"/>
                <w:szCs w:val="13"/>
                <w:color w:val="0000EE"/>
              </w:rPr>
            </w:pPr>
            <w:hyperlink w:anchor="page186">
              <w:r>
                <w:rPr>
                  <w:rFonts w:ascii="Arial" w:cs="Arial" w:eastAsia="Arial" w:hAnsi="Arial"/>
                  <w:sz w:val="13"/>
                  <w:szCs w:val="13"/>
                  <w:color w:val="0000EE"/>
                </w:rPr>
                <w:t>MagnaChip Semiconductor Corporation Consolidated Statements of Cash Flows for the Three Months Ended March 31, 2010 (Successor Company) and</w:t>
              </w:r>
            </w:hyperlink>
          </w:p>
        </w:tc>
        <w:tc>
          <w:tcPr>
            <w:tcW w:w="640" w:type="dxa"/>
            <w:vAlign w:val="bottom"/>
            <w:gridSpan w:val="4"/>
          </w:tcPr>
          <w:p>
            <w:pPr>
              <w:spacing w:after="0"/>
              <w:rPr>
                <w:sz w:val="11"/>
                <w:szCs w:val="11"/>
                <w:color w:val="auto"/>
              </w:rPr>
            </w:pPr>
          </w:p>
        </w:tc>
        <w:tc>
          <w:tcPr>
            <w:tcW w:w="126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380" w:type="dxa"/>
            <w:vAlign w:val="bottom"/>
            <w:gridSpan w:val="18"/>
          </w:tcPr>
          <w:p>
            <w:pPr>
              <w:spacing w:after="0" w:line="128" w:lineRule="exact"/>
              <w:rPr>
                <w:rFonts w:ascii="Arial" w:cs="Arial" w:eastAsia="Arial" w:hAnsi="Arial"/>
                <w:sz w:val="13"/>
                <w:szCs w:val="13"/>
                <w:color w:val="0000EE"/>
              </w:rPr>
            </w:pPr>
            <w:hyperlink w:anchor="page186">
              <w:r>
                <w:rPr>
                  <w:rFonts w:ascii="Arial" w:cs="Arial" w:eastAsia="Arial" w:hAnsi="Arial"/>
                  <w:sz w:val="13"/>
                  <w:szCs w:val="13"/>
                  <w:color w:val="0000EE"/>
                </w:rPr>
                <w:t>March 29, 2009 (Predecessor Company)</w:t>
              </w:r>
            </w:hyperlink>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F-5</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4900" w:type="dxa"/>
            <w:vAlign w:val="bottom"/>
            <w:tcBorders>
              <w:bottom w:val="single" w:sz="8" w:color="0000EE"/>
            </w:tcBorders>
            <w:gridSpan w:val="7"/>
          </w:tcPr>
          <w:p>
            <w:pPr>
              <w:spacing w:after="0" w:line="128" w:lineRule="exact"/>
              <w:rPr>
                <w:rFonts w:ascii="Arial" w:cs="Arial" w:eastAsia="Arial" w:hAnsi="Arial"/>
                <w:sz w:val="13"/>
                <w:szCs w:val="13"/>
                <w:color w:val="0000EE"/>
              </w:rPr>
            </w:pPr>
            <w:hyperlink w:anchor="page187">
              <w:r>
                <w:rPr>
                  <w:rFonts w:ascii="Arial" w:cs="Arial" w:eastAsia="Arial" w:hAnsi="Arial"/>
                  <w:sz w:val="13"/>
                  <w:szCs w:val="13"/>
                  <w:color w:val="0000EE"/>
                </w:rPr>
                <w:t>MagnaChip Semiconductor Corporation Notes to Consolidated Financial Statements</w:t>
              </w:r>
            </w:hyperlink>
          </w:p>
        </w:tc>
        <w:tc>
          <w:tcPr>
            <w:tcW w:w="4620" w:type="dxa"/>
            <w:vAlign w:val="bottom"/>
            <w:gridSpan w:val="12"/>
          </w:tcPr>
          <w:p>
            <w:pPr>
              <w:spacing w:after="0"/>
              <w:rPr>
                <w:sz w:val="11"/>
                <w:szCs w:val="11"/>
                <w:color w:val="auto"/>
              </w:rPr>
            </w:pPr>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F-6</w:t>
            </w:r>
          </w:p>
        </w:tc>
      </w:tr>
      <w:tr>
        <w:trPr>
          <w:trHeight w:val="274"/>
        </w:trPr>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160" w:type="dxa"/>
            <w:vAlign w:val="bottom"/>
            <w:gridSpan w:val="14"/>
          </w:tcPr>
          <w:p>
            <w:pPr>
              <w:jc w:val="center"/>
              <w:ind w:right="2880"/>
              <w:spacing w:after="0"/>
              <w:rPr>
                <w:sz w:val="20"/>
                <w:szCs w:val="20"/>
                <w:color w:val="auto"/>
              </w:rPr>
            </w:pPr>
            <w:r>
              <w:rPr>
                <w:rFonts w:ascii="Arial" w:cs="Arial" w:eastAsia="Arial" w:hAnsi="Arial"/>
                <w:sz w:val="13"/>
                <w:szCs w:val="13"/>
                <w:b w:val="1"/>
                <w:bCs w:val="1"/>
                <w:color w:val="auto"/>
              </w:rPr>
              <w:t>Consolidated financial statements (audited)</w:t>
            </w:r>
          </w:p>
        </w:tc>
        <w:tc>
          <w:tcPr>
            <w:tcW w:w="1260" w:type="dxa"/>
            <w:vAlign w:val="bottom"/>
          </w:tcPr>
          <w:p>
            <w:pPr>
              <w:spacing w:after="0"/>
              <w:rPr>
                <w:sz w:val="23"/>
                <w:szCs w:val="23"/>
                <w:color w:val="auto"/>
              </w:rPr>
            </w:pPr>
          </w:p>
        </w:tc>
      </w:tr>
      <w:tr>
        <w:trPr>
          <w:trHeight w:val="237"/>
        </w:trPr>
        <w:tc>
          <w:tcPr>
            <w:tcW w:w="680" w:type="dxa"/>
            <w:vAlign w:val="bottom"/>
          </w:tcPr>
          <w:p>
            <w:pPr>
              <w:spacing w:after="0"/>
              <w:rPr>
                <w:sz w:val="20"/>
                <w:szCs w:val="20"/>
                <w:color w:val="auto"/>
              </w:rPr>
            </w:pPr>
          </w:p>
        </w:tc>
        <w:tc>
          <w:tcPr>
            <w:tcW w:w="3360" w:type="dxa"/>
            <w:vAlign w:val="bottom"/>
            <w:tcBorders>
              <w:bottom w:val="single" w:sz="8" w:color="0000EE"/>
            </w:tcBorders>
            <w:gridSpan w:val="5"/>
          </w:tcPr>
          <w:p>
            <w:pPr>
              <w:spacing w:after="0"/>
              <w:rPr>
                <w:rFonts w:ascii="Arial" w:cs="Arial" w:eastAsia="Arial" w:hAnsi="Arial"/>
                <w:sz w:val="13"/>
                <w:szCs w:val="13"/>
                <w:color w:val="0000EE"/>
              </w:rPr>
            </w:pPr>
            <w:hyperlink w:anchor="page199">
              <w:r>
                <w:rPr>
                  <w:rFonts w:ascii="Arial" w:cs="Arial" w:eastAsia="Arial" w:hAnsi="Arial"/>
                  <w:sz w:val="13"/>
                  <w:szCs w:val="13"/>
                  <w:color w:val="0000EE"/>
                </w:rPr>
                <w:t>Report of Independent Registered Public Accounting Firm</w:t>
              </w:r>
            </w:hyperlink>
          </w:p>
        </w:tc>
        <w:tc>
          <w:tcPr>
            <w:tcW w:w="6160" w:type="dxa"/>
            <w:vAlign w:val="bottom"/>
            <w:gridSpan w:val="14"/>
          </w:tcPr>
          <w:p>
            <w:pPr>
              <w:spacing w:after="0"/>
              <w:rPr>
                <w:sz w:val="20"/>
                <w:szCs w:val="20"/>
                <w:color w:val="auto"/>
              </w:rPr>
            </w:pPr>
          </w:p>
        </w:tc>
        <w:tc>
          <w:tcPr>
            <w:tcW w:w="1260" w:type="dxa"/>
            <w:vAlign w:val="bottom"/>
          </w:tcPr>
          <w:p>
            <w:pPr>
              <w:jc w:val="right"/>
              <w:ind w:right="774"/>
              <w:spacing w:after="0"/>
              <w:rPr>
                <w:sz w:val="20"/>
                <w:szCs w:val="20"/>
                <w:color w:val="auto"/>
              </w:rPr>
            </w:pPr>
            <w:r>
              <w:rPr>
                <w:rFonts w:ascii="Arial" w:cs="Arial" w:eastAsia="Arial" w:hAnsi="Arial"/>
                <w:sz w:val="13"/>
                <w:szCs w:val="13"/>
                <w:color w:val="auto"/>
              </w:rPr>
              <w:t>F-18</w:t>
            </w:r>
          </w:p>
        </w:tc>
      </w:tr>
      <w:tr>
        <w:trPr>
          <w:trHeight w:val="127"/>
        </w:trPr>
        <w:tc>
          <w:tcPr>
            <w:tcW w:w="680" w:type="dxa"/>
            <w:vAlign w:val="bottom"/>
          </w:tcPr>
          <w:p>
            <w:pPr>
              <w:spacing w:after="0"/>
              <w:rPr>
                <w:sz w:val="11"/>
                <w:szCs w:val="11"/>
                <w:color w:val="auto"/>
              </w:rPr>
            </w:pPr>
          </w:p>
        </w:tc>
        <w:tc>
          <w:tcPr>
            <w:tcW w:w="9520" w:type="dxa"/>
            <w:vAlign w:val="bottom"/>
            <w:gridSpan w:val="19"/>
          </w:tcPr>
          <w:p>
            <w:pPr>
              <w:spacing w:after="0" w:line="128" w:lineRule="exact"/>
              <w:rPr>
                <w:rFonts w:ascii="Arial" w:cs="Arial" w:eastAsia="Arial" w:hAnsi="Arial"/>
                <w:sz w:val="13"/>
                <w:szCs w:val="13"/>
                <w:color w:val="0000EE"/>
              </w:rPr>
            </w:pPr>
            <w:hyperlink w:anchor="page201">
              <w:r>
                <w:rPr>
                  <w:rFonts w:ascii="Arial" w:cs="Arial" w:eastAsia="Arial" w:hAnsi="Arial"/>
                  <w:sz w:val="13"/>
                  <w:szCs w:val="13"/>
                  <w:color w:val="0000EE"/>
                </w:rPr>
                <w:t>MagnaChip Semiconductor Corporation Consolidated Balance Sheets as of December 31, 2009 (Successor Company) and as of December 31, 2008</w:t>
              </w:r>
            </w:hyperlink>
          </w:p>
        </w:tc>
        <w:tc>
          <w:tcPr>
            <w:tcW w:w="126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20" w:type="dxa"/>
            <w:vAlign w:val="bottom"/>
            <w:tcBorders>
              <w:top w:val="single" w:sz="8" w:color="0000EE"/>
              <w:bottom w:val="single" w:sz="8" w:color="0000EE"/>
            </w:tcBorders>
            <w:gridSpan w:val="2"/>
          </w:tcPr>
          <w:p>
            <w:pPr>
              <w:spacing w:after="0" w:line="128" w:lineRule="exact"/>
              <w:rPr>
                <w:rFonts w:ascii="Arial" w:cs="Arial" w:eastAsia="Arial" w:hAnsi="Arial"/>
                <w:sz w:val="13"/>
                <w:szCs w:val="13"/>
                <w:color w:val="0000EE"/>
                <w:w w:val="99"/>
              </w:rPr>
            </w:pPr>
            <w:hyperlink w:anchor="page201">
              <w:r>
                <w:rPr>
                  <w:rFonts w:ascii="Arial" w:cs="Arial" w:eastAsia="Arial" w:hAnsi="Arial"/>
                  <w:sz w:val="13"/>
                  <w:szCs w:val="13"/>
                  <w:color w:val="0000EE"/>
                  <w:w w:val="99"/>
                </w:rPr>
                <w:t>(Predecessor Company)</w:t>
              </w:r>
            </w:hyperlink>
          </w:p>
        </w:tc>
        <w:tc>
          <w:tcPr>
            <w:tcW w:w="7100" w:type="dxa"/>
            <w:vAlign w:val="bottom"/>
            <w:tcBorders>
              <w:top w:val="single" w:sz="8" w:color="0000EE"/>
            </w:tcBorders>
            <w:gridSpan w:val="9"/>
          </w:tcPr>
          <w:p>
            <w:pPr>
              <w:spacing w:after="0"/>
              <w:rPr>
                <w:sz w:val="11"/>
                <w:szCs w:val="11"/>
                <w:color w:val="auto"/>
              </w:rPr>
            </w:pPr>
          </w:p>
        </w:tc>
        <w:tc>
          <w:tcPr>
            <w:tcW w:w="860" w:type="dxa"/>
            <w:vAlign w:val="bottom"/>
            <w:gridSpan w:val="7"/>
          </w:tcPr>
          <w:p>
            <w:pPr>
              <w:spacing w:after="0"/>
              <w:rPr>
                <w:sz w:val="11"/>
                <w:szCs w:val="11"/>
                <w:color w:val="auto"/>
              </w:rPr>
            </w:pPr>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F-20</w:t>
            </w:r>
          </w:p>
        </w:tc>
      </w:tr>
      <w:tr>
        <w:trPr>
          <w:trHeight w:val="127"/>
        </w:trPr>
        <w:tc>
          <w:tcPr>
            <w:tcW w:w="680" w:type="dxa"/>
            <w:vAlign w:val="bottom"/>
          </w:tcPr>
          <w:p>
            <w:pPr>
              <w:spacing w:after="0"/>
              <w:rPr>
                <w:sz w:val="11"/>
                <w:szCs w:val="11"/>
                <w:color w:val="auto"/>
              </w:rPr>
            </w:pPr>
          </w:p>
        </w:tc>
        <w:tc>
          <w:tcPr>
            <w:tcW w:w="9520" w:type="dxa"/>
            <w:vAlign w:val="bottom"/>
            <w:gridSpan w:val="19"/>
          </w:tcPr>
          <w:p>
            <w:pPr>
              <w:spacing w:after="0" w:line="128" w:lineRule="exact"/>
              <w:rPr>
                <w:rFonts w:ascii="Arial" w:cs="Arial" w:eastAsia="Arial" w:hAnsi="Arial"/>
                <w:sz w:val="13"/>
                <w:szCs w:val="13"/>
                <w:color w:val="0000EE"/>
              </w:rPr>
            </w:pPr>
            <w:hyperlink w:anchor="page202">
              <w:r>
                <w:rPr>
                  <w:rFonts w:ascii="Arial" w:cs="Arial" w:eastAsia="Arial" w:hAnsi="Arial"/>
                  <w:sz w:val="13"/>
                  <w:szCs w:val="13"/>
                  <w:color w:val="0000EE"/>
                </w:rPr>
                <w:t>MagnaChip Semiconductor Corporation Consolidated Statements of Operations for the Two-Month Period Ended December 31, 2009 (Successor Company), and</w:t>
              </w:r>
            </w:hyperlink>
          </w:p>
        </w:tc>
        <w:tc>
          <w:tcPr>
            <w:tcW w:w="126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7200" w:type="dxa"/>
            <w:vAlign w:val="bottom"/>
            <w:tcBorders>
              <w:top w:val="single" w:sz="8" w:color="0000EE"/>
              <w:bottom w:val="single" w:sz="8" w:color="0000EE"/>
            </w:tcBorders>
            <w:gridSpan w:val="7"/>
          </w:tcPr>
          <w:p>
            <w:pPr>
              <w:spacing w:after="0" w:line="128" w:lineRule="exact"/>
              <w:rPr>
                <w:rFonts w:ascii="Arial" w:cs="Arial" w:eastAsia="Arial" w:hAnsi="Arial"/>
                <w:sz w:val="13"/>
                <w:szCs w:val="13"/>
                <w:color w:val="0000EE"/>
              </w:rPr>
            </w:pPr>
            <w:hyperlink w:anchor="page202">
              <w:r>
                <w:rPr>
                  <w:rFonts w:ascii="Arial" w:cs="Arial" w:eastAsia="Arial" w:hAnsi="Arial"/>
                  <w:sz w:val="13"/>
                  <w:szCs w:val="13"/>
                  <w:color w:val="0000EE"/>
                </w:rPr>
                <w:t>the Ten-Month Period Ended October 25, 2009 and the Years Ended December 31, 2008 and 2007 (Predecessor Company)</w:t>
              </w:r>
            </w:hyperlink>
          </w:p>
        </w:tc>
        <w:tc>
          <w:tcPr>
            <w:tcW w:w="2020" w:type="dxa"/>
            <w:vAlign w:val="bottom"/>
            <w:tcBorders>
              <w:top w:val="single" w:sz="8" w:color="0000EE"/>
            </w:tcBorders>
            <w:gridSpan w:val="10"/>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F-21</w:t>
            </w:r>
          </w:p>
        </w:tc>
      </w:tr>
      <w:tr>
        <w:trPr>
          <w:trHeight w:val="127"/>
        </w:trPr>
        <w:tc>
          <w:tcPr>
            <w:tcW w:w="680" w:type="dxa"/>
            <w:vAlign w:val="bottom"/>
          </w:tcPr>
          <w:p>
            <w:pPr>
              <w:spacing w:after="0"/>
              <w:rPr>
                <w:sz w:val="11"/>
                <w:szCs w:val="11"/>
                <w:color w:val="auto"/>
              </w:rPr>
            </w:pPr>
          </w:p>
        </w:tc>
        <w:tc>
          <w:tcPr>
            <w:tcW w:w="9520" w:type="dxa"/>
            <w:vAlign w:val="bottom"/>
            <w:gridSpan w:val="19"/>
          </w:tcPr>
          <w:p>
            <w:pPr>
              <w:spacing w:after="0" w:line="128" w:lineRule="exact"/>
              <w:rPr>
                <w:rFonts w:ascii="Arial" w:cs="Arial" w:eastAsia="Arial" w:hAnsi="Arial"/>
                <w:sz w:val="13"/>
                <w:szCs w:val="13"/>
                <w:color w:val="0000EE"/>
              </w:rPr>
            </w:pPr>
            <w:hyperlink w:anchor="page203">
              <w:r>
                <w:rPr>
                  <w:rFonts w:ascii="Arial" w:cs="Arial" w:eastAsia="Arial" w:hAnsi="Arial"/>
                  <w:sz w:val="13"/>
                  <w:szCs w:val="13"/>
                  <w:color w:val="0000EE"/>
                </w:rPr>
                <w:t>MagnaChip Semiconductor Corporation Consolidated Statements of Changes in Stockholders’/Unitholders’ Equity For the Two-Month Period Ended</w:t>
              </w:r>
            </w:hyperlink>
          </w:p>
        </w:tc>
        <w:tc>
          <w:tcPr>
            <w:tcW w:w="126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560" w:type="dxa"/>
            <w:vAlign w:val="bottom"/>
            <w:tcBorders>
              <w:bottom w:val="single" w:sz="8" w:color="0000EE"/>
            </w:tcBorders>
            <w:gridSpan w:val="12"/>
          </w:tcPr>
          <w:p>
            <w:pPr>
              <w:spacing w:after="0" w:line="128" w:lineRule="exact"/>
              <w:rPr>
                <w:rFonts w:ascii="Arial" w:cs="Arial" w:eastAsia="Arial" w:hAnsi="Arial"/>
                <w:sz w:val="13"/>
                <w:szCs w:val="13"/>
                <w:color w:val="0000EE"/>
              </w:rPr>
            </w:pPr>
            <w:hyperlink w:anchor="page203">
              <w:r>
                <w:rPr>
                  <w:rFonts w:ascii="Arial" w:cs="Arial" w:eastAsia="Arial" w:hAnsi="Arial"/>
                  <w:sz w:val="13"/>
                  <w:szCs w:val="13"/>
                  <w:color w:val="0000EE"/>
                </w:rPr>
                <w:t>December 31, 2009 (Successor Company), and the Ten-Month Period Ended October 25, 2009 and the Years Ended December 31, 2008 and 2007</w:t>
              </w:r>
            </w:hyperlink>
          </w:p>
        </w:tc>
        <w:tc>
          <w:tcPr>
            <w:tcW w:w="820" w:type="dxa"/>
            <w:vAlign w:val="bottom"/>
            <w:gridSpan w:val="6"/>
          </w:tcPr>
          <w:p>
            <w:pPr>
              <w:spacing w:after="0"/>
              <w:rPr>
                <w:sz w:val="11"/>
                <w:szCs w:val="11"/>
                <w:color w:val="auto"/>
              </w:rPr>
            </w:pPr>
          </w:p>
        </w:tc>
        <w:tc>
          <w:tcPr>
            <w:tcW w:w="126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bottom w:val="single" w:sz="8" w:color="0000EE"/>
            </w:tcBorders>
            <w:gridSpan w:val="2"/>
          </w:tcPr>
          <w:p>
            <w:pPr>
              <w:spacing w:after="0" w:line="128" w:lineRule="exact"/>
              <w:rPr>
                <w:rFonts w:ascii="Arial" w:cs="Arial" w:eastAsia="Arial" w:hAnsi="Arial"/>
                <w:sz w:val="13"/>
                <w:szCs w:val="13"/>
                <w:color w:val="0000EE"/>
                <w:w w:val="99"/>
              </w:rPr>
            </w:pPr>
            <w:hyperlink w:anchor="page203">
              <w:r>
                <w:rPr>
                  <w:rFonts w:ascii="Arial" w:cs="Arial" w:eastAsia="Arial" w:hAnsi="Arial"/>
                  <w:sz w:val="13"/>
                  <w:szCs w:val="13"/>
                  <w:color w:val="0000EE"/>
                  <w:w w:val="99"/>
                </w:rPr>
                <w:t>(Predecessor Company)</w:t>
              </w:r>
            </w:hyperlink>
          </w:p>
        </w:tc>
        <w:tc>
          <w:tcPr>
            <w:tcW w:w="7960" w:type="dxa"/>
            <w:vAlign w:val="bottom"/>
            <w:gridSpan w:val="16"/>
          </w:tcPr>
          <w:p>
            <w:pPr>
              <w:spacing w:after="0"/>
              <w:rPr>
                <w:sz w:val="11"/>
                <w:szCs w:val="11"/>
                <w:color w:val="auto"/>
              </w:rPr>
            </w:pPr>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F-22</w:t>
            </w:r>
          </w:p>
        </w:tc>
      </w:tr>
      <w:tr>
        <w:trPr>
          <w:trHeight w:val="127"/>
        </w:trPr>
        <w:tc>
          <w:tcPr>
            <w:tcW w:w="680" w:type="dxa"/>
            <w:vAlign w:val="bottom"/>
          </w:tcPr>
          <w:p>
            <w:pPr>
              <w:spacing w:after="0"/>
              <w:rPr>
                <w:sz w:val="11"/>
                <w:szCs w:val="11"/>
                <w:color w:val="auto"/>
              </w:rPr>
            </w:pPr>
          </w:p>
        </w:tc>
        <w:tc>
          <w:tcPr>
            <w:tcW w:w="9160" w:type="dxa"/>
            <w:vAlign w:val="bottom"/>
            <w:tcBorders>
              <w:bottom w:val="single" w:sz="8" w:color="0000EE"/>
            </w:tcBorders>
            <w:gridSpan w:val="16"/>
          </w:tcPr>
          <w:p>
            <w:pPr>
              <w:spacing w:after="0" w:line="128" w:lineRule="exact"/>
              <w:rPr>
                <w:rFonts w:ascii="Arial" w:cs="Arial" w:eastAsia="Arial" w:hAnsi="Arial"/>
                <w:sz w:val="13"/>
                <w:szCs w:val="13"/>
                <w:color w:val="0000EE"/>
              </w:rPr>
            </w:pPr>
            <w:hyperlink w:anchor="page205">
              <w:r>
                <w:rPr>
                  <w:rFonts w:ascii="Arial" w:cs="Arial" w:eastAsia="Arial" w:hAnsi="Arial"/>
                  <w:sz w:val="13"/>
                  <w:szCs w:val="13"/>
                  <w:color w:val="0000EE"/>
                </w:rPr>
                <w:t>MagnaChip Semiconductor Corporation Consolidated Statements of Cash Flows for the Two-Month Period Ended December 31, 2009 (Successor Company),</w:t>
              </w:r>
            </w:hyperlink>
          </w:p>
        </w:tc>
        <w:tc>
          <w:tcPr>
            <w:tcW w:w="360" w:type="dxa"/>
            <w:vAlign w:val="bottom"/>
            <w:gridSpan w:val="3"/>
          </w:tcPr>
          <w:p>
            <w:pPr>
              <w:spacing w:after="0"/>
              <w:rPr>
                <w:sz w:val="11"/>
                <w:szCs w:val="11"/>
                <w:color w:val="auto"/>
              </w:rPr>
            </w:pPr>
          </w:p>
        </w:tc>
        <w:tc>
          <w:tcPr>
            <w:tcW w:w="126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60" w:type="dxa"/>
            <w:vAlign w:val="bottom"/>
            <w:tcBorders>
              <w:bottom w:val="single" w:sz="8" w:color="0000EE"/>
            </w:tcBorders>
            <w:gridSpan w:val="8"/>
          </w:tcPr>
          <w:p>
            <w:pPr>
              <w:spacing w:after="0" w:line="128" w:lineRule="exact"/>
              <w:rPr>
                <w:rFonts w:ascii="Arial" w:cs="Arial" w:eastAsia="Arial" w:hAnsi="Arial"/>
                <w:sz w:val="13"/>
                <w:szCs w:val="13"/>
                <w:color w:val="0000EE"/>
              </w:rPr>
            </w:pPr>
            <w:hyperlink w:anchor="page205">
              <w:r>
                <w:rPr>
                  <w:rFonts w:ascii="Arial" w:cs="Arial" w:eastAsia="Arial" w:hAnsi="Arial"/>
                  <w:sz w:val="13"/>
                  <w:szCs w:val="13"/>
                  <w:color w:val="0000EE"/>
                </w:rPr>
                <w:t>and the Ten-Month Period Ended October 25, 2009 and the Years Ended December 31, 2008 and 2007 (Predecessor Company)</w:t>
              </w:r>
            </w:hyperlink>
          </w:p>
        </w:tc>
        <w:tc>
          <w:tcPr>
            <w:tcW w:w="1920" w:type="dxa"/>
            <w:vAlign w:val="bottom"/>
            <w:gridSpan w:val="10"/>
          </w:tcPr>
          <w:p>
            <w:pPr>
              <w:spacing w:after="0"/>
              <w:rPr>
                <w:sz w:val="11"/>
                <w:szCs w:val="11"/>
                <w:color w:val="auto"/>
              </w:rPr>
            </w:pPr>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F-24</w:t>
            </w:r>
          </w:p>
        </w:tc>
      </w:tr>
      <w:tr>
        <w:trPr>
          <w:trHeight w:val="127"/>
        </w:trPr>
        <w:tc>
          <w:tcPr>
            <w:tcW w:w="680" w:type="dxa"/>
            <w:vAlign w:val="bottom"/>
          </w:tcPr>
          <w:p>
            <w:pPr>
              <w:spacing w:after="0"/>
              <w:rPr>
                <w:sz w:val="11"/>
                <w:szCs w:val="11"/>
                <w:color w:val="auto"/>
              </w:rPr>
            </w:pPr>
          </w:p>
        </w:tc>
        <w:tc>
          <w:tcPr>
            <w:tcW w:w="9520" w:type="dxa"/>
            <w:vAlign w:val="bottom"/>
            <w:gridSpan w:val="19"/>
          </w:tcPr>
          <w:p>
            <w:pPr>
              <w:spacing w:after="0" w:line="128" w:lineRule="exact"/>
              <w:rPr>
                <w:rFonts w:ascii="Arial" w:cs="Arial" w:eastAsia="Arial" w:hAnsi="Arial"/>
                <w:sz w:val="13"/>
                <w:szCs w:val="13"/>
                <w:color w:val="0000EE"/>
              </w:rPr>
            </w:pPr>
            <w:hyperlink w:anchor="page207">
              <w:r>
                <w:rPr>
                  <w:rFonts w:ascii="Arial" w:cs="Arial" w:eastAsia="Arial" w:hAnsi="Arial"/>
                  <w:sz w:val="13"/>
                  <w:szCs w:val="13"/>
                  <w:color w:val="0000EE"/>
                </w:rPr>
                <w:t>MagnaChip Semiconductor Corporation Notes to Consolidated Financial Statements</w:t>
              </w:r>
            </w:hyperlink>
          </w:p>
        </w:tc>
        <w:tc>
          <w:tcPr>
            <w:tcW w:w="126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F-26</w:t>
            </w:r>
          </w:p>
        </w:tc>
      </w:tr>
      <w:tr>
        <w:trPr>
          <w:trHeight w:val="441"/>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620" w:type="dxa"/>
            <w:vAlign w:val="bottom"/>
            <w:gridSpan w:val="12"/>
          </w:tcPr>
          <w:p>
            <w:pPr>
              <w:jc w:val="center"/>
              <w:ind w:right="4420"/>
              <w:spacing w:after="0"/>
              <w:rPr>
                <w:sz w:val="20"/>
                <w:szCs w:val="20"/>
                <w:color w:val="auto"/>
              </w:rPr>
            </w:pPr>
            <w:r>
              <w:rPr>
                <w:rFonts w:ascii="Arial" w:cs="Arial" w:eastAsia="Arial" w:hAnsi="Arial"/>
                <w:sz w:val="13"/>
                <w:szCs w:val="13"/>
                <w:color w:val="auto"/>
              </w:rPr>
              <w:t>F-1</w:t>
            </w:r>
          </w:p>
        </w:tc>
        <w:tc>
          <w:tcPr>
            <w:tcW w:w="126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44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0"/>
                <w:szCs w:val="10"/>
                <w:b w:val="1"/>
                <w:bCs w:val="1"/>
                <w:color w:val="auto"/>
              </w:rPr>
              <w:t>Successor</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3"/>
          </w:tcPr>
          <w:p>
            <w:pPr>
              <w:jc w:val="right"/>
              <w:spacing w:after="0" w:line="100" w:lineRule="exact"/>
              <w:rPr>
                <w:sz w:val="20"/>
                <w:szCs w:val="20"/>
                <w:color w:val="auto"/>
              </w:rPr>
            </w:pPr>
            <w:r>
              <w:rPr>
                <w:rFonts w:ascii="Arial" w:cs="Arial" w:eastAsia="Arial" w:hAnsi="Arial"/>
                <w:sz w:val="10"/>
                <w:szCs w:val="10"/>
                <w:b w:val="1"/>
                <w:bCs w:val="1"/>
                <w:color w:val="auto"/>
              </w:rPr>
              <w:t>March 31,</w:t>
            </w: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center"/>
              <w:ind w:right="42"/>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2010</w:t>
            </w:r>
          </w:p>
        </w:tc>
        <w:tc>
          <w:tcPr>
            <w:tcW w:w="6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r>
      <w:tr>
        <w:trPr>
          <w:trHeight w:val="99"/>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jc w:val="center"/>
              <w:ind w:right="2"/>
              <w:spacing w:after="0" w:line="100" w:lineRule="exact"/>
              <w:rPr>
                <w:sz w:val="20"/>
                <w:szCs w:val="20"/>
                <w:color w:val="auto"/>
              </w:rPr>
            </w:pPr>
            <w:r>
              <w:rPr>
                <w:rFonts w:ascii="Arial" w:cs="Arial" w:eastAsia="Arial" w:hAnsi="Arial"/>
                <w:sz w:val="10"/>
                <w:szCs w:val="10"/>
                <w:b w:val="1"/>
                <w:bCs w:val="1"/>
                <w:color w:val="auto"/>
              </w:rPr>
              <w:t>Pro Forma</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6"/>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Historical</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rPr>
              <w:t>(Note 20)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rPr>
              <w:t>Historical</w:t>
            </w:r>
          </w:p>
        </w:tc>
        <w:tc>
          <w:tcPr>
            <w:tcW w:w="100" w:type="dxa"/>
            <w:vAlign w:val="bottom"/>
          </w:tcPr>
          <w:p>
            <w:pPr>
              <w:spacing w:after="0"/>
              <w:rPr>
                <w:sz w:val="10"/>
                <w:szCs w:val="10"/>
                <w:color w:val="auto"/>
              </w:rPr>
            </w:pPr>
          </w:p>
        </w:tc>
      </w:tr>
      <w:tr>
        <w:trPr>
          <w:trHeight w:val="127"/>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(Unaudited;</w:t>
            </w:r>
          </w:p>
        </w:tc>
        <w:tc>
          <w:tcPr>
            <w:tcW w:w="11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 of US</w:t>
            </w:r>
          </w:p>
        </w:tc>
        <w:tc>
          <w:tcPr>
            <w:tcW w:w="400" w:type="dxa"/>
            <w:vAlign w:val="bottom"/>
          </w:tcPr>
          <w:p>
            <w:pPr>
              <w:jc w:val="right"/>
              <w:ind w:right="48"/>
              <w:spacing w:after="0"/>
              <w:rPr>
                <w:sz w:val="20"/>
                <w:szCs w:val="20"/>
                <w:color w:val="auto"/>
              </w:rPr>
            </w:pPr>
            <w:r>
              <w:rPr>
                <w:rFonts w:ascii="Arial" w:cs="Arial" w:eastAsia="Arial" w:hAnsi="Arial"/>
                <w:sz w:val="10"/>
                <w:szCs w:val="10"/>
                <w:b w:val="1"/>
                <w:bCs w:val="1"/>
                <w:color w:val="auto"/>
                <w:w w:val="78"/>
              </w:rPr>
              <w:t>dollars,</w:t>
            </w:r>
          </w:p>
        </w:tc>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except share data)</w:t>
            </w:r>
          </w:p>
        </w:tc>
        <w:tc>
          <w:tcPr>
            <w:tcW w:w="100" w:type="dxa"/>
            <w:vAlign w:val="bottom"/>
          </w:tcPr>
          <w:p>
            <w:pPr>
              <w:spacing w:after="0"/>
              <w:rPr>
                <w:sz w:val="11"/>
                <w:szCs w:val="1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82,688</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82,688</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Accounts receivable, net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104,514</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104,514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74,233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 net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58,233</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58,233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63,407</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receivables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4,507</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4,507</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13,013</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13,013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assets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7,769</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7,769</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270,724</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270,724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222,056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154,719</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154,719</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156,337</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43,525</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43,525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50,158</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Long-term prepaid expenses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9,797</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9,797</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10,542</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13,266</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13,266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14,238</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6700" w:type="dxa"/>
            <w:vAlign w:val="bottom"/>
          </w:tcPr>
          <w:p>
            <w:pPr>
              <w:ind w:left="360"/>
              <w:spacing w:after="0"/>
              <w:rPr>
                <w:sz w:val="20"/>
                <w:szCs w:val="20"/>
                <w:color w:val="auto"/>
              </w:rPr>
            </w:pPr>
            <w:r>
              <w:rPr>
                <w:rFonts w:ascii="Arial" w:cs="Arial" w:eastAsia="Arial" w:hAnsi="Arial"/>
                <w:sz w:val="12"/>
                <w:szCs w:val="12"/>
                <w:color w:val="auto"/>
              </w:rPr>
              <w:t>Total assets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492,031</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143"/>
        </w:trPr>
        <w:tc>
          <w:tcPr>
            <w:tcW w:w="6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77,871</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77,871</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59,705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accounts payable</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7,551</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7,551</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7,190</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Payable to stockholders</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130,697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25,267</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25,267</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22,114</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618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4,552</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4,552</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3,937</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115,859</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246,556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93,564</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Long-term borrowings</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60,978</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60,978</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61,132</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Accrued severance benefits, net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76,843</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76,843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72,409</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6,906</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6,906</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10,536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260,586</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391,283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237,641</w:t>
            </w:r>
          </w:p>
        </w:tc>
      </w:tr>
      <w:tr>
        <w:trPr>
          <w:trHeight w:val="137"/>
        </w:trPr>
        <w:tc>
          <w:tcPr>
            <w:tcW w:w="6700" w:type="dxa"/>
            <w:vAlign w:val="bottom"/>
          </w:tcPr>
          <w:p>
            <w:pPr>
              <w:spacing w:after="0"/>
              <w:rPr>
                <w:sz w:val="20"/>
                <w:szCs w:val="20"/>
                <w:color w:val="auto"/>
              </w:rPr>
            </w:pPr>
            <w:r>
              <w:rPr>
                <w:rFonts w:ascii="Arial" w:cs="Arial" w:eastAsia="Arial" w:hAnsi="Arial"/>
                <w:sz w:val="12"/>
                <w:szCs w:val="12"/>
                <w:color w:val="auto"/>
              </w:rPr>
              <w:t>Stockholders’ equity</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$0.01 par value, 150,000,000 shares authorized, 38,404,294 and 38,385,544 shares issued 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6"/>
        </w:trPr>
        <w:tc>
          <w:tcPr>
            <w:tcW w:w="67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outstanding at March 31, 2010 and December 31, 2009, respectively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384</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line="136" w:lineRule="exact"/>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384</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224,334</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93,637</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223,451</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Retained earnings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29,138</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29,138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(1,963)</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(22,411)</w:t>
            </w:r>
          </w:p>
        </w:tc>
        <w:tc>
          <w:tcPr>
            <w:tcW w:w="420" w:type="dxa"/>
            <w:vAlign w:val="bottom"/>
          </w:tcPr>
          <w:p>
            <w:pPr>
              <w:spacing w:after="0"/>
              <w:rPr>
                <w:sz w:val="11"/>
                <w:szCs w:val="11"/>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2"/>
                <w:szCs w:val="12"/>
                <w:color w:val="auto"/>
              </w:rPr>
              <w:t>(22,411)</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(6,182)</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 equity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231,445</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100,748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215,690</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tcPr>
          <w:p>
            <w:pPr>
              <w:ind w:left="360"/>
              <w:spacing w:after="0"/>
              <w:rPr>
                <w:sz w:val="20"/>
                <w:szCs w:val="20"/>
                <w:color w:val="auto"/>
              </w:rPr>
            </w:pPr>
            <w:r>
              <w:rPr>
                <w:rFonts w:ascii="Arial" w:cs="Arial" w:eastAsia="Arial" w:hAnsi="Arial"/>
                <w:sz w:val="12"/>
                <w:szCs w:val="12"/>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492,031</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4"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73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3"/>
          </w:tcPr>
          <w:p>
            <w:pPr>
              <w:jc w:val="center"/>
              <w:ind w:right="528"/>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156"/>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99"/>
        </w:trPr>
        <w:tc>
          <w:tcPr>
            <w:tcW w:w="73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center"/>
              <w:ind w:right="97"/>
              <w:spacing w:after="0" w:line="100"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ind w:right="236"/>
              <w:spacing w:after="0" w:line="100"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8"/>
                <w:szCs w:val="8"/>
                <w:color w:val="auto"/>
              </w:rPr>
            </w:pPr>
          </w:p>
        </w:tc>
      </w:tr>
      <w:tr>
        <w:trPr>
          <w:trHeight w:val="126"/>
        </w:trPr>
        <w:tc>
          <w:tcPr>
            <w:tcW w:w="7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99"/>
        </w:trPr>
        <w:tc>
          <w:tcPr>
            <w:tcW w:w="7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ind w:left="420"/>
              <w:spacing w:after="0" w:line="100" w:lineRule="exact"/>
              <w:rPr>
                <w:sz w:val="20"/>
                <w:szCs w:val="20"/>
                <w:color w:val="auto"/>
              </w:rPr>
            </w:pPr>
            <w:r>
              <w:rPr>
                <w:rFonts w:ascii="Arial" w:cs="Arial" w:eastAsia="Arial" w:hAnsi="Arial"/>
                <w:sz w:val="10"/>
                <w:szCs w:val="10"/>
                <w:b w:val="1"/>
                <w:bCs w:val="1"/>
                <w:color w:val="auto"/>
                <w:w w:val="86"/>
              </w:rPr>
              <w:t>(Unaudited;</w:t>
            </w:r>
          </w:p>
        </w:tc>
        <w:tc>
          <w:tcPr>
            <w:tcW w:w="100" w:type="dxa"/>
            <w:vAlign w:val="bottom"/>
          </w:tcPr>
          <w:p>
            <w:pPr>
              <w:spacing w:after="0"/>
              <w:rPr>
                <w:sz w:val="8"/>
                <w:szCs w:val="8"/>
                <w:color w:val="auto"/>
              </w:rPr>
            </w:pPr>
          </w:p>
        </w:tc>
        <w:tc>
          <w:tcPr>
            <w:tcW w:w="1380" w:type="dxa"/>
            <w:vAlign w:val="bottom"/>
            <w:gridSpan w:val="3"/>
          </w:tcPr>
          <w:p>
            <w:pPr>
              <w:jc w:val="right"/>
              <w:ind w:right="536"/>
              <w:spacing w:after="0" w:line="100" w:lineRule="exact"/>
              <w:rPr>
                <w:sz w:val="20"/>
                <w:szCs w:val="20"/>
                <w:color w:val="auto"/>
              </w:rPr>
            </w:pPr>
            <w:r>
              <w:rPr>
                <w:rFonts w:ascii="Arial" w:cs="Arial" w:eastAsia="Arial" w:hAnsi="Arial"/>
                <w:sz w:val="10"/>
                <w:szCs w:val="10"/>
                <w:b w:val="1"/>
                <w:bCs w:val="1"/>
                <w:color w:val="auto"/>
              </w:rPr>
              <w:t>in thousands of</w:t>
            </w:r>
          </w:p>
        </w:tc>
        <w:tc>
          <w:tcPr>
            <w:tcW w:w="100" w:type="dxa"/>
            <w:vAlign w:val="bottom"/>
          </w:tcPr>
          <w:p>
            <w:pPr>
              <w:spacing w:after="0"/>
              <w:rPr>
                <w:sz w:val="8"/>
                <w:szCs w:val="8"/>
                <w:color w:val="auto"/>
              </w:rPr>
            </w:pPr>
          </w:p>
        </w:tc>
      </w:tr>
      <w:tr>
        <w:trPr>
          <w:trHeight w:val="126"/>
        </w:trPr>
        <w:tc>
          <w:tcPr>
            <w:tcW w:w="7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00" w:type="dxa"/>
            <w:vAlign w:val="bottom"/>
            <w:gridSpan w:val="6"/>
          </w:tcPr>
          <w:p>
            <w:pPr>
              <w:jc w:val="right"/>
              <w:ind w:right="520"/>
              <w:spacing w:after="0"/>
              <w:rPr>
                <w:sz w:val="20"/>
                <w:szCs w:val="20"/>
                <w:color w:val="auto"/>
              </w:rPr>
            </w:pPr>
            <w:r>
              <w:rPr>
                <w:rFonts w:ascii="Arial" w:cs="Arial" w:eastAsia="Arial" w:hAnsi="Arial"/>
                <w:sz w:val="10"/>
                <w:szCs w:val="10"/>
                <w:b w:val="1"/>
                <w:bCs w:val="1"/>
                <w:color w:val="auto"/>
              </w:rPr>
              <w:t>US dollars, except share/unit data)</w:t>
            </w: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179,485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101,459</w:t>
            </w: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130,127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80,560</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49,358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20,899</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17,908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15,283</w:t>
            </w: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20,531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16,986</w:t>
            </w: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336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10,583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(11,424)</w:t>
            </w: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Other income (expenses)</w:t>
            </w: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Interest expense, net</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(2,049)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(14,654)</w:t>
            </w:r>
          </w:p>
        </w:tc>
      </w:tr>
      <w:tr>
        <w:trPr>
          <w:trHeight w:val="147"/>
        </w:trPr>
        <w:tc>
          <w:tcPr>
            <w:tcW w:w="7300" w:type="dxa"/>
            <w:vAlign w:val="bottom"/>
          </w:tcPr>
          <w:p>
            <w:pPr>
              <w:ind w:left="140"/>
              <w:spacing w:after="0" w:line="148" w:lineRule="exact"/>
              <w:rPr>
                <w:sz w:val="20"/>
                <w:szCs w:val="20"/>
                <w:color w:val="auto"/>
              </w:rPr>
            </w:pPr>
            <w:r>
              <w:rPr>
                <w:rFonts w:ascii="Arial" w:cs="Arial" w:eastAsia="Arial" w:hAnsi="Arial"/>
                <w:sz w:val="13"/>
                <w:szCs w:val="13"/>
                <w:color w:val="auto"/>
              </w:rPr>
              <w:t>Foreign currency gain (loss), net</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21,616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(40,211)</w:t>
            </w:r>
          </w:p>
        </w:tc>
      </w:tr>
      <w:tr>
        <w:trPr>
          <w:trHeight w:val="147"/>
        </w:trPr>
        <w:tc>
          <w:tcPr>
            <w:tcW w:w="7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Others</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19,515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(54,865)</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30,098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(66,289)</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Income tax expenses (benefits)</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60"/>
              <w:spacing w:after="0" w:line="148" w:lineRule="exact"/>
              <w:rPr>
                <w:sz w:val="20"/>
                <w:szCs w:val="20"/>
                <w:color w:val="auto"/>
              </w:rPr>
            </w:pPr>
            <w:r>
              <w:rPr>
                <w:rFonts w:ascii="Arial" w:cs="Arial" w:eastAsia="Arial" w:hAnsi="Arial"/>
                <w:sz w:val="13"/>
                <w:szCs w:val="13"/>
                <w:color w:val="auto"/>
              </w:rPr>
              <w:t>(1,003)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2,618</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31,101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(68,907)</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Loss from discontinued operations, net of taxes</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(785)</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31,101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(69,692)</w:t>
            </w:r>
          </w:p>
        </w:tc>
      </w:tr>
      <w:tr>
        <w:trPr>
          <w:trHeight w:val="29"/>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Dividends accrued on preferred units</w:t>
            </w:r>
          </w:p>
        </w:tc>
        <w:tc>
          <w:tcPr>
            <w:tcW w:w="1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3,369</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 attributable to common shares/units</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31,101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(72,276)</w:t>
            </w:r>
          </w:p>
        </w:tc>
      </w:tr>
      <w:tr>
        <w:trPr>
          <w:trHeight w:val="29"/>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Net income (loss) attributable to common shares/units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31,101</w:t>
            </w:r>
          </w:p>
        </w:tc>
        <w:tc>
          <w:tcPr>
            <w:tcW w:w="3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(73,061)</w:t>
            </w:r>
          </w:p>
        </w:tc>
      </w:tr>
      <w:tr>
        <w:trPr>
          <w:trHeight w:val="34"/>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share/unit from continuing operations — Basic</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r>
      <w:tr>
        <w:trPr>
          <w:trHeight w:val="29"/>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Earnings (loss) per common share/unit from continuing operations — Diluted</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0.81</w:t>
            </w:r>
          </w:p>
        </w:tc>
        <w:tc>
          <w:tcPr>
            <w:tcW w:w="3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r>
      <w:tr>
        <w:trPr>
          <w:trHeight w:val="34"/>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Loss per common share/unit from discontinued operations — Basic and diluted</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(0.01)</w:t>
            </w:r>
          </w:p>
        </w:tc>
      </w:tr>
      <w:tr>
        <w:trPr>
          <w:trHeight w:val="29"/>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Earnings (loss) per common share/unit — Basic</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0.82</w:t>
            </w:r>
          </w:p>
        </w:tc>
        <w:tc>
          <w:tcPr>
            <w:tcW w:w="3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r>
      <w:tr>
        <w:trPr>
          <w:trHeight w:val="34"/>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share/unit — Diluted</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w:t>
            </w:r>
          </w:p>
        </w:tc>
      </w:tr>
      <w:tr>
        <w:trPr>
          <w:trHeight w:val="29"/>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Weighted average number of shares/units — Basic</w:t>
            </w:r>
          </w:p>
        </w:tc>
        <w:tc>
          <w:tcPr>
            <w:tcW w:w="1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37,805,445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52,923,483</w:t>
            </w: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Weighted average number of shares/units — Diluted</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38,441,991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52,923,483</w:t>
            </w:r>
          </w:p>
        </w:tc>
      </w:tr>
      <w:tr>
        <w:trPr>
          <w:trHeight w:val="265"/>
        </w:trPr>
        <w:tc>
          <w:tcPr>
            <w:tcW w:w="7300" w:type="dxa"/>
            <w:vAlign w:val="bottom"/>
          </w:tcPr>
          <w:p>
            <w:pPr>
              <w:spacing w:after="0"/>
              <w:rPr>
                <w:sz w:val="20"/>
                <w:szCs w:val="20"/>
                <w:color w:val="auto"/>
              </w:rPr>
            </w:pPr>
            <w:r>
              <w:rPr>
                <w:rFonts w:ascii="Arial" w:cs="Arial" w:eastAsia="Arial" w:hAnsi="Arial"/>
                <w:sz w:val="13"/>
                <w:szCs w:val="13"/>
                <w:b w:val="1"/>
                <w:bCs w:val="1"/>
                <w:color w:val="auto"/>
              </w:rPr>
              <w:t>Unaudited pro forma (Note 20)</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7"/>
        </w:trPr>
        <w:tc>
          <w:tcPr>
            <w:tcW w:w="7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Earnings per common share — Basic</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0.79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9"/>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Earnings per common share — Diluted</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0.78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number of shares — Basic</w:t>
            </w:r>
          </w:p>
        </w:tc>
        <w:tc>
          <w:tcPr>
            <w:tcW w:w="18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39,305,445</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7300" w:type="dxa"/>
            <w:vAlign w:val="bottom"/>
          </w:tcPr>
          <w:p>
            <w:pPr>
              <w:spacing w:after="0" w:line="148" w:lineRule="exact"/>
              <w:rPr>
                <w:sz w:val="20"/>
                <w:szCs w:val="20"/>
                <w:color w:val="auto"/>
              </w:rPr>
            </w:pPr>
            <w:r>
              <w:rPr>
                <w:rFonts w:ascii="Arial" w:cs="Arial" w:eastAsia="Arial" w:hAnsi="Arial"/>
                <w:sz w:val="13"/>
                <w:szCs w:val="13"/>
                <w:color w:val="auto"/>
              </w:rPr>
              <w:t>Weighted average number of shares — Diluted</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39,941,991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STOCKHOLDERS’/UNITHOLDERS’ EQUITY</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840" w:type="dxa"/>
            <w:vAlign w:val="bottom"/>
            <w:gridSpan w:val="5"/>
            <w:vMerge w:val="restart"/>
          </w:tcPr>
          <w:p>
            <w:pPr>
              <w:jc w:val="right"/>
              <w:ind w:right="514"/>
              <w:spacing w:after="0"/>
              <w:rPr>
                <w:sz w:val="20"/>
                <w:szCs w:val="20"/>
                <w:color w:val="auto"/>
              </w:rPr>
            </w:pPr>
            <w:r>
              <w:rPr>
                <w:rFonts w:ascii="Arial" w:cs="Arial" w:eastAsia="Arial" w:hAnsi="Arial"/>
                <w:sz w:val="9"/>
                <w:szCs w:val="9"/>
                <w:b w:val="1"/>
                <w:bCs w:val="1"/>
                <w:color w:val="auto"/>
              </w:rPr>
              <w:t>Common Stock/Units</w:t>
            </w:r>
          </w:p>
        </w:tc>
        <w:tc>
          <w:tcPr>
            <w:tcW w:w="100" w:type="dxa"/>
            <w:vAlign w:val="bottom"/>
          </w:tcPr>
          <w:p>
            <w:pPr>
              <w:spacing w:after="0"/>
              <w:rPr>
                <w:sz w:val="9"/>
                <w:szCs w:val="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Retained Earnings</w:t>
            </w:r>
          </w:p>
        </w:tc>
        <w:tc>
          <w:tcPr>
            <w:tcW w:w="120" w:type="dxa"/>
            <w:vAlign w:val="bottom"/>
          </w:tcPr>
          <w:p>
            <w:pPr>
              <w:spacing w:after="0"/>
              <w:rPr>
                <w:sz w:val="9"/>
                <w:szCs w:val="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90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Paid-In</w:t>
            </w:r>
          </w:p>
        </w:tc>
        <w:tc>
          <w:tcPr>
            <w:tcW w:w="140" w:type="dxa"/>
            <w:vAlign w:val="bottom"/>
          </w:tcPr>
          <w:p>
            <w:pPr>
              <w:spacing w:after="0"/>
              <w:rPr>
                <w:sz w:val="8"/>
                <w:szCs w:val="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Comprehensive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900" w:type="dxa"/>
            <w:vAlign w:val="bottom"/>
          </w:tcPr>
          <w:p>
            <w:pPr>
              <w:spacing w:after="0"/>
              <w:rPr>
                <w:sz w:val="7"/>
                <w:szCs w:val="7"/>
                <w:color w:val="auto"/>
              </w:rPr>
            </w:pPr>
          </w:p>
        </w:tc>
        <w:tc>
          <w:tcPr>
            <w:tcW w:w="820" w:type="dxa"/>
            <w:vAlign w:val="bottom"/>
            <w:tcBorders>
              <w:top w:val="single" w:sz="8" w:color="auto"/>
              <w:bottom w:val="single" w:sz="8" w:color="auto"/>
            </w:tcBorders>
          </w:tcPr>
          <w:p>
            <w:pPr>
              <w:ind w:left="140"/>
              <w:spacing w:after="0" w:line="88" w:lineRule="exact"/>
              <w:rPr>
                <w:sz w:val="20"/>
                <w:szCs w:val="20"/>
                <w:color w:val="auto"/>
              </w:rPr>
            </w:pPr>
            <w:r>
              <w:rPr>
                <w:rFonts w:ascii="Arial" w:cs="Arial" w:eastAsia="Arial" w:hAnsi="Arial"/>
                <w:sz w:val="9"/>
                <w:szCs w:val="9"/>
                <w:b w:val="1"/>
                <w:bCs w:val="1"/>
                <w:color w:val="auto"/>
              </w:rPr>
              <w:t>Shares/Units</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123"/>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center"/>
              <w:ind w:right="103"/>
              <w:spacing w:after="0" w:line="88" w:lineRule="exact"/>
              <w:rPr>
                <w:sz w:val="20"/>
                <w:szCs w:val="20"/>
                <w:color w:val="auto"/>
              </w:rPr>
            </w:pPr>
            <w:r>
              <w:rPr>
                <w:rFonts w:ascii="Arial" w:cs="Arial" w:eastAsia="Arial" w:hAnsi="Arial"/>
                <w:sz w:val="9"/>
                <w:szCs w:val="9"/>
                <w:b w:val="1"/>
                <w:bCs w:val="1"/>
                <w:color w:val="auto"/>
              </w:rPr>
              <w:t>deficit)</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44"/>
              <w:spacing w:after="0" w:line="88" w:lineRule="exact"/>
              <w:rPr>
                <w:sz w:val="20"/>
                <w:szCs w:val="20"/>
                <w:color w:val="auto"/>
              </w:rPr>
            </w:pPr>
            <w:r>
              <w:rPr>
                <w:rFonts w:ascii="Arial" w:cs="Arial" w:eastAsia="Arial" w:hAnsi="Arial"/>
                <w:sz w:val="9"/>
                <w:szCs w:val="9"/>
                <w:b w:val="1"/>
                <w:bCs w:val="1"/>
                <w:color w:val="auto"/>
                <w:w w:val="99"/>
              </w:rPr>
              <w:t>Income (loss)</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60" w:type="dxa"/>
            <w:vAlign w:val="bottom"/>
            <w:gridSpan w:val="10"/>
          </w:tcPr>
          <w:p>
            <w:pPr>
              <w:jc w:val="right"/>
              <w:ind w:right="920"/>
              <w:spacing w:after="0"/>
              <w:rPr>
                <w:sz w:val="20"/>
                <w:szCs w:val="20"/>
                <w:color w:val="auto"/>
              </w:rPr>
            </w:pPr>
            <w:r>
              <w:rPr>
                <w:rFonts w:ascii="Arial" w:cs="Arial" w:eastAsia="Arial" w:hAnsi="Arial"/>
                <w:sz w:val="9"/>
                <w:szCs w:val="9"/>
                <w:b w:val="1"/>
                <w:bCs w:val="1"/>
                <w:color w:val="auto"/>
              </w:rPr>
              <w:t>(Unaudited; in thousands of US dollars, except share/unit data)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Three Months Ended March 31, 2010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tcPr>
          <w:p>
            <w:pPr>
              <w:spacing w:after="0"/>
              <w:rPr>
                <w:sz w:val="20"/>
                <w:szCs w:val="20"/>
                <w:color w:val="auto"/>
              </w:rPr>
            </w:pPr>
            <w:r>
              <w:rPr>
                <w:rFonts w:ascii="Arial" w:cs="Arial" w:eastAsia="Arial" w:hAnsi="Arial"/>
                <w:sz w:val="12"/>
                <w:szCs w:val="12"/>
                <w:b w:val="1"/>
                <w:bCs w:val="1"/>
                <w:color w:val="auto"/>
              </w:rPr>
              <w:t>Balance at January 1, 2010</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38,385,544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384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223,451</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(6,182)</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(Successor Company)</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0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18,750</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883</w:t>
            </w:r>
          </w:p>
        </w:tc>
        <w:tc>
          <w:tcPr>
            <w:tcW w:w="140" w:type="dxa"/>
            <w:vAlign w:val="bottom"/>
          </w:tcPr>
          <w:p>
            <w:pPr>
              <w:spacing w:after="0"/>
              <w:rPr>
                <w:sz w:val="11"/>
                <w:szCs w:val="1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883</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0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31,101</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31,101</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(1,434)</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(1,434)</w:t>
            </w:r>
          </w:p>
        </w:tc>
        <w:tc>
          <w:tcPr>
            <w:tcW w:w="0" w:type="dxa"/>
            <w:vAlign w:val="bottom"/>
          </w:tcPr>
          <w:p>
            <w:pPr>
              <w:spacing w:after="0"/>
              <w:rPr>
                <w:sz w:val="1"/>
                <w:szCs w:val="1"/>
                <w:color w:val="auto"/>
              </w:rPr>
            </w:pPr>
          </w:p>
        </w:tc>
      </w:tr>
      <w:tr>
        <w:trPr>
          <w:trHeight w:val="138"/>
        </w:trPr>
        <w:tc>
          <w:tcPr>
            <w:tcW w:w="390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(14,907)</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(14,907)</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gains on investments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900" w:type="dxa"/>
            <w:vAlign w:val="bottom"/>
          </w:tcPr>
          <w:p>
            <w:pPr>
              <w:ind w:left="120"/>
              <w:spacing w:after="0"/>
              <w:rPr>
                <w:sz w:val="20"/>
                <w:szCs w:val="20"/>
                <w:color w:val="auto"/>
              </w:rPr>
            </w:pPr>
            <w:r>
              <w:rPr>
                <w:rFonts w:ascii="Arial" w:cs="Arial" w:eastAsia="Arial" w:hAnsi="Arial"/>
                <w:sz w:val="12"/>
                <w:szCs w:val="12"/>
                <w:color w:val="auto"/>
              </w:rPr>
              <w:t>Total comprehensive income</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14,872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March 31, 2010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38,404,294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224,334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29,138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(22,411)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231,445</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b w:val="1"/>
                <w:bCs w:val="1"/>
                <w:color w:val="auto"/>
              </w:rPr>
              <w:t>Three Months Ended March 29, 2009</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January 1, 2009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52,923</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3,150</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(995,007)</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151,135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8"/>
        </w:trPr>
        <w:tc>
          <w:tcPr>
            <w:tcW w:w="3900" w:type="dxa"/>
            <w:vAlign w:val="bottom"/>
          </w:tcPr>
          <w:p>
            <w:pPr>
              <w:spacing w:after="0"/>
              <w:rPr>
                <w:sz w:val="20"/>
                <w:szCs w:val="20"/>
                <w:color w:val="auto"/>
              </w:rPr>
            </w:pPr>
            <w:r>
              <w:rPr>
                <w:rFonts w:ascii="Arial" w:cs="Arial" w:eastAsia="Arial" w:hAnsi="Arial"/>
                <w:sz w:val="12"/>
                <w:szCs w:val="12"/>
                <w:color w:val="auto"/>
              </w:rPr>
              <w:t>(Predecessor Company)</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Unit-based compensation</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38"/>
        </w:trPr>
        <w:tc>
          <w:tcPr>
            <w:tcW w:w="390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(3,369)</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(3,369)</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loss:</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0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(69,692)</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(69,692)</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25,679</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25,679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900" w:type="dxa"/>
            <w:vAlign w:val="bottom"/>
          </w:tcPr>
          <w:p>
            <w:pPr>
              <w:ind w:left="120"/>
              <w:spacing w:after="0"/>
              <w:rPr>
                <w:sz w:val="20"/>
                <w:szCs w:val="20"/>
                <w:color w:val="auto"/>
              </w:rPr>
            </w:pPr>
            <w:r>
              <w:rPr>
                <w:rFonts w:ascii="Arial" w:cs="Arial" w:eastAsia="Arial" w:hAnsi="Arial"/>
                <w:sz w:val="12"/>
                <w:szCs w:val="12"/>
                <w:color w:val="auto"/>
              </w:rPr>
              <w:t>Total comprehensive loss</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(44,013)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March 29, 2009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52,923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3,261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(1,068,068)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176,814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(835,070)</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20"/>
                <w:szCs w:val="20"/>
                <w:color w:val="auto"/>
              </w:rPr>
            </w:pPr>
            <w:r>
              <w:rPr>
                <w:rFonts w:ascii="Arial" w:cs="Arial" w:eastAsia="Arial" w:hAnsi="Arial"/>
                <w:sz w:val="12"/>
                <w:szCs w:val="12"/>
                <w:color w:val="auto"/>
              </w:rPr>
              <w:t>(Predecessor Company)</w:t>
            </w: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80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jc w:val="center"/>
              <w:ind w:right="128"/>
              <w:spacing w:after="0" w:line="108" w:lineRule="exact"/>
              <w:rPr>
                <w:sz w:val="20"/>
                <w:szCs w:val="20"/>
                <w:color w:val="auto"/>
              </w:rPr>
            </w:pPr>
            <w:r>
              <w:rPr>
                <w:rFonts w:ascii="Arial" w:cs="Arial" w:eastAsia="Arial" w:hAnsi="Arial"/>
                <w:sz w:val="10"/>
                <w:szCs w:val="10"/>
                <w:b w:val="1"/>
                <w:bCs w:val="1"/>
                <w:color w:val="auto"/>
              </w:rPr>
              <w:t>Successor</w:t>
            </w: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99"/>
        </w:trPr>
        <w:tc>
          <w:tcPr>
            <w:tcW w:w="80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28"/>
              <w:spacing w:after="0" w:line="100"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28"/>
              <w:spacing w:after="0" w:line="100"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8"/>
                <w:szCs w:val="8"/>
                <w:color w:val="auto"/>
              </w:rPr>
            </w:pPr>
          </w:p>
        </w:tc>
      </w:tr>
      <w:tr>
        <w:trPr>
          <w:trHeight w:val="126"/>
        </w:trPr>
        <w:tc>
          <w:tcPr>
            <w:tcW w:w="8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99"/>
        </w:trPr>
        <w:tc>
          <w:tcPr>
            <w:tcW w:w="8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0"/>
                <w:szCs w:val="10"/>
                <w:b w:val="1"/>
                <w:bCs w:val="1"/>
                <w:color w:val="auto"/>
              </w:rPr>
              <w:t>(Unaudited;</w:t>
            </w:r>
          </w:p>
        </w:tc>
        <w:tc>
          <w:tcPr>
            <w:tcW w:w="300" w:type="dxa"/>
            <w:vAlign w:val="bottom"/>
            <w:gridSpan w:val="2"/>
          </w:tcPr>
          <w:p>
            <w:pPr>
              <w:ind w:left="80"/>
              <w:spacing w:after="0" w:line="100" w:lineRule="exact"/>
              <w:rPr>
                <w:sz w:val="20"/>
                <w:szCs w:val="20"/>
                <w:color w:val="auto"/>
              </w:rPr>
            </w:pPr>
            <w:r>
              <w:rPr>
                <w:rFonts w:ascii="Arial" w:cs="Arial" w:eastAsia="Arial" w:hAnsi="Arial"/>
                <w:sz w:val="10"/>
                <w:szCs w:val="10"/>
                <w:b w:val="1"/>
                <w:bCs w:val="1"/>
                <w:color w:val="auto"/>
              </w:rPr>
              <w:t>in</w:t>
            </w:r>
          </w:p>
        </w:tc>
        <w:tc>
          <w:tcPr>
            <w:tcW w:w="880" w:type="dxa"/>
            <w:vAlign w:val="bottom"/>
            <w:gridSpan w:val="2"/>
          </w:tcPr>
          <w:p>
            <w:pPr>
              <w:spacing w:after="0" w:line="100" w:lineRule="exact"/>
              <w:rPr>
                <w:sz w:val="20"/>
                <w:szCs w:val="20"/>
                <w:color w:val="auto"/>
              </w:rPr>
            </w:pPr>
            <w:r>
              <w:rPr>
                <w:rFonts w:ascii="Arial" w:cs="Arial" w:eastAsia="Arial" w:hAnsi="Arial"/>
                <w:sz w:val="10"/>
                <w:szCs w:val="10"/>
                <w:b w:val="1"/>
                <w:bCs w:val="1"/>
                <w:color w:val="auto"/>
              </w:rPr>
              <w:t>thousands of US</w:t>
            </w:r>
          </w:p>
        </w:tc>
        <w:tc>
          <w:tcPr>
            <w:tcW w:w="100" w:type="dxa"/>
            <w:vAlign w:val="bottom"/>
          </w:tcPr>
          <w:p>
            <w:pPr>
              <w:spacing w:after="0"/>
              <w:rPr>
                <w:sz w:val="8"/>
                <w:szCs w:val="8"/>
                <w:color w:val="auto"/>
              </w:rPr>
            </w:pPr>
          </w:p>
        </w:tc>
      </w:tr>
      <w:tr>
        <w:trPr>
          <w:trHeight w:val="126"/>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ind w:right="840"/>
              <w:spacing w:after="0"/>
              <w:rPr>
                <w:sz w:val="20"/>
                <w:szCs w:val="20"/>
                <w:color w:val="auto"/>
              </w:rPr>
            </w:pPr>
            <w:r>
              <w:rPr>
                <w:rFonts w:ascii="Arial" w:cs="Arial" w:eastAsia="Arial" w:hAnsi="Arial"/>
                <w:sz w:val="10"/>
                <w:szCs w:val="10"/>
                <w:b w:val="1"/>
                <w:bCs w:val="1"/>
                <w:color w:val="auto"/>
                <w:w w:val="88"/>
              </w:rPr>
              <w:t>dollars)</w:t>
            </w: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31,101</w:t>
            </w:r>
          </w:p>
        </w:tc>
        <w:tc>
          <w:tcPr>
            <w:tcW w:w="28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(69,692)</w:t>
            </w: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15,477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10,413</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Provision for severance benefits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3,166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989</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Amortization of debt issuance costs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243</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Loss (gain) on foreign currency translation, net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(23,478)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41,433</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Loss (gain) on disposal of property, plant and equipment, net</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314</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Loss on disposal of intangible assets, net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44</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Restructuring and impairment charges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336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Stock/unit-based compensation</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1,473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111</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Cash used for reorganization items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393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530</w:t>
            </w: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Changes in operating assets and liabilities</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(29,684)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(10,682)</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Inventories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7,206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11,805</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receivables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(1,238)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1,135</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Deferred tax assets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264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398</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18,088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2,118</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 accounts payable</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(1,612)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(901)</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Accrued expenses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3,196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15,575</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Long term other payable</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(2,136)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406</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current assets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(3,659)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(2,011)</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 current liabilities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(2,107)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(112)</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Payment of severance benefits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(1,092)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(1,686)</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(788)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(151)</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operating activities before reorganization items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16,503</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279</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Cash used for reorganization items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operating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14,924</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279</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disposal of plant, property and equipment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19</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Proceeds from disposal of intangible assets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27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 of plant, property and equipment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(891)</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(1,396)</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Payment for intellectual property registration</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(152)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(90)</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Decrease in restricted cash</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4,137</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Decrease in short-term financial instruments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329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Decrease in guarantee deposits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972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469</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(3)</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investing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3,136</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Repayment of current portion of long-term debt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(154)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Net cash used in financing activities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(154)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Effect of exchange rates on cash and cash equivalents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2,754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(365)</w:t>
            </w:r>
          </w:p>
        </w:tc>
      </w:tr>
      <w:tr>
        <w:trPr>
          <w:trHeight w:val="118"/>
        </w:trPr>
        <w:tc>
          <w:tcPr>
            <w:tcW w:w="8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increase in cash and cash equivalents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17,763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3,050</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Cash and cash equivalents</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Beginning of the period</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64,925</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4,037</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8000" w:type="dxa"/>
            <w:vAlign w:val="bottom"/>
          </w:tcPr>
          <w:p>
            <w:pPr>
              <w:spacing w:after="0"/>
              <w:rPr>
                <w:sz w:val="20"/>
                <w:szCs w:val="20"/>
                <w:color w:val="auto"/>
              </w:rPr>
            </w:pPr>
            <w:r>
              <w:rPr>
                <w:rFonts w:ascii="Arial" w:cs="Arial" w:eastAsia="Arial" w:hAnsi="Arial"/>
                <w:sz w:val="10"/>
                <w:szCs w:val="10"/>
                <w:color w:val="auto"/>
              </w:rPr>
              <w:t>End of the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82,688</w:t>
            </w:r>
          </w:p>
        </w:tc>
        <w:tc>
          <w:tcPr>
            <w:tcW w:w="100" w:type="dxa"/>
            <w:vAlign w:val="bottom"/>
            <w:tcBorders>
              <w:right w:val="single" w:sz="8" w:color="auto"/>
            </w:tcBorders>
          </w:tcPr>
          <w:p>
            <w:pPr>
              <w:spacing w:after="0"/>
              <w:rPr>
                <w:sz w:val="11"/>
                <w:szCs w:val="11"/>
                <w:color w:val="auto"/>
              </w:rPr>
            </w:pPr>
          </w:p>
        </w:tc>
        <w:tc>
          <w:tcPr>
            <w:tcW w:w="28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7,087</w:t>
            </w:r>
          </w:p>
        </w:tc>
      </w:tr>
      <w:tr>
        <w:trPr>
          <w:trHeight w:val="123"/>
        </w:trPr>
        <w:tc>
          <w:tcPr>
            <w:tcW w:w="8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Supplemental cash flow information</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2,035</w:t>
            </w:r>
          </w:p>
        </w:tc>
        <w:tc>
          <w:tcPr>
            <w:tcW w:w="100" w:type="dxa"/>
            <w:vAlign w:val="bottom"/>
            <w:tcBorders>
              <w:right w:val="single" w:sz="8" w:color="auto"/>
            </w:tcBorders>
          </w:tcPr>
          <w:p>
            <w:pPr>
              <w:spacing w:after="0"/>
              <w:rPr>
                <w:sz w:val="10"/>
                <w:szCs w:val="10"/>
                <w:color w:val="auto"/>
              </w:rPr>
            </w:pPr>
          </w:p>
        </w:tc>
        <w:tc>
          <w:tcPr>
            <w:tcW w:w="28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407</w:t>
            </w:r>
          </w:p>
        </w:tc>
      </w:tr>
      <w:tr>
        <w:trPr>
          <w:trHeight w:val="34"/>
        </w:trPr>
        <w:tc>
          <w:tcPr>
            <w:tcW w:w="8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23"/>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1,513</w:t>
            </w:r>
          </w:p>
        </w:tc>
        <w:tc>
          <w:tcPr>
            <w:tcW w:w="100" w:type="dxa"/>
            <w:vAlign w:val="bottom"/>
            <w:tcBorders>
              <w:right w:val="single" w:sz="8" w:color="auto"/>
            </w:tcBorders>
            <w:shd w:val="clear" w:color="auto" w:fill="CCEEFF"/>
          </w:tcPr>
          <w:p>
            <w:pPr>
              <w:spacing w:after="0"/>
              <w:rPr>
                <w:sz w:val="10"/>
                <w:szCs w:val="10"/>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2,900</w:t>
            </w:r>
          </w:p>
        </w:tc>
      </w:tr>
      <w:tr>
        <w:trPr>
          <w:trHeight w:val="39"/>
        </w:trPr>
        <w:tc>
          <w:tcPr>
            <w:tcW w:w="80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149" w:lineRule="exact"/>
        <w:rPr>
          <w:sz w:val="20"/>
          <w:szCs w:val="20"/>
          <w:color w:val="auto"/>
        </w:rPr>
      </w:pPr>
    </w:p>
    <w:p>
      <w:pPr>
        <w:ind w:left="1000" w:hanging="313"/>
        <w:spacing w:after="0"/>
        <w:tabs>
          <w:tab w:leader="none" w:pos="1000" w:val="left"/>
        </w:tabs>
        <w:numPr>
          <w:ilvl w:val="0"/>
          <w:numId w:val="133"/>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The Company</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MagnaChip Semiconductor Corporation, successor to 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(“ASC 852”).</w:t>
      </w:r>
    </w:p>
    <w:p>
      <w:pPr>
        <w:spacing w:after="0" w:line="80"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w:t>
      </w:r>
    </w:p>
    <w:p>
      <w:pPr>
        <w:spacing w:after="0" w:line="143" w:lineRule="exact"/>
        <w:rPr>
          <w:sz w:val="20"/>
          <w:szCs w:val="20"/>
          <w:color w:val="auto"/>
        </w:rPr>
      </w:pPr>
    </w:p>
    <w:p>
      <w:pPr>
        <w:ind w:left="680" w:right="7680" w:firstLine="7"/>
        <w:spacing w:after="0" w:line="391" w:lineRule="auto"/>
        <w:tabs>
          <w:tab w:leader="none" w:pos="985"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Significant Accounting Policies </w:t>
      </w:r>
      <w:r>
        <w:rPr>
          <w:rFonts w:ascii="Arial" w:cs="Arial" w:eastAsia="Arial" w:hAnsi="Arial"/>
          <w:sz w:val="13"/>
          <w:szCs w:val="13"/>
          <w:b w:val="1"/>
          <w:bCs w:val="1"/>
          <w:i w:val="1"/>
          <w:iCs w:val="1"/>
          <w:color w:val="auto"/>
        </w:rPr>
        <w:t>Basis of Presentation</w:t>
      </w:r>
    </w:p>
    <w:p>
      <w:pPr>
        <w:spacing w:after="0" w:line="1"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The accompanying unaudited interim consolidated financial statements of MagnaChip Semiconductor Corporation and its subsidiaries (the “Company”) have been prepared in accordance</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680" w:right="200"/>
        <w:spacing w:after="0" w:line="239" w:lineRule="auto"/>
        <w:rPr>
          <w:sz w:val="20"/>
          <w:szCs w:val="20"/>
          <w:color w:val="auto"/>
        </w:rPr>
      </w:pPr>
      <w:r>
        <w:rPr>
          <w:rFonts w:ascii="Arial" w:cs="Arial" w:eastAsia="Arial" w:hAnsi="Arial"/>
          <w:sz w:val="13"/>
          <w:szCs w:val="13"/>
          <w:color w:val="auto"/>
        </w:rPr>
        <w:t xml:space="preserve">with generally accepted accounting principles in the United States of America (“US GAAP”). These interim financial statements include all adjustments consisting only of normal recurring adjustments and the elimination of all intercompany accounts and transactions which are, in the opinion of management, necessary to provide a fair presentation of financial condition and results of operations for the periods presented. These interim financial statements are presented in accordance with ASC 270, </w:t>
      </w:r>
      <w:r>
        <w:rPr>
          <w:rFonts w:ascii="Arial" w:cs="Arial" w:eastAsia="Arial" w:hAnsi="Arial"/>
          <w:sz w:val="13"/>
          <w:szCs w:val="13"/>
          <w:i w:val="1"/>
          <w:iCs w:val="1"/>
          <w:color w:val="auto"/>
        </w:rPr>
        <w:t xml:space="preserve">“Interim Reporting,” </w:t>
      </w:r>
      <w:r>
        <w:rPr>
          <w:rFonts w:ascii="Arial" w:cs="Arial" w:eastAsia="Arial" w:hAnsi="Arial"/>
          <w:sz w:val="13"/>
          <w:szCs w:val="13"/>
          <w:color w:val="auto"/>
        </w:rPr>
        <w:t>(“ASC 270”) and, accordingly, do not include all of the information and note disclosures required by US GAAP for complete financial statements. The</w:t>
      </w:r>
      <w:r>
        <w:rPr>
          <w:rFonts w:ascii="Arial" w:cs="Arial" w:eastAsia="Arial" w:hAnsi="Arial"/>
          <w:sz w:val="13"/>
          <w:szCs w:val="13"/>
          <w:i w:val="1"/>
          <w:iCs w:val="1"/>
          <w:color w:val="auto"/>
        </w:rPr>
        <w:t xml:space="preserve"> </w:t>
      </w:r>
      <w:r>
        <w:rPr>
          <w:rFonts w:ascii="Arial" w:cs="Arial" w:eastAsia="Arial" w:hAnsi="Arial"/>
          <w:sz w:val="13"/>
          <w:szCs w:val="13"/>
          <w:color w:val="auto"/>
        </w:rPr>
        <w:t>results of operations for the three months ended March 31, 2010 are not necessarily indicative of the results to be expected for a full year or for any other periods.</w:t>
      </w:r>
    </w:p>
    <w:p>
      <w:pPr>
        <w:spacing w:after="0" w:line="81"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The year-end balance sheet data was derived from audited financial statements, but does not include all disclosures required by accounting principles generally accepted in the United States of America.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8"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 xml:space="preserve">In January 2010, the FASB issued Accounting Standards Update 2010-06 (ASU 2010-06), which amends the disclosure requirements of ASC 820,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and Disclosures,” </w:t>
      </w:r>
      <w:r>
        <w:rPr>
          <w:rFonts w:ascii="Arial" w:cs="Arial" w:eastAsia="Arial" w:hAnsi="Arial"/>
          <w:sz w:val="13"/>
          <w:szCs w:val="13"/>
          <w:color w:val="auto"/>
        </w:rPr>
        <w:t>(“ASC 820”) as of January 1, 2010. ASU 2010-06 requires new disclosures for any transfers of fair value into and out of Level 1 and 2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measurements and separate presentation of purchases, sales, issuances and settlements within the reconciliation of Level 3 unobservable inputs. The Company previously adopted ASC 820 on January 1, 2008 and January 1, 2009 for financial assets and liabilities and for nonfinancial assets and liabilities, respectively. ASU 2010-06 is effective for annual and interim periods beginning after December 15, 2009, except for the Level 3 reconciliation which is effective for annual and interim periods beginning after December 15, 2010. The adoption of ASU 2010-06 as of January 1, 2010 did not have a material effect on the Company’s financial condition or results of operations. The Company does not expect the adoption of ASU 2010-06 in relation to the Level 3 reconciliation to have a material impact on the Company’s financial condition or results of operations.</w:t>
      </w:r>
    </w:p>
    <w:p>
      <w:pPr>
        <w:spacing w:after="0" w:line="67" w:lineRule="exact"/>
        <w:rPr>
          <w:sz w:val="20"/>
          <w:szCs w:val="20"/>
          <w:color w:val="auto"/>
        </w:rPr>
      </w:pPr>
    </w:p>
    <w:p>
      <w:pPr>
        <w:ind w:left="680" w:right="180" w:firstLine="499"/>
        <w:spacing w:after="0" w:line="245"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was required to adopt ASC 810 as of the beginning of 2010. The adoption of ASC 810 did not have a material impact on the Company’s consolidated financial position, results of operations or cash flows.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28" w:lineRule="exact"/>
        <w:rPr>
          <w:sz w:val="20"/>
          <w:szCs w:val="20"/>
          <w:color w:val="auto"/>
        </w:rPr>
      </w:pPr>
    </w:p>
    <w:p>
      <w:pPr>
        <w:ind w:left="1000" w:hanging="313"/>
        <w:spacing w:after="0"/>
        <w:tabs>
          <w:tab w:leader="none" w:pos="100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March 31, 2010 and December 31, 2009 consist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4"/>
          </w:tcPr>
          <w:p>
            <w:pPr>
              <w:jc w:val="right"/>
              <w:ind w:right="920"/>
              <w:spacing w:after="0"/>
              <w:rPr>
                <w:sz w:val="20"/>
                <w:szCs w:val="20"/>
                <w:color w:val="auto"/>
              </w:rPr>
            </w:pPr>
            <w:r>
              <w:rPr>
                <w:rFonts w:ascii="Arial" w:cs="Arial" w:eastAsia="Arial" w:hAnsi="Arial"/>
                <w:sz w:val="10"/>
                <w:szCs w:val="10"/>
                <w:b w:val="1"/>
                <w:bCs w:val="1"/>
                <w:color w:val="auto"/>
              </w:rPr>
              <w:t>Successor</w:t>
            </w:r>
          </w:p>
        </w:tc>
      </w:tr>
      <w:tr>
        <w:trPr>
          <w:trHeight w:val="99"/>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160"/>
              <w:spacing w:after="0" w:line="100" w:lineRule="exact"/>
              <w:rPr>
                <w:sz w:val="20"/>
                <w:szCs w:val="20"/>
                <w:color w:val="auto"/>
              </w:rPr>
            </w:pPr>
            <w:r>
              <w:rPr>
                <w:rFonts w:ascii="Arial" w:cs="Arial" w:eastAsia="Arial" w:hAnsi="Arial"/>
                <w:sz w:val="10"/>
                <w:szCs w:val="10"/>
                <w:b w:val="1"/>
                <w:bCs w:val="1"/>
                <w:color w:val="auto"/>
              </w:rPr>
              <w:t>March 31,</w:t>
            </w: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8"/>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Finished goods</w:t>
            </w:r>
          </w:p>
        </w:tc>
        <w:tc>
          <w:tcPr>
            <w:tcW w:w="2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10,818</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19,474</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Semi-finished goods and work-in-process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44,962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42,604</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6,836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5,844</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Materials in-transit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385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64</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inventory reserve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(4,768)</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(4,579)</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Inventories, net</w:t>
            </w:r>
          </w:p>
        </w:tc>
        <w:tc>
          <w:tcPr>
            <w:tcW w:w="100" w:type="dxa"/>
            <w:vAlign w:val="bottom"/>
          </w:tcPr>
          <w:p>
            <w:pPr>
              <w:spacing w:after="0"/>
              <w:rPr>
                <w:sz w:val="13"/>
                <w:szCs w:val="13"/>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58,233</w:t>
            </w:r>
          </w:p>
        </w:tc>
        <w:tc>
          <w:tcPr>
            <w:tcW w:w="60" w:type="dxa"/>
            <w:vAlign w:val="bottom"/>
          </w:tcPr>
          <w:p>
            <w:pPr>
              <w:spacing w:after="0"/>
              <w:rPr>
                <w:sz w:val="13"/>
                <w:szCs w:val="13"/>
                <w:color w:val="auto"/>
              </w:rPr>
            </w:pPr>
          </w:p>
        </w:tc>
        <w:tc>
          <w:tcPr>
            <w:tcW w:w="4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63,407</w:t>
            </w: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Property, Plant and Equipment</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Property, plant and equipment as of March 31, 2010 and December 31, 2009 comprise the following: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60"/>
              <w:spacing w:after="0"/>
              <w:rPr>
                <w:sz w:val="20"/>
                <w:szCs w:val="20"/>
                <w:color w:val="auto"/>
              </w:rPr>
            </w:pPr>
            <w:r>
              <w:rPr>
                <w:rFonts w:ascii="Arial" w:cs="Arial" w:eastAsia="Arial" w:hAnsi="Arial"/>
                <w:sz w:val="10"/>
                <w:szCs w:val="10"/>
                <w:b w:val="1"/>
                <w:bCs w:val="1"/>
                <w:color w:val="auto"/>
              </w:rPr>
              <w:t>Successor</w:t>
            </w:r>
          </w:p>
        </w:tc>
      </w:tr>
      <w:tr>
        <w:trPr>
          <w:trHeight w:val="99"/>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0"/>
                <w:szCs w:val="10"/>
                <w:b w:val="1"/>
                <w:bCs w:val="1"/>
                <w:color w:val="auto"/>
              </w:rPr>
              <w:t>March 31,</w:t>
            </w: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8"/>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Buildings and related structures</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74,422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72,076</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Machinery and equipment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74,551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71,505</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Vehicles and others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3,309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3,043</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30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152,282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146,624</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accumulated depreciation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(13,155)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(5,388)</w:t>
            </w:r>
          </w:p>
        </w:tc>
      </w:tr>
      <w:tr>
        <w:trPr>
          <w:trHeight w:val="147"/>
        </w:trPr>
        <w:tc>
          <w:tcPr>
            <w:tcW w:w="300" w:type="dxa"/>
            <w:vAlign w:val="bottom"/>
          </w:tcPr>
          <w:p>
            <w:pPr>
              <w:spacing w:after="0" w:line="148" w:lineRule="exact"/>
              <w:rPr>
                <w:sz w:val="20"/>
                <w:szCs w:val="20"/>
                <w:color w:val="auto"/>
              </w:rPr>
            </w:pPr>
            <w:r>
              <w:rPr>
                <w:rFonts w:ascii="Arial" w:cs="Arial" w:eastAsia="Arial" w:hAnsi="Arial"/>
                <w:sz w:val="13"/>
                <w:szCs w:val="13"/>
                <w:color w:val="auto"/>
                <w:w w:val="96"/>
              </w:rPr>
              <w:t>Land</w:t>
            </w: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15,592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15,101</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154,719</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156,337</w:t>
            </w: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Intangible Assets</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Intangible assets as of March 31, 2010 and December 31, 2009 are as follows: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60"/>
              <w:spacing w:after="0"/>
              <w:rPr>
                <w:sz w:val="20"/>
                <w:szCs w:val="20"/>
                <w:color w:val="auto"/>
              </w:rPr>
            </w:pPr>
            <w:r>
              <w:rPr>
                <w:rFonts w:ascii="Arial" w:cs="Arial" w:eastAsia="Arial" w:hAnsi="Arial"/>
                <w:sz w:val="10"/>
                <w:szCs w:val="10"/>
                <w:b w:val="1"/>
                <w:bCs w:val="1"/>
                <w:color w:val="auto"/>
              </w:rPr>
              <w:t>Successor</w:t>
            </w:r>
          </w:p>
        </w:tc>
      </w:tr>
      <w:tr>
        <w:trPr>
          <w:trHeight w:val="99"/>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0"/>
                <w:szCs w:val="10"/>
                <w:b w:val="1"/>
                <w:bCs w:val="1"/>
                <w:color w:val="auto"/>
              </w:rPr>
              <w:t>March 31,</w:t>
            </w: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8"/>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17,236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14,942</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Customer relationships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27,309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26,448</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Intellectual property assets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5,061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4,779</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In-process research and development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8,004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9,829</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accumulated amortization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(14,085)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(5,840)</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Intangible assets,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43,525</w:t>
            </w:r>
          </w:p>
        </w:tc>
        <w:tc>
          <w:tcPr>
            <w:tcW w:w="60" w:type="dxa"/>
            <w:vAlign w:val="bottom"/>
          </w:tcPr>
          <w:p>
            <w:pPr>
              <w:spacing w:after="0"/>
              <w:rPr>
                <w:sz w:val="12"/>
                <w:szCs w:val="12"/>
                <w:color w:val="auto"/>
              </w:rPr>
            </w:pPr>
          </w:p>
        </w:tc>
        <w:tc>
          <w:tcPr>
            <w:tcW w:w="4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50,158</w:t>
            </w: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1000" w:hanging="313"/>
        <w:spacing w:after="0"/>
        <w:tabs>
          <w:tab w:leader="none" w:pos="100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2"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60" w:lineRule="exact"/>
        <w:rPr>
          <w:sz w:val="20"/>
          <w:szCs w:val="20"/>
          <w:color w:val="auto"/>
        </w:rPr>
      </w:pPr>
    </w:p>
    <w:p>
      <w:pPr>
        <w:ind w:left="680" w:right="100" w:firstLine="499"/>
        <w:spacing w:after="0" w:line="247" w:lineRule="auto"/>
        <w:rPr>
          <w:sz w:val="20"/>
          <w:szCs w:val="20"/>
          <w:color w:val="auto"/>
        </w:rPr>
      </w:pPr>
      <w:r>
        <w:rPr>
          <w:rFonts w:ascii="Arial" w:cs="Arial" w:eastAsia="Arial" w:hAnsi="Arial"/>
          <w:sz w:val="13"/>
          <w:szCs w:val="13"/>
          <w:color w:val="auto"/>
        </w:rPr>
        <w:t>The option and forward contracts qualify as cash flow hedges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(“ASC 815”), since at both the inception of the contracts and on an ongoing basis, the hedging relationship was and is expected to be highly effective in achieving offsetting cash flows attributable to the hedged risk during the terms of the contracts. The Company is utilizing the “hypothetical derivative” method to measure the effectiveness by comparing the changes in value of the actual derivative versus the change in fair value of the “hypothetical derivative.”</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fair values of the Company’s outstanding option and forward contracts recorded as assets and liabilities are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 under ASC 815:</w:t>
            </w:r>
          </w:p>
        </w:tc>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6"/>
        </w:trPr>
        <w:tc>
          <w:tcPr>
            <w:tcW w:w="4880" w:type="dxa"/>
            <w:vAlign w:val="bottom"/>
            <w:gridSpan w:val="2"/>
            <w:vMerge w:val="continue"/>
          </w:tcPr>
          <w:p>
            <w:pPr>
              <w:spacing w:after="0"/>
              <w:rPr>
                <w:sz w:val="10"/>
                <w:szCs w:val="10"/>
                <w:color w:val="auto"/>
              </w:rPr>
            </w:pPr>
          </w:p>
        </w:tc>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61"/>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Asset Derivatives:</w:t>
            </w:r>
          </w:p>
        </w:tc>
        <w:tc>
          <w:tcPr>
            <w:tcW w:w="4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4800" w:type="dxa"/>
            <w:vAlign w:val="bottom"/>
          </w:tcPr>
          <w:p>
            <w:pPr>
              <w:ind w:left="60"/>
              <w:spacing w:after="0" w:line="148" w:lineRule="exact"/>
              <w:rPr>
                <w:sz w:val="20"/>
                <w:szCs w:val="20"/>
                <w:color w:val="auto"/>
              </w:rPr>
            </w:pPr>
            <w:r>
              <w:rPr>
                <w:rFonts w:ascii="Arial" w:cs="Arial" w:eastAsia="Arial" w:hAnsi="Arial"/>
                <w:sz w:val="13"/>
                <w:szCs w:val="13"/>
                <w:color w:val="auto"/>
              </w:rPr>
              <w:t>Options</w:t>
            </w:r>
          </w:p>
        </w:tc>
        <w:tc>
          <w:tcPr>
            <w:tcW w:w="4320" w:type="dxa"/>
            <w:vAlign w:val="bottom"/>
          </w:tcPr>
          <w:p>
            <w:pPr>
              <w:ind w:left="1720"/>
              <w:spacing w:after="0" w:line="148" w:lineRule="exact"/>
              <w:rPr>
                <w:sz w:val="20"/>
                <w:szCs w:val="20"/>
                <w:color w:val="auto"/>
              </w:rPr>
            </w:pPr>
            <w:r>
              <w:rPr>
                <w:rFonts w:ascii="Arial" w:cs="Arial" w:eastAsia="Arial" w:hAnsi="Arial"/>
                <w:sz w:val="13"/>
                <w:szCs w:val="13"/>
                <w:color w:val="auto"/>
              </w:rPr>
              <w:t>Other current assets</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47"/>
        </w:trPr>
        <w:tc>
          <w:tcPr>
            <w:tcW w:w="4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Liability Derivatives:</w:t>
            </w:r>
          </w:p>
        </w:tc>
        <w:tc>
          <w:tcPr>
            <w:tcW w:w="4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4800" w:type="dxa"/>
            <w:vAlign w:val="bottom"/>
          </w:tcPr>
          <w:p>
            <w:pPr>
              <w:ind w:left="60"/>
              <w:spacing w:after="0"/>
              <w:rPr>
                <w:sz w:val="20"/>
                <w:szCs w:val="20"/>
                <w:color w:val="auto"/>
              </w:rPr>
            </w:pPr>
            <w:r>
              <w:rPr>
                <w:rFonts w:ascii="Arial" w:cs="Arial" w:eastAsia="Arial" w:hAnsi="Arial"/>
                <w:sz w:val="13"/>
                <w:szCs w:val="13"/>
                <w:color w:val="auto"/>
              </w:rPr>
              <w:t>Forwards</w:t>
            </w:r>
          </w:p>
        </w:tc>
        <w:tc>
          <w:tcPr>
            <w:tcW w:w="4320" w:type="dxa"/>
            <w:vAlign w:val="bottom"/>
          </w:tcPr>
          <w:p>
            <w:pPr>
              <w:ind w:left="172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0" w:lineRule="exact"/>
        <w:rPr>
          <w:sz w:val="20"/>
          <w:szCs w:val="20"/>
          <w:color w:val="auto"/>
        </w:rPr>
      </w:pPr>
    </w:p>
    <w:p>
      <w:pPr>
        <w:ind w:left="680" w:right="400" w:firstLine="499"/>
        <w:spacing w:after="0" w:line="248" w:lineRule="auto"/>
        <w:rPr>
          <w:sz w:val="20"/>
          <w:szCs w:val="20"/>
          <w:color w:val="auto"/>
        </w:rPr>
      </w:pPr>
      <w:r>
        <w:rPr>
          <w:rFonts w:ascii="Arial" w:cs="Arial" w:eastAsia="Arial" w:hAnsi="Arial"/>
          <w:sz w:val="13"/>
          <w:szCs w:val="13"/>
          <w:color w:val="auto"/>
        </w:rPr>
        <w:t>The following table summarizes the impact of derivative instruments on the consolidated statement of operations for the three months ended March 31, 2010 (Successor Company):</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rPr>
              <w:t>Location of</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Gain (Loss)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Recognized in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7"/>
              </w:rPr>
              <w:t>Amount of</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Income on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Gain (Loss)</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Derivative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Recognized in</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7"/>
              </w:rPr>
              <w:t>Amount of</w:t>
            </w:r>
          </w:p>
        </w:tc>
        <w:tc>
          <w:tcPr>
            <w:tcW w:w="14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Location of</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Amount of</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(Ineffective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7"/>
              </w:rPr>
              <w:t>Income on</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Gain (Loss)</w:t>
            </w:r>
          </w:p>
        </w:tc>
        <w:tc>
          <w:tcPr>
            <w:tcW w:w="14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Gain (Loss)</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Gain (Loss)</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Portion and</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9"/>
              </w:rPr>
              <w:t>Derivatives</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Recognized in</w:t>
            </w:r>
          </w:p>
        </w:tc>
        <w:tc>
          <w:tcPr>
            <w:tcW w:w="14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Reclassified from</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Reclassified from</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(Ineffective Portion</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9"/>
              </w:rPr>
              <w:t>AOCI on</w:t>
            </w:r>
          </w:p>
        </w:tc>
        <w:tc>
          <w:tcPr>
            <w:tcW w:w="14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AOCI into</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Accumulated</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Excluded from</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8"/>
              </w:rPr>
              <w:t>and Amount</w:t>
            </w:r>
          </w:p>
        </w:tc>
      </w:tr>
      <w:tr>
        <w:trPr>
          <w:trHeight w:val="98"/>
        </w:trPr>
        <w:tc>
          <w:tcPr>
            <w:tcW w:w="3020" w:type="dxa"/>
            <w:vAlign w:val="bottom"/>
          </w:tcPr>
          <w:p>
            <w:pPr>
              <w:spacing w:after="0" w:line="98" w:lineRule="exact"/>
              <w:rPr>
                <w:sz w:val="20"/>
                <w:szCs w:val="20"/>
                <w:color w:val="auto"/>
              </w:rPr>
            </w:pPr>
            <w:r>
              <w:rPr>
                <w:rFonts w:ascii="Arial" w:cs="Arial" w:eastAsia="Arial" w:hAnsi="Arial"/>
                <w:sz w:val="9"/>
                <w:szCs w:val="9"/>
                <w:b w:val="1"/>
                <w:bCs w:val="1"/>
                <w:color w:val="auto"/>
              </w:rPr>
              <w:t>Derivatives in ASC 815 Cash</w:t>
            </w: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9"/>
              </w:rPr>
              <w:t>Derivatives</w:t>
            </w:r>
          </w:p>
        </w:tc>
        <w:tc>
          <w:tcPr>
            <w:tcW w:w="14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OCI into Income</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Effectiveness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Excluded from</w:t>
            </w:r>
          </w:p>
        </w:tc>
      </w:tr>
      <w:tr>
        <w:trPr>
          <w:trHeight w:val="122"/>
        </w:trPr>
        <w:tc>
          <w:tcPr>
            <w:tcW w:w="3020" w:type="dxa"/>
            <w:vAlign w:val="bottom"/>
          </w:tcPr>
          <w:p>
            <w:pPr>
              <w:spacing w:after="0"/>
              <w:rPr>
                <w:sz w:val="20"/>
                <w:szCs w:val="20"/>
                <w:color w:val="auto"/>
              </w:rPr>
            </w:pPr>
            <w:r>
              <w:rPr>
                <w:rFonts w:ascii="Arial" w:cs="Arial" w:eastAsia="Arial" w:hAnsi="Arial"/>
                <w:sz w:val="9"/>
                <w:szCs w:val="9"/>
                <w:b w:val="1"/>
                <w:bCs w:val="1"/>
                <w:color w:val="auto"/>
              </w:rPr>
              <w:t>Flow Hedging Relationships</w:t>
            </w:r>
          </w:p>
        </w:tc>
        <w:tc>
          <w:tcPr>
            <w:tcW w:w="14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(Effective Portion)</w:t>
            </w:r>
          </w:p>
        </w:tc>
        <w:tc>
          <w:tcPr>
            <w:tcW w:w="14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(Effective Portion)</w:t>
            </w:r>
          </w:p>
        </w:tc>
        <w:tc>
          <w:tcPr>
            <w:tcW w:w="140" w:type="dxa"/>
            <w:vAlign w:val="bottom"/>
          </w:tcPr>
          <w:p>
            <w:pPr>
              <w:spacing w:after="0"/>
              <w:rPr>
                <w:sz w:val="10"/>
                <w:szCs w:val="1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(Effective Portion)</w:t>
            </w: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6"/>
              </w:rPr>
              <w:t>Testing)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Effectiveness Testing)</w:t>
            </w:r>
          </w:p>
        </w:tc>
      </w:tr>
      <w:tr>
        <w:trPr>
          <w:trHeight w:val="29"/>
        </w:trPr>
        <w:tc>
          <w:tcPr>
            <w:tcW w:w="3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9"/>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Options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(516)</w:t>
            </w:r>
          </w:p>
        </w:tc>
        <w:tc>
          <w:tcPr>
            <w:tcW w:w="140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w:t>
            </w: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Other income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r>
      <w:tr>
        <w:trPr>
          <w:trHeight w:val="136"/>
        </w:trPr>
        <w:tc>
          <w:tcPr>
            <w:tcW w:w="3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7"/>
              </w:rPr>
              <w:t>(expenses)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2"/>
                <w:szCs w:val="12"/>
                <w:color w:val="auto"/>
              </w:rPr>
              <w:t>Forwards</w:t>
            </w:r>
          </w:p>
        </w:tc>
        <w:tc>
          <w:tcPr>
            <w:tcW w:w="14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(918)</w:t>
            </w:r>
          </w:p>
        </w:tc>
        <w:tc>
          <w:tcPr>
            <w:tcW w:w="1400" w:type="dxa"/>
            <w:vAlign w:val="bottom"/>
            <w:gridSpan w:val="2"/>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(603)</w:t>
            </w:r>
          </w:p>
        </w:tc>
        <w:tc>
          <w:tcPr>
            <w:tcW w:w="1100" w:type="dxa"/>
            <w:vAlign w:val="bottom"/>
          </w:tcPr>
          <w:p>
            <w:pPr>
              <w:jc w:val="center"/>
              <w:spacing w:after="0"/>
              <w:rPr>
                <w:sz w:val="20"/>
                <w:szCs w:val="20"/>
                <w:color w:val="auto"/>
              </w:rPr>
            </w:pPr>
            <w:r>
              <w:rPr>
                <w:rFonts w:ascii="Arial" w:cs="Arial" w:eastAsia="Arial" w:hAnsi="Arial"/>
                <w:sz w:val="12"/>
                <w:szCs w:val="12"/>
                <w:color w:val="auto"/>
                <w:w w:val="97"/>
              </w:rPr>
              <w:t>Other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r>
      <w:tr>
        <w:trPr>
          <w:trHeight w:val="136"/>
        </w:trPr>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color w:val="auto"/>
                <w:w w:val="97"/>
              </w:rPr>
              <w:t>(expenses)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3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(1,434)</w:t>
            </w: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(620)</w:t>
            </w:r>
          </w:p>
        </w:tc>
        <w:tc>
          <w:tcPr>
            <w:tcW w:w="1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r>
      <w:tr>
        <w:trPr>
          <w:trHeight w:val="29"/>
        </w:trPr>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-498475</wp:posOffset>
            </wp:positionV>
            <wp:extent cx="1841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Company’s option and forward contracts are subject to termination upon the occurrence of the following events:</w:t>
      </w:r>
    </w:p>
    <w:p>
      <w:pPr>
        <w:spacing w:after="0" w:line="86" w:lineRule="exact"/>
        <w:rPr>
          <w:sz w:val="20"/>
          <w:szCs w:val="20"/>
          <w:color w:val="auto"/>
        </w:rPr>
      </w:pPr>
    </w:p>
    <w:p>
      <w:pPr>
        <w:ind w:left="5580" w:right="260" w:hanging="4111"/>
        <w:spacing w:after="0" w:line="705" w:lineRule="auto"/>
        <w:tabs>
          <w:tab w:leader="none" w:pos="1624" w:val="left"/>
        </w:tabs>
        <w:numPr>
          <w:ilvl w:val="0"/>
          <w:numId w:val="138"/>
        </w:numPr>
        <w:rPr>
          <w:rFonts w:ascii="Arial" w:cs="Arial" w:eastAsia="Arial" w:hAnsi="Arial"/>
          <w:sz w:val="13"/>
          <w:szCs w:val="13"/>
          <w:color w:val="auto"/>
        </w:rPr>
      </w:pPr>
      <w:r>
        <w:rPr>
          <w:rFonts w:ascii="Arial" w:cs="Arial" w:eastAsia="Arial" w:hAnsi="Arial"/>
          <w:sz w:val="13"/>
          <w:szCs w:val="13"/>
          <w:color w:val="auto"/>
        </w:rPr>
        <w:t>On the last day of a fiscal quarter, the sum of qualified and unrestricted cash and cash equivalents held by the Company is less than $12,500 thousand.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1080" w:right="60" w:firstLine="389"/>
        <w:spacing w:after="0" w:line="248" w:lineRule="auto"/>
        <w:tabs>
          <w:tab w:leader="none" w:pos="1643"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rating of the Company’s debt is B- or lower by Standard &amp; Poor’s Ratings Group or any successor rating agency thereof (“S&amp;P”) or B3 or lower by Moody’s Investor Services, Inc. or any successor rating agency thereof (“Moody’s”) or the Company’s debt ceases to be assigned a rating by either S&amp;P or Moody’s.</w:t>
      </w:r>
    </w:p>
    <w:p>
      <w:pPr>
        <w:spacing w:after="0" w:line="74"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addition, the Company is required to deposit cash collateral with Goldman Sachs International Bank, the counterparty to the option and forward contracts, for any exposure in excess of $5,000 thousand.</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With respect to the priority of liens and collateral, Goldman Sachs International Bank has equivalent rights with lenders under the new term loan.</w:t>
      </w:r>
    </w:p>
    <w:p>
      <w:pPr>
        <w:spacing w:after="0" w:line="149" w:lineRule="exact"/>
        <w:rPr>
          <w:sz w:val="20"/>
          <w:szCs w:val="20"/>
          <w:color w:val="auto"/>
        </w:rPr>
      </w:pPr>
    </w:p>
    <w:p>
      <w:pPr>
        <w:ind w:left="1000" w:hanging="313"/>
        <w:spacing w:after="0"/>
        <w:tabs>
          <w:tab w:leader="none" w:pos="1000"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2"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79" w:lineRule="exact"/>
        <w:rPr>
          <w:sz w:val="20"/>
          <w:szCs w:val="20"/>
          <w:color w:val="auto"/>
        </w:rPr>
      </w:pPr>
    </w:p>
    <w:p>
      <w:pPr>
        <w:ind w:left="680" w:right="320" w:firstLine="499"/>
        <w:spacing w:after="0" w:line="248" w:lineRule="auto"/>
        <w:rPr>
          <w:sz w:val="20"/>
          <w:szCs w:val="20"/>
          <w:color w:val="auto"/>
        </w:rPr>
      </w:pPr>
      <w:r>
        <w:rPr>
          <w:rFonts w:ascii="Arial" w:cs="Arial" w:eastAsia="Arial" w:hAnsi="Arial"/>
          <w:sz w:val="13"/>
          <w:szCs w:val="13"/>
          <w:color w:val="auto"/>
        </w:rPr>
        <w:t>The valuation techniques required by ASC 820 are based upon observable and unobservable inputs. Observable inputs reflect market data obtained from independent sources, while unobservable inputs reflect market assumptions made by the Company. These two types of inputs create the following fair value hierarchy:</w:t>
      </w:r>
    </w:p>
    <w:p>
      <w:pPr>
        <w:spacing w:after="0" w:line="74"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1 Unadjusted quoted prices for identical instruments in active markets.</w:t>
      </w:r>
    </w:p>
    <w:p>
      <w:pPr>
        <w:spacing w:after="0" w:line="86" w:lineRule="exact"/>
        <w:rPr>
          <w:sz w:val="20"/>
          <w:szCs w:val="20"/>
          <w:color w:val="auto"/>
        </w:rPr>
      </w:pPr>
    </w:p>
    <w:p>
      <w:pPr>
        <w:ind w:left="1080" w:right="240" w:firstLine="383"/>
        <w:spacing w:after="0" w:line="248" w:lineRule="auto"/>
        <w:rPr>
          <w:sz w:val="20"/>
          <w:szCs w:val="20"/>
          <w:color w:val="auto"/>
        </w:rPr>
      </w:pPr>
      <w:r>
        <w:rPr>
          <w:rFonts w:ascii="Arial" w:cs="Arial" w:eastAsia="Arial" w:hAnsi="Arial"/>
          <w:sz w:val="13"/>
          <w:szCs w:val="13"/>
          <w:color w:val="auto"/>
        </w:rPr>
        <w:t>Level 2 Quoted prices for similar instruments in active markets; quoted prices for identical or similar instruments in markets that are not active; and model-derived valuations for which inputs are observable or for which significant value drivers are observable.</w:t>
      </w:r>
    </w:p>
    <w:p>
      <w:pPr>
        <w:spacing w:after="0" w:line="74"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3 Significant inputs to the valuation model are unobservable.</w:t>
      </w:r>
    </w:p>
    <w:p>
      <w:pPr>
        <w:spacing w:after="0" w:line="86" w:lineRule="exact"/>
        <w:rPr>
          <w:sz w:val="20"/>
          <w:szCs w:val="20"/>
          <w:color w:val="auto"/>
        </w:rPr>
      </w:pPr>
    </w:p>
    <w:p>
      <w:pPr>
        <w:ind w:left="680" w:right="580" w:firstLine="499"/>
        <w:spacing w:after="0" w:line="248" w:lineRule="auto"/>
        <w:rPr>
          <w:sz w:val="20"/>
          <w:szCs w:val="20"/>
          <w:color w:val="auto"/>
        </w:rPr>
      </w:pPr>
      <w:r>
        <w:rPr>
          <w:rFonts w:ascii="Arial" w:cs="Arial" w:eastAsia="Arial" w:hAnsi="Arial"/>
          <w:sz w:val="13"/>
          <w:szCs w:val="13"/>
          <w:color w:val="auto"/>
        </w:rPr>
        <w:t>The following table represents the Company’s assets and liabilities measured at fair value on a recurring basis as of March 31, 2010 and the basis for that measurement:</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jc w:val="center"/>
              <w:spacing w:after="0"/>
              <w:rPr>
                <w:sz w:val="20"/>
                <w:szCs w:val="20"/>
                <w:color w:val="auto"/>
              </w:rPr>
            </w:pPr>
            <w:r>
              <w:rPr>
                <w:rFonts w:ascii="Arial" w:cs="Arial" w:eastAsia="Arial" w:hAnsi="Arial"/>
                <w:sz w:val="9"/>
                <w:szCs w:val="9"/>
                <w:b w:val="1"/>
                <w:bCs w:val="1"/>
                <w:color w:val="auto"/>
              </w:rPr>
              <w:t>Quoted Prices in</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98"/>
        </w:trPr>
        <w:tc>
          <w:tcPr>
            <w:tcW w:w="3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Fair Value</w:t>
            </w:r>
          </w:p>
        </w:tc>
        <w:tc>
          <w:tcPr>
            <w:tcW w:w="80" w:type="dxa"/>
            <w:vAlign w:val="bottom"/>
          </w:tcPr>
          <w:p>
            <w:pPr>
              <w:spacing w:after="0"/>
              <w:rPr>
                <w:sz w:val="8"/>
                <w:szCs w:val="8"/>
                <w:color w:val="auto"/>
              </w:rPr>
            </w:pPr>
          </w:p>
        </w:tc>
        <w:tc>
          <w:tcPr>
            <w:tcW w:w="13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Active Markets for</w:t>
            </w:r>
          </w:p>
        </w:tc>
        <w:tc>
          <w:tcPr>
            <w:tcW w:w="10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Significant Other</w:t>
            </w:r>
          </w:p>
        </w:tc>
        <w:tc>
          <w:tcPr>
            <w:tcW w:w="8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Significant</w:t>
            </w:r>
          </w:p>
        </w:tc>
      </w:tr>
      <w:tr>
        <w:trPr>
          <w:trHeight w:val="98"/>
        </w:trPr>
        <w:tc>
          <w:tcPr>
            <w:tcW w:w="3000" w:type="dxa"/>
            <w:vAlign w:val="bottom"/>
          </w:tcPr>
          <w:p>
            <w:pPr>
              <w:spacing w:after="0"/>
              <w:rPr>
                <w:sz w:val="8"/>
                <w:szCs w:val="8"/>
                <w:color w:val="auto"/>
              </w:rPr>
            </w:pPr>
          </w:p>
        </w:tc>
        <w:tc>
          <w:tcPr>
            <w:tcW w:w="1220" w:type="dxa"/>
            <w:vAlign w:val="bottom"/>
          </w:tcPr>
          <w:p>
            <w:pPr>
              <w:jc w:val="right"/>
              <w:ind w:right="226"/>
              <w:spacing w:after="0" w:line="98" w:lineRule="exact"/>
              <w:rPr>
                <w:sz w:val="20"/>
                <w:szCs w:val="20"/>
                <w:color w:val="auto"/>
              </w:rPr>
            </w:pPr>
            <w:r>
              <w:rPr>
                <w:rFonts w:ascii="Arial" w:cs="Arial" w:eastAsia="Arial" w:hAnsi="Arial"/>
                <w:sz w:val="9"/>
                <w:szCs w:val="9"/>
                <w:b w:val="1"/>
                <w:bCs w:val="1"/>
                <w:color w:val="auto"/>
              </w:rPr>
              <w:t>Carrying Value</w:t>
            </w:r>
          </w:p>
        </w:tc>
        <w:tc>
          <w:tcPr>
            <w:tcW w:w="100" w:type="dxa"/>
            <w:vAlign w:val="bottom"/>
          </w:tcPr>
          <w:p>
            <w:pPr>
              <w:spacing w:after="0"/>
              <w:rPr>
                <w:sz w:val="8"/>
                <w:szCs w:val="8"/>
                <w:color w:val="auto"/>
              </w:rPr>
            </w:pPr>
          </w:p>
        </w:tc>
        <w:tc>
          <w:tcPr>
            <w:tcW w:w="12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Measurement</w:t>
            </w:r>
          </w:p>
        </w:tc>
        <w:tc>
          <w:tcPr>
            <w:tcW w:w="80" w:type="dxa"/>
            <w:vAlign w:val="bottom"/>
          </w:tcPr>
          <w:p>
            <w:pPr>
              <w:spacing w:after="0"/>
              <w:rPr>
                <w:sz w:val="8"/>
                <w:szCs w:val="8"/>
                <w:color w:val="auto"/>
              </w:rPr>
            </w:pPr>
          </w:p>
        </w:tc>
        <w:tc>
          <w:tcPr>
            <w:tcW w:w="13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Identical Asset</w:t>
            </w:r>
          </w:p>
        </w:tc>
        <w:tc>
          <w:tcPr>
            <w:tcW w:w="10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Observable Inputs</w:t>
            </w:r>
          </w:p>
        </w:tc>
        <w:tc>
          <w:tcPr>
            <w:tcW w:w="8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Unobservable Inputs</w:t>
            </w:r>
          </w:p>
        </w:tc>
      </w:tr>
      <w:tr>
        <w:trPr>
          <w:trHeight w:val="113"/>
        </w:trPr>
        <w:tc>
          <w:tcPr>
            <w:tcW w:w="3000" w:type="dxa"/>
            <w:vAlign w:val="bottom"/>
          </w:tcPr>
          <w:p>
            <w:pPr>
              <w:spacing w:after="0"/>
              <w:rPr>
                <w:sz w:val="9"/>
                <w:szCs w:val="9"/>
                <w:color w:val="auto"/>
              </w:rPr>
            </w:pPr>
          </w:p>
        </w:tc>
        <w:tc>
          <w:tcPr>
            <w:tcW w:w="1220" w:type="dxa"/>
            <w:vAlign w:val="bottom"/>
            <w:tcBorders>
              <w:bottom w:val="single" w:sz="8" w:color="auto"/>
            </w:tcBorders>
          </w:tcPr>
          <w:p>
            <w:pPr>
              <w:jc w:val="right"/>
              <w:ind w:right="226"/>
              <w:spacing w:after="0"/>
              <w:rPr>
                <w:sz w:val="20"/>
                <w:szCs w:val="20"/>
                <w:color w:val="auto"/>
              </w:rPr>
            </w:pPr>
            <w:r>
              <w:rPr>
                <w:rFonts w:ascii="Arial" w:cs="Arial" w:eastAsia="Arial" w:hAnsi="Arial"/>
                <w:sz w:val="9"/>
                <w:szCs w:val="9"/>
                <w:b w:val="1"/>
                <w:bCs w:val="1"/>
                <w:color w:val="auto"/>
              </w:rPr>
              <w:t>March 31, 2010</w:t>
            </w:r>
          </w:p>
        </w:tc>
        <w:tc>
          <w:tcPr>
            <w:tcW w:w="100" w:type="dxa"/>
            <w:vAlign w:val="bottom"/>
          </w:tcPr>
          <w:p>
            <w:pPr>
              <w:spacing w:after="0"/>
              <w:rPr>
                <w:sz w:val="9"/>
                <w:szCs w:val="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March 31, 2010</w:t>
            </w:r>
          </w:p>
        </w:tc>
        <w:tc>
          <w:tcPr>
            <w:tcW w:w="80" w:type="dxa"/>
            <w:vAlign w:val="bottom"/>
          </w:tcPr>
          <w:p>
            <w:pPr>
              <w:spacing w:after="0"/>
              <w:rPr>
                <w:sz w:val="9"/>
                <w:szCs w:val="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(Level 1)</w:t>
            </w:r>
          </w:p>
        </w:tc>
        <w:tc>
          <w:tcPr>
            <w:tcW w:w="100" w:type="dxa"/>
            <w:vAlign w:val="bottom"/>
          </w:tcPr>
          <w:p>
            <w:pPr>
              <w:spacing w:after="0"/>
              <w:rPr>
                <w:sz w:val="9"/>
                <w:szCs w:val="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(Level 2)</w:t>
            </w:r>
          </w:p>
        </w:tc>
        <w:tc>
          <w:tcPr>
            <w:tcW w:w="80" w:type="dxa"/>
            <w:vAlign w:val="bottom"/>
          </w:tcPr>
          <w:p>
            <w:pPr>
              <w:spacing w:after="0"/>
              <w:rPr>
                <w:sz w:val="9"/>
                <w:szCs w:val="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3)</w:t>
            </w:r>
          </w:p>
        </w:tc>
      </w:tr>
      <w:tr>
        <w:trPr>
          <w:trHeight w:val="29"/>
        </w:trPr>
        <w:tc>
          <w:tcPr>
            <w:tcW w:w="3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38"/>
        </w:trPr>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38"/>
        </w:trPr>
        <w:tc>
          <w:tcPr>
            <w:tcW w:w="3000" w:type="dxa"/>
            <w:vAlign w:val="bottom"/>
          </w:tcPr>
          <w:p>
            <w:pPr>
              <w:ind w:left="120"/>
              <w:spacing w:after="0"/>
              <w:rPr>
                <w:sz w:val="20"/>
                <w:szCs w:val="20"/>
                <w:color w:val="auto"/>
              </w:rPr>
            </w:pPr>
            <w:r>
              <w:rPr>
                <w:rFonts w:ascii="Arial" w:cs="Arial" w:eastAsia="Arial" w:hAnsi="Arial"/>
                <w:sz w:val="12"/>
                <w:szCs w:val="12"/>
                <w:color w:val="auto"/>
              </w:rPr>
              <w:t>Current derivative assets</w:t>
            </w:r>
          </w:p>
        </w:tc>
        <w:tc>
          <w:tcPr>
            <w:tcW w:w="1220" w:type="dxa"/>
            <w:vAlign w:val="bottom"/>
          </w:tcPr>
          <w:p>
            <w:pPr>
              <w:jc w:val="right"/>
              <w:ind w:right="406"/>
              <w:spacing w:after="0"/>
              <w:rPr>
                <w:sz w:val="20"/>
                <w:szCs w:val="20"/>
                <w:color w:val="auto"/>
              </w:rPr>
            </w:pPr>
            <w:r>
              <w:rPr>
                <w:rFonts w:ascii="Arial" w:cs="Arial" w:eastAsia="Arial" w:hAnsi="Arial"/>
                <w:sz w:val="12"/>
                <w:szCs w:val="12"/>
                <w:color w:val="auto"/>
              </w:rPr>
              <w:t>$  256</w:t>
            </w:r>
          </w:p>
        </w:tc>
        <w:tc>
          <w:tcPr>
            <w:tcW w:w="1320" w:type="dxa"/>
            <w:vAlign w:val="bottom"/>
            <w:gridSpan w:val="2"/>
          </w:tcPr>
          <w:p>
            <w:pPr>
              <w:jc w:val="right"/>
              <w:ind w:right="414"/>
              <w:spacing w:after="0"/>
              <w:rPr>
                <w:sz w:val="20"/>
                <w:szCs w:val="20"/>
                <w:color w:val="auto"/>
              </w:rPr>
            </w:pPr>
            <w:r>
              <w:rPr>
                <w:rFonts w:ascii="Arial" w:cs="Arial" w:eastAsia="Arial" w:hAnsi="Arial"/>
                <w:sz w:val="12"/>
                <w:szCs w:val="12"/>
                <w:color w:val="auto"/>
              </w:rPr>
              <w:t>$  256</w:t>
            </w:r>
          </w:p>
        </w:tc>
        <w:tc>
          <w:tcPr>
            <w:tcW w:w="80" w:type="dxa"/>
            <w:vAlign w:val="bottom"/>
          </w:tcPr>
          <w:p>
            <w:pPr>
              <w:spacing w:after="0"/>
              <w:rPr>
                <w:sz w:val="11"/>
                <w:szCs w:val="11"/>
                <w:color w:val="auto"/>
              </w:rPr>
            </w:pPr>
          </w:p>
        </w:tc>
        <w:tc>
          <w:tcPr>
            <w:tcW w:w="1300" w:type="dxa"/>
            <w:vAlign w:val="bottom"/>
          </w:tcPr>
          <w:p>
            <w:pPr>
              <w:jc w:val="right"/>
              <w:ind w:right="490"/>
              <w:spacing w:after="0"/>
              <w:rPr>
                <w:sz w:val="20"/>
                <w:szCs w:val="20"/>
                <w:color w:val="auto"/>
              </w:rPr>
            </w:pPr>
            <w:r>
              <w:rPr>
                <w:rFonts w:ascii="Arial" w:cs="Arial" w:eastAsia="Arial" w:hAnsi="Arial"/>
                <w:sz w:val="12"/>
                <w:szCs w:val="12"/>
                <w:color w:val="auto"/>
              </w:rPr>
              <w:t>$  —</w:t>
            </w:r>
          </w:p>
        </w:tc>
        <w:tc>
          <w:tcPr>
            <w:tcW w:w="1540" w:type="dxa"/>
            <w:vAlign w:val="bottom"/>
            <w:gridSpan w:val="2"/>
          </w:tcPr>
          <w:p>
            <w:pPr>
              <w:jc w:val="right"/>
              <w:ind w:right="511"/>
              <w:spacing w:after="0"/>
              <w:rPr>
                <w:sz w:val="20"/>
                <w:szCs w:val="20"/>
                <w:color w:val="auto"/>
              </w:rPr>
            </w:pPr>
            <w:r>
              <w:rPr>
                <w:rFonts w:ascii="Arial" w:cs="Arial" w:eastAsia="Arial" w:hAnsi="Arial"/>
                <w:sz w:val="12"/>
                <w:szCs w:val="12"/>
                <w:color w:val="auto"/>
              </w:rPr>
              <w:t>$  256</w:t>
            </w:r>
          </w:p>
        </w:tc>
        <w:tc>
          <w:tcPr>
            <w:tcW w:w="80" w:type="dxa"/>
            <w:vAlign w:val="bottom"/>
          </w:tcPr>
          <w:p>
            <w:pPr>
              <w:spacing w:after="0"/>
              <w:rPr>
                <w:sz w:val="11"/>
                <w:szCs w:val="11"/>
                <w:color w:val="auto"/>
              </w:rPr>
            </w:pPr>
          </w:p>
        </w:tc>
        <w:tc>
          <w:tcPr>
            <w:tcW w:w="1440" w:type="dxa"/>
            <w:vAlign w:val="bottom"/>
          </w:tcPr>
          <w:p>
            <w:pPr>
              <w:jc w:val="right"/>
              <w:ind w:right="608"/>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Available-for-sale securities</w:t>
            </w:r>
          </w:p>
        </w:tc>
        <w:tc>
          <w:tcPr>
            <w:tcW w:w="122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712</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712</w:t>
            </w:r>
          </w:p>
        </w:tc>
        <w:tc>
          <w:tcPr>
            <w:tcW w:w="1380" w:type="dxa"/>
            <w:vAlign w:val="bottom"/>
            <w:gridSpan w:val="2"/>
            <w:shd w:val="clear" w:color="auto" w:fill="CCEEFF"/>
          </w:tcPr>
          <w:p>
            <w:pPr>
              <w:jc w:val="right"/>
              <w:ind w:right="490"/>
              <w:spacing w:after="0"/>
              <w:rPr>
                <w:sz w:val="20"/>
                <w:szCs w:val="20"/>
                <w:color w:val="auto"/>
              </w:rPr>
            </w:pPr>
            <w:r>
              <w:rPr>
                <w:rFonts w:ascii="Arial" w:cs="Arial" w:eastAsia="Arial" w:hAnsi="Arial"/>
                <w:sz w:val="12"/>
                <w:szCs w:val="12"/>
                <w:color w:val="auto"/>
              </w:rPr>
              <w:t>712</w:t>
            </w: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51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608"/>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tcPr>
          <w:p>
            <w:pPr>
              <w:spacing w:after="0"/>
              <w:rPr>
                <w:sz w:val="20"/>
                <w:szCs w:val="20"/>
                <w:color w:val="auto"/>
              </w:rPr>
            </w:pPr>
            <w:r>
              <w:rPr>
                <w:rFonts w:ascii="Arial" w:cs="Arial" w:eastAsia="Arial" w:hAnsi="Arial"/>
                <w:sz w:val="12"/>
                <w:szCs w:val="12"/>
                <w:color w:val="auto"/>
              </w:rPr>
              <w:t>Liabilities: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38"/>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derivative liabilities</w:t>
            </w:r>
          </w:p>
        </w:tc>
        <w:tc>
          <w:tcPr>
            <w:tcW w:w="122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1,188</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1,188</w:t>
            </w: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511"/>
              <w:spacing w:after="0"/>
              <w:rPr>
                <w:sz w:val="20"/>
                <w:szCs w:val="20"/>
                <w:color w:val="auto"/>
              </w:rPr>
            </w:pPr>
            <w:r>
              <w:rPr>
                <w:rFonts w:ascii="Arial" w:cs="Arial" w:eastAsia="Arial" w:hAnsi="Arial"/>
                <w:sz w:val="12"/>
                <w:szCs w:val="12"/>
                <w:color w:val="auto"/>
              </w:rPr>
              <w:t>1,188</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608"/>
              <w:spacing w:after="0"/>
              <w:rPr>
                <w:sz w:val="20"/>
                <w:szCs w:val="20"/>
                <w:color w:val="auto"/>
              </w:rPr>
            </w:pPr>
            <w:r>
              <w:rPr>
                <w:rFonts w:ascii="Arial" w:cs="Arial" w:eastAsia="Arial" w:hAnsi="Arial"/>
                <w:sz w:val="12"/>
                <w:szCs w:val="12"/>
                <w:color w:val="auto"/>
              </w:rPr>
              <w:t>—</w:t>
            </w:r>
          </w:p>
        </w:tc>
      </w:tr>
    </w:tbl>
    <w:p>
      <w:pPr>
        <w:spacing w:after="0" w:line="150" w:lineRule="exact"/>
        <w:rPr>
          <w:sz w:val="20"/>
          <w:szCs w:val="20"/>
          <w:color w:val="auto"/>
        </w:rPr>
      </w:pPr>
    </w:p>
    <w:p>
      <w:pPr>
        <w:ind w:left="1000" w:hanging="313"/>
        <w:spacing w:after="0"/>
        <w:tabs>
          <w:tab w:leader="none" w:pos="100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Current Portion of Long-term Debt</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current portion of the new term loan issued in connection with the Company’s reorganization in 2009 was $618 thousand as of March 31, 2010, as described in</w:t>
      </w:r>
    </w:p>
    <w:p>
      <w:pPr>
        <w:ind w:left="680"/>
        <w:spacing w:after="0"/>
        <w:rPr>
          <w:sz w:val="20"/>
          <w:szCs w:val="20"/>
          <w:color w:val="auto"/>
        </w:rPr>
      </w:pPr>
      <w:r>
        <w:rPr>
          <w:rFonts w:ascii="Arial" w:cs="Arial" w:eastAsia="Arial" w:hAnsi="Arial"/>
          <w:sz w:val="13"/>
          <w:szCs w:val="13"/>
          <w:color w:val="auto"/>
        </w:rPr>
        <w:t>Note 10.</w:t>
      </w:r>
    </w:p>
    <w:p>
      <w:pPr>
        <w:spacing w:after="0" w:line="149" w:lineRule="exact"/>
        <w:rPr>
          <w:sz w:val="20"/>
          <w:szCs w:val="20"/>
          <w:color w:val="auto"/>
        </w:rPr>
      </w:pPr>
    </w:p>
    <w:p>
      <w:pPr>
        <w:ind w:left="1180" w:hanging="493"/>
        <w:spacing w:after="0"/>
        <w:tabs>
          <w:tab w:leader="none" w:pos="1180"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2"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In connection with the Predecessor Company’s reorganization in 2009, in complete satisfaction of the first lien lender claims arising from the senior secured credit facility (included in short-term</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680"/>
        <w:spacing w:after="0" w:line="242" w:lineRule="auto"/>
        <w:rPr>
          <w:sz w:val="20"/>
          <w:szCs w:val="20"/>
          <w:color w:val="auto"/>
        </w:rPr>
      </w:pPr>
      <w:r>
        <w:rPr>
          <w:rFonts w:ascii="Arial" w:cs="Arial" w:eastAsia="Arial" w:hAnsi="Arial"/>
          <w:sz w:val="13"/>
          <w:szCs w:val="13"/>
          <w:color w:val="auto"/>
        </w:rPr>
        <w:t>borrowings) of $95,000 thousand, the Company made a cash payment of $33,250 thousand to the senior secured credit facility lenders and, together with its subsidiaries, including MagnaChip Semiconductor S.A. and MagnaChip Semiconductor Finance Company, as borrowers, entered into a $ 61,750 thousand Amended and Restated Credit Agreement (the “Credit Agreement” or the “new term loan”) with Avenue Investments, LP, Goldman Sachs Lending Partners LLC and Citicorp North America, Inc.</w:t>
      </w:r>
    </w:p>
    <w:p>
      <w:pPr>
        <w:spacing w:after="0" w:line="79"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Long-term borrowings as of March 31, 2010 consisted of Eurodollar loans at an annual interest rate of 6 month LIBOR + 12% to Avenue Investments, LP, Goldman Sachs Lending Partners LLC and Citicorp North America, Inc. in the principal amount of $41,950 thousand, $12,254 thousand and $7,392 thousand, respectively. After deducting the current portion of long-term debt of $618 thousand, long-term borrowings as of March 31, 2010 were $60,978 thousand.</w:t>
      </w:r>
    </w:p>
    <w:p>
      <w:pPr>
        <w:spacing w:after="0" w:line="79"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The principal amount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w:t>
      </w:r>
    </w:p>
    <w:p>
      <w:pPr>
        <w:spacing w:after="0" w:line="74"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As of March 31, 2010, the Company and all of its subsidiaries except for MagnaChip Semiconductor (Shanghai) Company Limited jointly and severally guaranteed, as a primary obligor, the payment and performance of the borrower’s obligations under the Credit Agreement.</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Subsequent to the balance sheet date, the new term loan was fully repaid by the Company.</w:t>
      </w:r>
    </w:p>
    <w:p>
      <w:pPr>
        <w:spacing w:after="0" w:line="149" w:lineRule="exact"/>
        <w:rPr>
          <w:sz w:val="20"/>
          <w:szCs w:val="20"/>
          <w:color w:val="auto"/>
        </w:rPr>
      </w:pPr>
    </w:p>
    <w:p>
      <w:pPr>
        <w:ind w:left="1180" w:hanging="493"/>
        <w:spacing w:after="0"/>
        <w:tabs>
          <w:tab w:leader="none" w:pos="118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March 31, 2010, 98.6% of all employees of the Company were eligible for severance benefits.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accrued severance benefits for each period are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39"/>
              <w:spacing w:after="0" w:line="108"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7"/>
        </w:trPr>
        <w:tc>
          <w:tcPr>
            <w:tcW w:w="7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73,646</w:t>
            </w:r>
          </w:p>
        </w:tc>
        <w:tc>
          <w:tcPr>
            <w:tcW w:w="200" w:type="dxa"/>
            <w:vAlign w:val="bottom"/>
            <w:tcBorders>
              <w:left w:val="single" w:sz="8" w:color="CCEEFF"/>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63,147</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Provisions</w:t>
            </w: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3,166</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989</w:t>
            </w: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Severance payments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(1,686)</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2,386</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(3,904)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78,106</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58,546</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Less: cumulative contributions to the National Pension Fund</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(488)</w:t>
            </w:r>
          </w:p>
        </w:tc>
      </w:tr>
      <w:tr>
        <w:trPr>
          <w:trHeight w:val="147"/>
        </w:trPr>
        <w:tc>
          <w:tcPr>
            <w:tcW w:w="770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Group severance insurance plan</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(614)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Accrued severance benefits,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76,843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57,444</w:t>
            </w:r>
          </w:p>
        </w:tc>
      </w:tr>
      <w:tr>
        <w:trPr>
          <w:trHeight w:val="39"/>
        </w:trPr>
        <w:tc>
          <w:tcPr>
            <w:tcW w:w="7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jc w:val="both"/>
        <w:ind w:left="680" w:right="360" w:firstLine="499"/>
        <w:spacing w:after="0" w:line="242" w:lineRule="auto"/>
        <w:rPr>
          <w:sz w:val="20"/>
          <w:szCs w:val="20"/>
          <w:color w:val="auto"/>
        </w:rPr>
      </w:pPr>
      <w:r>
        <w:rPr>
          <w:rFonts w:ascii="Arial" w:cs="Arial" w:eastAsia="Arial" w:hAnsi="Arial"/>
          <w:sz w:val="13"/>
          <w:szCs w:val="13"/>
          <w:color w:val="auto"/>
        </w:rPr>
        <w:t>The severance benefits are funded approximately 1.62% and 1.88% as of March 31, 2010 and March 29, 2009,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2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non-executive employees upon their normal retirement age:</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8"/>
        </w:trPr>
        <w:tc>
          <w:tcPr>
            <w:tcW w:w="820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0"/>
                <w:szCs w:val="10"/>
                <w:b w:val="1"/>
                <w:bCs w:val="1"/>
                <w:color w:val="auto"/>
              </w:rPr>
              <w:t>Severance Benefit</w:t>
            </w:r>
          </w:p>
        </w:tc>
      </w:tr>
      <w:tr>
        <w:trPr>
          <w:trHeight w:val="29"/>
        </w:trPr>
        <w:tc>
          <w:tcPr>
            <w:tcW w:w="8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2010</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34</w:t>
            </w:r>
          </w:p>
        </w:tc>
      </w:tr>
      <w:tr>
        <w:trPr>
          <w:trHeight w:val="147"/>
        </w:trPr>
        <w:tc>
          <w:tcPr>
            <w:tcW w:w="8200" w:type="dxa"/>
            <w:vAlign w:val="bottom"/>
          </w:tcPr>
          <w:p>
            <w:pPr>
              <w:spacing w:after="0" w:line="148" w:lineRule="exact"/>
              <w:rPr>
                <w:sz w:val="20"/>
                <w:szCs w:val="20"/>
                <w:color w:val="auto"/>
              </w:rPr>
            </w:pPr>
            <w:r>
              <w:rPr>
                <w:rFonts w:ascii="Arial" w:cs="Arial" w:eastAsia="Arial" w:hAnsi="Arial"/>
                <w:sz w:val="13"/>
                <w:szCs w:val="13"/>
                <w:color w:val="auto"/>
              </w:rPr>
              <w:t>2011</w:t>
            </w:r>
          </w:p>
        </w:tc>
        <w:tc>
          <w:tcPr>
            <w:tcW w:w="700" w:type="dxa"/>
            <w:vAlign w:val="bottom"/>
          </w:tcPr>
          <w:p>
            <w:pPr>
              <w:spacing w:after="0"/>
              <w:rPr>
                <w:sz w:val="12"/>
                <w:szCs w:val="12"/>
                <w:color w:val="auto"/>
              </w:rPr>
            </w:pPr>
          </w:p>
        </w:tc>
        <w:tc>
          <w:tcPr>
            <w:tcW w:w="10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2012</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140</w:t>
            </w:r>
          </w:p>
        </w:tc>
      </w:tr>
      <w:tr>
        <w:trPr>
          <w:trHeight w:val="147"/>
        </w:trPr>
        <w:tc>
          <w:tcPr>
            <w:tcW w:w="8200" w:type="dxa"/>
            <w:vAlign w:val="bottom"/>
          </w:tcPr>
          <w:p>
            <w:pPr>
              <w:spacing w:after="0" w:line="148" w:lineRule="exact"/>
              <w:rPr>
                <w:sz w:val="20"/>
                <w:szCs w:val="20"/>
                <w:color w:val="auto"/>
              </w:rPr>
            </w:pPr>
            <w:r>
              <w:rPr>
                <w:rFonts w:ascii="Arial" w:cs="Arial" w:eastAsia="Arial" w:hAnsi="Arial"/>
                <w:sz w:val="13"/>
                <w:szCs w:val="13"/>
                <w:color w:val="auto"/>
              </w:rPr>
              <w:t>2013</w:t>
            </w:r>
          </w:p>
        </w:tc>
        <w:tc>
          <w:tcPr>
            <w:tcW w:w="700" w:type="dxa"/>
            <w:vAlign w:val="bottom"/>
          </w:tcPr>
          <w:p>
            <w:pPr>
              <w:spacing w:after="0"/>
              <w:rPr>
                <w:sz w:val="12"/>
                <w:szCs w:val="12"/>
                <w:color w:val="auto"/>
              </w:rPr>
            </w:pPr>
          </w:p>
        </w:tc>
        <w:tc>
          <w:tcPr>
            <w:tcW w:w="10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284</w:t>
            </w:r>
          </w:p>
        </w:tc>
      </w:tr>
      <w:tr>
        <w:trPr>
          <w:trHeight w:val="147"/>
        </w:trPr>
        <w:tc>
          <w:tcPr>
            <w:tcW w:w="8200" w:type="dxa"/>
            <w:vAlign w:val="bottom"/>
          </w:tcPr>
          <w:p>
            <w:pPr>
              <w:spacing w:after="0" w:line="148" w:lineRule="exact"/>
              <w:rPr>
                <w:sz w:val="20"/>
                <w:szCs w:val="20"/>
                <w:color w:val="auto"/>
              </w:rPr>
            </w:pPr>
            <w:r>
              <w:rPr>
                <w:rFonts w:ascii="Arial" w:cs="Arial" w:eastAsia="Arial" w:hAnsi="Arial"/>
                <w:sz w:val="13"/>
                <w:szCs w:val="13"/>
                <w:color w:val="auto"/>
              </w:rPr>
              <w:t>2015</w:t>
            </w:r>
          </w:p>
        </w:tc>
        <w:tc>
          <w:tcPr>
            <w:tcW w:w="700" w:type="dxa"/>
            <w:vAlign w:val="bottom"/>
          </w:tcPr>
          <w:p>
            <w:pPr>
              <w:spacing w:after="0"/>
              <w:rPr>
                <w:sz w:val="12"/>
                <w:szCs w:val="12"/>
                <w:color w:val="auto"/>
              </w:rPr>
            </w:pPr>
          </w:p>
        </w:tc>
        <w:tc>
          <w:tcPr>
            <w:tcW w:w="10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433</w:t>
            </w: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2016 — 2020</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w w:val="95"/>
              </w:rPr>
              <w:t>11,001</w:t>
            </w:r>
          </w:p>
        </w:tc>
      </w:tr>
    </w:tbl>
    <w:p>
      <w:pPr>
        <w:spacing w:after="0" w:line="88"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49"/>
        </w:trPr>
        <w:tc>
          <w:tcPr>
            <w:tcW w:w="1080" w:type="dxa"/>
            <w:vAlign w:val="bottom"/>
            <w:gridSpan w:val="3"/>
          </w:tcPr>
          <w:p>
            <w:pPr>
              <w:spacing w:after="0"/>
              <w:rPr>
                <w:rFonts w:ascii="Arial" w:cs="Arial" w:eastAsia="Arial" w:hAnsi="Arial"/>
                <w:sz w:val="13"/>
                <w:szCs w:val="13"/>
                <w:b w:val="1"/>
                <w:bCs w:val="1"/>
                <w:color w:val="0000EE"/>
                <w:w w:val="96"/>
              </w:rPr>
            </w:pPr>
            <w:hyperlink w:anchor="page5">
              <w:r>
                <w:rPr>
                  <w:rFonts w:ascii="Arial" w:cs="Arial" w:eastAsia="Arial" w:hAnsi="Arial"/>
                  <w:sz w:val="13"/>
                  <w:szCs w:val="13"/>
                  <w:b w:val="1"/>
                  <w:bCs w:val="1"/>
                  <w:color w:val="0000EE"/>
                  <w:w w:val="96"/>
                </w:rPr>
                <w:t>Table of Contents</w:t>
              </w:r>
            </w:hyperlink>
          </w:p>
        </w:tc>
        <w:tc>
          <w:tcPr>
            <w:tcW w:w="7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700" w:type="dxa"/>
            <w:vAlign w:val="bottom"/>
          </w:tcPr>
          <w:p>
            <w:pPr>
              <w:jc w:val="center"/>
              <w:ind w:left="1434"/>
              <w:spacing w:after="0"/>
              <w:rPr>
                <w:sz w:val="20"/>
                <w:szCs w:val="20"/>
                <w:color w:val="auto"/>
              </w:rPr>
            </w:pPr>
            <w:r>
              <w:rPr>
                <w:rFonts w:ascii="Arial" w:cs="Arial" w:eastAsia="Arial" w:hAnsi="Arial"/>
                <w:sz w:val="13"/>
                <w:szCs w:val="13"/>
                <w:b w:val="1"/>
                <w:bCs w:val="1"/>
                <w:color w:val="auto"/>
              </w:rPr>
              <w:t>MagnaChip Semiconductor Corporation and Subsidiaries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jc w:val="center"/>
              <w:ind w:left="1434"/>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700" w:type="dxa"/>
            <w:vAlign w:val="bottom"/>
          </w:tcPr>
          <w:p>
            <w:pPr>
              <w:jc w:val="center"/>
              <w:ind w:left="1414"/>
              <w:spacing w:after="0"/>
              <w:rPr>
                <w:sz w:val="20"/>
                <w:szCs w:val="20"/>
                <w:color w:val="auto"/>
              </w:rPr>
            </w:pPr>
            <w:r>
              <w:rPr>
                <w:rFonts w:ascii="Arial" w:cs="Arial" w:eastAsia="Arial" w:hAnsi="Arial"/>
                <w:sz w:val="13"/>
                <w:szCs w:val="13"/>
                <w:b w:val="1"/>
                <w:bCs w:val="1"/>
                <w:color w:val="auto"/>
              </w:rPr>
              <w:t>(Unaudited; tabular dollars in thousands, except share/unit data)</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93"/>
        </w:trPr>
        <w:tc>
          <w:tcPr>
            <w:tcW w:w="980" w:type="dxa"/>
            <w:vAlign w:val="bottom"/>
            <w:gridSpan w:val="2"/>
          </w:tcPr>
          <w:p>
            <w:pPr>
              <w:ind w:left="680"/>
              <w:spacing w:after="0"/>
              <w:rPr>
                <w:sz w:val="20"/>
                <w:szCs w:val="20"/>
                <w:color w:val="auto"/>
              </w:rPr>
            </w:pPr>
            <w:r>
              <w:rPr>
                <w:rFonts w:ascii="Arial" w:cs="Arial" w:eastAsia="Arial" w:hAnsi="Arial"/>
                <w:sz w:val="13"/>
                <w:szCs w:val="13"/>
                <w:b w:val="1"/>
                <w:bCs w:val="1"/>
                <w:color w:val="auto"/>
              </w:rPr>
              <w:t>12.</w:t>
            </w:r>
          </w:p>
        </w:tc>
        <w:tc>
          <w:tcPr>
            <w:tcW w:w="100" w:type="dxa"/>
            <w:vAlign w:val="bottom"/>
          </w:tcPr>
          <w:p>
            <w:pPr>
              <w:spacing w:after="0"/>
              <w:rPr>
                <w:sz w:val="24"/>
                <w:szCs w:val="24"/>
                <w:color w:val="auto"/>
              </w:rPr>
            </w:pPr>
          </w:p>
        </w:tc>
        <w:tc>
          <w:tcPr>
            <w:tcW w:w="7700" w:type="dxa"/>
            <w:vAlign w:val="bottom"/>
          </w:tcPr>
          <w:p>
            <w:pPr>
              <w:ind w:left="100"/>
              <w:spacing w:after="0"/>
              <w:rPr>
                <w:sz w:val="20"/>
                <w:szCs w:val="20"/>
                <w:color w:val="auto"/>
              </w:rPr>
            </w:pPr>
            <w:r>
              <w:rPr>
                <w:rFonts w:ascii="Arial" w:cs="Arial" w:eastAsia="Arial" w:hAnsi="Arial"/>
                <w:sz w:val="13"/>
                <w:szCs w:val="13"/>
                <w:b w:val="1"/>
                <w:bCs w:val="1"/>
                <w:color w:val="auto"/>
              </w:rPr>
              <w:t>Redeemable Convertible Preferred Units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680" w:type="dxa"/>
            <w:vAlign w:val="bottom"/>
          </w:tcPr>
          <w:p>
            <w:pPr>
              <w:spacing w:after="0"/>
              <w:rPr>
                <w:sz w:val="20"/>
                <w:szCs w:val="20"/>
                <w:color w:val="auto"/>
              </w:rPr>
            </w:pPr>
          </w:p>
        </w:tc>
        <w:tc>
          <w:tcPr>
            <w:tcW w:w="81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Predecessor Company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00" w:type="dxa"/>
            <w:vAlign w:val="bottom"/>
          </w:tcPr>
          <w:p>
            <w:pPr>
              <w:ind w:left="100"/>
              <w:spacing w:after="0"/>
              <w:rPr>
                <w:sz w:val="20"/>
                <w:szCs w:val="20"/>
                <w:color w:val="auto"/>
              </w:rPr>
            </w:pPr>
            <w:r>
              <w:rPr>
                <w:rFonts w:ascii="Arial" w:cs="Arial" w:eastAsia="Arial" w:hAnsi="Arial"/>
                <w:sz w:val="13"/>
                <w:szCs w:val="13"/>
                <w:color w:val="auto"/>
              </w:rPr>
              <w:t>Changes in Series B units for each period are as follows: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880" w:type="dxa"/>
            <w:vAlign w:val="bottom"/>
            <w:gridSpan w:val="6"/>
          </w:tcPr>
          <w:p>
            <w:pPr>
              <w:jc w:val="center"/>
              <w:ind w:right="80"/>
              <w:spacing w:after="0"/>
              <w:rPr>
                <w:sz w:val="20"/>
                <w:szCs w:val="20"/>
                <w:color w:val="auto"/>
              </w:rPr>
            </w:pPr>
            <w:r>
              <w:rPr>
                <w:rFonts w:ascii="Arial" w:cs="Arial" w:eastAsia="Arial" w:hAnsi="Arial"/>
                <w:sz w:val="10"/>
                <w:szCs w:val="10"/>
                <w:b w:val="1"/>
                <w:bCs w:val="1"/>
                <w:color w:val="auto"/>
              </w:rPr>
              <w:t>Three Months Ended</w:t>
            </w:r>
          </w:p>
        </w:tc>
      </w:tr>
      <w:tr>
        <w:trPr>
          <w:trHeight w:val="99"/>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2"/>
          </w:tcPr>
          <w:p>
            <w:pPr>
              <w:jc w:val="center"/>
              <w:spacing w:after="0" w:line="100" w:lineRule="exact"/>
              <w:rPr>
                <w:sz w:val="20"/>
                <w:szCs w:val="20"/>
                <w:color w:val="auto"/>
              </w:rPr>
            </w:pPr>
            <w:r>
              <w:rPr>
                <w:rFonts w:ascii="Arial" w:cs="Arial" w:eastAsia="Arial" w:hAnsi="Arial"/>
                <w:sz w:val="10"/>
                <w:szCs w:val="10"/>
                <w:b w:val="1"/>
                <w:bCs w:val="1"/>
                <w:color w:val="auto"/>
              </w:rPr>
              <w:t>March 29,</w:t>
            </w: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6"/>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2009</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700" w:type="dxa"/>
            <w:vAlign w:val="bottom"/>
          </w:tcPr>
          <w:p>
            <w:pPr>
              <w:spacing w:after="0"/>
              <w:rPr>
                <w:sz w:val="9"/>
                <w:szCs w:val="9"/>
                <w:color w:val="auto"/>
              </w:rPr>
            </w:pPr>
          </w:p>
        </w:tc>
        <w:tc>
          <w:tcPr>
            <w:tcW w:w="620" w:type="dxa"/>
            <w:vAlign w:val="bottom"/>
            <w:gridSpan w:val="2"/>
          </w:tcPr>
          <w:p>
            <w:pPr>
              <w:ind w:left="160"/>
              <w:spacing w:after="0" w:line="108" w:lineRule="exact"/>
              <w:rPr>
                <w:sz w:val="20"/>
                <w:szCs w:val="20"/>
                <w:color w:val="auto"/>
              </w:rPr>
            </w:pPr>
            <w:r>
              <w:rPr>
                <w:rFonts w:ascii="Arial" w:cs="Arial" w:eastAsia="Arial" w:hAnsi="Arial"/>
                <w:sz w:val="10"/>
                <w:szCs w:val="10"/>
                <w:b w:val="1"/>
                <w:bCs w:val="1"/>
                <w:color w:val="auto"/>
              </w:rPr>
              <w:t>Units</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ind w:left="40"/>
              <w:spacing w:after="0" w:line="108" w:lineRule="exact"/>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9"/>
                <w:szCs w:val="9"/>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810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Beginning of the period</w:t>
            </w:r>
          </w:p>
        </w:tc>
        <w:tc>
          <w:tcPr>
            <w:tcW w:w="6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540" w:type="dxa"/>
            <w:vAlign w:val="bottom"/>
            <w:gridSpan w:val="2"/>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142,669</w:t>
            </w:r>
          </w:p>
        </w:tc>
      </w:tr>
      <w:tr>
        <w:trPr>
          <w:trHeight w:val="147"/>
        </w:trPr>
        <w:tc>
          <w:tcPr>
            <w:tcW w:w="680" w:type="dxa"/>
            <w:vAlign w:val="bottom"/>
          </w:tcPr>
          <w:p>
            <w:pPr>
              <w:spacing w:after="0"/>
              <w:rPr>
                <w:sz w:val="12"/>
                <w:szCs w:val="12"/>
                <w:color w:val="auto"/>
              </w:rPr>
            </w:pPr>
          </w:p>
        </w:tc>
        <w:tc>
          <w:tcPr>
            <w:tcW w:w="8100" w:type="dxa"/>
            <w:vAlign w:val="bottom"/>
            <w:gridSpan w:val="3"/>
          </w:tcPr>
          <w:p>
            <w:pPr>
              <w:spacing w:after="0" w:line="148" w:lineRule="exact"/>
              <w:rPr>
                <w:sz w:val="20"/>
                <w:szCs w:val="20"/>
                <w:color w:val="auto"/>
              </w:rPr>
            </w:pPr>
            <w:r>
              <w:rPr>
                <w:rFonts w:ascii="Arial" w:cs="Arial" w:eastAsia="Arial" w:hAnsi="Arial"/>
                <w:sz w:val="13"/>
                <w:szCs w:val="13"/>
                <w:color w:val="auto"/>
              </w:rPr>
              <w:t>Accrual of preferred dividends</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3,369</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10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End of the period</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93,997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146,038</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were retired without consideration as part of the Company’s reorganization in 2009.</w:t>
      </w:r>
    </w:p>
    <w:p>
      <w:pPr>
        <w:spacing w:after="0" w:line="149" w:lineRule="exact"/>
        <w:rPr>
          <w:sz w:val="20"/>
          <w:szCs w:val="20"/>
          <w:color w:val="auto"/>
        </w:rPr>
      </w:pPr>
    </w:p>
    <w:p>
      <w:pPr>
        <w:ind w:left="1180" w:hanging="493"/>
        <w:spacing w:after="0"/>
        <w:tabs>
          <w:tab w:leader="none" w:pos="1180"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2" w:lineRule="exact"/>
        <w:rPr>
          <w:sz w:val="20"/>
          <w:szCs w:val="20"/>
          <w:color w:val="auto"/>
        </w:rPr>
      </w:pPr>
    </w:p>
    <w:p>
      <w:pPr>
        <w:ind w:left="680" w:right="400" w:firstLine="499"/>
        <w:spacing w:after="0" w:line="242" w:lineRule="auto"/>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(“ASC 360”). As a result, the results of operations of the Imaging Solutions business segment were classified as discontinued operations.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2280" w:type="dxa"/>
            <w:vAlign w:val="bottom"/>
            <w:gridSpan w:val="7"/>
          </w:tcPr>
          <w:p>
            <w:pPr>
              <w:jc w:val="right"/>
              <w:ind w:right="66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770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center"/>
              <w:ind w:left="83"/>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660" w:type="dxa"/>
            <w:vAlign w:val="bottom"/>
          </w:tcPr>
          <w:p>
            <w:pPr>
              <w:jc w:val="center"/>
              <w:ind w:left="83"/>
              <w:spacing w:after="0" w:line="108" w:lineRule="exact"/>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78"/>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660" w:type="dxa"/>
            <w:vAlign w:val="bottom"/>
            <w:tcBorders>
              <w:bottom w:val="single" w:sz="8" w:color="auto"/>
            </w:tcBorders>
          </w:tcPr>
          <w:p>
            <w:pPr>
              <w:jc w:val="center"/>
              <w:ind w:left="83"/>
              <w:spacing w:after="0"/>
              <w:rPr>
                <w:sz w:val="20"/>
                <w:szCs w:val="20"/>
                <w:color w:val="auto"/>
              </w:rPr>
            </w:pPr>
            <w:r>
              <w:rPr>
                <w:rFonts w:ascii="Arial" w:cs="Arial" w:eastAsia="Arial" w:hAnsi="Arial"/>
                <w:sz w:val="10"/>
                <w:szCs w:val="10"/>
                <w:b w:val="1"/>
                <w:bCs w:val="1"/>
                <w:color w:val="auto"/>
              </w:rPr>
              <w:t>2010</w:t>
            </w:r>
          </w:p>
        </w:tc>
        <w:tc>
          <w:tcPr>
            <w:tcW w:w="14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7"/>
        </w:trPr>
        <w:tc>
          <w:tcPr>
            <w:tcW w:w="7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sales</w:t>
            </w:r>
          </w:p>
        </w:tc>
        <w:tc>
          <w:tcPr>
            <w:tcW w:w="660" w:type="dxa"/>
            <w:vAlign w:val="bottom"/>
            <w:shd w:val="clear" w:color="auto" w:fill="CCEEFF"/>
          </w:tcPr>
          <w:p>
            <w:pPr>
              <w:jc w:val="right"/>
              <w:ind w:right="523"/>
              <w:spacing w:after="0" w:line="138" w:lineRule="exact"/>
              <w:rPr>
                <w:sz w:val="20"/>
                <w:szCs w:val="20"/>
                <w:color w:val="auto"/>
              </w:rPr>
            </w:pPr>
            <w:r>
              <w:rPr>
                <w:rFonts w:ascii="Arial" w:cs="Arial" w:eastAsia="Arial" w:hAnsi="Arial"/>
                <w:sz w:val="13"/>
                <w:szCs w:val="13"/>
                <w:color w:val="auto"/>
                <w:w w:val="82"/>
              </w:rPr>
              <w:t>$</w:t>
            </w:r>
          </w:p>
        </w:tc>
        <w:tc>
          <w:tcPr>
            <w:tcW w:w="340" w:type="dxa"/>
            <w:vAlign w:val="bottom"/>
            <w:tcBorders>
              <w:right w:val="single" w:sz="8" w:color="auto"/>
            </w:tcBorders>
            <w:gridSpan w:val="2"/>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913</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660" w:type="dxa"/>
            <w:vAlign w:val="bottom"/>
          </w:tcPr>
          <w:p>
            <w:pPr>
              <w:spacing w:after="0"/>
              <w:rPr>
                <w:sz w:val="12"/>
                <w:szCs w:val="12"/>
                <w:color w:val="auto"/>
              </w:rPr>
            </w:pPr>
          </w:p>
        </w:tc>
        <w:tc>
          <w:tcPr>
            <w:tcW w:w="34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1,306</w:t>
            </w: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660" w:type="dxa"/>
            <w:vAlign w:val="bottom"/>
            <w:shd w:val="clear" w:color="auto" w:fill="CCEEFF"/>
          </w:tcPr>
          <w:p>
            <w:pPr>
              <w:spacing w:after="0"/>
              <w:rPr>
                <w:sz w:val="12"/>
                <w:szCs w:val="12"/>
                <w:color w:val="auto"/>
              </w:rPr>
            </w:pPr>
          </w:p>
        </w:tc>
        <w:tc>
          <w:tcPr>
            <w:tcW w:w="340" w:type="dxa"/>
            <w:vAlign w:val="bottom"/>
            <w:tcBorders>
              <w:right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392</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660" w:type="dxa"/>
            <w:vAlign w:val="bottom"/>
          </w:tcPr>
          <w:p>
            <w:pPr>
              <w:spacing w:after="0"/>
              <w:rPr>
                <w:sz w:val="12"/>
                <w:szCs w:val="12"/>
                <w:color w:val="auto"/>
              </w:rPr>
            </w:pPr>
          </w:p>
        </w:tc>
        <w:tc>
          <w:tcPr>
            <w:tcW w:w="34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660" w:type="dxa"/>
            <w:vAlign w:val="bottom"/>
            <w:shd w:val="clear" w:color="auto" w:fill="CCEEFF"/>
          </w:tcPr>
          <w:p>
            <w:pPr>
              <w:spacing w:after="0"/>
              <w:rPr>
                <w:sz w:val="12"/>
                <w:szCs w:val="12"/>
                <w:color w:val="auto"/>
              </w:rPr>
            </w:pPr>
          </w:p>
        </w:tc>
        <w:tc>
          <w:tcPr>
            <w:tcW w:w="340" w:type="dxa"/>
            <w:vAlign w:val="bottom"/>
            <w:tcBorders>
              <w:right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Income tax expenses</w:t>
            </w:r>
          </w:p>
        </w:tc>
        <w:tc>
          <w:tcPr>
            <w:tcW w:w="660" w:type="dxa"/>
            <w:vAlign w:val="bottom"/>
          </w:tcPr>
          <w:p>
            <w:pPr>
              <w:spacing w:after="0"/>
              <w:rPr>
                <w:sz w:val="12"/>
                <w:szCs w:val="12"/>
                <w:color w:val="auto"/>
              </w:rPr>
            </w:pPr>
          </w:p>
        </w:tc>
        <w:tc>
          <w:tcPr>
            <w:tcW w:w="34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from discontinued operations, net of taxes</w:t>
            </w:r>
          </w:p>
        </w:tc>
        <w:tc>
          <w:tcPr>
            <w:tcW w:w="660" w:type="dxa"/>
            <w:vAlign w:val="bottom"/>
            <w:shd w:val="clear" w:color="auto" w:fill="CCEEFF"/>
          </w:tcPr>
          <w:p>
            <w:pPr>
              <w:jc w:val="right"/>
              <w:ind w:right="523"/>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tcBorders>
              <w:right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(785)</w:t>
            </w:r>
          </w:p>
        </w:tc>
      </w:tr>
      <w:tr>
        <w:trPr>
          <w:trHeight w:val="39"/>
        </w:trPr>
        <w:tc>
          <w:tcPr>
            <w:tcW w:w="7700" w:type="dxa"/>
            <w:vAlign w:val="bottom"/>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150" w:lineRule="exact"/>
        <w:rPr>
          <w:sz w:val="20"/>
          <w:szCs w:val="20"/>
          <w:color w:val="auto"/>
        </w:rPr>
      </w:pPr>
    </w:p>
    <w:p>
      <w:pPr>
        <w:ind w:left="680" w:right="7040" w:firstLine="7"/>
        <w:spacing w:after="0" w:line="391" w:lineRule="auto"/>
        <w:tabs>
          <w:tab w:leader="none" w:pos="1181"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Successor Company</w:t>
      </w:r>
    </w:p>
    <w:p>
      <w:pPr>
        <w:spacing w:after="0" w:line="1" w:lineRule="exact"/>
        <w:rPr>
          <w:sz w:val="20"/>
          <w:szCs w:val="20"/>
          <w:color w:val="auto"/>
        </w:rPr>
      </w:pPr>
    </w:p>
    <w:p>
      <w:pPr>
        <w:ind w:left="680" w:right="140" w:firstLine="499"/>
        <w:spacing w:after="0" w:line="242" w:lineRule="auto"/>
        <w:rPr>
          <w:sz w:val="20"/>
          <w:szCs w:val="20"/>
          <w:color w:val="auto"/>
        </w:rPr>
      </w:pPr>
      <w:r>
        <w:rPr>
          <w:rFonts w:ascii="Arial" w:cs="Arial" w:eastAsia="Arial" w:hAnsi="Arial"/>
          <w:sz w:val="13"/>
          <w:szCs w:val="13"/>
          <w:color w:val="auto"/>
        </w:rPr>
        <w:t>The Company recognized $ 336 thousand of impairment charges during the three months ended March 31, 2010 for two abandoned IPR&amp;D projects which were recorded as a result of its fresh-start reporting adoption as of October 25, 2009. There were no restructuring activities during the three months ended March 31, 2010, and no restructuring accrual at March 31, 2010.</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2"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 xml:space="preserve">On March 31, 2009, the Company announced the closure of the Tokyo office of its subsidiary, MagnaChip Semiconductor Inc. (Japan). In connection with this closure, the Company recognized $54 thousand of restructuring charges, which consisted of one-time termination benefits and other related costs under ASC 420, </w:t>
      </w:r>
      <w:r>
        <w:rPr>
          <w:rFonts w:ascii="Arial" w:cs="Arial" w:eastAsia="Arial" w:hAnsi="Arial"/>
          <w:sz w:val="13"/>
          <w:szCs w:val="13"/>
          <w:i w:val="1"/>
          <w:iCs w:val="1"/>
          <w:color w:val="auto"/>
        </w:rPr>
        <w:t>“Exit 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Disposal Cost Obligations,” </w:t>
      </w:r>
      <w:r>
        <w:rPr>
          <w:rFonts w:ascii="Arial" w:cs="Arial" w:eastAsia="Arial" w:hAnsi="Arial"/>
          <w:sz w:val="13"/>
          <w:szCs w:val="13"/>
          <w:color w:val="auto"/>
        </w:rPr>
        <w:t>(“ASC 420”), for the three months ended March 29, 2009.</w:t>
      </w:r>
    </w:p>
    <w:p>
      <w:pPr>
        <w:spacing w:after="0" w:line="141" w:lineRule="exact"/>
        <w:rPr>
          <w:sz w:val="20"/>
          <w:szCs w:val="20"/>
          <w:color w:val="auto"/>
        </w:rPr>
      </w:pPr>
    </w:p>
    <w:p>
      <w:pPr>
        <w:ind w:left="1180" w:hanging="493"/>
        <w:spacing w:after="0"/>
        <w:tabs>
          <w:tab w:leader="none" w:pos="1180"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color w:val="auto"/>
        </w:rPr>
        <w:t>Uncertainty in Income Taxes</w:t>
      </w:r>
    </w:p>
    <w:p>
      <w:pPr>
        <w:spacing w:after="0" w:line="102" w:lineRule="exact"/>
        <w:rPr>
          <w:sz w:val="20"/>
          <w:szCs w:val="20"/>
          <w:color w:val="auto"/>
        </w:rPr>
      </w:pPr>
    </w:p>
    <w:p>
      <w:pPr>
        <w:ind w:left="680" w:right="340" w:firstLine="499"/>
        <w:spacing w:after="0" w:line="248"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As of March 31, 2010 and December 31, 2009, the Company recorded $340 thousand and $1,997 thousand of liabilities for unrecognized tax benefits, respectively.</w:t>
      </w:r>
    </w:p>
    <w:p>
      <w:pPr>
        <w:ind w:left="680"/>
        <w:spacing w:after="0"/>
        <w:rPr>
          <w:sz w:val="20"/>
          <w:szCs w:val="20"/>
          <w:color w:val="auto"/>
        </w:rPr>
      </w:pPr>
      <w:r>
        <w:rPr>
          <w:rFonts w:ascii="Arial" w:cs="Arial" w:eastAsia="Arial" w:hAnsi="Arial"/>
          <w:sz w:val="13"/>
          <w:szCs w:val="13"/>
          <w:color w:val="auto"/>
        </w:rPr>
        <w:t>For the three months ended March 31, 2010, the Company reversed $1,640 thousand of liabilities due to the lapse of the applicable statute of limitations.</w:t>
      </w:r>
    </w:p>
    <w:p>
      <w:pPr>
        <w:spacing w:after="0" w:line="86"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reversed $24 thousand of liabilities for unrecognized tax benefits with the consideration of reductions in estimated interest and penalties during the three months ended March 31, 2010 and recognized $92 thousand of interest and penalties as income tax expenses for the three months ended March 29, 2009. Total interest and penalties accrued as of March 31, 2010 and December 31, 2009 were $107 thousand, $946 thousand, respectively.</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20" w:type="dxa"/>
            <w:vAlign w:val="bottom"/>
          </w:tcPr>
          <w:p>
            <w:pPr>
              <w:spacing w:after="0"/>
              <w:rPr>
                <w:sz w:val="20"/>
                <w:szCs w:val="20"/>
                <w:color w:val="auto"/>
              </w:rPr>
            </w:pPr>
            <w:r>
              <w:rPr>
                <w:rFonts w:ascii="Arial" w:cs="Arial" w:eastAsia="Arial" w:hAnsi="Arial"/>
                <w:sz w:val="13"/>
                <w:szCs w:val="13"/>
                <w:b w:val="1"/>
                <w:bCs w:val="1"/>
                <w:color w:val="auto"/>
              </w:rPr>
              <w:t>16.</w:t>
            </w:r>
          </w:p>
        </w:tc>
        <w:tc>
          <w:tcPr>
            <w:tcW w:w="7480" w:type="dxa"/>
            <w:vAlign w:val="bottom"/>
          </w:tcPr>
          <w:p>
            <w:pPr>
              <w:ind w:left="280"/>
              <w:spacing w:after="0"/>
              <w:rPr>
                <w:sz w:val="20"/>
                <w:szCs w:val="20"/>
                <w:color w:val="auto"/>
              </w:rPr>
            </w:pPr>
            <w:r>
              <w:rPr>
                <w:rFonts w:ascii="Arial" w:cs="Arial" w:eastAsia="Arial" w:hAnsi="Arial"/>
                <w:sz w:val="13"/>
                <w:szCs w:val="13"/>
                <w:b w:val="1"/>
                <w:bCs w:val="1"/>
                <w:color w:val="auto"/>
              </w:rPr>
              <w:t>Segment Information</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220" w:type="dxa"/>
            <w:vAlign w:val="bottom"/>
          </w:tcPr>
          <w:p>
            <w:pPr>
              <w:spacing w:after="0"/>
              <w:rPr>
                <w:sz w:val="20"/>
                <w:szCs w:val="20"/>
                <w:color w:val="auto"/>
              </w:rPr>
            </w:pPr>
          </w:p>
        </w:tc>
        <w:tc>
          <w:tcPr>
            <w:tcW w:w="7480" w:type="dxa"/>
            <w:vAlign w:val="bottom"/>
          </w:tcPr>
          <w:p>
            <w:pPr>
              <w:ind w:left="280"/>
              <w:spacing w:after="0"/>
              <w:rPr>
                <w:sz w:val="20"/>
                <w:szCs w:val="20"/>
                <w:color w:val="auto"/>
              </w:rPr>
            </w:pPr>
            <w:r>
              <w:rPr>
                <w:rFonts w:ascii="Arial" w:cs="Arial" w:eastAsia="Arial" w:hAnsi="Arial"/>
                <w:sz w:val="13"/>
                <w:szCs w:val="13"/>
                <w:color w:val="auto"/>
              </w:rPr>
              <w:t>The following sets forth information relating to the reportable segments: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2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108"/>
        </w:trPr>
        <w:tc>
          <w:tcPr>
            <w:tcW w:w="2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38"/>
              <w:spacing w:after="0" w:line="108"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r>
      <w:tr>
        <w:trPr>
          <w:trHeight w:val="118"/>
        </w:trPr>
        <w:tc>
          <w:tcPr>
            <w:tcW w:w="2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7"/>
        </w:trPr>
        <w:tc>
          <w:tcPr>
            <w:tcW w:w="7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Net Sales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7"/>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76,730</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59,620</w:t>
            </w:r>
          </w:p>
        </w:tc>
      </w:tr>
      <w:tr>
        <w:trPr>
          <w:trHeight w:val="147"/>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93,201</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40,137</w:t>
            </w:r>
          </w:p>
        </w:tc>
      </w:tr>
      <w:tr>
        <w:trPr>
          <w:trHeight w:val="147"/>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9,034</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933</w:t>
            </w:r>
          </w:p>
        </w:tc>
      </w:tr>
      <w:tr>
        <w:trPr>
          <w:trHeight w:val="147"/>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520</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r>
      <w:tr>
        <w:trPr>
          <w:trHeight w:val="20"/>
        </w:trPr>
        <w:tc>
          <w:tcPr>
            <w:tcW w:w="2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7480" w:type="dxa"/>
            <w:vAlign w:val="bottom"/>
          </w:tcPr>
          <w:p>
            <w:pPr>
              <w:ind w:left="60"/>
              <w:spacing w:after="0" w:line="148" w:lineRule="exact"/>
              <w:rPr>
                <w:sz w:val="20"/>
                <w:szCs w:val="20"/>
                <w:color w:val="auto"/>
              </w:rPr>
            </w:pPr>
            <w:r>
              <w:rPr>
                <w:rFonts w:ascii="Arial" w:cs="Arial" w:eastAsia="Arial" w:hAnsi="Arial"/>
                <w:sz w:val="13"/>
                <w:szCs w:val="13"/>
                <w:color w:val="auto"/>
              </w:rPr>
              <w:t>Total segment net sales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179,485</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101,459</w:t>
            </w:r>
          </w:p>
        </w:tc>
      </w:tr>
      <w:tr>
        <w:trPr>
          <w:trHeight w:val="147"/>
        </w:trPr>
        <w:tc>
          <w:tcPr>
            <w:tcW w:w="7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Gross Profit</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14,431</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13,674</w:t>
            </w:r>
          </w:p>
        </w:tc>
      </w:tr>
      <w:tr>
        <w:trPr>
          <w:trHeight w:val="147"/>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32,844</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6,177</w:t>
            </w:r>
          </w:p>
        </w:tc>
      </w:tr>
      <w:tr>
        <w:trPr>
          <w:trHeight w:val="147"/>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1,563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279</w:t>
            </w:r>
          </w:p>
        </w:tc>
      </w:tr>
      <w:tr>
        <w:trPr>
          <w:trHeight w:val="147"/>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520</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r>
      <w:tr>
        <w:trPr>
          <w:trHeight w:val="20"/>
        </w:trPr>
        <w:tc>
          <w:tcPr>
            <w:tcW w:w="2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220" w:type="dxa"/>
            <w:vAlign w:val="bottom"/>
          </w:tcPr>
          <w:p>
            <w:pPr>
              <w:spacing w:after="0"/>
              <w:rPr>
                <w:sz w:val="12"/>
                <w:szCs w:val="12"/>
                <w:color w:val="auto"/>
              </w:rPr>
            </w:pPr>
          </w:p>
        </w:tc>
        <w:tc>
          <w:tcPr>
            <w:tcW w:w="7480" w:type="dxa"/>
            <w:vAlign w:val="bottom"/>
          </w:tcPr>
          <w:p>
            <w:pPr>
              <w:ind w:left="60"/>
              <w:spacing w:after="0" w:line="148" w:lineRule="exact"/>
              <w:rPr>
                <w:sz w:val="20"/>
                <w:szCs w:val="20"/>
                <w:color w:val="auto"/>
              </w:rPr>
            </w:pPr>
            <w:r>
              <w:rPr>
                <w:rFonts w:ascii="Arial" w:cs="Arial" w:eastAsia="Arial" w:hAnsi="Arial"/>
                <w:sz w:val="13"/>
                <w:szCs w:val="13"/>
                <w:color w:val="auto"/>
              </w:rPr>
              <w:t>Total segment gross profit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49,358</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20,899</w:t>
            </w:r>
          </w:p>
        </w:tc>
      </w:tr>
      <w:tr>
        <w:trPr>
          <w:trHeight w:val="39"/>
        </w:trPr>
        <w:tc>
          <w:tcPr>
            <w:tcW w:w="220" w:type="dxa"/>
            <w:vAlign w:val="bottom"/>
          </w:tcPr>
          <w:p>
            <w:pPr>
              <w:spacing w:after="0"/>
              <w:rPr>
                <w:sz w:val="3"/>
                <w:szCs w:val="3"/>
                <w:color w:val="auto"/>
              </w:rPr>
            </w:pPr>
          </w:p>
        </w:tc>
        <w:tc>
          <w:tcPr>
            <w:tcW w:w="74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March 31, 2010.</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5" w:name="page196"/>
    <w:bookmarkEnd w:id="1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680" w:right="1320" w:firstLine="499"/>
        <w:spacing w:after="0" w:line="248" w:lineRule="auto"/>
        <w:rPr>
          <w:sz w:val="20"/>
          <w:szCs w:val="20"/>
          <w:color w:val="auto"/>
        </w:rPr>
      </w:pPr>
      <w:r>
        <w:rPr>
          <w:rFonts w:ascii="Arial" w:cs="Arial" w:eastAsia="Arial" w:hAnsi="Arial"/>
          <w:sz w:val="13"/>
          <w:szCs w:val="13"/>
          <w:color w:val="auto"/>
        </w:rPr>
        <w:t>Net sales from the Company’s top ten largest customers accounted for 64.1% and 72.3% for the three months ended March 31, 2010 and March 29, 2009, respectively.</w:t>
      </w:r>
    </w:p>
    <w:p>
      <w:pPr>
        <w:spacing w:after="0" w:line="74" w:lineRule="exact"/>
        <w:rPr>
          <w:sz w:val="20"/>
          <w:szCs w:val="20"/>
          <w:color w:val="auto"/>
        </w:rPr>
      </w:pPr>
    </w:p>
    <w:p>
      <w:pPr>
        <w:ind w:left="680" w:right="1080" w:firstLine="499"/>
        <w:spacing w:after="0" w:line="248" w:lineRule="auto"/>
        <w:rPr>
          <w:sz w:val="20"/>
          <w:szCs w:val="20"/>
          <w:color w:val="auto"/>
        </w:rPr>
      </w:pPr>
      <w:r>
        <w:rPr>
          <w:rFonts w:ascii="Arial" w:cs="Arial" w:eastAsia="Arial" w:hAnsi="Arial"/>
          <w:sz w:val="13"/>
          <w:szCs w:val="13"/>
          <w:color w:val="auto"/>
        </w:rPr>
        <w:t>The Company recorded $35,578 thousand and $33,784 thousand of sales to one customer within its Display Solutions segment, which represents greater than 10% of net sales, for the three months ended March 31, 2010 and March 29, 2009, respectively.</w:t>
      </w:r>
    </w:p>
    <w:p>
      <w:pPr>
        <w:spacing w:after="0" w:line="137" w:lineRule="exact"/>
        <w:rPr>
          <w:sz w:val="20"/>
          <w:szCs w:val="20"/>
          <w:color w:val="auto"/>
        </w:rPr>
      </w:pPr>
    </w:p>
    <w:p>
      <w:pPr>
        <w:ind w:left="1180" w:hanging="493"/>
        <w:spacing w:after="0"/>
        <w:tabs>
          <w:tab w:leader="none" w:pos="1180"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2" w:lineRule="exact"/>
        <w:rPr>
          <w:sz w:val="20"/>
          <w:szCs w:val="20"/>
          <w:color w:val="auto"/>
        </w:rPr>
      </w:pPr>
    </w:p>
    <w:p>
      <w:pPr>
        <w:ind w:left="680" w:right="800" w:firstLine="499"/>
        <w:spacing w:after="0" w:line="239" w:lineRule="auto"/>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 to ASC 450 “Contingencies” (“ASC 450”). The Company accrued $718 thousand of estimated liabilities as of March 31, 2010 and December 31, 2009, as the Company believes its accrual is its best estimate if the final outcome is unfavorable. Estimation was based on the most recent communication with Samsung Fiber Optics. Accordingly, the Company cannot provide assurance that the estimated liabilities will be realized, and actual results could vary materially.</w:t>
      </w:r>
    </w:p>
    <w:p>
      <w:pPr>
        <w:spacing w:after="0" w:line="143" w:lineRule="exact"/>
        <w:rPr>
          <w:sz w:val="20"/>
          <w:szCs w:val="20"/>
          <w:color w:val="auto"/>
        </w:rPr>
      </w:pPr>
    </w:p>
    <w:p>
      <w:pPr>
        <w:ind w:left="1180" w:hanging="493"/>
        <w:spacing w:after="0"/>
        <w:tabs>
          <w:tab w:leader="none" w:pos="1180"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Share/Unit</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share/unit: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60" w:type="dxa"/>
            <w:vAlign w:val="bottom"/>
            <w:gridSpan w:val="6"/>
          </w:tcPr>
          <w:p>
            <w:pPr>
              <w:jc w:val="right"/>
              <w:ind w:right="96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3"/>
          </w:tcPr>
          <w:p>
            <w:pPr>
              <w:jc w:val="center"/>
              <w:ind w:right="500"/>
              <w:spacing w:after="0" w:line="108" w:lineRule="exact"/>
              <w:rPr>
                <w:sz w:val="20"/>
                <w:szCs w:val="20"/>
                <w:color w:val="auto"/>
              </w:rPr>
            </w:pPr>
            <w:r>
              <w:rPr>
                <w:rFonts w:ascii="Arial" w:cs="Arial" w:eastAsia="Arial" w:hAnsi="Arial"/>
                <w:sz w:val="10"/>
                <w:szCs w:val="10"/>
                <w:b w:val="1"/>
                <w:bCs w:val="1"/>
                <w:color w:val="auto"/>
              </w:rPr>
              <w:t>Successor</w:t>
            </w:r>
          </w:p>
        </w:tc>
        <w:tc>
          <w:tcPr>
            <w:tcW w:w="2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138"/>
              <w:spacing w:after="0" w:line="108"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8"/>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7"/>
        </w:trPr>
        <w:tc>
          <w:tcPr>
            <w:tcW w:w="680" w:type="dxa"/>
            <w:vAlign w:val="bottom"/>
          </w:tcPr>
          <w:p>
            <w:pPr>
              <w:spacing w:after="0"/>
              <w:rPr>
                <w:sz w:val="11"/>
                <w:szCs w:val="11"/>
                <w:color w:val="auto"/>
              </w:rPr>
            </w:pPr>
          </w:p>
        </w:tc>
        <w:tc>
          <w:tcPr>
            <w:tcW w:w="4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Income (loss) from continuing operations</w:t>
            </w:r>
          </w:p>
        </w:tc>
        <w:tc>
          <w:tcPr>
            <w:tcW w:w="26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31,101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4"/>
              <w:spacing w:after="0" w:line="13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(68,907)</w:t>
            </w:r>
          </w:p>
        </w:tc>
        <w:tc>
          <w:tcPr>
            <w:tcW w:w="800" w:type="dxa"/>
            <w:vAlign w:val="bottom"/>
          </w:tcPr>
          <w:p>
            <w:pPr>
              <w:spacing w:after="0"/>
              <w:rPr>
                <w:sz w:val="11"/>
                <w:szCs w:val="11"/>
                <w:color w:val="auto"/>
              </w:rPr>
            </w:pPr>
          </w:p>
        </w:tc>
      </w:tr>
      <w:tr>
        <w:trPr>
          <w:trHeight w:val="147"/>
        </w:trPr>
        <w:tc>
          <w:tcPr>
            <w:tcW w:w="68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Loss from discontinued operations, net of taxes</w:t>
            </w: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(785)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31,101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(69,692)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Dividends accrued on preferred unitholders</w:t>
            </w: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(3,369)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 attributable to common shares/units</w:t>
            </w:r>
          </w:p>
        </w:tc>
        <w:tc>
          <w:tcPr>
            <w:tcW w:w="26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31,101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(72,276)</w:t>
            </w: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Net income (loss) attributable to common shares/units</w:t>
            </w:r>
          </w:p>
        </w:tc>
        <w:tc>
          <w:tcPr>
            <w:tcW w:w="2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31,101</w:t>
            </w:r>
          </w:p>
        </w:tc>
        <w:tc>
          <w:tcPr>
            <w:tcW w:w="1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(73,061)</w:t>
            </w:r>
          </w:p>
        </w:tc>
        <w:tc>
          <w:tcPr>
            <w:tcW w:w="800" w:type="dxa"/>
            <w:vAlign w:val="bottom"/>
          </w:tcPr>
          <w:p>
            <w:pPr>
              <w:spacing w:after="0"/>
              <w:rPr>
                <w:sz w:val="13"/>
                <w:szCs w:val="13"/>
                <w:color w:val="auto"/>
              </w:rPr>
            </w:pPr>
          </w:p>
        </w:tc>
      </w:tr>
      <w:tr>
        <w:trPr>
          <w:trHeight w:val="34"/>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2"/>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shares/units outstanding-basic</w:t>
            </w:r>
          </w:p>
        </w:tc>
        <w:tc>
          <w:tcPr>
            <w:tcW w:w="2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37,805,445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52,923,483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Weighted average common shares/units outstanding-diluted</w:t>
            </w: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38,441,991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52,923,483</w:t>
            </w:r>
          </w:p>
        </w:tc>
        <w:tc>
          <w:tcPr>
            <w:tcW w:w="800" w:type="dxa"/>
            <w:vAlign w:val="bottom"/>
          </w:tcPr>
          <w:p>
            <w:pPr>
              <w:spacing w:after="0"/>
              <w:rPr>
                <w:sz w:val="12"/>
                <w:szCs w:val="12"/>
                <w:color w:val="auto"/>
              </w:rPr>
            </w:pPr>
          </w:p>
        </w:tc>
      </w:tr>
      <w:tr>
        <w:trPr>
          <w:trHeight w:val="34"/>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2"/>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share/unit from continuing operations</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0.82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Diluted earnings (loss) per share/unit from continuing operations</w:t>
            </w:r>
          </w:p>
        </w:tc>
        <w:tc>
          <w:tcPr>
            <w:tcW w:w="2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0.81</w:t>
            </w:r>
          </w:p>
        </w:tc>
        <w:tc>
          <w:tcPr>
            <w:tcW w:w="1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r>
      <w:tr>
        <w:trPr>
          <w:trHeight w:val="34"/>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2"/>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loss per share/unit from discontinued operations</w:t>
            </w:r>
          </w:p>
        </w:tc>
        <w:tc>
          <w:tcPr>
            <w:tcW w:w="2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Basic earnings (loss) per share/unit</w:t>
            </w:r>
          </w:p>
        </w:tc>
        <w:tc>
          <w:tcPr>
            <w:tcW w:w="2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0.82</w:t>
            </w:r>
          </w:p>
        </w:tc>
        <w:tc>
          <w:tcPr>
            <w:tcW w:w="1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r>
      <w:tr>
        <w:trPr>
          <w:trHeight w:val="34"/>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2"/>
        </w:trPr>
        <w:tc>
          <w:tcPr>
            <w:tcW w:w="68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share/unit</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5"/>
                <w:szCs w:val="15"/>
                <w:color w:val="auto"/>
              </w:rPr>
            </w:pPr>
          </w:p>
        </w:tc>
      </w:tr>
      <w:tr>
        <w:trPr>
          <w:trHeight w:val="431"/>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40" w:type="dxa"/>
            <w:vAlign w:val="bottom"/>
          </w:tcPr>
          <w:p>
            <w:pPr>
              <w:ind w:left="180"/>
              <w:spacing w:after="0"/>
              <w:rPr>
                <w:sz w:val="20"/>
                <w:szCs w:val="20"/>
                <w:color w:val="auto"/>
              </w:rPr>
            </w:pPr>
            <w:r>
              <w:rPr>
                <w:rFonts w:ascii="Arial" w:cs="Arial" w:eastAsia="Arial" w:hAnsi="Arial"/>
                <w:sz w:val="13"/>
                <w:szCs w:val="13"/>
                <w:color w:val="auto"/>
              </w:rPr>
              <w:t>F-15</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4680" w:type="dxa"/>
            <w:vAlign w:val="bottom"/>
            <w:tcBorders>
              <w:bottom w:val="single" w:sz="8" w:color="808080"/>
            </w:tcBorders>
          </w:tcPr>
          <w:p>
            <w:pPr>
              <w:spacing w:after="0"/>
              <w:rPr>
                <w:sz w:val="13"/>
                <w:szCs w:val="13"/>
                <w:color w:val="auto"/>
              </w:rPr>
            </w:pPr>
          </w:p>
        </w:tc>
        <w:tc>
          <w:tcPr>
            <w:tcW w:w="24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outstanding redeemable convertible preferred units, stock/unit options and warrants were excluded from the computation of diluted earnings (loss)</w:t>
      </w:r>
    </w:p>
    <w:p>
      <w:pPr>
        <w:ind w:left="680"/>
        <w:spacing w:after="0"/>
        <w:rPr>
          <w:sz w:val="20"/>
          <w:szCs w:val="20"/>
          <w:color w:val="auto"/>
        </w:rPr>
      </w:pPr>
      <w:r>
        <w:rPr>
          <w:rFonts w:ascii="Arial" w:cs="Arial" w:eastAsia="Arial" w:hAnsi="Arial"/>
          <w:sz w:val="13"/>
          <w:szCs w:val="13"/>
          <w:color w:val="auto"/>
        </w:rPr>
        <w:t>per share/unit, as they would have an anti-dilutive effect on the calculation:</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600" w:type="dxa"/>
            <w:vAlign w:val="bottom"/>
          </w:tcPr>
          <w:p>
            <w:pPr>
              <w:spacing w:after="0"/>
              <w:rPr>
                <w:sz w:val="10"/>
                <w:szCs w:val="10"/>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7600" w:type="dxa"/>
            <w:vAlign w:val="bottom"/>
          </w:tcPr>
          <w:p>
            <w:pPr>
              <w:spacing w:after="0"/>
              <w:rPr>
                <w:sz w:val="9"/>
                <w:szCs w:val="9"/>
                <w:color w:val="auto"/>
              </w:rPr>
            </w:pPr>
          </w:p>
        </w:tc>
        <w:tc>
          <w:tcPr>
            <w:tcW w:w="1200" w:type="dxa"/>
            <w:vAlign w:val="bottom"/>
            <w:tcBorders>
              <w:top w:val="single" w:sz="8" w:color="auto"/>
            </w:tcBorders>
            <w:gridSpan w:val="3"/>
          </w:tcPr>
          <w:p>
            <w:pPr>
              <w:jc w:val="center"/>
              <w:ind w:right="300"/>
              <w:spacing w:after="0" w:line="108" w:lineRule="exact"/>
              <w:rPr>
                <w:sz w:val="20"/>
                <w:szCs w:val="20"/>
                <w:color w:val="auto"/>
              </w:rPr>
            </w:pPr>
            <w:r>
              <w:rPr>
                <w:rFonts w:ascii="Arial" w:cs="Arial" w:eastAsia="Arial" w:hAnsi="Arial"/>
                <w:sz w:val="10"/>
                <w:szCs w:val="10"/>
                <w:b w:val="1"/>
                <w:bCs w:val="1"/>
                <w:color w:val="auto"/>
              </w:rPr>
              <w:t>Successor</w:t>
            </w:r>
          </w:p>
        </w:tc>
        <w:tc>
          <w:tcPr>
            <w:tcW w:w="1080" w:type="dxa"/>
            <w:vAlign w:val="bottom"/>
            <w:tcBorders>
              <w:top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108"/>
        </w:trPr>
        <w:tc>
          <w:tcPr>
            <w:tcW w:w="7600" w:type="dxa"/>
            <w:vAlign w:val="bottom"/>
          </w:tcPr>
          <w:p>
            <w:pPr>
              <w:spacing w:after="0"/>
              <w:rPr>
                <w:sz w:val="9"/>
                <w:szCs w:val="9"/>
                <w:color w:val="auto"/>
              </w:rPr>
            </w:pPr>
          </w:p>
        </w:tc>
        <w:tc>
          <w:tcPr>
            <w:tcW w:w="900" w:type="dxa"/>
            <w:vAlign w:val="bottom"/>
            <w:tcBorders>
              <w:top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top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r>
      <w:tr>
        <w:trPr>
          <w:trHeight w:val="118"/>
        </w:trPr>
        <w:tc>
          <w:tcPr>
            <w:tcW w:w="76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7"/>
        </w:trPr>
        <w:tc>
          <w:tcPr>
            <w:tcW w:w="7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Redeemable convertible preferred units</w:t>
            </w:r>
          </w:p>
        </w:tc>
        <w:tc>
          <w:tcPr>
            <w:tcW w:w="1100" w:type="dxa"/>
            <w:vAlign w:val="bottom"/>
            <w:tcBorders>
              <w:right w:val="single" w:sz="8" w:color="auto"/>
            </w:tcBorders>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93,997</w:t>
            </w:r>
          </w:p>
        </w:tc>
      </w:tr>
      <w:tr>
        <w:trPr>
          <w:trHeight w:val="147"/>
        </w:trPr>
        <w:tc>
          <w:tcPr>
            <w:tcW w:w="7600" w:type="dxa"/>
            <w:vAlign w:val="bottom"/>
          </w:tcPr>
          <w:p>
            <w:pPr>
              <w:spacing w:after="0" w:line="148" w:lineRule="exact"/>
              <w:rPr>
                <w:sz w:val="20"/>
                <w:szCs w:val="20"/>
                <w:color w:val="auto"/>
              </w:rPr>
            </w:pPr>
            <w:r>
              <w:rPr>
                <w:rFonts w:ascii="Arial" w:cs="Arial" w:eastAsia="Arial" w:hAnsi="Arial"/>
                <w:sz w:val="13"/>
                <w:szCs w:val="13"/>
                <w:color w:val="auto"/>
              </w:rPr>
              <w:t>Options</w:t>
            </w:r>
          </w:p>
        </w:tc>
        <w:tc>
          <w:tcPr>
            <w:tcW w:w="11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114,250</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4,048,413</w:t>
            </w:r>
          </w:p>
        </w:tc>
      </w:tr>
      <w:tr>
        <w:trPr>
          <w:trHeight w:val="147"/>
        </w:trPr>
        <w:tc>
          <w:tcPr>
            <w:tcW w:w="76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Warrants</w:t>
            </w:r>
          </w:p>
        </w:tc>
        <w:tc>
          <w:tcPr>
            <w:tcW w:w="11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1,875,015</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r>
    </w:tbl>
    <w:p>
      <w:pPr>
        <w:spacing w:after="0" w:line="150" w:lineRule="exact"/>
        <w:rPr>
          <w:sz w:val="20"/>
          <w:szCs w:val="20"/>
          <w:color w:val="auto"/>
        </w:rPr>
      </w:pPr>
    </w:p>
    <w:p>
      <w:pPr>
        <w:ind w:left="1180" w:hanging="493"/>
        <w:spacing w:after="0"/>
        <w:tabs>
          <w:tab w:leader="none" w:pos="118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63"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April 1, 2010 through June 3, 2010, the date the unaudited interim consolidated financial statements were available to be issued.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 Issuance of $250 million of Senior Notes and Applications of Net Proceeds</w:t>
      </w:r>
    </w:p>
    <w:p>
      <w:pPr>
        <w:spacing w:after="0" w:line="6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April 9, 2010, two of the Company’s wholly-owned subsidiaries, MagnaChip Semiconductor S.A. and MagnaChip Semiconductor Finance Company, issued</w:t>
      </w:r>
    </w:p>
    <w:p>
      <w:pPr>
        <w:ind w:left="680"/>
        <w:spacing w:after="0" w:line="236" w:lineRule="auto"/>
        <w:rPr>
          <w:sz w:val="20"/>
          <w:szCs w:val="20"/>
          <w:color w:val="auto"/>
        </w:rPr>
      </w:pPr>
      <w:r>
        <w:rPr>
          <w:rFonts w:ascii="Arial" w:cs="Arial" w:eastAsia="Arial" w:hAnsi="Arial"/>
          <w:sz w:val="13"/>
          <w:szCs w:val="13"/>
          <w:color w:val="auto"/>
        </w:rPr>
        <w:t>$250,000 thousand aggregate principal amount of 10.500% senior notes due April 15, 2018 at a price of 98.674%. Interest on the notes will accrue at a rate of 10.500% per</w:t>
      </w:r>
    </w:p>
    <w:p>
      <w:pPr>
        <w:ind w:left="680"/>
        <w:spacing w:after="0" w:line="237" w:lineRule="auto"/>
        <w:rPr>
          <w:sz w:val="20"/>
          <w:szCs w:val="20"/>
          <w:color w:val="auto"/>
        </w:rPr>
      </w:pPr>
      <w:r>
        <w:rPr>
          <w:rFonts w:ascii="Arial" w:cs="Arial" w:eastAsia="Arial" w:hAnsi="Arial"/>
          <w:sz w:val="13"/>
          <w:szCs w:val="13"/>
          <w:color w:val="auto"/>
        </w:rPr>
        <w:t>annum, payable semi-annually on April 15 and October 15 of each year, beginning on October 15, 2010. The obligations under the senior notes are fully and unconditionally</w:t>
      </w:r>
    </w:p>
    <w:p>
      <w:pPr>
        <w:ind w:left="680"/>
        <w:spacing w:after="0" w:line="237" w:lineRule="auto"/>
        <w:rPr>
          <w:sz w:val="20"/>
          <w:szCs w:val="20"/>
          <w:color w:val="auto"/>
        </w:rPr>
      </w:pPr>
      <w:r>
        <w:rPr>
          <w:rFonts w:ascii="Arial" w:cs="Arial" w:eastAsia="Arial" w:hAnsi="Arial"/>
          <w:sz w:val="13"/>
          <w:szCs w:val="13"/>
          <w:color w:val="auto"/>
        </w:rPr>
        <w:t>guaranteed on an unsecured senior basis by the Company and all of its subsidiaries except for MagnaChip Semiconductor, Ltd. (Korea) and MagnaChip Semiconductor</w:t>
      </w:r>
    </w:p>
    <w:p>
      <w:pPr>
        <w:ind w:left="680"/>
        <w:spacing w:after="0"/>
        <w:rPr>
          <w:sz w:val="20"/>
          <w:szCs w:val="20"/>
          <w:color w:val="auto"/>
        </w:rPr>
      </w:pPr>
      <w:r>
        <w:rPr>
          <w:rFonts w:ascii="Arial" w:cs="Arial" w:eastAsia="Arial" w:hAnsi="Arial"/>
          <w:sz w:val="13"/>
          <w:szCs w:val="13"/>
          <w:color w:val="auto"/>
        </w:rPr>
        <w:t>(Shanghai) Company Limited.</w:t>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Of the $250,000 thousand aggregate principal amount, funds affiliated with Avenue Capital Management II, L.P. purchased $35,000 thousand principal amount.</w:t>
      </w:r>
    </w:p>
    <w:p>
      <w:pPr>
        <w:spacing w:after="0" w:line="47"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Of the $238,432 thousand of net proceeds, which represents $250,000 thousand of principal amount net of $ 3,315 thousand of original issue discount and $8,253 thousand of debt issuance costs, $130,697 thousand was used to make a distribution to the Company’s stockholders and $61,596 thousand was used to repay all outstanding borrowings under the new term loan. The remaining proceeds were retained to fund working capital and for general corporate purposes. In connection with the repayment of the new term loan, $210 thousand of relevant debt issuance costs were written off.</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 Cash Flow Hedge Transactions</w:t>
      </w:r>
    </w:p>
    <w:p>
      <w:pPr>
        <w:spacing w:after="0" w:line="102" w:lineRule="exact"/>
        <w:rPr>
          <w:sz w:val="20"/>
          <w:szCs w:val="20"/>
          <w:color w:val="auto"/>
        </w:rPr>
      </w:pPr>
    </w:p>
    <w:p>
      <w:pPr>
        <w:ind w:left="680" w:right="300" w:firstLine="499"/>
        <w:spacing w:after="0"/>
        <w:rPr>
          <w:sz w:val="20"/>
          <w:szCs w:val="20"/>
          <w:color w:val="auto"/>
        </w:rPr>
      </w:pPr>
      <w:r>
        <w:rPr>
          <w:rFonts w:ascii="Arial" w:cs="Arial" w:eastAsia="Arial" w:hAnsi="Arial"/>
          <w:sz w:val="13"/>
          <w:szCs w:val="13"/>
          <w:color w:val="auto"/>
        </w:rPr>
        <w:t>Effective May 25, 2010, the Company’s Korean subsidiary entered into option and forward contracts to hedge the risk of changes in the functional-currency-equivalent cash flows attributable to currency rate changes in U.S. dollar denominated revenues which are expected to occur during the first half of 2011. Total notional amounts for the options and forward contracts were $30,000 thousand and $78,000 thousand, respectively, and such contracts will be settled on a monthly basis from January to June 2011.</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 Corporate Conversion</w:t>
      </w:r>
    </w:p>
    <w:p>
      <w:pPr>
        <w:spacing w:after="0" w:line="63" w:lineRule="exact"/>
        <w:rPr>
          <w:sz w:val="20"/>
          <w:szCs w:val="20"/>
          <w:color w:val="auto"/>
        </w:rPr>
      </w:pPr>
    </w:p>
    <w:p>
      <w:pPr>
        <w:ind w:left="680" w:right="320" w:firstLine="499"/>
        <w:spacing w:after="0" w:line="248" w:lineRule="auto"/>
        <w:rPr>
          <w:sz w:val="20"/>
          <w:szCs w:val="20"/>
          <w:color w:val="auto"/>
        </w:rPr>
      </w:pPr>
      <w:r>
        <w:rPr>
          <w:rFonts w:ascii="Arial" w:cs="Arial" w:eastAsia="Arial" w:hAnsi="Arial"/>
          <w:sz w:val="13"/>
          <w:szCs w:val="13"/>
          <w:color w:val="auto"/>
        </w:rPr>
        <w:t>In connection with the Company’s initial public offering (“IPO”), prior to the effectiveness of its registration statement, the Company’s board of directors and the holders of a majority of its outstanding common units will elect to convert the Company from a Delaware limited liability company</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680" w:right="860"/>
        <w:spacing w:after="0" w:line="239" w:lineRule="auto"/>
        <w:rPr>
          <w:sz w:val="20"/>
          <w:szCs w:val="20"/>
          <w:color w:val="auto"/>
        </w:rPr>
      </w:pPr>
      <w:r>
        <w:rPr>
          <w:rFonts w:ascii="Arial" w:cs="Arial" w:eastAsia="Arial" w:hAnsi="Arial"/>
          <w:sz w:val="13"/>
          <w:szCs w:val="13"/>
          <w:color w:val="auto"/>
        </w:rPr>
        <w:t>to a Delaware corporation (the “Corporation”). In connection with the corporate conversion, outstanding common units of the Company will be automatically converted into shares of common stock of the Corporation, outstanding options to purchase common units of the Company will be automatically converted into options to purchase shares of common stock of the Corporation and outstanding warrants to purchase common units of the Company will be automatically converted into warrants to purchase shares of common stock of the Corporation, all at a ratio of eight-for-one. The interim consolidated financial statements as of March 31, 2010 and December 31, 2009 and for the three months ended March 31, 2010 give retroactive effect to the corporate conversion.</w:t>
      </w:r>
    </w:p>
    <w:p>
      <w:pPr>
        <w:spacing w:after="0" w:line="144" w:lineRule="exact"/>
        <w:rPr>
          <w:sz w:val="20"/>
          <w:szCs w:val="20"/>
          <w:color w:val="auto"/>
        </w:rPr>
      </w:pPr>
    </w:p>
    <w:p>
      <w:pPr>
        <w:ind w:left="1180" w:hanging="493"/>
        <w:spacing w:after="0"/>
        <w:tabs>
          <w:tab w:leader="none" w:pos="118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Pro Forma Balance Sheet as of March 31, 2010 and Unaudited Pro Forma Earnings per Share</w:t>
      </w:r>
    </w:p>
    <w:p>
      <w:pPr>
        <w:spacing w:after="0" w:line="102" w:lineRule="exact"/>
        <w:rPr>
          <w:sz w:val="20"/>
          <w:szCs w:val="20"/>
          <w:color w:val="auto"/>
        </w:rPr>
      </w:pPr>
    </w:p>
    <w:p>
      <w:pPr>
        <w:ind w:left="680" w:right="880" w:firstLine="499"/>
        <w:spacing w:after="0" w:line="248" w:lineRule="auto"/>
        <w:rPr>
          <w:sz w:val="20"/>
          <w:szCs w:val="20"/>
          <w:color w:val="auto"/>
        </w:rPr>
      </w:pPr>
      <w:r>
        <w:rPr>
          <w:rFonts w:ascii="Arial" w:cs="Arial" w:eastAsia="Arial" w:hAnsi="Arial"/>
          <w:sz w:val="13"/>
          <w:szCs w:val="13"/>
          <w:color w:val="auto"/>
        </w:rPr>
        <w:t>Regarding the distribution made to stockholders subsequent to the balance sheet date, an unaudited pro forma balance sheet has been presented to show the pro forma liability due to stockholders and decrease in additional paid in capital as if the declaration of the distribution to stockholders was made prior to March 31, 2010.</w:t>
      </w:r>
    </w:p>
    <w:p>
      <w:pPr>
        <w:spacing w:after="0" w:line="74" w:lineRule="exact"/>
        <w:rPr>
          <w:sz w:val="20"/>
          <w:szCs w:val="20"/>
          <w:color w:val="auto"/>
        </w:rPr>
      </w:pPr>
    </w:p>
    <w:p>
      <w:pPr>
        <w:ind w:left="680" w:right="940" w:firstLine="499"/>
        <w:spacing w:after="0" w:line="239" w:lineRule="auto"/>
        <w:rPr>
          <w:sz w:val="20"/>
          <w:szCs w:val="20"/>
          <w:color w:val="auto"/>
        </w:rPr>
      </w:pPr>
      <w:r>
        <w:rPr>
          <w:rFonts w:ascii="Arial" w:cs="Arial" w:eastAsia="Arial" w:hAnsi="Arial"/>
          <w:sz w:val="13"/>
          <w:szCs w:val="13"/>
          <w:color w:val="auto"/>
        </w:rPr>
        <w:t>Pro forma earnings per share as adjusted for distributions in excess of earnings includes 1,500,000 additional shares that represent, in accordance with Staff Accounting Bulletin Topic 1.B.3, the number of shares sold in the Company’s initial public offering, the proceeds of which are assumed for purposes of this calculation to have been used to pay distribution in excess of earnings during the last four-month period ended February 28, 2010 which represents the period from October 25, 2009 to the month of declaration of distribution. The calculation assumes an initial offering price of $16.50 per share, the mid-point of the IPO price range. The distribution and assumed number of additional shares issued to pay distribution in excess of earnings for the three months ended March 31, 2010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Distribution paid</w:t>
            </w: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130,697</w:t>
            </w: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8700" w:type="dxa"/>
            <w:vAlign w:val="bottom"/>
          </w:tcPr>
          <w:p>
            <w:pPr>
              <w:spacing w:after="0" w:line="148" w:lineRule="exact"/>
              <w:rPr>
                <w:sz w:val="20"/>
                <w:szCs w:val="20"/>
                <w:color w:val="auto"/>
              </w:rPr>
            </w:pPr>
            <w:r>
              <w:rPr>
                <w:rFonts w:ascii="Arial" w:cs="Arial" w:eastAsia="Arial" w:hAnsi="Arial"/>
                <w:sz w:val="13"/>
                <w:szCs w:val="13"/>
                <w:color w:val="auto"/>
              </w:rPr>
              <w:t>Earnings during the last four-month period</w:t>
            </w:r>
          </w:p>
        </w:tc>
        <w:tc>
          <w:tcPr>
            <w:tcW w:w="3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(4,884)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Distribution paid in excess of earnings</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125,813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tcPr>
          <w:p>
            <w:pPr>
              <w:spacing w:after="0" w:line="148" w:lineRule="exact"/>
              <w:rPr>
                <w:sz w:val="20"/>
                <w:szCs w:val="20"/>
                <w:color w:val="auto"/>
              </w:rPr>
            </w:pPr>
            <w:r>
              <w:rPr>
                <w:rFonts w:ascii="Arial" w:cs="Arial" w:eastAsia="Arial" w:hAnsi="Arial"/>
                <w:sz w:val="13"/>
                <w:szCs w:val="13"/>
                <w:color w:val="auto"/>
              </w:rPr>
              <w:t>Assumed initial offering price per share</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Assumed additional number of shares issued to fund distribution in excess of earnings(A)</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7,625,027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tcPr>
          <w:p>
            <w:pPr>
              <w:spacing w:after="0" w:line="148" w:lineRule="exact"/>
              <w:rPr>
                <w:sz w:val="20"/>
                <w:szCs w:val="20"/>
                <w:color w:val="auto"/>
              </w:rPr>
            </w:pPr>
            <w:r>
              <w:rPr>
                <w:rFonts w:ascii="Arial" w:cs="Arial" w:eastAsia="Arial" w:hAnsi="Arial"/>
                <w:sz w:val="13"/>
                <w:szCs w:val="13"/>
                <w:color w:val="auto"/>
              </w:rPr>
              <w:t>Actual number of shares offered at IPO(B)</w:t>
            </w:r>
          </w:p>
        </w:tc>
        <w:tc>
          <w:tcPr>
            <w:tcW w:w="3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1,500,000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Assumed additional number of shares: Lower of (A) or (B)</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1,500,000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tcPr>
          <w:p>
            <w:pPr>
              <w:spacing w:after="0" w:line="148" w:lineRule="exact"/>
              <w:rPr>
                <w:sz w:val="20"/>
                <w:szCs w:val="20"/>
                <w:color w:val="auto"/>
              </w:rPr>
            </w:pPr>
            <w:r>
              <w:rPr>
                <w:rFonts w:ascii="Arial" w:cs="Arial" w:eastAsia="Arial" w:hAnsi="Arial"/>
                <w:sz w:val="13"/>
                <w:szCs w:val="13"/>
                <w:color w:val="auto"/>
              </w:rPr>
              <w:t>Historical weighted average number of shares</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Basic</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37,805,445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tcPr>
          <w:p>
            <w:pPr>
              <w:ind w:left="140"/>
              <w:spacing w:after="0" w:line="148" w:lineRule="exact"/>
              <w:rPr>
                <w:sz w:val="20"/>
                <w:szCs w:val="20"/>
                <w:color w:val="auto"/>
              </w:rPr>
            </w:pPr>
            <w:r>
              <w:rPr>
                <w:rFonts w:ascii="Arial" w:cs="Arial" w:eastAsia="Arial" w:hAnsi="Arial"/>
                <w:sz w:val="13"/>
                <w:szCs w:val="13"/>
                <w:color w:val="auto"/>
              </w:rPr>
              <w:t>Diluted</w:t>
            </w:r>
          </w:p>
        </w:tc>
        <w:tc>
          <w:tcPr>
            <w:tcW w:w="3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38,441,991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Unaudited pro forma weighted average number of shares</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tcPr>
          <w:p>
            <w:pPr>
              <w:ind w:left="140"/>
              <w:spacing w:after="0" w:line="148" w:lineRule="exact"/>
              <w:rPr>
                <w:sz w:val="20"/>
                <w:szCs w:val="20"/>
                <w:color w:val="auto"/>
              </w:rPr>
            </w:pPr>
            <w:r>
              <w:rPr>
                <w:rFonts w:ascii="Arial" w:cs="Arial" w:eastAsia="Arial" w:hAnsi="Arial"/>
                <w:sz w:val="13"/>
                <w:szCs w:val="13"/>
                <w:color w:val="auto"/>
              </w:rPr>
              <w:t>Basic</w:t>
            </w:r>
          </w:p>
        </w:tc>
        <w:tc>
          <w:tcPr>
            <w:tcW w:w="3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39,305,445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Diluted</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39,941,991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tcPr>
          <w:p>
            <w:pPr>
              <w:spacing w:after="0" w:line="148" w:lineRule="exact"/>
              <w:rPr>
                <w:sz w:val="20"/>
                <w:szCs w:val="20"/>
                <w:color w:val="auto"/>
              </w:rPr>
            </w:pPr>
            <w:r>
              <w:rPr>
                <w:rFonts w:ascii="Arial" w:cs="Arial" w:eastAsia="Arial" w:hAnsi="Arial"/>
                <w:sz w:val="13"/>
                <w:szCs w:val="13"/>
                <w:color w:val="auto"/>
              </w:rPr>
              <w:t>Net income attributable to common shares</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31,101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Unaudited pro forma earnings per share</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tcPr>
          <w:p>
            <w:pPr>
              <w:ind w:left="140"/>
              <w:spacing w:after="0" w:line="148" w:lineRule="exact"/>
              <w:rPr>
                <w:sz w:val="20"/>
                <w:szCs w:val="20"/>
                <w:color w:val="auto"/>
              </w:rPr>
            </w:pPr>
            <w:r>
              <w:rPr>
                <w:rFonts w:ascii="Arial" w:cs="Arial" w:eastAsia="Arial" w:hAnsi="Arial"/>
                <w:sz w:val="13"/>
                <w:szCs w:val="13"/>
                <w:color w:val="auto"/>
              </w:rPr>
              <w:t>Basic</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0.79</w:t>
            </w:r>
          </w:p>
        </w:tc>
        <w:tc>
          <w:tcPr>
            <w:tcW w:w="800" w:type="dxa"/>
            <w:vAlign w:val="bottom"/>
          </w:tcPr>
          <w:p>
            <w:pPr>
              <w:spacing w:after="0"/>
              <w:rPr>
                <w:sz w:val="12"/>
                <w:szCs w:val="12"/>
                <w:color w:val="auto"/>
              </w:rPr>
            </w:pPr>
          </w:p>
        </w:tc>
      </w:tr>
      <w:tr>
        <w:trPr>
          <w:trHeight w:val="34"/>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2"/>
        </w:trPr>
        <w:tc>
          <w:tcPr>
            <w:tcW w:w="680" w:type="dxa"/>
            <w:vAlign w:val="bottom"/>
          </w:tcPr>
          <w:p>
            <w:pPr>
              <w:spacing w:after="0"/>
              <w:rPr>
                <w:sz w:val="14"/>
                <w:szCs w:val="14"/>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0.78</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8700" w:type="dxa"/>
            <w:vAlign w:val="bottom"/>
          </w:tcPr>
          <w:p>
            <w:pPr>
              <w:ind w:left="4860"/>
              <w:spacing w:after="0"/>
              <w:rPr>
                <w:sz w:val="20"/>
                <w:szCs w:val="20"/>
                <w:color w:val="auto"/>
              </w:rPr>
            </w:pPr>
            <w:r>
              <w:rPr>
                <w:rFonts w:ascii="Arial" w:cs="Arial" w:eastAsia="Arial" w:hAnsi="Arial"/>
                <w:sz w:val="13"/>
                <w:szCs w:val="13"/>
                <w:color w:val="auto"/>
              </w:rPr>
              <w:t>F-17</w:t>
            </w: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8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ind w:left="680"/>
        <w:spacing w:after="0"/>
        <w:rPr>
          <w:sz w:val="20"/>
          <w:szCs w:val="20"/>
          <w:color w:val="auto"/>
        </w:rPr>
      </w:pPr>
      <w:r>
        <w:rPr>
          <w:rFonts w:ascii="Arial" w:cs="Arial" w:eastAsia="Arial" w:hAnsi="Arial"/>
          <w:sz w:val="13"/>
          <w:szCs w:val="13"/>
          <w:color w:val="auto"/>
        </w:rPr>
        <w:t>MagnaChip Semiconductor Corporation</w:t>
      </w:r>
    </w:p>
    <w:p>
      <w:pPr>
        <w:spacing w:after="0" w:line="254"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The corporate conversion as described in Note 27(C) has not been consummated at June 3, 2010. When it has been consummated, we will be in a position to furnish the following report:</w:t>
      </w:r>
    </w:p>
    <w:p>
      <w:pPr>
        <w:spacing w:after="0" w:line="74"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stockholders’ equity and of cash flows present fairly, in all material respects, the financial position of MagnaChip Semiconductor Corporation and its subsidiaries (the “Company”) at December 31, 2009 (Successor Company) and the results of their operations and their cash flows for the two-month period ended December 31, 2009 in conformity with accounting principles generally accepted in the United States of America. These financial statements are the responsibility of the Company’s management. Our responsibility is to express an opinion on these consolidated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 provides a reasonable basis for our opinion.</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As discussed in Note 2 to the consolidated financial statements, the United States Bankruptcy Court for the District of Delaware confirmed the Creditors’ Committee’s reorganization plan (the “Plan”) on September 25, 2009. Confirmation of the Plan resulted in the discharge of all claims against the Company that arose before June 12, 2009 and substantially terminates all rights and interests of equity security holders as provided for in the Plan. The Plan was substantially consummated on November 9, 2009 and the Company emerged from bankruptcy. In connection with its emergence from bankruptcy, the Company adopted fresh-start accounting as of October 25, 2009.”</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ind w:left="680"/>
        <w:spacing w:after="0"/>
        <w:rPr>
          <w:sz w:val="20"/>
          <w:szCs w:val="20"/>
          <w:color w:val="auto"/>
        </w:rPr>
      </w:pPr>
      <w:r>
        <w:rPr>
          <w:rFonts w:ascii="Arial" w:cs="Arial" w:eastAsia="Arial" w:hAnsi="Arial"/>
          <w:sz w:val="13"/>
          <w:szCs w:val="13"/>
          <w:color w:val="auto"/>
        </w:rPr>
        <w:t>March 13, 2010 (except for the effects of the conversion to a corporation as described in Note 27(C), as to which the date is June 3, 2010)</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Unitholders of</w:t>
      </w:r>
    </w:p>
    <w:p>
      <w:pPr>
        <w:ind w:left="680"/>
        <w:spacing w:after="0"/>
        <w:rPr>
          <w:sz w:val="20"/>
          <w:szCs w:val="20"/>
          <w:color w:val="auto"/>
        </w:rPr>
      </w:pPr>
      <w:r>
        <w:rPr>
          <w:rFonts w:ascii="Arial" w:cs="Arial" w:eastAsia="Arial" w:hAnsi="Arial"/>
          <w:sz w:val="13"/>
          <w:szCs w:val="13"/>
          <w:color w:val="auto"/>
        </w:rPr>
        <w:t>MagnaChip Semiconductor LLC</w:t>
      </w:r>
    </w:p>
    <w:p>
      <w:pPr>
        <w:spacing w:after="0" w:line="86"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(the “Company”) at December 31, 2008 (Predecessor Company), and the results of their operations and their cash flows for the ten-month period ended October 25, 2009 and for each of the two years in the period ended December 31, 2008,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81" w:lineRule="exact"/>
        <w:rPr>
          <w:sz w:val="20"/>
          <w:szCs w:val="20"/>
          <w:color w:val="auto"/>
        </w:rPr>
      </w:pPr>
    </w:p>
    <w:p>
      <w:pPr>
        <w:ind w:left="680" w:right="180"/>
        <w:spacing w:after="0"/>
        <w:rPr>
          <w:sz w:val="20"/>
          <w:szCs w:val="20"/>
          <w:color w:val="auto"/>
        </w:rPr>
      </w:pPr>
      <w:r>
        <w:rPr>
          <w:rFonts w:ascii="Arial" w:cs="Arial" w:eastAsia="Arial" w:hAnsi="Arial"/>
          <w:sz w:val="13"/>
          <w:szCs w:val="13"/>
          <w:color w:val="auto"/>
        </w:rPr>
        <w:t>As discussed in Note 2 to the consolidated financial statements, the Company filed a petition on June 12, 2009 with the United States Bankruptcy Court for the District of Delaware for reorganization under the provisions of Chapter 11 of the Bankruptcy Code. The Company’s Creditors’ Committee’s reorganization plan was substantially consummated on November 9, 2009 and the Company emerged from bankruptcy. In connection with its emergence from bankruptcy, the Company adopted fresh-start accounting.</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discussed in Note 4 to the consolidated financial statements, the Company changed the manner in which it accounts for business combinations in 2009.</w:t>
      </w:r>
    </w:p>
    <w:p>
      <w:pPr>
        <w:spacing w:after="0" w:line="3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13, 2010</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rPr>
              <w:t>Successor</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Predecessor</w:t>
            </w:r>
          </w:p>
        </w:tc>
      </w:tr>
      <w:tr>
        <w:trPr>
          <w:trHeight w:val="99"/>
        </w:trPr>
        <w:tc>
          <w:tcPr>
            <w:tcW w:w="7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62"/>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42"/>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99"/>
        </w:trPr>
        <w:tc>
          <w:tcPr>
            <w:tcW w:w="7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gridSpan w:val="6"/>
          </w:tcPr>
          <w:p>
            <w:pPr>
              <w:jc w:val="right"/>
              <w:ind w:right="580"/>
              <w:spacing w:after="0" w:line="100" w:lineRule="exact"/>
              <w:rPr>
                <w:sz w:val="20"/>
                <w:szCs w:val="20"/>
                <w:color w:val="auto"/>
              </w:rPr>
            </w:pPr>
            <w:r>
              <w:rPr>
                <w:rFonts w:ascii="Arial" w:cs="Arial" w:eastAsia="Arial" w:hAnsi="Arial"/>
                <w:sz w:val="10"/>
                <w:szCs w:val="10"/>
                <w:b w:val="1"/>
                <w:bCs w:val="1"/>
                <w:color w:val="auto"/>
              </w:rPr>
              <w:t>(In thousands of US dollars,</w:t>
            </w:r>
          </w:p>
        </w:tc>
      </w:tr>
      <w:tr>
        <w:trPr>
          <w:trHeight w:val="126"/>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0"/>
                <w:szCs w:val="10"/>
                <w:b w:val="1"/>
                <w:bCs w:val="1"/>
                <w:color w:val="auto"/>
              </w:rPr>
              <w:t>except share/unit data)</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64,925</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4,037</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11,768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74,233</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76,295</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Inventories, net</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63,407</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47,110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receivables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4,701</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12,625</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9,268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ind w:left="360"/>
              <w:spacing w:after="0"/>
              <w:rPr>
                <w:sz w:val="20"/>
                <w:szCs w:val="20"/>
                <w:color w:val="auto"/>
              </w:rPr>
            </w:pPr>
            <w:r>
              <w:rPr>
                <w:rFonts w:ascii="Arial" w:cs="Arial" w:eastAsia="Arial" w:hAnsi="Arial"/>
                <w:sz w:val="12"/>
                <w:szCs w:val="12"/>
                <w:color w:val="auto"/>
              </w:rPr>
              <w:t>Total current assets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222,056</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157,978</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156,337</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183,955</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Intangible assets, net</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50,158</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34,892</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Long-term prepaid expenses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10,542</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7,714</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14,238</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14,631</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453,331</w:t>
            </w: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399,170</w:t>
            </w:r>
          </w:p>
        </w:tc>
      </w:tr>
      <w:tr>
        <w:trPr>
          <w:trHeight w:val="147"/>
        </w:trPr>
        <w:tc>
          <w:tcPr>
            <w:tcW w:w="7500" w:type="dxa"/>
            <w:vAlign w:val="bottom"/>
          </w:tcPr>
          <w:p>
            <w:pPr>
              <w:spacing w:after="0"/>
              <w:rPr>
                <w:sz w:val="20"/>
                <w:szCs w:val="20"/>
                <w:color w:val="auto"/>
              </w:rPr>
            </w:pPr>
            <w:r>
              <w:rPr>
                <w:rFonts w:ascii="Arial" w:cs="Arial" w:eastAsia="Arial" w:hAnsi="Arial"/>
                <w:sz w:val="12"/>
                <w:szCs w:val="12"/>
                <w:b w:val="1"/>
                <w:bCs w:val="1"/>
                <w:color w:val="auto"/>
              </w:rPr>
              <w:t>Liabilities and Stockholders’/Unitholders’ Equity</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59,705</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70,158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accounts payable</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7,190</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15,040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22,114</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38,554</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Short-term borrowings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95,000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Current portion of long-term debt</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618</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750,000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liabilities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3,937</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ind w:left="360"/>
              <w:spacing w:after="0"/>
              <w:rPr>
                <w:sz w:val="20"/>
                <w:szCs w:val="20"/>
                <w:color w:val="auto"/>
              </w:rPr>
            </w:pPr>
            <w:r>
              <w:rPr>
                <w:rFonts w:ascii="Arial" w:cs="Arial" w:eastAsia="Arial" w:hAnsi="Arial"/>
                <w:sz w:val="12"/>
                <w:szCs w:val="12"/>
                <w:color w:val="auto"/>
              </w:rPr>
              <w:t>Total current liabilities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93,564</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972,487</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Long-term borrowings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61,132</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Accrued severance benefits, net</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72,409</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61,939</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liabilities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10,536</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9,874</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ind w:left="360"/>
              <w:spacing w:after="0"/>
              <w:rPr>
                <w:sz w:val="20"/>
                <w:szCs w:val="20"/>
                <w:color w:val="auto"/>
              </w:rPr>
            </w:pPr>
            <w:r>
              <w:rPr>
                <w:rFonts w:ascii="Arial" w:cs="Arial" w:eastAsia="Arial" w:hAnsi="Arial"/>
                <w:sz w:val="12"/>
                <w:szCs w:val="12"/>
                <w:color w:val="auto"/>
              </w:rPr>
              <w:t>Total liabilities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237,641</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1,044,300</w:t>
            </w:r>
          </w:p>
        </w:tc>
      </w:tr>
      <w:tr>
        <w:trPr>
          <w:trHeight w:val="137"/>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9"/>
        </w:trPr>
        <w:tc>
          <w:tcPr>
            <w:tcW w:w="7500" w:type="dxa"/>
            <w:vAlign w:val="bottom"/>
          </w:tcPr>
          <w:p>
            <w:pPr>
              <w:spacing w:after="0"/>
              <w:rPr>
                <w:sz w:val="20"/>
                <w:szCs w:val="20"/>
                <w:color w:val="auto"/>
              </w:rPr>
            </w:pPr>
            <w:r>
              <w:rPr>
                <w:rFonts w:ascii="Arial" w:cs="Arial" w:eastAsia="Arial" w:hAnsi="Arial"/>
                <w:sz w:val="12"/>
                <w:szCs w:val="12"/>
                <w:color w:val="auto"/>
              </w:rPr>
              <w:t>Series A redeemable convertible preferred units, $1,000 par value; 60,000 units authorized, 50,091 units issued and 0 unit outstanding at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7500" w:type="dxa"/>
            <w:vAlign w:val="bottom"/>
          </w:tcPr>
          <w:p>
            <w:pPr>
              <w:ind w:left="120"/>
              <w:spacing w:after="0" w:line="136" w:lineRule="exact"/>
              <w:rPr>
                <w:sz w:val="20"/>
                <w:szCs w:val="20"/>
                <w:color w:val="auto"/>
              </w:rPr>
            </w:pPr>
            <w:r>
              <w:rPr>
                <w:rFonts w:ascii="Arial" w:cs="Arial" w:eastAsia="Arial" w:hAnsi="Arial"/>
                <w:sz w:val="12"/>
                <w:szCs w:val="12"/>
                <w:color w:val="auto"/>
              </w:rPr>
              <w:t>December 31, 2008</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r>
      <w:tr>
        <w:trPr>
          <w:trHeight w:val="139"/>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Series B redeemable convertible preferred units, $1,000 par value; 550,000 units authorized, 450,692 units issued, 93,997 units outstanding</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6"/>
        </w:trPr>
        <w:tc>
          <w:tcPr>
            <w:tcW w:w="750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at December 31, 2008</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142,669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ind w:left="360"/>
              <w:spacing w:after="0"/>
              <w:rPr>
                <w:sz w:val="20"/>
                <w:szCs w:val="20"/>
                <w:color w:val="auto"/>
              </w:rPr>
            </w:pPr>
            <w:r>
              <w:rPr>
                <w:rFonts w:ascii="Arial" w:cs="Arial" w:eastAsia="Arial" w:hAnsi="Arial"/>
                <w:sz w:val="12"/>
                <w:szCs w:val="12"/>
                <w:color w:val="auto"/>
              </w:rPr>
              <w:t>Total redeemable convertible preferred units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142,669</w:t>
            </w:r>
          </w:p>
        </w:tc>
      </w:tr>
      <w:tr>
        <w:trPr>
          <w:trHeight w:val="137"/>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Stockholders’/Unitholders’ equity</w:t>
            </w: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9"/>
        </w:trPr>
        <w:tc>
          <w:tcPr>
            <w:tcW w:w="7500" w:type="dxa"/>
            <w:vAlign w:val="bottom"/>
          </w:tcPr>
          <w:p>
            <w:pPr>
              <w:ind w:left="120"/>
              <w:spacing w:after="0"/>
              <w:rPr>
                <w:sz w:val="20"/>
                <w:szCs w:val="20"/>
                <w:color w:val="auto"/>
              </w:rPr>
            </w:pPr>
            <w:r>
              <w:rPr>
                <w:rFonts w:ascii="Arial" w:cs="Arial" w:eastAsia="Arial" w:hAnsi="Arial"/>
                <w:sz w:val="12"/>
                <w:szCs w:val="12"/>
                <w:color w:val="auto"/>
              </w:rPr>
              <w:t>Successor common stock, $0.01 par value, 150,000,000 shares authorized, 38,385,544 shares issued and outstanding at December 31,</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7500" w:type="dxa"/>
            <w:vAlign w:val="bottom"/>
          </w:tcPr>
          <w:p>
            <w:pPr>
              <w:ind w:left="240"/>
              <w:spacing w:after="0" w:line="136" w:lineRule="exact"/>
              <w:rPr>
                <w:sz w:val="20"/>
                <w:szCs w:val="20"/>
                <w:color w:val="auto"/>
              </w:rPr>
            </w:pPr>
            <w:r>
              <w:rPr>
                <w:rFonts w:ascii="Arial" w:cs="Arial" w:eastAsia="Arial" w:hAnsi="Arial"/>
                <w:sz w:val="12"/>
                <w:szCs w:val="12"/>
                <w:color w:val="auto"/>
              </w:rPr>
              <w:t>2009</w:t>
            </w:r>
          </w:p>
        </w:tc>
        <w:tc>
          <w:tcPr>
            <w:tcW w:w="12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2"/>
                <w:szCs w:val="12"/>
                <w:color w:val="auto"/>
              </w:rPr>
              <w:t>384</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r>
      <w:tr>
        <w:trPr>
          <w:trHeight w:val="138"/>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Predecessor common units, $1 par value; 65,000,000 units authorized, 52,923,483 units issued and outstanding at December 31, 2008</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52,923</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223,451</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3,150</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(1,963)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(995,007)</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(6,182)</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151,135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stockholders’/unitholders’ equity (deficit)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215,690</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(787,799)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ind w:left="360"/>
              <w:spacing w:after="0"/>
              <w:rPr>
                <w:sz w:val="20"/>
                <w:szCs w:val="20"/>
                <w:color w:val="auto"/>
              </w:rPr>
            </w:pPr>
            <w:r>
              <w:rPr>
                <w:rFonts w:ascii="Arial" w:cs="Arial" w:eastAsia="Arial" w:hAnsi="Arial"/>
                <w:sz w:val="12"/>
                <w:szCs w:val="12"/>
                <w:color w:val="auto"/>
              </w:rPr>
              <w:t>Total liabilities, redeemable convertible preferred units and stockholders’/unitholders’ equity</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453,331</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399,170</w:t>
            </w:r>
          </w:p>
        </w:tc>
      </w:tr>
      <w:tr>
        <w:trPr>
          <w:trHeight w:val="39"/>
        </w:trPr>
        <w:tc>
          <w:tcPr>
            <w:tcW w:w="75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Borders>
              <w:left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1" w:name="page202"/>
    <w:bookmarkEnd w:id="2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Successor</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49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2"/>
          </w:tcPr>
          <w:p>
            <w:pPr>
              <w:jc w:val="center"/>
              <w:ind w:right="468"/>
              <w:spacing w:after="0" w:line="100" w:lineRule="exact"/>
              <w:rPr>
                <w:sz w:val="20"/>
                <w:szCs w:val="20"/>
                <w:color w:val="auto"/>
              </w:rPr>
            </w:pPr>
            <w:r>
              <w:rPr>
                <w:rFonts w:ascii="Arial" w:cs="Arial" w:eastAsia="Arial" w:hAnsi="Arial"/>
                <w:sz w:val="10"/>
                <w:szCs w:val="10"/>
                <w:b w:val="1"/>
                <w:bCs w:val="1"/>
                <w:color w:val="auto"/>
              </w:rPr>
              <w:t>Ten-Month</w:t>
            </w: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Two-Month</w:t>
            </w:r>
          </w:p>
        </w:tc>
        <w:tc>
          <w:tcPr>
            <w:tcW w:w="140" w:type="dxa"/>
            <w:vAlign w:val="bottom"/>
          </w:tcPr>
          <w:p>
            <w:pPr>
              <w:spacing w:after="0"/>
              <w:rPr>
                <w:sz w:val="10"/>
                <w:szCs w:val="10"/>
                <w:color w:val="auto"/>
              </w:rPr>
            </w:pPr>
          </w:p>
        </w:tc>
        <w:tc>
          <w:tcPr>
            <w:tcW w:w="124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rPr>
              <w:t>Period</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Period Ended</w:t>
            </w:r>
          </w:p>
        </w:tc>
        <w:tc>
          <w:tcPr>
            <w:tcW w:w="140" w:type="dxa"/>
            <w:vAlign w:val="bottom"/>
          </w:tcPr>
          <w:p>
            <w:pPr>
              <w:spacing w:after="0"/>
              <w:rPr>
                <w:sz w:val="10"/>
                <w:szCs w:val="10"/>
                <w:color w:val="auto"/>
              </w:rPr>
            </w:pPr>
          </w:p>
        </w:tc>
        <w:tc>
          <w:tcPr>
            <w:tcW w:w="124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rPr>
              <w:t>Ended</w:t>
            </w: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Year Ended</w:t>
            </w:r>
          </w:p>
        </w:tc>
      </w:tr>
      <w:tr>
        <w:trPr>
          <w:trHeight w:val="118"/>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10"/>
                <w:szCs w:val="10"/>
                <w:color w:val="auto"/>
              </w:rPr>
            </w:pPr>
          </w:p>
        </w:tc>
        <w:tc>
          <w:tcPr>
            <w:tcW w:w="124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rPr>
              <w:t>October 25,</w:t>
            </w: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4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108"/>
        </w:trPr>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(In thousands of US</w:t>
            </w:r>
          </w:p>
        </w:tc>
        <w:tc>
          <w:tcPr>
            <w:tcW w:w="3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dollars,</w:t>
            </w:r>
          </w:p>
        </w:tc>
        <w:tc>
          <w:tcPr>
            <w:tcW w:w="1400" w:type="dxa"/>
            <w:vAlign w:val="bottom"/>
            <w:gridSpan w:val="3"/>
          </w:tcPr>
          <w:p>
            <w:pPr>
              <w:jc w:val="right"/>
              <w:ind w:right="220"/>
              <w:spacing w:after="0" w:line="108" w:lineRule="exact"/>
              <w:rPr>
                <w:sz w:val="20"/>
                <w:szCs w:val="20"/>
                <w:color w:val="auto"/>
              </w:rPr>
            </w:pPr>
            <w:r>
              <w:rPr>
                <w:rFonts w:ascii="Arial" w:cs="Arial" w:eastAsia="Arial" w:hAnsi="Arial"/>
                <w:sz w:val="10"/>
                <w:szCs w:val="10"/>
                <w:b w:val="1"/>
                <w:bCs w:val="1"/>
                <w:color w:val="auto"/>
              </w:rPr>
              <w:t>except share/unit data)</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111,082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448,984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601,664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709,508</w:t>
            </w:r>
          </w:p>
        </w:tc>
      </w:tr>
      <w:tr>
        <w:trPr>
          <w:trHeight w:val="138"/>
        </w:trPr>
        <w:tc>
          <w:tcPr>
            <w:tcW w:w="4920" w:type="dxa"/>
            <w:vAlign w:val="bottom"/>
          </w:tcPr>
          <w:p>
            <w:pPr>
              <w:spacing w:after="0"/>
              <w:rPr>
                <w:sz w:val="20"/>
                <w:szCs w:val="20"/>
                <w:color w:val="auto"/>
              </w:rPr>
            </w:pPr>
            <w:r>
              <w:rPr>
                <w:rFonts w:ascii="Arial" w:cs="Arial" w:eastAsia="Arial" w:hAnsi="Arial"/>
                <w:sz w:val="12"/>
                <w:szCs w:val="12"/>
                <w:color w:val="auto"/>
              </w:rPr>
              <w:t>Cost of sales</w:t>
            </w: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90,408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311,139</w:t>
            </w:r>
          </w:p>
        </w:tc>
        <w:tc>
          <w:tcPr>
            <w:tcW w:w="120" w:type="dxa"/>
            <w:vAlign w:val="bottom"/>
          </w:tcPr>
          <w:p>
            <w:pPr>
              <w:spacing w:after="0"/>
              <w:rPr>
                <w:sz w:val="11"/>
                <w:szCs w:val="11"/>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445,254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578,857</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1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20,674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137,845</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156,410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130,651</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14,540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56,288</w:t>
            </w:r>
          </w:p>
        </w:tc>
        <w:tc>
          <w:tcPr>
            <w:tcW w:w="120" w:type="dxa"/>
            <w:vAlign w:val="bottom"/>
          </w:tcPr>
          <w:p>
            <w:pPr>
              <w:spacing w:after="0"/>
              <w:rPr>
                <w:sz w:val="11"/>
                <w:szCs w:val="11"/>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81,314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82,710</w:t>
            </w:r>
          </w:p>
        </w:tc>
      </w:tr>
      <w:tr>
        <w:trPr>
          <w:trHeight w:val="138"/>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1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14,741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56,148</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89,455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90,805</w:t>
            </w:r>
          </w:p>
        </w:tc>
      </w:tr>
      <w:tr>
        <w:trPr>
          <w:trHeight w:val="138"/>
        </w:trPr>
        <w:tc>
          <w:tcPr>
            <w:tcW w:w="4920" w:type="dxa"/>
            <w:vAlign w:val="bottom"/>
          </w:tcPr>
          <w:p>
            <w:pPr>
              <w:spacing w:after="0"/>
              <w:rPr>
                <w:sz w:val="20"/>
                <w:szCs w:val="20"/>
                <w:color w:val="auto"/>
              </w:rPr>
            </w:pPr>
            <w:r>
              <w:rPr>
                <w:rFonts w:ascii="Arial" w:cs="Arial" w:eastAsia="Arial" w:hAnsi="Arial"/>
                <w:sz w:val="12"/>
                <w:szCs w:val="12"/>
                <w:color w:val="auto"/>
              </w:rPr>
              <w:t>Restructuring and impairment charges</w:t>
            </w: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439</w:t>
            </w:r>
          </w:p>
        </w:tc>
        <w:tc>
          <w:tcPr>
            <w:tcW w:w="120" w:type="dxa"/>
            <w:vAlign w:val="bottom"/>
          </w:tcPr>
          <w:p>
            <w:pPr>
              <w:spacing w:after="0"/>
              <w:rPr>
                <w:sz w:val="11"/>
                <w:szCs w:val="11"/>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13,370</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12,084</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 from continuing operations</w:t>
            </w:r>
          </w:p>
        </w:tc>
        <w:tc>
          <w:tcPr>
            <w:tcW w:w="1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(8,607)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24,970</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(27,729)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(54,948)</w:t>
            </w:r>
          </w:p>
        </w:tc>
      </w:tr>
      <w:tr>
        <w:trPr>
          <w:trHeight w:val="137"/>
        </w:trPr>
        <w:tc>
          <w:tcPr>
            <w:tcW w:w="4920" w:type="dxa"/>
            <w:vAlign w:val="bottom"/>
          </w:tcPr>
          <w:p>
            <w:pPr>
              <w:spacing w:after="0"/>
              <w:rPr>
                <w:sz w:val="20"/>
                <w:szCs w:val="20"/>
                <w:color w:val="auto"/>
              </w:rPr>
            </w:pPr>
            <w:r>
              <w:rPr>
                <w:rFonts w:ascii="Arial" w:cs="Arial" w:eastAsia="Arial" w:hAnsi="Arial"/>
                <w:sz w:val="12"/>
                <w:szCs w:val="12"/>
                <w:color w:val="auto"/>
              </w:rPr>
              <w:t>Other income (expenses)</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expense, net (contractual interest, net of $47,828 for the ten-month period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6"/>
        </w:trPr>
        <w:tc>
          <w:tcPr>
            <w:tcW w:w="492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ended October 25, 2009)</w:t>
            </w:r>
          </w:p>
        </w:tc>
        <w:tc>
          <w:tcPr>
            <w:tcW w:w="1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(1,258)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88"/>
              <w:spacing w:after="0" w:line="136" w:lineRule="exact"/>
              <w:rPr>
                <w:sz w:val="20"/>
                <w:szCs w:val="20"/>
                <w:color w:val="auto"/>
              </w:rPr>
            </w:pPr>
            <w:r>
              <w:rPr>
                <w:rFonts w:ascii="Arial" w:cs="Arial" w:eastAsia="Arial" w:hAnsi="Arial"/>
                <w:sz w:val="12"/>
                <w:szCs w:val="12"/>
                <w:color w:val="auto"/>
              </w:rPr>
              <w:t>(31,165)</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(76,119)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(60,311)</w:t>
            </w:r>
          </w:p>
        </w:tc>
      </w:tr>
      <w:tr>
        <w:trPr>
          <w:trHeight w:val="138"/>
        </w:trPr>
        <w:tc>
          <w:tcPr>
            <w:tcW w:w="4920" w:type="dxa"/>
            <w:vAlign w:val="bottom"/>
          </w:tcPr>
          <w:p>
            <w:pPr>
              <w:ind w:left="120"/>
              <w:spacing w:after="0"/>
              <w:rPr>
                <w:sz w:val="20"/>
                <w:szCs w:val="20"/>
                <w:color w:val="auto"/>
              </w:rPr>
            </w:pPr>
            <w:r>
              <w:rPr>
                <w:rFonts w:ascii="Arial" w:cs="Arial" w:eastAsia="Arial" w:hAnsi="Arial"/>
                <w:sz w:val="12"/>
                <w:szCs w:val="12"/>
                <w:color w:val="auto"/>
              </w:rPr>
              <w:t>Foreign currency gain (loss), net</w:t>
            </w: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9,338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43,437</w:t>
            </w:r>
          </w:p>
        </w:tc>
        <w:tc>
          <w:tcPr>
            <w:tcW w:w="120" w:type="dxa"/>
            <w:vAlign w:val="bottom"/>
          </w:tcPr>
          <w:p>
            <w:pPr>
              <w:spacing w:after="0"/>
              <w:rPr>
                <w:sz w:val="11"/>
                <w:szCs w:val="1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(210,406)</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(4,732)</w:t>
            </w:r>
          </w:p>
        </w:tc>
      </w:tr>
      <w:tr>
        <w:trPr>
          <w:trHeight w:val="138"/>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Reorganization items, net</w:t>
            </w:r>
          </w:p>
        </w:tc>
        <w:tc>
          <w:tcPr>
            <w:tcW w:w="1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804,573</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8,080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816,845</w:t>
            </w:r>
          </w:p>
        </w:tc>
        <w:tc>
          <w:tcPr>
            <w:tcW w:w="120" w:type="dxa"/>
            <w:vAlign w:val="bottom"/>
          </w:tcPr>
          <w:p>
            <w:pPr>
              <w:spacing w:after="0"/>
              <w:rPr>
                <w:sz w:val="11"/>
                <w:szCs w:val="1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(286,525)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(65,043)</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continuing operations before income taxes</w:t>
            </w:r>
          </w:p>
        </w:tc>
        <w:tc>
          <w:tcPr>
            <w:tcW w:w="1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841,815</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(314,254)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(119,991)</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tcPr>
          <w:p>
            <w:pPr>
              <w:spacing w:after="0"/>
              <w:rPr>
                <w:sz w:val="20"/>
                <w:szCs w:val="20"/>
                <w:color w:val="auto"/>
              </w:rPr>
            </w:pPr>
            <w:r>
              <w:rPr>
                <w:rFonts w:ascii="Arial" w:cs="Arial" w:eastAsia="Arial" w:hAnsi="Arial"/>
                <w:sz w:val="12"/>
                <w:szCs w:val="12"/>
                <w:color w:val="auto"/>
              </w:rPr>
              <w:t>Income tax expenses</w:t>
            </w: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1,946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7,295</w:t>
            </w:r>
          </w:p>
        </w:tc>
        <w:tc>
          <w:tcPr>
            <w:tcW w:w="120" w:type="dxa"/>
            <w:vAlign w:val="bottom"/>
          </w:tcPr>
          <w:p>
            <w:pPr>
              <w:spacing w:after="0"/>
              <w:rPr>
                <w:sz w:val="11"/>
                <w:szCs w:val="11"/>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11,585</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8,835</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continuing operations</w:t>
            </w:r>
          </w:p>
        </w:tc>
        <w:tc>
          <w:tcPr>
            <w:tcW w:w="10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834,520</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(325,839)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(128,826)</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tcPr>
          <w:p>
            <w:pPr>
              <w:spacing w:after="0"/>
              <w:rPr>
                <w:sz w:val="20"/>
                <w:szCs w:val="20"/>
                <w:color w:val="auto"/>
              </w:rPr>
            </w:pPr>
            <w:r>
              <w:rPr>
                <w:rFonts w:ascii="Arial" w:cs="Arial" w:eastAsia="Arial" w:hAnsi="Arial"/>
                <w:sz w:val="12"/>
                <w:szCs w:val="12"/>
                <w:color w:val="auto"/>
              </w:rPr>
              <w:t>Income (loss) from discontinued operations, net of taxes</w:t>
            </w: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510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6,586</w:t>
            </w:r>
          </w:p>
        </w:tc>
        <w:tc>
          <w:tcPr>
            <w:tcW w:w="120" w:type="dxa"/>
            <w:vAlign w:val="bottom"/>
          </w:tcPr>
          <w:p>
            <w:pPr>
              <w:spacing w:after="0"/>
              <w:rPr>
                <w:sz w:val="11"/>
                <w:szCs w:val="1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(91,455)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(51,724)</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841,106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(417,294)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r>
      <w:tr>
        <w:trPr>
          <w:trHeight w:val="149"/>
        </w:trPr>
        <w:tc>
          <w:tcPr>
            <w:tcW w:w="4920" w:type="dxa"/>
            <w:vAlign w:val="bottom"/>
          </w:tcPr>
          <w:p>
            <w:pPr>
              <w:spacing w:after="0"/>
              <w:rPr>
                <w:sz w:val="20"/>
                <w:szCs w:val="20"/>
                <w:color w:val="auto"/>
              </w:rPr>
            </w:pPr>
            <w:r>
              <w:rPr>
                <w:rFonts w:ascii="Arial" w:cs="Arial" w:eastAsia="Arial" w:hAnsi="Arial"/>
                <w:sz w:val="12"/>
                <w:szCs w:val="12"/>
                <w:color w:val="auto"/>
              </w:rPr>
              <w:t>Dividends accrued on preferred units (contractual dividends of $11,819 for the ten-month</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4920" w:type="dxa"/>
            <w:vAlign w:val="bottom"/>
          </w:tcPr>
          <w:p>
            <w:pPr>
              <w:ind w:left="120"/>
              <w:spacing w:after="0" w:line="136" w:lineRule="exact"/>
              <w:rPr>
                <w:sz w:val="20"/>
                <w:szCs w:val="20"/>
                <w:color w:val="auto"/>
              </w:rPr>
            </w:pPr>
            <w:r>
              <w:rPr>
                <w:rFonts w:ascii="Arial" w:cs="Arial" w:eastAsia="Arial" w:hAnsi="Arial"/>
                <w:sz w:val="12"/>
                <w:szCs w:val="12"/>
                <w:color w:val="auto"/>
              </w:rPr>
              <w:t>period ended October 25, 2009)</w:t>
            </w:r>
          </w:p>
        </w:tc>
        <w:tc>
          <w:tcPr>
            <w:tcW w:w="10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328"/>
              <w:spacing w:after="0" w:line="136" w:lineRule="exact"/>
              <w:rPr>
                <w:sz w:val="20"/>
                <w:szCs w:val="20"/>
                <w:color w:val="auto"/>
              </w:rPr>
            </w:pPr>
            <w:r>
              <w:rPr>
                <w:rFonts w:ascii="Arial" w:cs="Arial" w:eastAsia="Arial" w:hAnsi="Arial"/>
                <w:sz w:val="12"/>
                <w:szCs w:val="12"/>
                <w:color w:val="auto"/>
              </w:rPr>
              <w:t>6,317</w:t>
            </w:r>
          </w:p>
        </w:tc>
        <w:tc>
          <w:tcPr>
            <w:tcW w:w="120" w:type="dxa"/>
            <w:vAlign w:val="bottom"/>
          </w:tcPr>
          <w:p>
            <w:pPr>
              <w:spacing w:after="0"/>
              <w:rPr>
                <w:sz w:val="11"/>
                <w:szCs w:val="11"/>
                <w:color w:val="auto"/>
              </w:rPr>
            </w:pPr>
          </w:p>
        </w:tc>
        <w:tc>
          <w:tcPr>
            <w:tcW w:w="1280" w:type="dxa"/>
            <w:vAlign w:val="bottom"/>
            <w:gridSpan w:val="2"/>
          </w:tcPr>
          <w:p>
            <w:pPr>
              <w:jc w:val="right"/>
              <w:ind w:right="400"/>
              <w:spacing w:after="0" w:line="136" w:lineRule="exact"/>
              <w:rPr>
                <w:sz w:val="20"/>
                <w:szCs w:val="20"/>
                <w:color w:val="auto"/>
              </w:rPr>
            </w:pPr>
            <w:r>
              <w:rPr>
                <w:rFonts w:ascii="Arial" w:cs="Arial" w:eastAsia="Arial" w:hAnsi="Arial"/>
                <w:sz w:val="12"/>
                <w:szCs w:val="12"/>
                <w:color w:val="auto"/>
              </w:rPr>
              <w:t>13,264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12,031</w:t>
            </w: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continuing operations attributable to common shares/units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828,203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(339,103)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(140,857)</w:t>
            </w:r>
          </w:p>
        </w:tc>
      </w:tr>
      <w:tr>
        <w:trPr>
          <w:trHeight w:val="29"/>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920" w:type="dxa"/>
            <w:vAlign w:val="bottom"/>
          </w:tcPr>
          <w:p>
            <w:pPr>
              <w:spacing w:after="0"/>
              <w:rPr>
                <w:sz w:val="20"/>
                <w:szCs w:val="20"/>
                <w:color w:val="auto"/>
              </w:rPr>
            </w:pPr>
            <w:r>
              <w:rPr>
                <w:rFonts w:ascii="Arial" w:cs="Arial" w:eastAsia="Arial" w:hAnsi="Arial"/>
                <w:sz w:val="12"/>
                <w:szCs w:val="12"/>
                <w:color w:val="auto"/>
              </w:rPr>
              <w:t>Net income (loss) attributable to common shares/units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(1,963)</w:t>
            </w:r>
          </w:p>
        </w:tc>
        <w:tc>
          <w:tcPr>
            <w:tcW w:w="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834,789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(430,558)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(192,581)</w:t>
            </w:r>
          </w:p>
        </w:tc>
      </w:tr>
      <w:tr>
        <w:trPr>
          <w:trHeight w:val="34"/>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share/unit from continuing operations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15.65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(2.69)</w:t>
            </w:r>
          </w:p>
        </w:tc>
      </w:tr>
      <w:tr>
        <w:trPr>
          <w:trHeight w:val="29"/>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920" w:type="dxa"/>
            <w:vAlign w:val="bottom"/>
          </w:tcPr>
          <w:p>
            <w:pPr>
              <w:spacing w:after="0"/>
              <w:rPr>
                <w:sz w:val="20"/>
                <w:szCs w:val="20"/>
                <w:color w:val="auto"/>
              </w:rPr>
            </w:pPr>
            <w:r>
              <w:rPr>
                <w:rFonts w:ascii="Arial" w:cs="Arial" w:eastAsia="Arial" w:hAnsi="Arial"/>
                <w:sz w:val="12"/>
                <w:szCs w:val="12"/>
                <w:color w:val="auto"/>
              </w:rPr>
              <w:t>Earnings (loss) per common share/unit from discontinued operations — Basic and diluted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0.02</w:t>
            </w:r>
          </w:p>
        </w:tc>
        <w:tc>
          <w:tcPr>
            <w:tcW w:w="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0.12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(1.73)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(0.99)</w:t>
            </w:r>
          </w:p>
        </w:tc>
      </w:tr>
      <w:tr>
        <w:trPr>
          <w:trHeight w:val="34"/>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share/unit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15.77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(3.68)</w:t>
            </w:r>
          </w:p>
        </w:tc>
      </w:tr>
      <w:tr>
        <w:trPr>
          <w:trHeight w:val="29"/>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4920" w:type="dxa"/>
            <w:vAlign w:val="bottom"/>
          </w:tcPr>
          <w:p>
            <w:pPr>
              <w:spacing w:after="0"/>
              <w:rPr>
                <w:sz w:val="20"/>
                <w:szCs w:val="20"/>
                <w:color w:val="auto"/>
              </w:rPr>
            </w:pPr>
            <w:r>
              <w:rPr>
                <w:rFonts w:ascii="Arial" w:cs="Arial" w:eastAsia="Arial" w:hAnsi="Arial"/>
                <w:sz w:val="12"/>
                <w:szCs w:val="12"/>
                <w:color w:val="auto"/>
              </w:rPr>
              <w:t>Weighted average number of shares/units — Basic and diluted</w:t>
            </w:r>
          </w:p>
        </w:tc>
        <w:tc>
          <w:tcPr>
            <w:tcW w:w="10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37,607,846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2"/>
                <w:szCs w:val="12"/>
                <w:color w:val="auto"/>
              </w:rPr>
              <w:t>52,923,483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52,768,614</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52,297,192</w:t>
            </w:r>
          </w:p>
        </w:tc>
      </w:tr>
      <w:tr>
        <w:trPr>
          <w:trHeight w:val="113"/>
        </w:trPr>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Unaudited pro forma (Note 27)</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8"/>
        </w:trPr>
        <w:tc>
          <w:tcPr>
            <w:tcW w:w="4920" w:type="dxa"/>
            <w:vAlign w:val="bottom"/>
          </w:tcPr>
          <w:p>
            <w:pPr>
              <w:spacing w:after="0"/>
              <w:rPr>
                <w:sz w:val="20"/>
                <w:szCs w:val="20"/>
                <w:color w:val="auto"/>
              </w:rPr>
            </w:pPr>
            <w:r>
              <w:rPr>
                <w:rFonts w:ascii="Arial" w:cs="Arial" w:eastAsia="Arial" w:hAnsi="Arial"/>
                <w:sz w:val="12"/>
                <w:szCs w:val="12"/>
                <w:color w:val="auto"/>
              </w:rPr>
              <w:t>Loss per common share from continuing operations — Basic and diluted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(0.06)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34"/>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Earnings per common share from discontinued operations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9"/>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920" w:type="dxa"/>
            <w:vAlign w:val="bottom"/>
          </w:tcPr>
          <w:p>
            <w:pPr>
              <w:spacing w:after="0"/>
              <w:rPr>
                <w:sz w:val="20"/>
                <w:szCs w:val="20"/>
                <w:color w:val="auto"/>
              </w:rPr>
            </w:pPr>
            <w:r>
              <w:rPr>
                <w:rFonts w:ascii="Arial" w:cs="Arial" w:eastAsia="Arial" w:hAnsi="Arial"/>
                <w:sz w:val="12"/>
                <w:szCs w:val="12"/>
                <w:color w:val="auto"/>
              </w:rPr>
              <w:t>Loss per common share — Basic and diluted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(0.05)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4"/>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number of shares — Basic and diluted</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39,107,846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2" w:name="page203"/>
    <w:bookmarkEnd w:id="2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STOCKHOLDERS’/UNITHOLDERS’ EQUITY</w:t>
      </w:r>
    </w:p>
    <w:p>
      <w:pPr>
        <w:spacing w:after="0" w:line="17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920" w:type="dxa"/>
            <w:vAlign w:val="bottom"/>
            <w:gridSpan w:val="5"/>
            <w:vMerge w:val="restart"/>
          </w:tcPr>
          <w:p>
            <w:pPr>
              <w:jc w:val="right"/>
              <w:ind w:right="554"/>
              <w:spacing w:after="0"/>
              <w:rPr>
                <w:sz w:val="20"/>
                <w:szCs w:val="20"/>
                <w:color w:val="auto"/>
              </w:rPr>
            </w:pPr>
            <w:r>
              <w:rPr>
                <w:rFonts w:ascii="Arial" w:cs="Arial" w:eastAsia="Arial" w:hAnsi="Arial"/>
                <w:sz w:val="9"/>
                <w:szCs w:val="9"/>
                <w:b w:val="1"/>
                <w:bCs w:val="1"/>
                <w:color w:val="auto"/>
              </w:rPr>
              <w:t>Common Stock/Units</w:t>
            </w:r>
          </w:p>
        </w:tc>
        <w:tc>
          <w:tcPr>
            <w:tcW w:w="80" w:type="dxa"/>
            <w:vAlign w:val="bottom"/>
          </w:tcPr>
          <w:p>
            <w:pPr>
              <w:spacing w:after="0"/>
              <w:rPr>
                <w:sz w:val="9"/>
                <w:szCs w:val="9"/>
                <w:color w:val="auto"/>
              </w:rPr>
            </w:pPr>
          </w:p>
        </w:tc>
        <w:tc>
          <w:tcPr>
            <w:tcW w:w="800" w:type="dxa"/>
            <w:vAlign w:val="bottom"/>
            <w:gridSpan w:val="2"/>
          </w:tcPr>
          <w:p>
            <w:pPr>
              <w:jc w:val="right"/>
              <w:ind w:right="274"/>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54"/>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Comprehensive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220" w:type="dxa"/>
            <w:vAlign w:val="bottom"/>
          </w:tcPr>
          <w:p>
            <w:pPr>
              <w:spacing w:after="0"/>
              <w:rPr>
                <w:sz w:val="7"/>
                <w:szCs w:val="7"/>
                <w:color w:val="auto"/>
              </w:rPr>
            </w:pPr>
          </w:p>
        </w:tc>
        <w:tc>
          <w:tcPr>
            <w:tcW w:w="900" w:type="dxa"/>
            <w:vAlign w:val="bottom"/>
            <w:tcBorders>
              <w:top w:val="single" w:sz="8" w:color="auto"/>
              <w:bottom w:val="single" w:sz="8" w:color="auto"/>
            </w:tcBorders>
          </w:tcPr>
          <w:p>
            <w:pPr>
              <w:ind w:left="180"/>
              <w:spacing w:after="0" w:line="88" w:lineRule="exact"/>
              <w:rPr>
                <w:sz w:val="20"/>
                <w:szCs w:val="20"/>
                <w:color w:val="auto"/>
              </w:rPr>
            </w:pPr>
            <w:r>
              <w:rPr>
                <w:rFonts w:ascii="Arial" w:cs="Arial" w:eastAsia="Arial" w:hAnsi="Arial"/>
                <w:sz w:val="9"/>
                <w:szCs w:val="9"/>
                <w:b w:val="1"/>
                <w:bCs w:val="1"/>
                <w:color w:val="auto"/>
              </w:rPr>
              <w:t>Shares/Units</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9"/>
                <w:szCs w:val="9"/>
                <w:b w:val="1"/>
                <w:bCs w:val="1"/>
                <w:color w:val="auto"/>
              </w:rPr>
              <w:t>Amount</w:t>
            </w:r>
          </w:p>
        </w:tc>
        <w:tc>
          <w:tcPr>
            <w:tcW w:w="200" w:type="dxa"/>
            <w:vAlign w:val="bottom"/>
            <w:vMerge w:val="restart"/>
          </w:tcPr>
          <w:p>
            <w:pPr>
              <w:jc w:val="right"/>
              <w:ind w:right="54"/>
              <w:spacing w:after="0"/>
              <w:rPr>
                <w:sz w:val="20"/>
                <w:szCs w:val="20"/>
                <w:color w:val="auto"/>
              </w:rPr>
            </w:pPr>
            <w:r>
              <w:rPr>
                <w:rFonts w:ascii="Arial" w:cs="Arial" w:eastAsia="Arial" w:hAnsi="Arial"/>
                <w:sz w:val="9"/>
                <w:szCs w:val="9"/>
                <w:b w:val="1"/>
                <w:bCs w:val="1"/>
                <w:color w:val="auto"/>
                <w:w w:val="72"/>
              </w:rPr>
              <w:t>(In</w:t>
            </w: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42"/>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22"/>
              <w:spacing w:after="0" w:line="88" w:lineRule="exact"/>
              <w:rPr>
                <w:sz w:val="20"/>
                <w:szCs w:val="20"/>
                <w:color w:val="auto"/>
              </w:rPr>
            </w:pPr>
            <w:r>
              <w:rPr>
                <w:rFonts w:ascii="Arial" w:cs="Arial" w:eastAsia="Arial" w:hAnsi="Arial"/>
                <w:sz w:val="9"/>
                <w:szCs w:val="9"/>
                <w:b w:val="1"/>
                <w:bCs w:val="1"/>
                <w:color w:val="auto"/>
              </w:rPr>
              <w:t>deficit</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43"/>
              <w:spacing w:after="0" w:line="88" w:lineRule="exact"/>
              <w:rPr>
                <w:sz w:val="20"/>
                <w:szCs w:val="20"/>
                <w:color w:val="auto"/>
              </w:rPr>
            </w:pPr>
            <w:r>
              <w:rPr>
                <w:rFonts w:ascii="Arial" w:cs="Arial" w:eastAsia="Arial" w:hAnsi="Arial"/>
                <w:sz w:val="9"/>
                <w:szCs w:val="9"/>
                <w:b w:val="1"/>
                <w:bCs w:val="1"/>
                <w:color w:val="auto"/>
                <w:w w:val="99"/>
              </w:rPr>
              <w:t>Income (loss)</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w w:val="92"/>
              </w:rPr>
              <w:t>thousands of US</w:t>
            </w:r>
          </w:p>
        </w:tc>
        <w:tc>
          <w:tcPr>
            <w:tcW w:w="2380" w:type="dxa"/>
            <w:vAlign w:val="bottom"/>
            <w:gridSpan w:val="7"/>
          </w:tcPr>
          <w:p>
            <w:pPr>
              <w:jc w:val="right"/>
              <w:ind w:right="1020"/>
              <w:spacing w:after="0"/>
              <w:rPr>
                <w:sz w:val="20"/>
                <w:szCs w:val="20"/>
                <w:color w:val="auto"/>
              </w:rPr>
            </w:pPr>
            <w:r>
              <w:rPr>
                <w:rFonts w:ascii="Arial" w:cs="Arial" w:eastAsia="Arial" w:hAnsi="Arial"/>
                <w:sz w:val="9"/>
                <w:szCs w:val="9"/>
                <w:b w:val="1"/>
                <w:bCs w:val="1"/>
                <w:color w:val="auto"/>
              </w:rPr>
              <w:t>dollars, except share/unit data)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January 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52,720,784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52,721</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2,451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(370,314)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30,601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(284,541)</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124,938</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125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1"/>
                <w:szCs w:val="11"/>
                <w:color w:val="auto"/>
              </w:rPr>
            </w:pPr>
          </w:p>
        </w:tc>
        <w:tc>
          <w:tcPr>
            <w:tcW w:w="700" w:type="dxa"/>
            <w:vAlign w:val="bottom"/>
            <w:gridSpan w:val="2"/>
          </w:tcPr>
          <w:p>
            <w:pPr>
              <w:jc w:val="right"/>
              <w:ind w:right="114"/>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1"/>
                <w:szCs w:val="11"/>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604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(12,031)</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(12,031)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Impact on beginning accumulated deficit upon adoption of FIN 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(1,554)</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(1,554)</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(180,550)</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(3,477)</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(3,477)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3,925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tcPr>
          <w:p>
            <w:pPr>
              <w:ind w:left="120"/>
              <w:spacing w:after="0"/>
              <w:rPr>
                <w:sz w:val="20"/>
                <w:szCs w:val="20"/>
                <w:color w:val="auto"/>
              </w:rPr>
            </w:pPr>
            <w:r>
              <w:rPr>
                <w:rFonts w:ascii="Arial" w:cs="Arial" w:eastAsia="Arial" w:hAnsi="Arial"/>
                <w:sz w:val="12"/>
                <w:szCs w:val="12"/>
                <w:color w:val="auto"/>
              </w:rPr>
              <w:t>Total 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(180,102)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52,844,222</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52,844</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3,077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(564,449)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31,049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(477,479)</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161,460</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161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(82,199)</w:t>
            </w:r>
          </w:p>
        </w:tc>
        <w:tc>
          <w:tcPr>
            <w:tcW w:w="100" w:type="dxa"/>
            <w:vAlign w:val="bottom"/>
          </w:tcPr>
          <w:p>
            <w:pPr>
              <w:spacing w:after="0"/>
              <w:rPr>
                <w:sz w:val="11"/>
                <w:szCs w:val="11"/>
                <w:color w:val="auto"/>
              </w:rPr>
            </w:pPr>
          </w:p>
        </w:tc>
        <w:tc>
          <w:tcPr>
            <w:tcW w:w="700" w:type="dxa"/>
            <w:vAlign w:val="bottom"/>
            <w:gridSpan w:val="2"/>
          </w:tcPr>
          <w:p>
            <w:pPr>
              <w:jc w:val="right"/>
              <w:ind w:right="114"/>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1"/>
                <w:szCs w:val="11"/>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(414)</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465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(13,264)</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(13,264)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(417,294)</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(417,294)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(864)</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(864)</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120,950</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120,950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(297,208)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2008</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vMerge w:val="continue"/>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52,923</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3,150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(995,007)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151,135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7"/>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Cancellation of the Predecessor Company’s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166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(6,317)</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(6,317)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841,106</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841,106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(30,395)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(30,395)</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340</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811,051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52,923</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3,549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(160,218)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121,080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17,334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3" w:name="page204"/>
    <w:bookmarkEnd w:id="2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STOCKHOLDERS’/UNITHOLDERS’ EQUITY — (Continued)</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920" w:type="dxa"/>
            <w:vAlign w:val="bottom"/>
            <w:gridSpan w:val="5"/>
            <w:vMerge w:val="restart"/>
          </w:tcPr>
          <w:p>
            <w:pPr>
              <w:jc w:val="right"/>
              <w:ind w:right="554"/>
              <w:spacing w:after="0"/>
              <w:rPr>
                <w:sz w:val="20"/>
                <w:szCs w:val="20"/>
                <w:color w:val="auto"/>
              </w:rPr>
            </w:pPr>
            <w:r>
              <w:rPr>
                <w:rFonts w:ascii="Arial" w:cs="Arial" w:eastAsia="Arial" w:hAnsi="Arial"/>
                <w:sz w:val="9"/>
                <w:szCs w:val="9"/>
                <w:b w:val="1"/>
                <w:bCs w:val="1"/>
                <w:color w:val="auto"/>
              </w:rPr>
              <w:t>Common Stock/Units</w:t>
            </w:r>
          </w:p>
        </w:tc>
        <w:tc>
          <w:tcPr>
            <w:tcW w:w="80" w:type="dxa"/>
            <w:vAlign w:val="bottom"/>
          </w:tcPr>
          <w:p>
            <w:pPr>
              <w:spacing w:after="0"/>
              <w:rPr>
                <w:sz w:val="9"/>
                <w:szCs w:val="9"/>
                <w:color w:val="auto"/>
              </w:rPr>
            </w:pPr>
          </w:p>
        </w:tc>
        <w:tc>
          <w:tcPr>
            <w:tcW w:w="800" w:type="dxa"/>
            <w:vAlign w:val="bottom"/>
            <w:gridSpan w:val="2"/>
          </w:tcPr>
          <w:p>
            <w:pPr>
              <w:jc w:val="center"/>
              <w:ind w:right="234"/>
              <w:spacing w:after="0"/>
              <w:rPr>
                <w:sz w:val="20"/>
                <w:szCs w:val="20"/>
                <w:color w:val="auto"/>
              </w:rPr>
            </w:pPr>
            <w:r>
              <w:rPr>
                <w:rFonts w:ascii="Arial" w:cs="Arial" w:eastAsia="Arial" w:hAnsi="Arial"/>
                <w:sz w:val="9"/>
                <w:szCs w:val="9"/>
                <w:b w:val="1"/>
                <w:bCs w:val="1"/>
                <w:color w:val="auto"/>
                <w:w w:val="99"/>
              </w:rPr>
              <w:t>Additional</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54"/>
              <w:spacing w:after="0"/>
              <w:rPr>
                <w:sz w:val="20"/>
                <w:szCs w:val="20"/>
                <w:color w:val="auto"/>
              </w:rPr>
            </w:pPr>
            <w:r>
              <w:rPr>
                <w:rFonts w:ascii="Arial" w:cs="Arial" w:eastAsia="Arial" w:hAnsi="Arial"/>
                <w:sz w:val="9"/>
                <w:szCs w:val="9"/>
                <w:b w:val="1"/>
                <w:bCs w:val="1"/>
                <w:color w:val="auto"/>
                <w:w w:val="99"/>
              </w:rPr>
              <w:t>Paid-In</w:t>
            </w:r>
          </w:p>
        </w:tc>
        <w:tc>
          <w:tcPr>
            <w:tcW w:w="80" w:type="dxa"/>
            <w:vAlign w:val="bottom"/>
          </w:tcPr>
          <w:p>
            <w:pPr>
              <w:spacing w:after="0"/>
              <w:rPr>
                <w:sz w:val="8"/>
                <w:szCs w:val="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220" w:type="dxa"/>
            <w:vAlign w:val="bottom"/>
          </w:tcPr>
          <w:p>
            <w:pPr>
              <w:spacing w:after="0"/>
              <w:rPr>
                <w:sz w:val="7"/>
                <w:szCs w:val="7"/>
                <w:color w:val="auto"/>
              </w:rPr>
            </w:pPr>
          </w:p>
        </w:tc>
        <w:tc>
          <w:tcPr>
            <w:tcW w:w="900" w:type="dxa"/>
            <w:vAlign w:val="bottom"/>
            <w:tcBorders>
              <w:top w:val="single" w:sz="8" w:color="auto"/>
              <w:bottom w:val="single" w:sz="8" w:color="auto"/>
            </w:tcBorders>
          </w:tcPr>
          <w:p>
            <w:pPr>
              <w:ind w:left="180"/>
              <w:spacing w:after="0" w:line="88" w:lineRule="exact"/>
              <w:rPr>
                <w:sz w:val="20"/>
                <w:szCs w:val="20"/>
                <w:color w:val="auto"/>
              </w:rPr>
            </w:pPr>
            <w:r>
              <w:rPr>
                <w:rFonts w:ascii="Arial" w:cs="Arial" w:eastAsia="Arial" w:hAnsi="Arial"/>
                <w:sz w:val="9"/>
                <w:szCs w:val="9"/>
                <w:b w:val="1"/>
                <w:bCs w:val="1"/>
                <w:color w:val="auto"/>
              </w:rPr>
              <w:t>Shares/Units</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9"/>
                <w:szCs w:val="9"/>
                <w:b w:val="1"/>
                <w:bCs w:val="1"/>
                <w:color w:val="auto"/>
              </w:rPr>
              <w:t>Amount</w:t>
            </w:r>
          </w:p>
        </w:tc>
        <w:tc>
          <w:tcPr>
            <w:tcW w:w="200" w:type="dxa"/>
            <w:vAlign w:val="bottom"/>
            <w:vMerge w:val="restart"/>
          </w:tcPr>
          <w:p>
            <w:pPr>
              <w:jc w:val="right"/>
              <w:ind w:right="54"/>
              <w:spacing w:after="0"/>
              <w:rPr>
                <w:sz w:val="20"/>
                <w:szCs w:val="20"/>
                <w:color w:val="auto"/>
              </w:rPr>
            </w:pPr>
            <w:r>
              <w:rPr>
                <w:rFonts w:ascii="Arial" w:cs="Arial" w:eastAsia="Arial" w:hAnsi="Arial"/>
                <w:sz w:val="9"/>
                <w:szCs w:val="9"/>
                <w:b w:val="1"/>
                <w:bCs w:val="1"/>
                <w:color w:val="auto"/>
                <w:w w:val="72"/>
              </w:rPr>
              <w:t>(In</w:t>
            </w: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44"/>
              <w:spacing w:after="0" w:line="88"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23"/>
              <w:spacing w:after="0" w:line="88" w:lineRule="exact"/>
              <w:rPr>
                <w:sz w:val="20"/>
                <w:szCs w:val="20"/>
                <w:color w:val="auto"/>
              </w:rPr>
            </w:pPr>
            <w:r>
              <w:rPr>
                <w:rFonts w:ascii="Arial" w:cs="Arial" w:eastAsia="Arial" w:hAnsi="Arial"/>
                <w:sz w:val="9"/>
                <w:szCs w:val="9"/>
                <w:b w:val="1"/>
                <w:bCs w:val="1"/>
                <w:color w:val="auto"/>
              </w:rPr>
              <w:t>deficit</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45"/>
              <w:spacing w:after="0" w:line="88" w:lineRule="exact"/>
              <w:rPr>
                <w:sz w:val="20"/>
                <w:szCs w:val="20"/>
                <w:color w:val="auto"/>
              </w:rPr>
            </w:pPr>
            <w:r>
              <w:rPr>
                <w:rFonts w:ascii="Arial" w:cs="Arial" w:eastAsia="Arial" w:hAnsi="Arial"/>
                <w:sz w:val="9"/>
                <w:szCs w:val="9"/>
                <w:b w:val="1"/>
                <w:bCs w:val="1"/>
                <w:color w:val="auto"/>
                <w:w w:val="99"/>
              </w:rPr>
              <w:t>Income (loss)</w:t>
            </w: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ind w:left="80"/>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thousands of US</w:t>
            </w:r>
          </w:p>
        </w:tc>
        <w:tc>
          <w:tcPr>
            <w:tcW w:w="2380" w:type="dxa"/>
            <w:vAlign w:val="bottom"/>
            <w:gridSpan w:val="7"/>
          </w:tcPr>
          <w:p>
            <w:pPr>
              <w:jc w:val="right"/>
              <w:ind w:right="1020"/>
              <w:spacing w:after="0"/>
              <w:rPr>
                <w:sz w:val="20"/>
                <w:szCs w:val="20"/>
                <w:color w:val="auto"/>
              </w:rPr>
            </w:pPr>
            <w:r>
              <w:rPr>
                <w:rFonts w:ascii="Arial" w:cs="Arial" w:eastAsia="Arial" w:hAnsi="Arial"/>
                <w:sz w:val="9"/>
                <w:szCs w:val="9"/>
                <w:b w:val="1"/>
                <w:bCs w:val="1"/>
                <w:color w:val="auto"/>
              </w:rPr>
              <w:t>dollars, except share/unit data)</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Fresh-start adjustments:</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Cancellation of the Predecessor Company’s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(52,923,483)</w:t>
            </w:r>
          </w:p>
        </w:tc>
        <w:tc>
          <w:tcPr>
            <w:tcW w:w="100" w:type="dxa"/>
            <w:vAlign w:val="bottom"/>
          </w:tcPr>
          <w:p>
            <w:pPr>
              <w:spacing w:after="0"/>
              <w:rPr>
                <w:sz w:val="11"/>
                <w:szCs w:val="11"/>
                <w:color w:val="auto"/>
              </w:rPr>
            </w:pPr>
          </w:p>
        </w:tc>
        <w:tc>
          <w:tcPr>
            <w:tcW w:w="700" w:type="dxa"/>
            <w:vAlign w:val="bottom"/>
            <w:gridSpan w:val="2"/>
          </w:tcPr>
          <w:p>
            <w:pPr>
              <w:jc w:val="right"/>
              <w:ind w:right="114"/>
              <w:spacing w:after="0"/>
              <w:rPr>
                <w:sz w:val="20"/>
                <w:szCs w:val="20"/>
                <w:color w:val="auto"/>
              </w:rPr>
            </w:pPr>
            <w:r>
              <w:rPr>
                <w:rFonts w:ascii="Arial" w:cs="Arial" w:eastAsia="Arial" w:hAnsi="Arial"/>
                <w:sz w:val="12"/>
                <w:szCs w:val="12"/>
                <w:color w:val="auto"/>
              </w:rPr>
              <w:t>(52,923)</w:t>
            </w:r>
          </w:p>
        </w:tc>
        <w:tc>
          <w:tcPr>
            <w:tcW w:w="80" w:type="dxa"/>
            <w:vAlign w:val="bottom"/>
          </w:tcPr>
          <w:p>
            <w:pPr>
              <w:spacing w:after="0"/>
              <w:rPr>
                <w:sz w:val="11"/>
                <w:szCs w:val="11"/>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(56,472)</w:t>
            </w:r>
          </w:p>
        </w:tc>
        <w:tc>
          <w:tcPr>
            <w:tcW w:w="0" w:type="dxa"/>
            <w:vAlign w:val="bottom"/>
          </w:tcPr>
          <w:p>
            <w:pPr>
              <w:spacing w:after="0"/>
              <w:rPr>
                <w:sz w:val="1"/>
                <w:szCs w:val="1"/>
                <w:color w:val="auto"/>
              </w:rPr>
            </w:pPr>
          </w:p>
        </w:tc>
      </w:tr>
      <w:tr>
        <w:trPr>
          <w:trHeight w:val="139"/>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Elimination of the Predecessor Company’s accumulated deficit and</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2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accumulated other comprehensive income</w:t>
            </w:r>
          </w:p>
        </w:tc>
        <w:tc>
          <w:tcPr>
            <w:tcW w:w="112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160,218</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(121,080)</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39,138</w:t>
            </w:r>
          </w:p>
        </w:tc>
        <w:tc>
          <w:tcPr>
            <w:tcW w:w="0" w:type="dxa"/>
            <w:vAlign w:val="bottom"/>
          </w:tcPr>
          <w:p>
            <w:pPr>
              <w:spacing w:after="0"/>
              <w:rPr>
                <w:sz w:val="1"/>
                <w:szCs w:val="1"/>
                <w:color w:val="auto"/>
              </w:rPr>
            </w:pPr>
          </w:p>
        </w:tc>
      </w:tr>
      <w:tr>
        <w:trPr>
          <w:trHeight w:val="139"/>
        </w:trPr>
        <w:tc>
          <w:tcPr>
            <w:tcW w:w="4220" w:type="dxa"/>
            <w:vAlign w:val="bottom"/>
          </w:tcPr>
          <w:p>
            <w:pPr>
              <w:ind w:left="120"/>
              <w:spacing w:after="0"/>
              <w:rPr>
                <w:sz w:val="20"/>
                <w:szCs w:val="20"/>
                <w:color w:val="auto"/>
              </w:rPr>
            </w:pPr>
            <w:r>
              <w:rPr>
                <w:rFonts w:ascii="Arial" w:cs="Arial" w:eastAsia="Arial" w:hAnsi="Arial"/>
                <w:sz w:val="12"/>
                <w:szCs w:val="12"/>
                <w:color w:val="auto"/>
              </w:rPr>
              <w:t>Issuance of new equity interests in connection with emergence from</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20" w:type="dxa"/>
            <w:vAlign w:val="bottom"/>
          </w:tcPr>
          <w:p>
            <w:pPr>
              <w:ind w:left="240"/>
              <w:spacing w:after="0" w:line="136" w:lineRule="exact"/>
              <w:rPr>
                <w:sz w:val="20"/>
                <w:szCs w:val="20"/>
                <w:color w:val="auto"/>
              </w:rPr>
            </w:pPr>
            <w:r>
              <w:rPr>
                <w:rFonts w:ascii="Arial" w:cs="Arial" w:eastAsia="Arial" w:hAnsi="Arial"/>
                <w:sz w:val="12"/>
                <w:szCs w:val="12"/>
                <w:color w:val="auto"/>
              </w:rPr>
              <w:t>Chapter 11</w:t>
            </w:r>
          </w:p>
        </w:tc>
        <w:tc>
          <w:tcPr>
            <w:tcW w:w="112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37,500,044</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line="136" w:lineRule="exact"/>
              <w:rPr>
                <w:sz w:val="20"/>
                <w:szCs w:val="20"/>
                <w:color w:val="auto"/>
              </w:rPr>
            </w:pPr>
            <w:r>
              <w:rPr>
                <w:rFonts w:ascii="Arial" w:cs="Arial" w:eastAsia="Arial" w:hAnsi="Arial"/>
                <w:sz w:val="12"/>
                <w:szCs w:val="12"/>
                <w:color w:val="auto"/>
              </w:rPr>
              <w:t>375</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line="136" w:lineRule="exact"/>
              <w:rPr>
                <w:sz w:val="20"/>
                <w:szCs w:val="20"/>
                <w:color w:val="auto"/>
              </w:rPr>
            </w:pPr>
            <w:r>
              <w:rPr>
                <w:rFonts w:ascii="Arial" w:cs="Arial" w:eastAsia="Arial" w:hAnsi="Arial"/>
                <w:sz w:val="12"/>
                <w:szCs w:val="12"/>
                <w:color w:val="auto"/>
              </w:rPr>
              <w:t>215,486</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215,861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new warrants in connection with emergence from Chapter 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2,533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2,533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37,500,044</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375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218,019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218,394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885,500</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5,432</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5,441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(1,963)</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(1,963)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(6,298)</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(6,298)</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38,385,544</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384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223,451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(6,182)</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9"/>
        </w:trPr>
        <w:tc>
          <w:tcPr>
            <w:tcW w:w="6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17"/>
              <w:spacing w:after="0" w:line="100" w:lineRule="exact"/>
              <w:rPr>
                <w:sz w:val="20"/>
                <w:szCs w:val="20"/>
                <w:color w:val="auto"/>
              </w:rPr>
            </w:pPr>
            <w:r>
              <w:rPr>
                <w:rFonts w:ascii="Arial" w:cs="Arial" w:eastAsia="Arial" w:hAnsi="Arial"/>
                <w:sz w:val="10"/>
                <w:szCs w:val="10"/>
                <w:b w:val="1"/>
                <w:bCs w:val="1"/>
                <w:color w:val="auto"/>
              </w:rPr>
              <w:t>Two-Month</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Period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Year Ended</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Pr>
          <w:p>
            <w:pPr>
              <w:spacing w:after="0"/>
              <w:rPr>
                <w:sz w:val="10"/>
                <w:szCs w:val="10"/>
                <w:color w:val="auto"/>
              </w:rPr>
            </w:pPr>
          </w:p>
        </w:tc>
      </w:tr>
      <w:tr>
        <w:trPr>
          <w:trHeight w:val="126"/>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jc w:val="right"/>
              <w:ind w:right="560"/>
              <w:spacing w:after="0" w:line="108" w:lineRule="exact"/>
              <w:rPr>
                <w:sz w:val="20"/>
                <w:szCs w:val="20"/>
                <w:color w:val="auto"/>
              </w:rPr>
            </w:pPr>
            <w:r>
              <w:rPr>
                <w:rFonts w:ascii="Arial" w:cs="Arial" w:eastAsia="Arial" w:hAnsi="Arial"/>
                <w:sz w:val="10"/>
                <w:szCs w:val="10"/>
                <w:b w:val="1"/>
                <w:bCs w:val="1"/>
                <w:color w:val="auto"/>
              </w:rPr>
              <w:t>(In thousands of US dollars)</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spacing w:after="0" w:line="148" w:lineRule="exact"/>
              <w:rPr>
                <w:sz w:val="20"/>
                <w:szCs w:val="20"/>
                <w:color w:val="auto"/>
              </w:rPr>
            </w:pPr>
            <w:r>
              <w:rPr>
                <w:rFonts w:ascii="Arial" w:cs="Arial" w:eastAsia="Arial" w:hAnsi="Arial"/>
                <w:sz w:val="13"/>
                <w:szCs w:val="13"/>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(1,963)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841,106</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(417,294)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(180,550)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Adjustments to reconcile net income (loss) to net cash provided by (used in) operating</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activities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11,218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38,255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71,960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163,434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Provision for severance benefits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8,835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14,026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Amortization of debt issuance costs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836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16,290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3,919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foreign currency translation, net</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(44,224)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215,571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5,398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Loss (gain) on disposal of property, plant and equipment, net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95</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(3,094)</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disposal of intangible assets, net</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(9,230)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(3,630)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Restructuring and impairment charges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(1,120)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42,539</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10,106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Stock/Unit-based compensation</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604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4,263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1,076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Noncash reorganization items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(805,649)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2,722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Changes in operating assets and liabilities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receivable</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16,443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(12,930)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31,025</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(46,504)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Inventories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6,739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(1,163)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11,174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(18,398)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1,016</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971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1,054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1,490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952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(14,144)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6,316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(5,063)</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(11,452)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(19,887)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(6,021)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(5,687)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28,295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23,953</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(5,504)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Long term other payable</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507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3,192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5,896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7,401</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9,840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1,295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5,007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Payment of severance benefits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(1,389)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(4,320)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(6,505)</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(7,151)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(516)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(4,471)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(1,557)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420" w:type="dxa"/>
            <w:vAlign w:val="bottom"/>
          </w:tcPr>
          <w:p>
            <w:pPr>
              <w:spacing w:after="0" w:line="148" w:lineRule="exact"/>
              <w:rPr>
                <w:sz w:val="20"/>
                <w:szCs w:val="20"/>
                <w:color w:val="auto"/>
              </w:rPr>
            </w:pPr>
            <w:r>
              <w:rPr>
                <w:rFonts w:ascii="Arial" w:cs="Arial" w:eastAsia="Arial" w:hAnsi="Arial"/>
                <w:sz w:val="13"/>
                <w:szCs w:val="13"/>
                <w:color w:val="auto"/>
              </w:rPr>
              <w:t>Net cash provided by (used in) operating activities before reorganization items</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2,108</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44,692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420" w:type="dxa"/>
            <w:vAlign w:val="bottom"/>
          </w:tcPr>
          <w:p>
            <w:pPr>
              <w:spacing w:after="0" w:line="148" w:lineRule="exact"/>
              <w:rPr>
                <w:sz w:val="20"/>
                <w:szCs w:val="20"/>
                <w:color w:val="auto"/>
              </w:rPr>
            </w:pPr>
            <w:r>
              <w:rPr>
                <w:rFonts w:ascii="Arial" w:cs="Arial" w:eastAsia="Arial" w:hAnsi="Arial"/>
                <w:sz w:val="13"/>
                <w:szCs w:val="13"/>
                <w:color w:val="auto"/>
              </w:rPr>
              <w:t>Net cash provided by (used in) operating activities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(2,155)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43,616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441"/>
        </w:trPr>
        <w:tc>
          <w:tcPr>
            <w:tcW w:w="680" w:type="dxa"/>
            <w:vAlign w:val="bottom"/>
          </w:tcPr>
          <w:p>
            <w:pPr>
              <w:spacing w:after="0"/>
              <w:rPr>
                <w:sz w:val="24"/>
                <w:szCs w:val="24"/>
                <w:color w:val="auto"/>
              </w:rPr>
            </w:pPr>
          </w:p>
        </w:tc>
        <w:tc>
          <w:tcPr>
            <w:tcW w:w="5420" w:type="dxa"/>
            <w:vAlign w:val="bottom"/>
          </w:tcPr>
          <w:p>
            <w:pPr>
              <w:ind w:left="4860"/>
              <w:spacing w:after="0"/>
              <w:rPr>
                <w:sz w:val="20"/>
                <w:szCs w:val="20"/>
                <w:color w:val="auto"/>
              </w:rPr>
            </w:pPr>
            <w:r>
              <w:rPr>
                <w:rFonts w:ascii="Arial" w:cs="Arial" w:eastAsia="Arial" w:hAnsi="Arial"/>
                <w:sz w:val="13"/>
                <w:szCs w:val="13"/>
                <w:color w:val="auto"/>
              </w:rPr>
              <w:t>F-24</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54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 — (Continued)</w:t>
      </w:r>
    </w:p>
    <w:p>
      <w:pPr>
        <w:spacing w:after="0" w:line="26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18"/>
              <w:spacing w:after="0" w:line="100" w:lineRule="exact"/>
              <w:rPr>
                <w:sz w:val="20"/>
                <w:szCs w:val="20"/>
                <w:color w:val="auto"/>
              </w:rPr>
            </w:pPr>
            <w:r>
              <w:rPr>
                <w:rFonts w:ascii="Arial" w:cs="Arial" w:eastAsia="Arial" w:hAnsi="Arial"/>
                <w:sz w:val="10"/>
                <w:szCs w:val="10"/>
                <w:b w:val="1"/>
                <w:bCs w:val="1"/>
                <w:color w:val="auto"/>
              </w:rPr>
              <w:t>Two-Month</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Period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Year Ended</w:t>
            </w:r>
          </w:p>
        </w:tc>
      </w:tr>
      <w:tr>
        <w:trPr>
          <w:trHeight w:val="118"/>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5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108"/>
        </w:trPr>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jc w:val="right"/>
              <w:ind w:right="560"/>
              <w:spacing w:after="0" w:line="108" w:lineRule="exact"/>
              <w:rPr>
                <w:sz w:val="20"/>
                <w:szCs w:val="20"/>
                <w:color w:val="auto"/>
              </w:rPr>
            </w:pPr>
            <w:r>
              <w:rPr>
                <w:rFonts w:ascii="Arial" w:cs="Arial" w:eastAsia="Arial" w:hAnsi="Arial"/>
                <w:sz w:val="10"/>
                <w:szCs w:val="10"/>
                <w:b w:val="1"/>
                <w:bCs w:val="1"/>
                <w:color w:val="auto"/>
              </w:rPr>
              <w:t>(In thousands of US dollars)</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Proceeds from disposal of plant, property and equipment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329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3,122</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364</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disposal of intangible assets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9,375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4,204</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Purchase of plant, property and equipment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(1,258)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(7,513)</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(28,608)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(85,294)</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Payment for intellectual property registration</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(1,256)</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Decrease (increase) in restricted cash</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11,409</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(13,517)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Purchase of short-term financial instruments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23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176</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13,138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(39,571)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(81,806)</w:t>
            </w: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b w:val="1"/>
                <w:bCs w:val="1"/>
                <w:color w:val="auto"/>
              </w:rPr>
              <w:t>Cash flows from financing activities</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short-term borrowings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130,100</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Issuance of new common units pursuant to the reorganization plan</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35,280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Issuance of old common units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151</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Repayment of short-term borrowings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(33,250)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(165,000)</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(50,100)</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Repurchase of old common units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color w:val="auto"/>
              </w:rPr>
              <w:t>Net cash provided by financing activities</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2,030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14,687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80,145</w:t>
            </w: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1,098</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4,758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(17,036)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544</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color w:val="auto"/>
              </w:rPr>
              <w:t>Net increase (decrease) in cash and cash equivalents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(2,654)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63,542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(60,308)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(24,828)</w:t>
            </w: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and cash equivalents</w:t>
            </w: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color w:val="auto"/>
              </w:rPr>
              <w:t>Beginning of the period</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67,579</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4,037</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64,345</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89,173</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64,925</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67,579</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4,037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64,345</w:t>
            </w:r>
          </w:p>
        </w:tc>
      </w:tr>
      <w:tr>
        <w:trPr>
          <w:trHeight w:val="157"/>
        </w:trPr>
        <w:tc>
          <w:tcPr>
            <w:tcW w:w="5420" w:type="dxa"/>
            <w:vAlign w:val="bottom"/>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955</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7,962</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39,276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57,468</w:t>
            </w:r>
          </w:p>
        </w:tc>
      </w:tr>
      <w:tr>
        <w:trPr>
          <w:trHeight w:val="29"/>
        </w:trPr>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Cash paid for 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669</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8,074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13,207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5,680</w:t>
            </w:r>
          </w:p>
        </w:tc>
      </w:tr>
      <w:tr>
        <w:trPr>
          <w:trHeight w:val="39"/>
        </w:trPr>
        <w:tc>
          <w:tcPr>
            <w:tcW w:w="54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6" w:name="page207"/>
    <w:bookmarkEnd w:id="2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149" w:lineRule="exact"/>
        <w:rPr>
          <w:sz w:val="20"/>
          <w:szCs w:val="20"/>
          <w:color w:val="auto"/>
        </w:rPr>
      </w:pPr>
    </w:p>
    <w:p>
      <w:pPr>
        <w:ind w:left="1000" w:hanging="313"/>
        <w:spacing w:after="0"/>
        <w:tabs>
          <w:tab w:leader="none" w:pos="1000" w:val="left"/>
        </w:tabs>
        <w:numPr>
          <w:ilvl w:val="0"/>
          <w:numId w:val="151"/>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The Company</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MagnaChip Semiconductor Corporation, successor to 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52"/>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xml:space="preserve">,” formerly the American Institute of Certified Public Accountants’ Statement of Position (“SOP”) 90-7, </w:t>
      </w:r>
      <w:r>
        <w:rPr>
          <w:rFonts w:ascii="Arial" w:cs="Arial" w:eastAsia="Arial" w:hAnsi="Arial"/>
          <w:sz w:val="13"/>
          <w:szCs w:val="13"/>
          <w:i w:val="1"/>
          <w:iCs w:val="1"/>
          <w:color w:val="auto"/>
        </w:rPr>
        <w:t>“Financial Reporting by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Entities in Reorganization Under the Bankruptcy Code” </w:t>
      </w:r>
      <w:r>
        <w:rPr>
          <w:rFonts w:ascii="Arial" w:cs="Arial" w:eastAsia="Arial" w:hAnsi="Arial"/>
          <w:sz w:val="13"/>
          <w:szCs w:val="13"/>
          <w:color w:val="auto"/>
        </w:rPr>
        <w:t>(“ASC 852”).</w:t>
      </w:r>
    </w:p>
    <w:p>
      <w:pPr>
        <w:spacing w:after="0" w:line="83"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 See “Note 3 Fresh-Start Reporting” for further details.</w:t>
      </w:r>
    </w:p>
    <w:p>
      <w:pPr>
        <w:spacing w:after="0" w:line="80"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The Plan of Reorganization provided for the satisfaction of claims against the Debtors through (i) the issuance of a new term loan in the amount of approximately $61.8 million in complete</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7" w:name="page208"/>
    <w:bookmarkEnd w:id="2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20"/>
        <w:spacing w:after="0" w:line="238" w:lineRule="auto"/>
        <w:rPr>
          <w:sz w:val="20"/>
          <w:szCs w:val="20"/>
          <w:color w:val="auto"/>
        </w:rPr>
      </w:pPr>
      <w:r>
        <w:rPr>
          <w:rFonts w:ascii="Arial" w:cs="Arial" w:eastAsia="Arial" w:hAnsi="Arial"/>
          <w:sz w:val="13"/>
          <w:szCs w:val="13"/>
          <w:color w:val="auto"/>
        </w:rPr>
        <w:t>satisfaction of the first lien lender claims arising from the senior secured credit facility, (ii) the conversion to Parent equity of all claims arising from the Second Priority Senior Secured Notes and Senior Subordinated Notes, (iii) an offering of equity to the holders of the Second Priority Senior Secured Notes and (iv) a cash payment to holders of unsecured claims. On the Reorganization Effective Date, among other events, (i) the liens and guarantees securing the Second Priority Senior Secured Notes and Senior Subordinated Notes were released and extinguished, (ii) funds affiliated with Avenue Capital Management II, L.P. became the majority unitholder of Parent and (iii) the new term loan was evidenced by the Amended and Restated Credit Agreement dated as of November 6, 2009, by and among MagnaChip Semiconductor S.A., MagnaChip Semiconductor Finance Company, Parent, the Subsidiary Guarantors, the Lenders party thereto, and Wilmington Trust FSB, as administrative agent for the Lenders and collateral agent for the secured parties.</w:t>
      </w:r>
    </w:p>
    <w:p>
      <w:pPr>
        <w:spacing w:after="0" w:line="8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During the period from the date of its Chapter 11 filing to the Fresh-Start Adoption Date (the “Pre-Emergence Period”), the Company recorded interest expense on pre-petition obligations only to the extent it believed the interest would be paid during the Reorganization Proceedings. Had the Company recorded interest expense based on its pre-petition contractual obligations pursuant to its Second Priority Senior Notes and Senior Subordinated Notes, interest expense would have increased by $16,663 thousand during the ten-month period ended October 25, 2009.</w:t>
      </w:r>
    </w:p>
    <w:p>
      <w:pPr>
        <w:spacing w:after="0" w:line="80" w:lineRule="exact"/>
        <w:rPr>
          <w:sz w:val="20"/>
          <w:szCs w:val="20"/>
          <w:color w:val="auto"/>
        </w:rPr>
      </w:pPr>
    </w:p>
    <w:p>
      <w:pPr>
        <w:ind w:left="680" w:right="340" w:firstLine="499"/>
        <w:spacing w:after="0" w:line="242" w:lineRule="auto"/>
        <w:rPr>
          <w:sz w:val="20"/>
          <w:szCs w:val="20"/>
          <w:color w:val="auto"/>
        </w:rPr>
      </w:pPr>
      <w:r>
        <w:rPr>
          <w:rFonts w:ascii="Arial" w:cs="Arial" w:eastAsia="Arial" w:hAnsi="Arial"/>
          <w:sz w:val="13"/>
          <w:szCs w:val="13"/>
          <w:color w:val="auto"/>
        </w:rPr>
        <w:t>In addition, the Company’s Series B redeemable convertible preferred units were also subject to compromise and no dividends were accrued during the Pre-Emergence Period. Had the Company recorded dividends based on pre-petition contractual obligations, dividends accrued on preferred units would have increased by $5,502 thousand during the ten-month period ended October 25, 2009.</w:t>
      </w:r>
    </w:p>
    <w:p>
      <w:pPr>
        <w:spacing w:after="0" w:line="141" w:lineRule="exact"/>
        <w:rPr>
          <w:sz w:val="20"/>
          <w:szCs w:val="20"/>
          <w:color w:val="auto"/>
        </w:rPr>
      </w:pPr>
    </w:p>
    <w:p>
      <w:pPr>
        <w:ind w:left="1000" w:hanging="313"/>
        <w:spacing w:after="0"/>
        <w:tabs>
          <w:tab w:leader="none" w:pos="1000" w:val="left"/>
        </w:tabs>
        <w:numPr>
          <w:ilvl w:val="0"/>
          <w:numId w:val="153"/>
        </w:numPr>
        <w:rPr>
          <w:rFonts w:ascii="Arial" w:cs="Arial" w:eastAsia="Arial" w:hAnsi="Arial"/>
          <w:sz w:val="13"/>
          <w:szCs w:val="13"/>
          <w:b w:val="1"/>
          <w:bCs w:val="1"/>
          <w:color w:val="auto"/>
        </w:rPr>
      </w:pPr>
      <w:r>
        <w:rPr>
          <w:rFonts w:ascii="Arial" w:cs="Arial" w:eastAsia="Arial" w:hAnsi="Arial"/>
          <w:sz w:val="13"/>
          <w:szCs w:val="13"/>
          <w:b w:val="1"/>
          <w:bCs w:val="1"/>
          <w:color w:val="auto"/>
        </w:rPr>
        <w:t>Fresh-Start Reporting</w:t>
      </w:r>
    </w:p>
    <w:p>
      <w:pPr>
        <w:spacing w:after="0" w:line="102"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Upon emergence from the Reorganization Proceedings, the Company adopted fresh-start reporting in accordance with ASC 852. The Company’s emergence from the Reorganization Proceedings resulted in a new reporting entity with no retained earnings or accumulated deficit. Accordingly, the Company’s consolidated financial statements for periods prior to and including October 25, 2009 are not comparable to consolidated financial statements presented on or after October 25, 2009.</w:t>
      </w:r>
    </w:p>
    <w:p>
      <w:pPr>
        <w:spacing w:after="0" w:line="79"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 xml:space="preserve">Fresh-start reporting reflects the value of the Company as determined in the confirmed Plan of Reorganization. Under fresh-start reporting, the Company’s asset values were remeasured and allocated in conformity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 (“ASC 805”). Fresh-start reporting required that all liabilities, other than deferred taxes and severance benefits, be stated at fair value or at the present values of the amounts to be paid using appropriate market interest rates. Deferred taxes are determined in conformity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(“ASC 740”).</w:t>
      </w:r>
    </w:p>
    <w:p>
      <w:pPr>
        <w:spacing w:after="0" w:line="81"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Estimates of fair value represent the Company’s best estimates based on its valuation models, which incorporated industry data and trends and relevant market rates and transactions. The estimates and assumptions are inherently subject to significant uncertainties and contingencies beyond the control of the Company. Accordingly, the Company cannot provide assurance that the estimates, assumptions and values reflected in the valuations will be realized, and actual results could vary materially.</w:t>
      </w:r>
    </w:p>
    <w:p>
      <w:pPr>
        <w:spacing w:after="0" w:line="79"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To facilitate the calculation of the enterprise value of the Successor Company, the Company prepared a valuation analysis for the Successor Company’s common units as of the Reorganization</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8" w:name="page209"/>
    <w:bookmarkEnd w:id="2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400"/>
        <w:spacing w:after="0" w:line="248" w:lineRule="auto"/>
        <w:rPr>
          <w:sz w:val="20"/>
          <w:szCs w:val="20"/>
          <w:color w:val="auto"/>
        </w:rPr>
      </w:pPr>
      <w:r>
        <w:rPr>
          <w:rFonts w:ascii="Arial" w:cs="Arial" w:eastAsia="Arial" w:hAnsi="Arial"/>
          <w:sz w:val="13"/>
          <w:szCs w:val="13"/>
          <w:color w:val="auto"/>
        </w:rPr>
        <w:t>Effective Date. The enterprise valuation used a discounted cash flow analysis which measures the projected multi-year free cash flows of the Company to arrive at an enterprise value.</w:t>
      </w:r>
    </w:p>
    <w:p>
      <w:pPr>
        <w:spacing w:after="0" w:line="74"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the course of valuation analysis, financial and other information, including prospective financial information obtained from management and from various public, financial and industry sources was relied upon. The basis of the discounted cash flow analysis used in developing the total enterprise value was based on the Company’s prepared projections, which included a variety of estimates and assumptions. While the Company considers such estimates and assumptions reasonable, they are inherently subject to significant business, economic and competitive uncertainties, many of which are beyond the Company’s control and, therefore, may not be realized. Changes in these estimates and assumptions may have had a significant effect on the determination of the Company’s fair value. Assumptions used in our valuation models that have the most significant effect on our estimated fair value include discount rates and future cash flow projections.</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Discount rate — The discount rate is an overall rate based upon the individual rates of return for invested capital components of the Company (such as rate of return on debt capital and rate of return on common equity capital). As the Company is emerging from bankruptcy and, therefore, has some of the characteristics of a distressed company, in determining a discount rate the Company incorporated a risk premium derived from higher risk due to its emergence from bankruptcy which bears uncertainty surrounding its future performance, continued economic viability, and maintenance of its customer relationships, to better reflect the return of an investment with those specific risk characteristics from a market participant’s perspective. The resulting discount rate of 46.7% approximates the venture capital rate of return required by investors in companies with similar risk profiles as the Company.</w:t>
      </w:r>
    </w:p>
    <w:p>
      <w:pPr>
        <w:spacing w:after="0" w:line="80"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Cash flow projections — The Company projected its future cash flow on various assumptions depending on the nature of cash flow components. Some of the major accounts projected were based on the following assumptions.</w:t>
      </w:r>
    </w:p>
    <w:p>
      <w:pPr>
        <w:spacing w:after="0" w:line="74" w:lineRule="exact"/>
        <w:rPr>
          <w:sz w:val="20"/>
          <w:szCs w:val="20"/>
          <w:color w:val="auto"/>
        </w:rPr>
      </w:pPr>
    </w:p>
    <w:p>
      <w:pPr>
        <w:ind w:left="1400" w:right="200" w:hanging="212"/>
        <w:spacing w:after="0" w:line="242" w:lineRule="auto"/>
        <w:tabs>
          <w:tab w:leader="none" w:pos="14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Revenue — The Company based 2009 and 2010 revenue on the historical ten-month period ended October 25, 2009 and the Company’s business plan. For the subsequent four years, revenue projections were based on market growth trends and plans for market share growth. Overall, the Company projected a compound revenue growth for this purpose of 12% for the period between 2009 and 2014.</w:t>
      </w:r>
    </w:p>
    <w:p>
      <w:pPr>
        <w:spacing w:after="0" w:line="68" w:lineRule="exact"/>
        <w:rPr>
          <w:rFonts w:ascii="Arial" w:cs="Arial" w:eastAsia="Arial" w:hAnsi="Arial"/>
          <w:sz w:val="13"/>
          <w:szCs w:val="13"/>
          <w:color w:val="auto"/>
        </w:rPr>
      </w:pPr>
    </w:p>
    <w:p>
      <w:pPr>
        <w:ind w:left="1400" w:right="140" w:hanging="212"/>
        <w:spacing w:after="0" w:line="239" w:lineRule="auto"/>
        <w:tabs>
          <w:tab w:leader="none" w:pos="14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Cost of Sales — The Company estimated three sub-components — variable cost, depreciation and other fixed costs. Variable cost was defined as those cost elements directly in proportion to sales and estimated as a certain percentage of projected sales. Depreciation is estimated considering expected depreciation of existing assets and depreciation of assets from the Company’s capital expenditure forecast. Other fixed costs are assumed to be increased by a fixed percentage which was implied by the CPI (Consumer Price Index) rate increases during the projection period. The Company projected cost of sales for the periods between 2009 and 2014 to vary between 70.1% and 62.6%.</w:t>
      </w:r>
    </w:p>
    <w:p>
      <w:pPr>
        <w:spacing w:after="0" w:line="71" w:lineRule="exact"/>
        <w:rPr>
          <w:rFonts w:ascii="Arial" w:cs="Arial" w:eastAsia="Arial" w:hAnsi="Arial"/>
          <w:sz w:val="13"/>
          <w:szCs w:val="13"/>
          <w:color w:val="auto"/>
        </w:rPr>
      </w:pPr>
    </w:p>
    <w:p>
      <w:pPr>
        <w:ind w:left="1400" w:hanging="212"/>
        <w:spacing w:after="0"/>
        <w:tabs>
          <w:tab w:leader="none" w:pos="14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Working capital changes — Working capital levels were estimated on the historical levels and benchmarking.</w:t>
      </w:r>
    </w:p>
    <w:p>
      <w:pPr>
        <w:spacing w:after="0" w:line="76" w:lineRule="exact"/>
        <w:rPr>
          <w:rFonts w:ascii="Arial" w:cs="Arial" w:eastAsia="Arial" w:hAnsi="Arial"/>
          <w:sz w:val="13"/>
          <w:szCs w:val="13"/>
          <w:color w:val="auto"/>
        </w:rPr>
      </w:pPr>
    </w:p>
    <w:p>
      <w:pPr>
        <w:ind w:left="1400" w:right="20" w:hanging="212"/>
        <w:spacing w:after="0" w:line="248" w:lineRule="auto"/>
        <w:tabs>
          <w:tab w:leader="none" w:pos="14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Capital expenditures — Capital expenditures for 2009 and 2010 was determined based on the Company’s capital expenditure forecast. The Company assumed that the capital expenditure level for subsequent years would be determined at 5% of its future projected revenue.</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9" w:name="page210"/>
    <w:bookmarkEnd w:id="2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1060" w:firstLine="499"/>
        <w:spacing w:after="0"/>
        <w:rPr>
          <w:sz w:val="20"/>
          <w:szCs w:val="20"/>
          <w:color w:val="auto"/>
        </w:rPr>
      </w:pPr>
      <w:r>
        <w:rPr>
          <w:rFonts w:ascii="Arial" w:cs="Arial" w:eastAsia="Arial" w:hAnsi="Arial"/>
          <w:sz w:val="13"/>
          <w:szCs w:val="13"/>
          <w:color w:val="auto"/>
        </w:rPr>
        <w:t>The following fresh-start condensed consolidated balance sheet illustrates the financial effects on the Company resulting from the implementation of the Plan of Reorganization and the adoption of fresh-start reporting. This fresh-start condensed consolidated balance sheet reflects the effect of consummating the transactions contemplated in the Plan of Reorganization, including issuance of certain securities, incurrence of new indebtedness, discharge and repayment of old indebtedness and other cash payments.</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effects of the Plan of Reorganization and fresh-start reporting on the Company’s condensed consolidated balance sheet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10"/>
                <w:szCs w:val="10"/>
                <w:color w:val="auto"/>
              </w:rPr>
            </w:pPr>
          </w:p>
        </w:tc>
        <w:tc>
          <w:tcPr>
            <w:tcW w:w="1740" w:type="dxa"/>
            <w:vAlign w:val="bottom"/>
            <w:gridSpan w:val="2"/>
            <w:vMerge w:val="restart"/>
          </w:tcPr>
          <w:p>
            <w:pPr>
              <w:jc w:val="right"/>
              <w:ind w:right="1220"/>
              <w:spacing w:after="0"/>
              <w:rPr>
                <w:sz w:val="20"/>
                <w:szCs w:val="20"/>
                <w:color w:val="auto"/>
              </w:rPr>
            </w:pPr>
            <w:r>
              <w:rPr>
                <w:rFonts w:ascii="Arial" w:cs="Arial" w:eastAsia="Arial" w:hAnsi="Arial"/>
                <w:sz w:val="10"/>
                <w:szCs w:val="10"/>
                <w:b w:val="1"/>
                <w:bCs w:val="1"/>
                <w:color w:val="auto"/>
              </w:rPr>
              <w:t>Effects of</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Fresh-Start</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Successor (*)</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center"/>
              <w:ind w:right="56"/>
              <w:spacing w:after="0" w:line="100" w:lineRule="exact"/>
              <w:rPr>
                <w:sz w:val="20"/>
                <w:szCs w:val="20"/>
                <w:color w:val="auto"/>
              </w:rPr>
            </w:pPr>
            <w:r>
              <w:rPr>
                <w:rFonts w:ascii="Arial" w:cs="Arial" w:eastAsia="Arial" w:hAnsi="Arial"/>
                <w:sz w:val="10"/>
                <w:szCs w:val="10"/>
                <w:b w:val="1"/>
                <w:bCs w:val="1"/>
                <w:color w:val="auto"/>
              </w:rPr>
              <w:t>October 25,</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36"/>
              <w:spacing w:after="0" w:line="100" w:lineRule="exact"/>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6"/>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2"/>
          </w:tcPr>
          <w:p>
            <w:pPr>
              <w:jc w:val="right"/>
              <w:ind w:right="1340"/>
              <w:spacing w:after="0"/>
              <w:rPr>
                <w:sz w:val="20"/>
                <w:szCs w:val="20"/>
                <w:color w:val="auto"/>
              </w:rPr>
            </w:pPr>
            <w:r>
              <w:rPr>
                <w:rFonts w:ascii="Arial" w:cs="Arial" w:eastAsia="Arial" w:hAnsi="Arial"/>
                <w:sz w:val="10"/>
                <w:szCs w:val="10"/>
                <w:b w:val="1"/>
                <w:bCs w:val="1"/>
                <w:color w:val="auto"/>
              </w:rPr>
              <w:t>Plan</w:t>
            </w:r>
          </w:p>
        </w:tc>
        <w:tc>
          <w:tcPr>
            <w:tcW w:w="10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Valuation</w:t>
            </w:r>
          </w:p>
        </w:tc>
        <w:tc>
          <w:tcPr>
            <w:tcW w:w="100" w:type="dxa"/>
            <w:vAlign w:val="bottom"/>
          </w:tcPr>
          <w:p>
            <w:pPr>
              <w:spacing w:after="0"/>
              <w:rPr>
                <w:sz w:val="10"/>
                <w:szCs w:val="10"/>
                <w:color w:val="auto"/>
              </w:rPr>
            </w:pPr>
          </w:p>
        </w:tc>
        <w:tc>
          <w:tcPr>
            <w:tcW w:w="860" w:type="dxa"/>
            <w:vAlign w:val="bottom"/>
          </w:tcPr>
          <w:p>
            <w:pPr>
              <w:jc w:val="center"/>
              <w:ind w:right="3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Assets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Current assets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and cash equivalents</w:t>
            </w:r>
          </w:p>
        </w:tc>
        <w:tc>
          <w:tcPr>
            <w:tcW w:w="10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14,610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52,969(a,b,f,j)</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67,579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Restricted cash</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52,015</w:t>
            </w:r>
          </w:p>
        </w:tc>
        <w:tc>
          <w:tcPr>
            <w:tcW w:w="10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(52,015)(b)</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Accounts receivable, net</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89,314</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89,314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Inventories, net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51,389</w:t>
            </w:r>
          </w:p>
        </w:tc>
        <w:tc>
          <w:tcPr>
            <w:tcW w:w="100" w:type="dxa"/>
            <w:vAlign w:val="bottom"/>
          </w:tcPr>
          <w:p>
            <w:pPr>
              <w:spacing w:after="0"/>
              <w:rPr>
                <w:sz w:val="12"/>
                <w:szCs w:val="12"/>
                <w:color w:val="auto"/>
              </w:rPr>
            </w:pP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17,903(n)</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69,292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5,189</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17,477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(179)(c)</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(1,233)(o)</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16,065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assets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229,994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16,670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247,439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172,358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(13,940)(p)</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158,418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Intangible assets, net</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26,886</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28,314(q)</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Other non-current assets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23,947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235(d)</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355(r)</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24,537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assets</w:t>
            </w:r>
          </w:p>
        </w:tc>
        <w:tc>
          <w:tcPr>
            <w:tcW w:w="10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453,185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31,399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b w:val="1"/>
                <w:bCs w:val="1"/>
                <w:color w:val="auto"/>
              </w:rPr>
              <w:t>Liabilities and Stockholders’/Unitholders’ Equity</w:t>
            </w:r>
          </w:p>
        </w:tc>
        <w:tc>
          <w:tcPr>
            <w:tcW w:w="9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Current liabilities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10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77,395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77,395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13,515</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00"/>
              <w:spacing w:after="0" w:line="148" w:lineRule="exact"/>
              <w:rPr>
                <w:sz w:val="20"/>
                <w:szCs w:val="20"/>
                <w:color w:val="auto"/>
              </w:rPr>
            </w:pPr>
            <w:r>
              <w:rPr>
                <w:rFonts w:ascii="Arial" w:cs="Arial" w:eastAsia="Arial" w:hAnsi="Arial"/>
                <w:sz w:val="13"/>
                <w:szCs w:val="13"/>
                <w:color w:val="auto"/>
              </w:rPr>
              <w:t>506(e)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14,021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22,621</w:t>
            </w:r>
          </w:p>
        </w:tc>
        <w:tc>
          <w:tcPr>
            <w:tcW w:w="100" w:type="dxa"/>
            <w:vAlign w:val="bottom"/>
          </w:tcPr>
          <w:p>
            <w:pPr>
              <w:spacing w:after="0"/>
              <w:rPr>
                <w:sz w:val="12"/>
                <w:szCs w:val="12"/>
                <w:color w:val="auto"/>
              </w:rPr>
            </w:pPr>
          </w:p>
        </w:tc>
        <w:tc>
          <w:tcPr>
            <w:tcW w:w="1740" w:type="dxa"/>
            <w:vAlign w:val="bottom"/>
            <w:gridSpan w:val="2"/>
          </w:tcPr>
          <w:p>
            <w:pPr>
              <w:jc w:val="right"/>
              <w:ind w:right="940"/>
              <w:spacing w:after="0" w:line="148" w:lineRule="exact"/>
              <w:rPr>
                <w:sz w:val="20"/>
                <w:szCs w:val="20"/>
                <w:color w:val="auto"/>
              </w:rPr>
            </w:pPr>
            <w:r>
              <w:rPr>
                <w:rFonts w:ascii="Arial" w:cs="Arial" w:eastAsia="Arial" w:hAnsi="Arial"/>
                <w:sz w:val="13"/>
                <w:szCs w:val="13"/>
                <w:color w:val="auto"/>
              </w:rPr>
              <w:t>6,383(f)</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29,004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Short-term borrowings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95,000</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860"/>
              <w:spacing w:after="0" w:line="148" w:lineRule="exact"/>
              <w:rPr>
                <w:sz w:val="20"/>
                <w:szCs w:val="20"/>
                <w:color w:val="auto"/>
              </w:rPr>
            </w:pPr>
            <w:r>
              <w:rPr>
                <w:rFonts w:ascii="Arial" w:cs="Arial" w:eastAsia="Arial" w:hAnsi="Arial"/>
                <w:sz w:val="13"/>
                <w:szCs w:val="13"/>
                <w:color w:val="auto"/>
              </w:rPr>
              <w:t>(95,000)(a)</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Current portion of long-term debt-new</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463(a)</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463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3,533</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3,533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Liabilities subject to compromise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798,043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(798,043)(g)</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liabilities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1,010,107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20"/>
              <w:spacing w:after="0" w:line="148" w:lineRule="exact"/>
              <w:rPr>
                <w:sz w:val="20"/>
                <w:szCs w:val="20"/>
                <w:color w:val="auto"/>
              </w:rPr>
            </w:pPr>
            <w:r>
              <w:rPr>
                <w:rFonts w:ascii="Arial" w:cs="Arial" w:eastAsia="Arial" w:hAnsi="Arial"/>
                <w:sz w:val="13"/>
                <w:szCs w:val="13"/>
                <w:color w:val="auto"/>
              </w:rPr>
              <w:t>(885,691)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124,416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Long-term debt-new</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61,287(a)</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61,287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Accrued severance benefits, net</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71,029</w:t>
            </w: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71,029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Other non-current liabilities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10,468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10,468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liabilities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1,091,604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20"/>
              <w:spacing w:after="0" w:line="148" w:lineRule="exact"/>
              <w:rPr>
                <w:sz w:val="20"/>
                <w:szCs w:val="20"/>
                <w:color w:val="auto"/>
              </w:rPr>
            </w:pPr>
            <w:r>
              <w:rPr>
                <w:rFonts w:ascii="Arial" w:cs="Arial" w:eastAsia="Arial" w:hAnsi="Arial"/>
                <w:sz w:val="13"/>
                <w:szCs w:val="13"/>
                <w:color w:val="auto"/>
              </w:rPr>
              <w:t>(824,404)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267,200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40" w:type="dxa"/>
            <w:vAlign w:val="bottom"/>
            <w:gridSpan w:val="4"/>
          </w:tcPr>
          <w:p>
            <w:pPr>
              <w:ind w:left="920"/>
              <w:spacing w:after="0"/>
              <w:rPr>
                <w:sz w:val="20"/>
                <w:szCs w:val="20"/>
                <w:color w:val="auto"/>
              </w:rPr>
            </w:pPr>
            <w:r>
              <w:rPr>
                <w:rFonts w:ascii="Arial" w:cs="Arial" w:eastAsia="Arial" w:hAnsi="Arial"/>
                <w:sz w:val="13"/>
                <w:szCs w:val="13"/>
                <w:color w:val="auto"/>
              </w:rPr>
              <w:t>F-29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94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10" w:name="page211"/>
    <w:bookmarkEnd w:id="2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Predecessor</w:t>
            </w:r>
          </w:p>
        </w:tc>
        <w:tc>
          <w:tcPr>
            <w:tcW w:w="120" w:type="dxa"/>
            <w:vAlign w:val="bottom"/>
          </w:tcPr>
          <w:p>
            <w:pPr>
              <w:spacing w:after="0"/>
              <w:rPr>
                <w:sz w:val="10"/>
                <w:szCs w:val="10"/>
                <w:color w:val="auto"/>
              </w:rPr>
            </w:pPr>
          </w:p>
        </w:tc>
        <w:tc>
          <w:tcPr>
            <w:tcW w:w="1600" w:type="dxa"/>
            <w:vAlign w:val="bottom"/>
            <w:gridSpan w:val="2"/>
            <w:vMerge w:val="restart"/>
          </w:tcPr>
          <w:p>
            <w:pPr>
              <w:jc w:val="right"/>
              <w:ind w:right="1080"/>
              <w:spacing w:after="0"/>
              <w:rPr>
                <w:sz w:val="20"/>
                <w:szCs w:val="20"/>
                <w:color w:val="auto"/>
              </w:rPr>
            </w:pPr>
            <w:r>
              <w:rPr>
                <w:rFonts w:ascii="Arial" w:cs="Arial" w:eastAsia="Arial" w:hAnsi="Arial"/>
                <w:sz w:val="10"/>
                <w:szCs w:val="10"/>
                <w:b w:val="1"/>
                <w:bCs w:val="1"/>
                <w:color w:val="auto"/>
              </w:rPr>
              <w:t>Effects of</w:t>
            </w:r>
          </w:p>
        </w:tc>
        <w:tc>
          <w:tcPr>
            <w:tcW w:w="10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Fresh-Start</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Successor (*)</w:t>
            </w:r>
          </w:p>
        </w:tc>
        <w:tc>
          <w:tcPr>
            <w:tcW w:w="0" w:type="dxa"/>
            <w:vAlign w:val="bottom"/>
          </w:tcPr>
          <w:p>
            <w:pPr>
              <w:spacing w:after="0"/>
              <w:rPr>
                <w:sz w:val="1"/>
                <w:szCs w:val="1"/>
                <w:color w:val="auto"/>
              </w:rPr>
            </w:pPr>
          </w:p>
        </w:tc>
      </w:tr>
      <w:tr>
        <w:trPr>
          <w:trHeight w:val="99"/>
        </w:trPr>
        <w:tc>
          <w:tcPr>
            <w:tcW w:w="13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37"/>
              <w:spacing w:after="0" w:line="100" w:lineRule="exact"/>
              <w:rPr>
                <w:sz w:val="20"/>
                <w:szCs w:val="20"/>
                <w:color w:val="auto"/>
              </w:rPr>
            </w:pPr>
            <w:r>
              <w:rPr>
                <w:rFonts w:ascii="Arial" w:cs="Arial" w:eastAsia="Arial" w:hAnsi="Arial"/>
                <w:sz w:val="10"/>
                <w:szCs w:val="10"/>
                <w:b w:val="1"/>
                <w:bCs w:val="1"/>
                <w:color w:val="auto"/>
              </w:rPr>
              <w:t>October 25,</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7"/>
              <w:spacing w:after="0"/>
              <w:rPr>
                <w:sz w:val="20"/>
                <w:szCs w:val="20"/>
                <w:color w:val="auto"/>
              </w:rPr>
            </w:pPr>
            <w:r>
              <w:rPr>
                <w:rFonts w:ascii="Arial" w:cs="Arial" w:eastAsia="Arial" w:hAnsi="Arial"/>
                <w:sz w:val="10"/>
                <w:szCs w:val="10"/>
                <w:b w:val="1"/>
                <w:bCs w:val="1"/>
                <w:color w:val="auto"/>
                <w:w w:val="98"/>
              </w:rPr>
              <w:t>2009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tcPr>
          <w:p>
            <w:pPr>
              <w:ind w:left="180"/>
              <w:spacing w:after="0"/>
              <w:rPr>
                <w:sz w:val="20"/>
                <w:szCs w:val="20"/>
                <w:color w:val="auto"/>
              </w:rPr>
            </w:pPr>
            <w:r>
              <w:rPr>
                <w:rFonts w:ascii="Arial" w:cs="Arial" w:eastAsia="Arial" w:hAnsi="Arial"/>
                <w:sz w:val="10"/>
                <w:szCs w:val="10"/>
                <w:b w:val="1"/>
                <w:bCs w:val="1"/>
                <w:color w:val="auto"/>
              </w:rPr>
              <w:t>Plan</w:t>
            </w:r>
          </w:p>
        </w:tc>
        <w:tc>
          <w:tcPr>
            <w:tcW w:w="100" w:type="dxa"/>
            <w:vAlign w:val="bottom"/>
          </w:tcPr>
          <w:p>
            <w:pPr>
              <w:spacing w:after="0"/>
              <w:rPr>
                <w:sz w:val="10"/>
                <w:szCs w:val="1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Valuation</w:t>
            </w:r>
          </w:p>
        </w:tc>
        <w:tc>
          <w:tcPr>
            <w:tcW w:w="120" w:type="dxa"/>
            <w:vAlign w:val="bottom"/>
          </w:tcPr>
          <w:p>
            <w:pPr>
              <w:spacing w:after="0"/>
              <w:rPr>
                <w:sz w:val="10"/>
                <w:szCs w:val="10"/>
                <w:color w:val="auto"/>
              </w:rPr>
            </w:pPr>
          </w:p>
        </w:tc>
        <w:tc>
          <w:tcPr>
            <w:tcW w:w="860" w:type="dxa"/>
            <w:vAlign w:val="bottom"/>
          </w:tcPr>
          <w:p>
            <w:pPr>
              <w:jc w:val="center"/>
              <w:ind w:right="57"/>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Series A redeemable convertible preferred units</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Series B redeemable convertible preferred units subject to compromise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148,986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180"/>
              <w:spacing w:after="0" w:line="148" w:lineRule="exact"/>
              <w:rPr>
                <w:sz w:val="20"/>
                <w:szCs w:val="20"/>
                <w:color w:val="auto"/>
              </w:rPr>
            </w:pPr>
            <w:r>
              <w:rPr>
                <w:rFonts w:ascii="Arial" w:cs="Arial" w:eastAsia="Arial" w:hAnsi="Arial"/>
                <w:sz w:val="13"/>
                <w:szCs w:val="13"/>
                <w:color w:val="auto"/>
              </w:rPr>
              <w:t>(148,986)(h)</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8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Total redeemable convertible preferred units</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148,986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(148,986)</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Stockholders’/Unitholders’ equity</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Common units-old</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52,923</w:t>
            </w:r>
          </w:p>
        </w:tc>
        <w:tc>
          <w:tcPr>
            <w:tcW w:w="120" w:type="dxa"/>
            <w:vAlign w:val="bottom"/>
          </w:tcPr>
          <w:p>
            <w:pPr>
              <w:spacing w:after="0"/>
              <w:rPr>
                <w:sz w:val="12"/>
                <w:szCs w:val="12"/>
                <w:color w:val="auto"/>
              </w:rPr>
            </w:pPr>
          </w:p>
        </w:tc>
        <w:tc>
          <w:tcPr>
            <w:tcW w:w="1600" w:type="dxa"/>
            <w:vAlign w:val="bottom"/>
            <w:gridSpan w:val="2"/>
          </w:tcPr>
          <w:p>
            <w:pPr>
              <w:jc w:val="right"/>
              <w:ind w:right="760"/>
              <w:spacing w:after="0" w:line="148" w:lineRule="exact"/>
              <w:rPr>
                <w:sz w:val="20"/>
                <w:szCs w:val="20"/>
                <w:color w:val="auto"/>
              </w:rPr>
            </w:pPr>
            <w:r>
              <w:rPr>
                <w:rFonts w:ascii="Arial" w:cs="Arial" w:eastAsia="Arial" w:hAnsi="Arial"/>
                <w:sz w:val="13"/>
                <w:szCs w:val="13"/>
                <w:color w:val="auto"/>
              </w:rPr>
              <w:t>(52,923)(i)</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Common stock-new</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375(g,j)</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3,383</w:t>
            </w:r>
          </w:p>
        </w:tc>
        <w:tc>
          <w:tcPr>
            <w:tcW w:w="120" w:type="dxa"/>
            <w:vAlign w:val="bottom"/>
          </w:tcPr>
          <w:p>
            <w:pPr>
              <w:spacing w:after="0"/>
              <w:rPr>
                <w:sz w:val="12"/>
                <w:szCs w:val="12"/>
                <w:color w:val="auto"/>
              </w:rPr>
            </w:pPr>
          </w:p>
        </w:tc>
        <w:tc>
          <w:tcPr>
            <w:tcW w:w="1600" w:type="dxa"/>
            <w:vAlign w:val="bottom"/>
            <w:gridSpan w:val="2"/>
          </w:tcPr>
          <w:p>
            <w:pPr>
              <w:jc w:val="right"/>
              <w:ind w:right="760"/>
              <w:spacing w:after="0" w:line="148" w:lineRule="exact"/>
              <w:rPr>
                <w:sz w:val="20"/>
                <w:szCs w:val="20"/>
                <w:color w:val="auto"/>
              </w:rPr>
            </w:pPr>
            <w:r>
              <w:rPr>
                <w:rFonts w:ascii="Arial" w:cs="Arial" w:eastAsia="Arial" w:hAnsi="Arial"/>
                <w:sz w:val="13"/>
                <w:szCs w:val="13"/>
                <w:color w:val="auto"/>
              </w:rPr>
              <w:t>166(s)</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760"/>
              <w:spacing w:after="0" w:line="148" w:lineRule="exact"/>
              <w:rPr>
                <w:sz w:val="20"/>
                <w:szCs w:val="20"/>
                <w:color w:val="auto"/>
              </w:rPr>
            </w:pPr>
            <w:r>
              <w:rPr>
                <w:rFonts w:ascii="Arial" w:cs="Arial" w:eastAsia="Arial" w:hAnsi="Arial"/>
                <w:sz w:val="13"/>
                <w:szCs w:val="13"/>
                <w:color w:val="auto"/>
              </w:rPr>
              <w:t>(3,549)(i)</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0" w:type="dxa"/>
            <w:vAlign w:val="bottom"/>
            <w:gridSpan w:val="2"/>
          </w:tcPr>
          <w:p>
            <w:pPr>
              <w:jc w:val="right"/>
              <w:ind w:right="760"/>
              <w:spacing w:after="0" w:line="148" w:lineRule="exact"/>
              <w:rPr>
                <w:sz w:val="20"/>
                <w:szCs w:val="20"/>
                <w:color w:val="auto"/>
              </w:rPr>
            </w:pPr>
            <w:r>
              <w:rPr>
                <w:rFonts w:ascii="Arial" w:cs="Arial" w:eastAsia="Arial" w:hAnsi="Arial"/>
                <w:sz w:val="13"/>
                <w:szCs w:val="13"/>
                <w:color w:val="auto"/>
              </w:rPr>
              <w:t>16,769(g)</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0"/>
              <w:spacing w:after="0" w:line="148" w:lineRule="exact"/>
              <w:rPr>
                <w:sz w:val="20"/>
                <w:szCs w:val="20"/>
                <w:color w:val="auto"/>
              </w:rPr>
            </w:pPr>
            <w:r>
              <w:rPr>
                <w:rFonts w:ascii="Arial" w:cs="Arial" w:eastAsia="Arial" w:hAnsi="Arial"/>
                <w:sz w:val="13"/>
                <w:szCs w:val="13"/>
                <w:color w:val="auto"/>
              </w:rPr>
              <w:t>34,928(j)</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0" w:type="dxa"/>
            <w:vAlign w:val="bottom"/>
            <w:gridSpan w:val="2"/>
          </w:tcPr>
          <w:p>
            <w:pPr>
              <w:jc w:val="right"/>
              <w:ind w:right="720"/>
              <w:spacing w:after="0" w:line="148" w:lineRule="exact"/>
              <w:rPr>
                <w:sz w:val="20"/>
                <w:szCs w:val="20"/>
                <w:color w:val="auto"/>
              </w:rPr>
            </w:pPr>
            <w:r>
              <w:rPr>
                <w:rFonts w:ascii="Arial" w:cs="Arial" w:eastAsia="Arial" w:hAnsi="Arial"/>
                <w:sz w:val="13"/>
                <w:szCs w:val="13"/>
                <w:color w:val="auto"/>
              </w:rPr>
              <w:t>166,322(m)</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218,019</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Retained earnings (accumulated deficit)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(964,791)</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760"/>
              <w:spacing w:after="0" w:line="148" w:lineRule="exact"/>
              <w:rPr>
                <w:sz w:val="20"/>
                <w:szCs w:val="20"/>
                <w:color w:val="auto"/>
              </w:rPr>
            </w:pPr>
            <w:r>
              <w:rPr>
                <w:rFonts w:ascii="Arial" w:cs="Arial" w:eastAsia="Arial" w:hAnsi="Arial"/>
                <w:sz w:val="13"/>
                <w:szCs w:val="13"/>
                <w:color w:val="auto"/>
              </w:rPr>
              <w:t>160,218(k)</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0" w:type="dxa"/>
            <w:vAlign w:val="bottom"/>
            <w:gridSpan w:val="2"/>
          </w:tcPr>
          <w:p>
            <w:pPr>
              <w:jc w:val="right"/>
              <w:ind w:right="800"/>
              <w:spacing w:after="0" w:line="148" w:lineRule="exact"/>
              <w:rPr>
                <w:sz w:val="20"/>
                <w:szCs w:val="20"/>
                <w:color w:val="auto"/>
              </w:rPr>
            </w:pPr>
            <w:r>
              <w:rPr>
                <w:rFonts w:ascii="Arial" w:cs="Arial" w:eastAsia="Arial" w:hAnsi="Arial"/>
                <w:sz w:val="13"/>
                <w:szCs w:val="13"/>
                <w:color w:val="auto"/>
              </w:rPr>
              <w:t>773,174(l)</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31,399(l)</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121,080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180"/>
              <w:spacing w:after="0" w:line="148" w:lineRule="exact"/>
              <w:rPr>
                <w:sz w:val="20"/>
                <w:szCs w:val="20"/>
                <w:color w:val="auto"/>
              </w:rPr>
            </w:pPr>
            <w:r>
              <w:rPr>
                <w:rFonts w:ascii="Arial" w:cs="Arial" w:eastAsia="Arial" w:hAnsi="Arial"/>
                <w:sz w:val="13"/>
                <w:szCs w:val="13"/>
                <w:color w:val="auto"/>
              </w:rPr>
              <w:t>(121,080)(k)</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8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Total stockholders’/unitholders’ equity</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(787,405)</w:t>
            </w:r>
          </w:p>
        </w:tc>
        <w:tc>
          <w:tcPr>
            <w:tcW w:w="120" w:type="dxa"/>
            <w:vAlign w:val="bottom"/>
          </w:tcPr>
          <w:p>
            <w:pPr>
              <w:spacing w:after="0"/>
              <w:rPr>
                <w:sz w:val="14"/>
                <w:szCs w:val="14"/>
                <w:color w:val="auto"/>
              </w:rPr>
            </w:pPr>
          </w:p>
        </w:tc>
        <w:tc>
          <w:tcPr>
            <w:tcW w:w="160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974,400</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31,399</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218,394</w:t>
            </w:r>
          </w:p>
        </w:tc>
        <w:tc>
          <w:tcPr>
            <w:tcW w:w="0" w:type="dxa"/>
            <w:vAlign w:val="bottom"/>
          </w:tcPr>
          <w:p>
            <w:pPr>
              <w:spacing w:after="0"/>
              <w:rPr>
                <w:sz w:val="1"/>
                <w:szCs w:val="1"/>
                <w:color w:val="auto"/>
              </w:rPr>
            </w:pPr>
          </w:p>
        </w:tc>
      </w:tr>
      <w:tr>
        <w:trPr>
          <w:trHeight w:val="152"/>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liabilities, redeemable convertible preferred units and</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gridSpan w:val="2"/>
            <w:shd w:val="clear" w:color="auto" w:fill="CCEEFF"/>
          </w:tcPr>
          <w:p>
            <w:pPr>
              <w:ind w:left="400"/>
              <w:spacing w:after="0" w:line="148" w:lineRule="exact"/>
              <w:rPr>
                <w:sz w:val="20"/>
                <w:szCs w:val="20"/>
                <w:color w:val="auto"/>
              </w:rPr>
            </w:pPr>
            <w:r>
              <w:rPr>
                <w:rFonts w:ascii="Arial" w:cs="Arial" w:eastAsia="Arial" w:hAnsi="Arial"/>
                <w:sz w:val="13"/>
                <w:szCs w:val="13"/>
                <w:color w:val="auto"/>
              </w:rPr>
              <w:t>stockholders’/unitholders’ equity</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453,185</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31,399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80" w:right="120" w:hanging="393"/>
        <w:spacing w:after="0" w:line="242" w:lineRule="auto"/>
        <w:tabs>
          <w:tab w:leader="none" w:pos="10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To record the issuance of a new term loan in the amount of $61,750 thousand and 35% cash payment of $33,250 thousand in complete satisfaction of the first lien lender claims arising from the senior secured credit facility (short-term borrowings) of $95,000 thousand. The new term loan was accounted for as current portion of long-term debt of $463 thousand and long-term debt of $61,287 thousand.</w:t>
      </w:r>
    </w:p>
    <w:p>
      <w:pPr>
        <w:spacing w:after="0" w:line="29" w:lineRule="exact"/>
        <w:rPr>
          <w:rFonts w:ascii="Arial" w:cs="Arial" w:eastAsia="Arial" w:hAnsi="Arial"/>
          <w:sz w:val="13"/>
          <w:szCs w:val="13"/>
          <w:color w:val="auto"/>
        </w:rPr>
      </w:pPr>
    </w:p>
    <w:p>
      <w:pPr>
        <w:ind w:left="1080" w:right="680" w:hanging="393"/>
        <w:spacing w:after="0" w:line="248" w:lineRule="auto"/>
        <w:tabs>
          <w:tab w:leader="none" w:pos="10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Cash in Korea Exchange Bank account of $52,015 thousand, restricted under forbearance agreement, was released from restriction according to the debt restructuring by the Plan of Reorganization.</w:t>
      </w:r>
    </w:p>
    <w:p>
      <w:pPr>
        <w:spacing w:after="0" w:line="25" w:lineRule="exact"/>
        <w:rPr>
          <w:rFonts w:ascii="Arial" w:cs="Arial" w:eastAsia="Arial" w:hAnsi="Arial"/>
          <w:sz w:val="13"/>
          <w:szCs w:val="13"/>
          <w:color w:val="auto"/>
        </w:rPr>
      </w:pPr>
    </w:p>
    <w:p>
      <w:pPr>
        <w:ind w:left="1080" w:right="40" w:hanging="393"/>
        <w:spacing w:after="0" w:line="248" w:lineRule="auto"/>
        <w:tabs>
          <w:tab w:leader="none" w:pos="10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To record impairment of remaining capitalized costs of $166 thousand in connection with entering into the senior secured credit facility, impairment of prepaid agency fee of $14 thousand of the senior secured credit facility and capitalization of costs of $1 thousand in connection with the issuance of the new term loan.</w:t>
      </w:r>
    </w:p>
    <w:p>
      <w:pPr>
        <w:spacing w:after="0" w:line="25" w:lineRule="exact"/>
        <w:rPr>
          <w:rFonts w:ascii="Arial" w:cs="Arial" w:eastAsia="Arial" w:hAnsi="Arial"/>
          <w:sz w:val="13"/>
          <w:szCs w:val="13"/>
          <w:color w:val="auto"/>
        </w:rPr>
      </w:pPr>
    </w:p>
    <w:p>
      <w:pPr>
        <w:ind w:left="1080" w:hanging="393"/>
        <w:spacing w:after="0"/>
        <w:tabs>
          <w:tab w:leader="none" w:pos="10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To record capitalization of costs of $235 thousand in connection with the issuance of the new term loan.</w:t>
      </w:r>
    </w:p>
    <w:p>
      <w:pPr>
        <w:spacing w:after="0" w:line="37" w:lineRule="exact"/>
        <w:rPr>
          <w:rFonts w:ascii="Arial" w:cs="Arial" w:eastAsia="Arial" w:hAnsi="Arial"/>
          <w:sz w:val="13"/>
          <w:szCs w:val="13"/>
          <w:color w:val="auto"/>
        </w:rPr>
      </w:pPr>
    </w:p>
    <w:p>
      <w:pPr>
        <w:ind w:left="1080" w:right="200" w:hanging="393"/>
        <w:spacing w:after="0" w:line="248" w:lineRule="auto"/>
        <w:tabs>
          <w:tab w:leader="none" w:pos="10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To record capitalization of costs incurred in connection with the issuance of the new term loan of $236 thousand and 10% of the general unsecured claims of $270 thousand to be settled in cash.</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1" w:name="page212"/>
    <w:bookmarkEnd w:id="2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93" w:lineRule="exact"/>
        <w:rPr>
          <w:sz w:val="20"/>
          <w:szCs w:val="20"/>
          <w:color w:val="auto"/>
        </w:rPr>
      </w:pPr>
    </w:p>
    <w:p>
      <w:pPr>
        <w:ind w:left="1080" w:right="100" w:hanging="393"/>
        <w:spacing w:after="0" w:line="248" w:lineRule="auto"/>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professional fees of $7,459 thousand incurred in relation to the Reorganization Proceeding of which $1,076 thousand was paid in cash with the remainder of $6,383 thousand recorded as accrued expenses.</w:t>
      </w:r>
    </w:p>
    <w:p>
      <w:pPr>
        <w:spacing w:after="0" w:line="25" w:lineRule="exact"/>
        <w:rPr>
          <w:rFonts w:ascii="Arial" w:cs="Arial" w:eastAsia="Arial" w:hAnsi="Arial"/>
          <w:sz w:val="13"/>
          <w:szCs w:val="13"/>
          <w:color w:val="auto"/>
        </w:rPr>
      </w:pPr>
    </w:p>
    <w:p>
      <w:pPr>
        <w:ind w:left="1080" w:hanging="393"/>
        <w:spacing w:after="0" w:line="238" w:lineRule="auto"/>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the discharge of liabilities subject to compromise of $798,043 thousand and the issuance of 2,250 thousand shares of new common stock and new warrants to purchase 1,875 thousand shares of new common stock. The issuances of new common stock and new warrants were recorded as increase in common stock and additional paid-in capital by $23 thousand and $16,769 thousand, respectively. Current portion of long-term debt of $750,000 thousand and its accrued interest of $45,341 thousand as of October 25, 2009 were discharged in exchange for new common stock representing 6% of the Successor Company’s outstanding common stock to two classes of creditors of the Company and new warrants representing 5% of the Successor Company’s outstanding common stock to two classes of creditors of the Company. General unsecured claims of $2,702 thousand were also discharged in exchange for a cash payment equal to 10% of the allowed claims of $270 thousand.</w:t>
      </w:r>
    </w:p>
    <w:p>
      <w:pPr>
        <w:spacing w:after="0" w:line="33" w:lineRule="exact"/>
        <w:rPr>
          <w:rFonts w:ascii="Arial" w:cs="Arial" w:eastAsia="Arial" w:hAnsi="Arial"/>
          <w:sz w:val="13"/>
          <w:szCs w:val="13"/>
          <w:color w:val="auto"/>
        </w:rPr>
      </w:pPr>
    </w:p>
    <w:p>
      <w:pPr>
        <w:ind w:left="1080" w:right="860" w:hanging="393"/>
        <w:spacing w:after="0" w:line="248" w:lineRule="auto"/>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the retirement of Series B redeemable convertible preferred units of $148,986 thousand without consideration in accordance with the Plan of Reorganization.</w:t>
      </w:r>
    </w:p>
    <w:p>
      <w:pPr>
        <w:spacing w:after="0" w:line="25" w:lineRule="exact"/>
        <w:rPr>
          <w:rFonts w:ascii="Arial" w:cs="Arial" w:eastAsia="Arial" w:hAnsi="Arial"/>
          <w:sz w:val="13"/>
          <w:szCs w:val="13"/>
          <w:color w:val="auto"/>
        </w:rPr>
      </w:pPr>
    </w:p>
    <w:p>
      <w:pPr>
        <w:ind w:left="1080" w:hanging="393"/>
        <w:spacing w:after="0"/>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the retirement of old equity interests without consideration in accordance with the Plan of Reorganization.</w:t>
      </w:r>
    </w:p>
    <w:p>
      <w:pPr>
        <w:spacing w:after="0" w:line="37" w:lineRule="exact"/>
        <w:rPr>
          <w:rFonts w:ascii="Arial" w:cs="Arial" w:eastAsia="Arial" w:hAnsi="Arial"/>
          <w:sz w:val="13"/>
          <w:szCs w:val="13"/>
          <w:color w:val="auto"/>
        </w:rPr>
      </w:pPr>
    </w:p>
    <w:p>
      <w:pPr>
        <w:ind w:left="1080" w:right="380" w:hanging="393"/>
        <w:spacing w:after="0" w:line="248" w:lineRule="auto"/>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the issuance of 35,250 thousand shares of new common stock which was recorded as an increase in common stock and additional paid-in capital by $352 thousand and $34,928 thousand, respectively.</w:t>
      </w:r>
    </w:p>
    <w:p>
      <w:pPr>
        <w:spacing w:after="0" w:line="25" w:lineRule="exact"/>
        <w:rPr>
          <w:rFonts w:ascii="Arial" w:cs="Arial" w:eastAsia="Arial" w:hAnsi="Arial"/>
          <w:sz w:val="13"/>
          <w:szCs w:val="13"/>
          <w:color w:val="auto"/>
        </w:rPr>
      </w:pPr>
    </w:p>
    <w:p>
      <w:pPr>
        <w:ind w:left="1080" w:right="380" w:hanging="393"/>
        <w:spacing w:after="0" w:line="248" w:lineRule="auto"/>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the elimination of the Predecessor Company’s accumulated deficit of $160,218 thousand and accumulated other comprehensive income of $121,080 thousand.</w:t>
      </w:r>
    </w:p>
    <w:p>
      <w:pPr>
        <w:spacing w:after="0" w:line="25" w:lineRule="exact"/>
        <w:rPr>
          <w:rFonts w:ascii="Arial" w:cs="Arial" w:eastAsia="Arial" w:hAnsi="Arial"/>
          <w:sz w:val="13"/>
          <w:szCs w:val="13"/>
          <w:color w:val="auto"/>
        </w:rPr>
      </w:pPr>
    </w:p>
    <w:p>
      <w:pPr>
        <w:ind w:left="1080" w:hanging="393"/>
        <w:spacing w:after="0"/>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reorganization items, net of $804,573 thousand.</w:t>
      </w:r>
    </w:p>
    <w:p>
      <w:pPr>
        <w:spacing w:after="0" w:line="37" w:lineRule="exact"/>
        <w:rPr>
          <w:rFonts w:ascii="Arial" w:cs="Arial" w:eastAsia="Arial" w:hAnsi="Arial"/>
          <w:sz w:val="13"/>
          <w:szCs w:val="13"/>
          <w:color w:val="auto"/>
        </w:rPr>
      </w:pPr>
    </w:p>
    <w:p>
      <w:pPr>
        <w:ind w:left="1080" w:right="440" w:hanging="393"/>
        <w:spacing w:after="0" w:line="248" w:lineRule="auto"/>
        <w:tabs>
          <w:tab w:leader="none" w:pos="10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record $166,322 thousand of additional paid-in capital. Reconciliation of total enterprise value to the reorganization value of the Company, determination of goodwill and additional paid-in capital and allocation of the total enterprise value to common stockholders are as below:</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Total value attributable to debt and equity (1)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212,564</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Plus: cash and cash equivalents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67,579</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Plus: liabilities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205,451</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Reorganization value of the Company’s total assets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Fair value of the Company’s total assets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Goodwill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34"/>
        </w:trPr>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Reorganization value of the Company’s total assets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485,594</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Less: liabilities</w:t>
            </w: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(205,450)</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new term loan</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(61,750)</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Fair value of new warrants issued</w:t>
            </w: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(2,533)</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Fair value of new common stock issued</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(49,539)</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Additional paid-in capital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166,322</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Enterprise value allocated to common stockholders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215,861</w:t>
            </w:r>
          </w:p>
        </w:tc>
      </w:tr>
      <w:tr>
        <w:trPr>
          <w:trHeight w:val="29"/>
        </w:trPr>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8" w:lineRule="exact"/>
        <w:rPr>
          <w:sz w:val="20"/>
          <w:szCs w:val="20"/>
          <w:color w:val="auto"/>
        </w:rPr>
      </w:pPr>
    </w:p>
    <w:p>
      <w:pPr>
        <w:ind w:left="1400" w:right="220" w:hanging="274"/>
        <w:spacing w:after="0" w:line="248" w:lineRule="auto"/>
        <w:tabs>
          <w:tab w:leader="none" w:pos="1400" w:val="left"/>
        </w:tabs>
        <w:numPr>
          <w:ilvl w:val="1"/>
          <w:numId w:val="157"/>
        </w:numPr>
        <w:rPr>
          <w:rFonts w:ascii="Arial" w:cs="Arial" w:eastAsia="Arial" w:hAnsi="Arial"/>
          <w:sz w:val="13"/>
          <w:szCs w:val="13"/>
          <w:color w:val="auto"/>
        </w:rPr>
      </w:pPr>
      <w:r>
        <w:rPr>
          <w:rFonts w:ascii="Arial" w:cs="Arial" w:eastAsia="Arial" w:hAnsi="Arial"/>
          <w:sz w:val="13"/>
          <w:szCs w:val="13"/>
          <w:color w:val="auto"/>
        </w:rPr>
        <w:t>The Plan of Reorganization, which was confirmed by the bankruptcy court, includes an estimated total value attributable to debt and equity of $225.0 million. This amount does not include cash balances and non-financial liabilities as of the Reorganization Effective Date.</w:t>
      </w:r>
    </w:p>
    <w:p>
      <w:pPr>
        <w:spacing w:after="0" w:line="35" w:lineRule="exact"/>
        <w:rPr>
          <w:rFonts w:ascii="Arial" w:cs="Arial" w:eastAsia="Arial" w:hAnsi="Arial"/>
          <w:sz w:val="13"/>
          <w:szCs w:val="13"/>
          <w:color w:val="auto"/>
        </w:rPr>
      </w:pPr>
    </w:p>
    <w:p>
      <w:pPr>
        <w:ind w:left="1080" w:right="20" w:hanging="393"/>
        <w:spacing w:after="0" w:line="248" w:lineRule="auto"/>
        <w:tabs>
          <w:tab w:leader="none" w:pos="108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the fair value of inventories, net, as estimated by the Predecessor Company, fair value of finished goods was estimated by subtracting from average selling prices the sum of costs of</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2" w:name="page213"/>
    <w:bookmarkEnd w:id="2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1080" w:right="20"/>
        <w:spacing w:after="0" w:line="242" w:lineRule="auto"/>
        <w:rPr>
          <w:sz w:val="20"/>
          <w:szCs w:val="20"/>
          <w:color w:val="auto"/>
        </w:rPr>
      </w:pPr>
      <w:r>
        <w:rPr>
          <w:rFonts w:ascii="Arial" w:cs="Arial" w:eastAsia="Arial" w:hAnsi="Arial"/>
          <w:sz w:val="13"/>
          <w:szCs w:val="13"/>
          <w:color w:val="auto"/>
        </w:rPr>
        <w:t>disposal and a reasonable profit allowance for the selling effort. Fair value of work-in-process was estimated by subtracting from average selling prices the sum of costs to complete, costs of disposal and a reasonable profit allowance for the completing and selling effort based on profit for similar finished goods. Fair value of raw materials was estimated by current replacement costs.</w:t>
      </w:r>
    </w:p>
    <w:p>
      <w:pPr>
        <w:spacing w:after="0" w:line="29" w:lineRule="exact"/>
        <w:rPr>
          <w:sz w:val="20"/>
          <w:szCs w:val="20"/>
          <w:color w:val="auto"/>
        </w:rPr>
      </w:pPr>
    </w:p>
    <w:p>
      <w:pPr>
        <w:ind w:left="1080" w:right="80" w:hanging="393"/>
        <w:spacing w:after="0" w:line="248" w:lineRule="auto"/>
        <w:tabs>
          <w:tab w:leader="none" w:pos="108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To record the fair value of advance payments as estimated by the Predecessor Company. For the value of advance payments, the Orderly Liquidation Value (“OLV”) was estimated using the cost and market approaches.</w:t>
      </w:r>
    </w:p>
    <w:p>
      <w:pPr>
        <w:spacing w:after="0" w:line="25" w:lineRule="exact"/>
        <w:rPr>
          <w:rFonts w:ascii="Arial" w:cs="Arial" w:eastAsia="Arial" w:hAnsi="Arial"/>
          <w:sz w:val="13"/>
          <w:szCs w:val="13"/>
          <w:color w:val="auto"/>
        </w:rPr>
      </w:pPr>
    </w:p>
    <w:p>
      <w:pPr>
        <w:ind w:left="1080" w:right="580" w:hanging="393"/>
        <w:spacing w:after="0" w:line="242" w:lineRule="auto"/>
        <w:tabs>
          <w:tab w:leader="none" w:pos="108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To record the fair value of property, plant and equipment, net as estimated by the Predecessor Company. For the value of certain fixed assets, the OLV was estimated using the cost and market approaches. This premise of value was chosen given the fact that the Company was just emerging from bankruptcy proceedings.</w:t>
      </w:r>
    </w:p>
    <w:p>
      <w:pPr>
        <w:spacing w:after="0" w:line="29" w:lineRule="exact"/>
        <w:rPr>
          <w:rFonts w:ascii="Arial" w:cs="Arial" w:eastAsia="Arial" w:hAnsi="Arial"/>
          <w:sz w:val="13"/>
          <w:szCs w:val="13"/>
          <w:color w:val="auto"/>
        </w:rPr>
      </w:pPr>
    </w:p>
    <w:p>
      <w:pPr>
        <w:ind w:left="1080" w:right="220" w:hanging="393"/>
        <w:spacing w:after="0" w:line="242" w:lineRule="auto"/>
        <w:tabs>
          <w:tab w:leader="none" w:pos="108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To record the fair value of intangible assets, net as estimated by the Predecessor Company. Discrete valuations of each of the reporting units’ identified intangible assets related to technology, contracts, trade names, customer-based intangible assets and acquired in-process research and development (“IPR&amp;D”) were performed using the excess earnings method or the royalty savings method.</w:t>
      </w:r>
    </w:p>
    <w:p>
      <w:pPr>
        <w:spacing w:after="0" w:line="29" w:lineRule="exact"/>
        <w:rPr>
          <w:rFonts w:ascii="Arial" w:cs="Arial" w:eastAsia="Arial" w:hAnsi="Arial"/>
          <w:sz w:val="13"/>
          <w:szCs w:val="13"/>
          <w:color w:val="auto"/>
        </w:rPr>
      </w:pPr>
    </w:p>
    <w:p>
      <w:pPr>
        <w:ind w:left="1080" w:hanging="393"/>
        <w:spacing w:after="0"/>
        <w:tabs>
          <w:tab w:leader="none" w:pos="108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To record the Predecessor Company’s other non-current assets at their estimated fair value using observable market data.</w:t>
      </w:r>
    </w:p>
    <w:p>
      <w:pPr>
        <w:spacing w:after="0" w:line="37" w:lineRule="exact"/>
        <w:rPr>
          <w:rFonts w:ascii="Arial" w:cs="Arial" w:eastAsia="Arial" w:hAnsi="Arial"/>
          <w:sz w:val="13"/>
          <w:szCs w:val="13"/>
          <w:color w:val="auto"/>
        </w:rPr>
      </w:pPr>
    </w:p>
    <w:p>
      <w:pPr>
        <w:ind w:left="1080" w:hanging="393"/>
        <w:spacing w:after="0" w:line="248" w:lineRule="auto"/>
        <w:tabs>
          <w:tab w:leader="none" w:pos="108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To record the immediately recognized unit-based compensation of $166 thousand, which is attributable to old unit options which were cancelled without consideration in accordance with the Plan of Reorganization.</w:t>
      </w:r>
    </w:p>
    <w:p>
      <w:pPr>
        <w:spacing w:after="0" w:line="25" w:lineRule="exact"/>
        <w:rPr>
          <w:sz w:val="20"/>
          <w:szCs w:val="20"/>
          <w:color w:val="auto"/>
        </w:rPr>
      </w:pPr>
    </w:p>
    <w:p>
      <w:pPr>
        <w:ind w:left="1080" w:right="200" w:hanging="393"/>
        <w:spacing w:after="0" w:line="248" w:lineRule="auto"/>
        <w:tabs>
          <w:tab w:leader="none" w:pos="108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following table summarizes the allocation of fair value of the assets and liabilities at emergence as shown in the reorganized consolidated balance sheet as of October 25, 2009:</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67,579</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Accounts receivable, net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89,314</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Inventories, net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69,292</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Other receivables</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5,189</w:t>
            </w:r>
          </w:p>
        </w:tc>
        <w:tc>
          <w:tcPr>
            <w:tcW w:w="100" w:type="dxa"/>
            <w:vAlign w:val="bottom"/>
          </w:tcPr>
          <w:p>
            <w:pPr>
              <w:spacing w:after="0"/>
              <w:rPr>
                <w:sz w:val="12"/>
                <w:szCs w:val="12"/>
                <w:color w:val="auto"/>
              </w:rPr>
            </w:pP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current assets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16,065</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158,418</w:t>
            </w:r>
          </w:p>
        </w:tc>
        <w:tc>
          <w:tcPr>
            <w:tcW w:w="100" w:type="dxa"/>
            <w:vAlign w:val="bottom"/>
          </w:tcPr>
          <w:p>
            <w:pPr>
              <w:spacing w:after="0"/>
              <w:rPr>
                <w:sz w:val="12"/>
                <w:szCs w:val="12"/>
                <w:color w:val="auto"/>
              </w:rPr>
            </w:pP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55,200</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Other non-current assets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24,537</w:t>
            </w:r>
          </w:p>
        </w:tc>
      </w:tr>
      <w:tr>
        <w:trPr>
          <w:trHeight w:val="147"/>
        </w:trPr>
        <w:tc>
          <w:tcPr>
            <w:tcW w:w="90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assets</w:t>
            </w: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485,594</w:t>
            </w:r>
          </w:p>
        </w:tc>
        <w:tc>
          <w:tcPr>
            <w:tcW w:w="100" w:type="dxa"/>
            <w:vAlign w:val="bottom"/>
            <w:shd w:val="clear" w:color="auto" w:fill="CCEEFF"/>
          </w:tcPr>
          <w:p>
            <w:pPr>
              <w:spacing w:after="0"/>
              <w:rPr>
                <w:sz w:val="12"/>
                <w:szCs w:val="12"/>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Less: current liabilities (including current portion of long-term debt)</w:t>
            </w: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(124,416)</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long-term debt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(61,287)</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Less: non-current liabilities</w:t>
            </w: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(81,497)</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liabilities assumed</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(267,200)</w:t>
            </w:r>
          </w:p>
        </w:tc>
      </w:tr>
      <w:tr>
        <w:trPr>
          <w:trHeight w:val="157"/>
        </w:trPr>
        <w:tc>
          <w:tcPr>
            <w:tcW w:w="9000" w:type="dxa"/>
            <w:vAlign w:val="bottom"/>
          </w:tcPr>
          <w:p>
            <w:pPr>
              <w:spacing w:after="0" w:line="148" w:lineRule="exact"/>
              <w:rPr>
                <w:sz w:val="20"/>
                <w:szCs w:val="20"/>
                <w:color w:val="auto"/>
              </w:rPr>
            </w:pPr>
            <w:r>
              <w:rPr>
                <w:rFonts w:ascii="Arial" w:cs="Arial" w:eastAsia="Arial" w:hAnsi="Arial"/>
                <w:sz w:val="13"/>
                <w:szCs w:val="13"/>
                <w:color w:val="auto"/>
              </w:rPr>
              <w:t>Net assets acquired</w:t>
            </w: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218,394</w:t>
            </w:r>
          </w:p>
        </w:tc>
        <w:tc>
          <w:tcPr>
            <w:tcW w:w="100" w:type="dxa"/>
            <w:vAlign w:val="bottom"/>
          </w:tcPr>
          <w:p>
            <w:pPr>
              <w:spacing w:after="0"/>
              <w:rPr>
                <w:sz w:val="13"/>
                <w:szCs w:val="13"/>
                <w:color w:val="auto"/>
              </w:rPr>
            </w:pPr>
          </w:p>
        </w:tc>
      </w:tr>
    </w:tbl>
    <w:p>
      <w:pPr>
        <w:spacing w:after="0" w:line="160" w:lineRule="exact"/>
        <w:rPr>
          <w:sz w:val="20"/>
          <w:szCs w:val="20"/>
          <w:color w:val="auto"/>
        </w:rPr>
      </w:pPr>
    </w:p>
    <w:p>
      <w:pPr>
        <w:ind w:left="680" w:right="6920" w:firstLine="7"/>
        <w:spacing w:after="0" w:line="391" w:lineRule="auto"/>
        <w:tabs>
          <w:tab w:leader="none" w:pos="985" w:val="left"/>
        </w:tabs>
        <w:numPr>
          <w:ilvl w:val="0"/>
          <w:numId w:val="16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Summary of Significant Accounting Policies </w:t>
      </w:r>
      <w:r>
        <w:rPr>
          <w:rFonts w:ascii="Arial" w:cs="Arial" w:eastAsia="Arial" w:hAnsi="Arial"/>
          <w:sz w:val="13"/>
          <w:szCs w:val="13"/>
          <w:b w:val="1"/>
          <w:bCs w:val="1"/>
          <w:i w:val="1"/>
          <w:iCs w:val="1"/>
          <w:color w:val="auto"/>
        </w:rPr>
        <w:t>Basis of Presentation</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consolidated financial statements are presented in accordance with accounting principles generally accepted in the United States of America (“GAAP”).</w:t>
      </w:r>
    </w:p>
    <w:p>
      <w:pPr>
        <w:spacing w:after="0" w:line="86"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In preparing the consolidated financial statements for the Predecessor Company and Successor Company, the Company applied ASC 852, which requires that the financial statements for periods subsequent to the Chapter 11 filing distinguish transactions and events that were directly associated</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3" w:name="page214"/>
    <w:bookmarkEnd w:id="2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20"/>
        <w:spacing w:after="0" w:line="248" w:lineRule="auto"/>
        <w:rPr>
          <w:sz w:val="20"/>
          <w:szCs w:val="20"/>
          <w:color w:val="auto"/>
        </w:rPr>
      </w:pPr>
      <w:r>
        <w:rPr>
          <w:rFonts w:ascii="Arial" w:cs="Arial" w:eastAsia="Arial" w:hAnsi="Arial"/>
          <w:sz w:val="13"/>
          <w:szCs w:val="13"/>
          <w:color w:val="auto"/>
        </w:rPr>
        <w:t>with the reorganization from the ongoing operations of the business. Accordingly, certain expenses, realized gains and losses and provisions for losses that were realized or incurred in the Reorganization Proceedings were recorded in reorganization items, net on the accompanying consolidated statements of operations.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Significant accounting policies followed by the Company in the preparation of the accompanying consolidated financial statements are summarized below.</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02"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The consolidated financial statements include the accounts of the Company including its wholly-owned subsidiaries. All significant intercompany transactions and balances are eliminated in consolidation.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preparation of financial statements in accordance with GAAP requires management to make estimates and assumptions that affect the amounts reported in the accompanying consolidated financial statements and disclosures. The most significant estimates and assumptions relate to the fair valuation of acquired assets and assumed liabilities, fair valuation of common shares/units,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88"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 xml:space="preserve">The Company has assessed in accordance with ASC 830, </w:t>
      </w:r>
      <w:r>
        <w:rPr>
          <w:rFonts w:ascii="Arial" w:cs="Arial" w:eastAsia="Arial" w:hAnsi="Arial"/>
          <w:sz w:val="13"/>
          <w:szCs w:val="13"/>
          <w:i w:val="1"/>
          <w:iCs w:val="1"/>
          <w:color w:val="auto"/>
        </w:rPr>
        <w:t>“Foreign Currency Matters,”</w:t>
      </w:r>
      <w:r>
        <w:rPr>
          <w:rFonts w:ascii="Arial" w:cs="Arial" w:eastAsia="Arial" w:hAnsi="Arial"/>
          <w:sz w:val="13"/>
          <w:szCs w:val="13"/>
          <w:color w:val="auto"/>
        </w:rPr>
        <w:t xml:space="preserve"> formerly SFAS No. 52, “</w:t>
      </w:r>
      <w:r>
        <w:rPr>
          <w:rFonts w:ascii="Arial" w:cs="Arial" w:eastAsia="Arial" w:hAnsi="Arial"/>
          <w:sz w:val="13"/>
          <w:szCs w:val="13"/>
          <w:i w:val="1"/>
          <w:iCs w:val="1"/>
          <w:color w:val="auto"/>
        </w:rPr>
        <w:t>Foreign Currency Translation”</w:t>
      </w:r>
      <w:r>
        <w:rPr>
          <w:rFonts w:ascii="Arial" w:cs="Arial" w:eastAsia="Arial" w:hAnsi="Arial"/>
          <w:sz w:val="13"/>
          <w:szCs w:val="13"/>
          <w:color w:val="auto"/>
        </w:rPr>
        <w:t xml:space="preserve"> (“ASC 830”), the functional currency of each of its subsidiaries in Luxembourg, the Netherlands and the United Kingdom and has designated the 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comprehensive income (loss) of stockholders’/unitholders’ equity. Gains and losses due to transactions in currencies other than the functional currency are included as a component of other income (expense) in the statement of operations.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Cash equivalents consist of highly liquid investments with an original maturity date of three months or less.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102"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Restricted cash of $11,768 thousand as of December 31, 2008 was cash in Korea Exchange Bank account and restricted in use according to the forbearance agreement with secured parties in relation to short-term borrowings of $95,000 thousand. Deposit accounts maintained with Korea</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4" w:name="page215"/>
    <w:bookmarkEnd w:id="2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420"/>
        <w:spacing w:after="0" w:line="248" w:lineRule="auto"/>
        <w:rPr>
          <w:sz w:val="20"/>
          <w:szCs w:val="20"/>
          <w:color w:val="auto"/>
        </w:rPr>
      </w:pPr>
      <w:r>
        <w:rPr>
          <w:rFonts w:ascii="Arial" w:cs="Arial" w:eastAsia="Arial" w:hAnsi="Arial"/>
          <w:sz w:val="13"/>
          <w:szCs w:val="13"/>
          <w:color w:val="auto"/>
        </w:rPr>
        <w:t>Exchange Bank were subject to a perfected lien in the name of the collateral trustee for the benefit of the secured parties and were frozen pursuant to the terms of an acceleration notice.</w:t>
      </w:r>
    </w:p>
    <w:p>
      <w:pPr>
        <w:spacing w:after="0" w:line="74"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According to the debt restructuring by the Plan of Reorganization as described in Note 3, cash in Korea Exchange Bank account of $52,015 thousand was released from restriction on the Reorganization Effective Date.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An allowance for doubtful accounts is provided based on the aggregate estimated uncollectability of the Company’s accounts receivable. The Company records an allowance for cash returns, included within accounts receivable, net,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Inventories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Reserves are also established for excess inventory based on inventory levels in excess of six months of projected demand, as judged by management, for each specific product.</w:t>
      </w:r>
    </w:p>
    <w:p>
      <w:pPr>
        <w:spacing w:after="0" w:line="67" w:lineRule="exact"/>
        <w:rPr>
          <w:sz w:val="20"/>
          <w:szCs w:val="20"/>
          <w:color w:val="auto"/>
        </w:rPr>
      </w:pPr>
    </w:p>
    <w:p>
      <w:pPr>
        <w:ind w:left="680" w:right="140" w:firstLine="499"/>
        <w:spacing w:after="0" w:line="253" w:lineRule="auto"/>
        <w:rPr>
          <w:sz w:val="20"/>
          <w:szCs w:val="20"/>
          <w:color w:val="auto"/>
        </w:rPr>
      </w:pPr>
      <w:r>
        <w:rPr>
          <w:rFonts w:ascii="Arial" w:cs="Arial" w:eastAsia="Arial" w:hAnsi="Arial"/>
          <w:sz w:val="13"/>
          <w:szCs w:val="13"/>
          <w:color w:val="auto"/>
        </w:rPr>
        <w:t xml:space="preserve">In addition, as prescribed in ASC 330, </w:t>
      </w:r>
      <w:r>
        <w:rPr>
          <w:rFonts w:ascii="Arial" w:cs="Arial" w:eastAsia="Arial" w:hAnsi="Arial"/>
          <w:sz w:val="13"/>
          <w:szCs w:val="13"/>
          <w:i w:val="1"/>
          <w:iCs w:val="1"/>
          <w:color w:val="auto"/>
        </w:rPr>
        <w:t>“Inventory,”</w:t>
      </w:r>
      <w:r>
        <w:rPr>
          <w:rFonts w:ascii="Arial" w:cs="Arial" w:eastAsia="Arial" w:hAnsi="Arial"/>
          <w:sz w:val="13"/>
          <w:szCs w:val="13"/>
          <w:color w:val="auto"/>
        </w:rPr>
        <w:t xml:space="preserve"> formerly SFAS No. 151 “</w:t>
      </w:r>
      <w:r>
        <w:rPr>
          <w:rFonts w:ascii="Arial" w:cs="Arial" w:eastAsia="Arial" w:hAnsi="Arial"/>
          <w:sz w:val="13"/>
          <w:szCs w:val="13"/>
          <w:i w:val="1"/>
          <w:iCs w:val="1"/>
          <w:color w:val="auto"/>
        </w:rPr>
        <w:t>Inventory costs</w:t>
      </w:r>
      <w:r>
        <w:rPr>
          <w:rFonts w:ascii="Arial" w:cs="Arial" w:eastAsia="Arial" w:hAnsi="Arial"/>
          <w:sz w:val="13"/>
          <w:szCs w:val="13"/>
          <w:color w:val="auto"/>
        </w:rPr>
        <w:t>,”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02"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Property, plant and equipment are stated at cost, less accumulated depreciation. Depreciation is computed using the straight-line method over the estimated useful lives of the assets as set forth below.</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Buildings</w:t>
            </w:r>
          </w:p>
        </w:tc>
        <w:tc>
          <w:tcPr>
            <w:tcW w:w="4920" w:type="dxa"/>
            <w:vAlign w:val="bottom"/>
            <w:shd w:val="clear" w:color="auto" w:fill="CCEEFF"/>
          </w:tcPr>
          <w:p>
            <w:pPr>
              <w:ind w:left="3520"/>
              <w:spacing w:after="0"/>
              <w:rPr>
                <w:sz w:val="20"/>
                <w:szCs w:val="20"/>
                <w:color w:val="auto"/>
              </w:rPr>
            </w:pPr>
            <w:r>
              <w:rPr>
                <w:rFonts w:ascii="Arial" w:cs="Arial" w:eastAsia="Arial" w:hAnsi="Arial"/>
                <w:sz w:val="13"/>
                <w:szCs w:val="13"/>
                <w:color w:val="auto"/>
              </w:rPr>
              <w:t>30 - 40 years</w:t>
            </w:r>
          </w:p>
        </w:tc>
      </w:tr>
      <w:tr>
        <w:trPr>
          <w:trHeight w:val="147"/>
        </w:trPr>
        <w:tc>
          <w:tcPr>
            <w:tcW w:w="5060" w:type="dxa"/>
            <w:vAlign w:val="bottom"/>
          </w:tcPr>
          <w:p>
            <w:pPr>
              <w:spacing w:after="0" w:line="148" w:lineRule="exact"/>
              <w:rPr>
                <w:sz w:val="20"/>
                <w:szCs w:val="20"/>
                <w:color w:val="auto"/>
              </w:rPr>
            </w:pPr>
            <w:r>
              <w:rPr>
                <w:rFonts w:ascii="Arial" w:cs="Arial" w:eastAsia="Arial" w:hAnsi="Arial"/>
                <w:sz w:val="13"/>
                <w:szCs w:val="13"/>
                <w:color w:val="auto"/>
              </w:rPr>
              <w:t>Building related structures</w:t>
            </w:r>
          </w:p>
        </w:tc>
        <w:tc>
          <w:tcPr>
            <w:tcW w:w="4920" w:type="dxa"/>
            <w:vAlign w:val="bottom"/>
          </w:tcPr>
          <w:p>
            <w:pPr>
              <w:ind w:left="3520"/>
              <w:spacing w:after="0" w:line="148" w:lineRule="exact"/>
              <w:rPr>
                <w:sz w:val="20"/>
                <w:szCs w:val="20"/>
                <w:color w:val="auto"/>
              </w:rPr>
            </w:pPr>
            <w:r>
              <w:rPr>
                <w:rFonts w:ascii="Arial" w:cs="Arial" w:eastAsia="Arial" w:hAnsi="Arial"/>
                <w:sz w:val="13"/>
                <w:szCs w:val="13"/>
                <w:color w:val="auto"/>
              </w:rPr>
              <w:t>10 - 20 years</w:t>
            </w:r>
          </w:p>
        </w:tc>
      </w:tr>
      <w:tr>
        <w:trPr>
          <w:trHeight w:val="147"/>
        </w:trPr>
        <w:tc>
          <w:tcPr>
            <w:tcW w:w="50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Machinery and equipment</w:t>
            </w:r>
          </w:p>
        </w:tc>
        <w:tc>
          <w:tcPr>
            <w:tcW w:w="4920" w:type="dxa"/>
            <w:vAlign w:val="bottom"/>
            <w:shd w:val="clear" w:color="auto" w:fill="CCEEFF"/>
          </w:tcPr>
          <w:p>
            <w:pPr>
              <w:ind w:left="3520"/>
              <w:spacing w:after="0" w:line="148" w:lineRule="exact"/>
              <w:rPr>
                <w:sz w:val="20"/>
                <w:szCs w:val="20"/>
                <w:color w:val="auto"/>
              </w:rPr>
            </w:pPr>
            <w:r>
              <w:rPr>
                <w:rFonts w:ascii="Arial" w:cs="Arial" w:eastAsia="Arial" w:hAnsi="Arial"/>
                <w:sz w:val="13"/>
                <w:szCs w:val="13"/>
                <w:color w:val="auto"/>
              </w:rPr>
              <w:t>5 - 10 years</w:t>
            </w:r>
          </w:p>
        </w:tc>
      </w:tr>
      <w:tr>
        <w:trPr>
          <w:trHeight w:val="157"/>
        </w:trPr>
        <w:tc>
          <w:tcPr>
            <w:tcW w:w="5060" w:type="dxa"/>
            <w:vAlign w:val="bottom"/>
          </w:tcPr>
          <w:p>
            <w:pPr>
              <w:spacing w:after="0"/>
              <w:rPr>
                <w:sz w:val="20"/>
                <w:szCs w:val="20"/>
                <w:color w:val="auto"/>
              </w:rPr>
            </w:pPr>
            <w:r>
              <w:rPr>
                <w:rFonts w:ascii="Arial" w:cs="Arial" w:eastAsia="Arial" w:hAnsi="Arial"/>
                <w:sz w:val="13"/>
                <w:szCs w:val="13"/>
                <w:color w:val="auto"/>
              </w:rPr>
              <w:t>Vehicles and others</w:t>
            </w:r>
          </w:p>
        </w:tc>
        <w:tc>
          <w:tcPr>
            <w:tcW w:w="4920" w:type="dxa"/>
            <w:vAlign w:val="bottom"/>
          </w:tcPr>
          <w:p>
            <w:pPr>
              <w:ind w:left="3520"/>
              <w:spacing w:after="0"/>
              <w:rPr>
                <w:sz w:val="20"/>
                <w:szCs w:val="20"/>
                <w:color w:val="auto"/>
              </w:rPr>
            </w:pPr>
            <w:r>
              <w:rPr>
                <w:rFonts w:ascii="Arial" w:cs="Arial" w:eastAsia="Arial" w:hAnsi="Arial"/>
                <w:sz w:val="13"/>
                <w:szCs w:val="13"/>
                <w:color w:val="auto"/>
              </w:rPr>
              <w:t>5 years</w:t>
            </w:r>
          </w:p>
        </w:tc>
      </w:tr>
    </w:tbl>
    <w:p>
      <w:pPr>
        <w:spacing w:after="0" w:line="7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Routine maintenance and repairs are charged to expense as incurred. Expenditures that enhance the value or significantly extend the useful lives of the related assets are capitalized.</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Borrowing costs incurred during the construction period of assets are capitalized as part of the related assets.</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5" w:name="page216"/>
    <w:bookmarkEnd w:id="2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Company reviews property, plant and equipment and other long-lived assets for impairment whenever events or changes in circumstances indicate that the carrying amount may not be recoverable in accordance with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formerly SFAS No. 144, “</w:t>
      </w:r>
      <w:r>
        <w:rPr>
          <w:rFonts w:ascii="Arial" w:cs="Arial" w:eastAsia="Arial" w:hAnsi="Arial"/>
          <w:sz w:val="13"/>
          <w:szCs w:val="13"/>
          <w:i w:val="1"/>
          <w:iCs w:val="1"/>
          <w:color w:val="auto"/>
        </w:rPr>
        <w:t>Accounting for the Impairment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of Long-Lived Assets</w:t>
      </w:r>
      <w:r>
        <w:rPr>
          <w:rFonts w:ascii="Arial" w:cs="Arial" w:eastAsia="Arial" w:hAnsi="Arial"/>
          <w:sz w:val="13"/>
          <w:szCs w:val="13"/>
          <w:color w:val="auto"/>
        </w:rPr>
        <w:t>” (“ASC 360”). Recoverability is measured by comparing its carrying amount with the future net cash flows the assets are expected to generate. If such</w:t>
      </w:r>
      <w:r>
        <w:rPr>
          <w:rFonts w:ascii="Arial" w:cs="Arial" w:eastAsia="Arial" w:hAnsi="Arial"/>
          <w:sz w:val="13"/>
          <w:szCs w:val="13"/>
          <w:i w:val="1"/>
          <w:iCs w:val="1"/>
          <w:color w:val="auto"/>
        </w:rPr>
        <w:t xml:space="preserve"> </w:t>
      </w:r>
      <w:r>
        <w:rPr>
          <w:rFonts w:ascii="Arial" w:cs="Arial" w:eastAsia="Arial" w:hAnsi="Arial"/>
          <w:sz w:val="13"/>
          <w:szCs w:val="13"/>
          <w:color w:val="auto"/>
        </w:rPr>
        <w:t>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Restructuring Charges</w:t>
      </w:r>
    </w:p>
    <w:p>
      <w:pPr>
        <w:spacing w:after="0" w:line="88" w:lineRule="exact"/>
        <w:rPr>
          <w:sz w:val="20"/>
          <w:szCs w:val="20"/>
          <w:color w:val="auto"/>
        </w:rPr>
      </w:pPr>
    </w:p>
    <w:p>
      <w:pPr>
        <w:ind w:left="680" w:right="220" w:firstLine="499"/>
        <w:spacing w:after="0" w:line="253" w:lineRule="auto"/>
        <w:rPr>
          <w:sz w:val="20"/>
          <w:szCs w:val="20"/>
          <w:color w:val="auto"/>
        </w:rPr>
      </w:pPr>
      <w:r>
        <w:rPr>
          <w:rFonts w:ascii="Arial" w:cs="Arial" w:eastAsia="Arial" w:hAnsi="Arial"/>
          <w:sz w:val="13"/>
          <w:szCs w:val="13"/>
          <w:color w:val="auto"/>
        </w:rPr>
        <w:t xml:space="preserve">The Company recognizes restructuring charges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Associated with Exit or Disposal Activities” </w:t>
      </w:r>
      <w:r>
        <w:rPr>
          <w:rFonts w:ascii="Arial" w:cs="Arial" w:eastAsia="Arial" w:hAnsi="Arial"/>
          <w:sz w:val="13"/>
          <w:szCs w:val="13"/>
          <w:color w:val="auto"/>
        </w:rPr>
        <w:t>(“ASC 420”). Certain costs and expenses related to exit or disposal activities are recorded as restructuring charges when</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for those costs and expenses are incurred.</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Lease Transactions</w:t>
      </w:r>
    </w:p>
    <w:p>
      <w:pPr>
        <w:spacing w:after="0" w:line="102"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The Company accounts for lease transactions as either operating leases or capital leases, depending on the terms of the underlying lease agreements. Machinery and equipment acquired under capital lease agreements are recorded at the lower of the present value of future minimum lease payments and estimated fair value of leased property. Property, plant and equipment are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shorter of the estimated useful lives of leased property and lease term.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Software</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Company capitalizes certain external costs that are incurred to purchase and implement internal-use computer software. Direct costs relating to the development of software for internal use are capitalized after technological feasibility has been established, in accordance with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formerly Statements of Position (“SOP”) No. 98-1, “</w:t>
      </w:r>
      <w:r>
        <w:rPr>
          <w:rFonts w:ascii="Arial" w:cs="Arial" w:eastAsia="Arial" w:hAnsi="Arial"/>
          <w:sz w:val="13"/>
          <w:szCs w:val="13"/>
          <w:i w:val="1"/>
          <w:iCs w:val="1"/>
          <w:color w:val="auto"/>
        </w:rPr>
        <w:t>Accounting for the Costs of Computer Software Developed or Obtained for Internal Use”</w:t>
      </w:r>
      <w:r>
        <w:rPr>
          <w:rFonts w:ascii="Arial" w:cs="Arial" w:eastAsia="Arial" w:hAnsi="Arial"/>
          <w:sz w:val="13"/>
          <w:szCs w:val="13"/>
          <w:color w:val="auto"/>
        </w:rPr>
        <w:t xml:space="preserve"> (“ASC 350”). Depreciation is calculated on a straight-line basis over the software’s estimated useful life, which is usually five years.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Intangible assets other than intellectual property include technology and customer relationships which are amortized on a straight-line basis over periods ranging from four to eight years. Other intellectual property assets acquired represent rights under patents, trademarks and property use rights and are amortized over the periods of benefit, ranging up to ten years, on a straight-line basis.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Goodwill</w:t>
      </w:r>
    </w:p>
    <w:p>
      <w:pPr>
        <w:spacing w:after="0" w:line="102"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 xml:space="preserve">Goodwill is evaluated for impairment by comparing the fair value and carrying amount of the reporting unit to which the goodwill relates. Specifically, the Company uses the two-step method for evaluating goodwill for impairment as prescribed in ASC 350, </w:t>
      </w:r>
      <w:r>
        <w:rPr>
          <w:rFonts w:ascii="Arial" w:cs="Arial" w:eastAsia="Arial" w:hAnsi="Arial"/>
          <w:sz w:val="13"/>
          <w:szCs w:val="13"/>
          <w:i w:val="1"/>
          <w:iCs w:val="1"/>
          <w:color w:val="auto"/>
        </w:rPr>
        <w:t>“Intangibles-Goodwill and Other,”</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6" w:name="page217"/>
    <w:bookmarkEnd w:id="2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30" w:lineRule="exact"/>
        <w:rPr>
          <w:sz w:val="20"/>
          <w:szCs w:val="20"/>
          <w:color w:val="auto"/>
        </w:rPr>
      </w:pPr>
    </w:p>
    <w:p>
      <w:pPr>
        <w:ind w:left="680" w:right="20"/>
        <w:spacing w:after="0" w:line="247" w:lineRule="auto"/>
        <w:rPr>
          <w:sz w:val="20"/>
          <w:szCs w:val="20"/>
          <w:color w:val="auto"/>
        </w:rPr>
      </w:pPr>
      <w:r>
        <w:rPr>
          <w:rFonts w:ascii="Arial" w:cs="Arial" w:eastAsia="Arial" w:hAnsi="Arial"/>
          <w:sz w:val="13"/>
          <w:szCs w:val="13"/>
          <w:color w:val="auto"/>
        </w:rPr>
        <w:t>formerly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(“ASC 350”). In the first step, the fair value of a reporting unit is compared to the carrying amount of such reporting unit. If the carrying amount exceeds the fair value, a potential impairment condition exists. In the second step, impairment is measured as the excess of the carrying amount of reporting unit goodwill over the implied fair value of reporting unit goodwill. If the fair value of a reporting unit exceeds its carrying amount, goodwill of the reporting unit is considered not impaired, and thus the second step of the impairment test is unnecessary.</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Fair Value Disclosures of Financial Instruments</w:t>
      </w:r>
    </w:p>
    <w:p>
      <w:pPr>
        <w:spacing w:after="0" w:line="88" w:lineRule="exact"/>
        <w:rPr>
          <w:sz w:val="20"/>
          <w:szCs w:val="20"/>
          <w:color w:val="auto"/>
        </w:rPr>
      </w:pPr>
    </w:p>
    <w:p>
      <w:pPr>
        <w:ind w:left="680" w:right="60" w:firstLine="499"/>
        <w:spacing w:after="0" w:line="245" w:lineRule="auto"/>
        <w:rPr>
          <w:sz w:val="20"/>
          <w:szCs w:val="20"/>
          <w:color w:val="auto"/>
        </w:rPr>
      </w:pPr>
      <w:r>
        <w:rPr>
          <w:rFonts w:ascii="Arial" w:cs="Arial" w:eastAsia="Arial" w:hAnsi="Arial"/>
          <w:sz w:val="13"/>
          <w:szCs w:val="13"/>
          <w:color w:val="auto"/>
        </w:rPr>
        <w:t>The Company has adopted and follows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(“ASC 820”) for measurement and disclosures about fair value of its financial instruments. ASC 820 establishes a framework for measuring fair value in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77"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Level 1 — Inputs are unadjusted, quoted prices in active markets for identical assets or liabilities at the measurement date.</w:t>
      </w:r>
    </w:p>
    <w:p>
      <w:pPr>
        <w:spacing w:after="0" w:line="86" w:lineRule="exact"/>
        <w:rPr>
          <w:sz w:val="20"/>
          <w:szCs w:val="20"/>
          <w:color w:val="auto"/>
        </w:rPr>
      </w:pPr>
    </w:p>
    <w:p>
      <w:pPr>
        <w:ind w:left="1180" w:right="20" w:firstLine="474"/>
        <w:spacing w:after="0" w:line="248" w:lineRule="auto"/>
        <w:rPr>
          <w:sz w:val="20"/>
          <w:szCs w:val="20"/>
          <w:color w:val="auto"/>
        </w:rPr>
      </w:pPr>
      <w:r>
        <w:rPr>
          <w:rFonts w:ascii="Arial" w:cs="Arial" w:eastAsia="Arial" w:hAnsi="Arial"/>
          <w:sz w:val="13"/>
          <w:szCs w:val="13"/>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74" w:lineRule="exact"/>
        <w:rPr>
          <w:sz w:val="20"/>
          <w:szCs w:val="20"/>
          <w:color w:val="auto"/>
        </w:rPr>
      </w:pPr>
    </w:p>
    <w:p>
      <w:pPr>
        <w:ind w:left="1180" w:right="20" w:firstLine="474"/>
        <w:spacing w:after="0" w:line="242" w:lineRule="auto"/>
        <w:rPr>
          <w:sz w:val="20"/>
          <w:szCs w:val="20"/>
          <w:color w:val="auto"/>
        </w:rPr>
      </w:pPr>
      <w:r>
        <w:rPr>
          <w:rFonts w:ascii="Arial" w:cs="Arial" w:eastAsia="Arial" w:hAnsi="Arial"/>
          <w:sz w:val="13"/>
          <w:szCs w:val="13"/>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and cash equivalents, accounts receivable, other receivables, accounts payable and other accounts payable approximate their fair values because of the short maturity of these instruments.</w:t>
      </w:r>
    </w:p>
    <w:p>
      <w:pPr>
        <w:spacing w:after="0" w:line="81"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The fair value of the Successor Company’s available for sale securities is based on the quoted prices in an active market and was $0.7 million as of December 31, 2009. The estimated fair value of the Predecessor Company’s debt was $33.5 million as of December 31, 2008.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7" w:name="page218"/>
    <w:bookmarkEnd w:id="2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Accrued Severance Benefits</w:t>
      </w:r>
    </w:p>
    <w:p>
      <w:pPr>
        <w:spacing w:after="0" w:line="102"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The majority of accrued severance benefits is for employees in the Company’s Korean subsidiary.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79"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Accrued severance benefits are funded through a group severance insurance plan. The amounts funded under this insurance plan are classified as a reduction of the accrued severance benefits. Subsequent accruals are to be funded at the discretion of the Company.</w:t>
      </w:r>
    </w:p>
    <w:p>
      <w:pPr>
        <w:spacing w:after="0" w:line="7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recognized either upon shipment, upon delivery of the product at the customer’s location or upon customer acceptance, depending on the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the Company recognizes revenue the earlier of the written notification or the pre-determined period from date of delivery. The Company’s revenue recognition policy is consistent across its product lines, marketing venues, and all geographic areas.</w:t>
      </w:r>
    </w:p>
    <w:p>
      <w:pPr>
        <w:spacing w:after="0" w:line="83"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In accordance with revenue recognition guidance, any tax assessed by a governmental authority that is directly imposed on a revenue-producing transaction between a seller and a customer is presented in the statements of income on a net basis (excluded from revenues).</w:t>
      </w:r>
    </w:p>
    <w:p>
      <w:pPr>
        <w:spacing w:after="0" w:line="74"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The Company’s customers can return defective products, including products that do not meet the yield criteria. The Company accrues for the estimated costs that may be incurred for the defective products. In addition, the Company offers discounts to customers who make early payments. The Company estimates the amount to be paid to customers based on historical experience and expected rate of discount. The estimated discount amount is recorded as a deduction from net sales.</w:t>
      </w:r>
    </w:p>
    <w:p>
      <w:pPr>
        <w:spacing w:after="0" w:line="79" w:lineRule="exact"/>
        <w:rPr>
          <w:sz w:val="20"/>
          <w:szCs w:val="20"/>
          <w:color w:val="auto"/>
        </w:rPr>
      </w:pPr>
    </w:p>
    <w:p>
      <w:pPr>
        <w:jc w:val="both"/>
        <w:ind w:left="680" w:firstLine="499"/>
        <w:spacing w:after="0" w:line="242" w:lineRule="auto"/>
        <w:rPr>
          <w:sz w:val="20"/>
          <w:szCs w:val="20"/>
          <w:color w:val="auto"/>
        </w:rPr>
      </w:pPr>
      <w:r>
        <w:rPr>
          <w:rFonts w:ascii="Arial" w:cs="Arial" w:eastAsia="Arial" w:hAnsi="Arial"/>
          <w:sz w:val="13"/>
          <w:szCs w:val="13"/>
          <w:color w:val="auto"/>
        </w:rPr>
        <w:t>Other than product warranty obligations and customer acceptance provisions, sales contracts do not include any other post-shipment obligations that could have an impact on revenue recognition. In addition, the Company does not currently provide any credits, rebates or price protection or similar privileges that could have an impact on revenue recognition.</w:t>
      </w:r>
    </w:p>
    <w:p>
      <w:pPr>
        <w:spacing w:after="0" w:line="79" w:lineRule="exact"/>
        <w:rPr>
          <w:sz w:val="20"/>
          <w:szCs w:val="20"/>
          <w:color w:val="auto"/>
        </w:rPr>
      </w:pPr>
    </w:p>
    <w:p>
      <w:pPr>
        <w:ind w:left="680" w:right="220" w:firstLine="499"/>
        <w:spacing w:after="0" w:line="242" w:lineRule="auto"/>
        <w:rPr>
          <w:sz w:val="20"/>
          <w:szCs w:val="20"/>
          <w:color w:val="auto"/>
        </w:rPr>
      </w:pPr>
      <w:r>
        <w:rPr>
          <w:rFonts w:ascii="Arial" w:cs="Arial" w:eastAsia="Arial" w:hAnsi="Arial"/>
          <w:sz w:val="13"/>
          <w:szCs w:val="13"/>
          <w:color w:val="auto"/>
        </w:rPr>
        <w:t>All amounts billed to a customer related to shipping and handling are classified as sales while all costs incurred by the Company for shipping and handling are classified as selling expenses. The amounts charged to selling expenses were $207 thousand, $752 thousand, $1,295 thousand and $1,407 thousand for the two-month period ended December 31, 2009, for the ten-month period ended October 25, 2009 and for the years ended December 31, 2008 and 2007, respectively.</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8" w:name="page219"/>
    <w:bookmarkEnd w:id="2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88" w:lineRule="exact"/>
        <w:rPr>
          <w:sz w:val="20"/>
          <w:szCs w:val="20"/>
          <w:color w:val="auto"/>
        </w:rPr>
      </w:pPr>
    </w:p>
    <w:p>
      <w:pPr>
        <w:ind w:left="680" w:right="580" w:firstLine="499"/>
        <w:spacing w:after="0" w:line="270" w:lineRule="auto"/>
        <w:rPr>
          <w:sz w:val="20"/>
          <w:szCs w:val="20"/>
          <w:color w:val="auto"/>
        </w:rPr>
      </w:pPr>
      <w:r>
        <w:rPr>
          <w:rFonts w:ascii="Arial" w:cs="Arial" w:eastAsia="Arial" w:hAnsi="Arial"/>
          <w:sz w:val="13"/>
          <w:szCs w:val="13"/>
          <w:color w:val="auto"/>
        </w:rPr>
        <w:t xml:space="preserve">The Company applies the provisions of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formerly SFAS No. 133, </w:t>
      </w:r>
      <w:r>
        <w:rPr>
          <w:rFonts w:ascii="Arial" w:cs="Arial" w:eastAsia="Arial" w:hAnsi="Arial"/>
          <w:sz w:val="13"/>
          <w:szCs w:val="13"/>
          <w:i w:val="1"/>
          <w:iCs w:val="1"/>
          <w:color w:val="auto"/>
        </w:rPr>
        <w:t>“Accounting for Derivative Instruments and Hedging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815”). This Statement requires the recognition of all derivative instruments as either assets or liabilities measured at fair value.</w:t>
      </w:r>
    </w:p>
    <w:p>
      <w:pPr>
        <w:spacing w:after="0" w:line="6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22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 accordance with ASC 815, changes in the fair value of derivative instruments that are cash flows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Advertising</w:t>
      </w:r>
    </w:p>
    <w:p>
      <w:pPr>
        <w:spacing w:after="0" w:line="102"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expenses advertising costs as incurred. Advertising expense was approximately $25 thousand, $70 thousand, $ 165 thousand and $ 146 thousand for the two-month period ended December 31, 2009, for the ten-month period ended October 25, 2009 and for the years ended December 31, 2008 and 2007, respectively.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Product Warranties</w:t>
      </w:r>
    </w:p>
    <w:p>
      <w:pPr>
        <w:spacing w:after="0" w:line="102"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2"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Research and development costs are expensed as incurred and include wafers, masks, employee expenses, contractor fees, building costs, utilities and administrative expenses. Acquired IPR&amp;D assets are considered indefinite-lived intangible assets and are not subject to amortization. An IPR&amp;D asset must be tested for impairment annually or more frequently if events or changes in circumstances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19" w:name="page220"/>
    <w:bookmarkEnd w:id="2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indicate that the asset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Licensed Patents and Technologies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Company has entered into a number of royalty agreements to license patents and technology used in the design of its products. The Company carries two types of royalties, lump-sum or running basis. Lump-sum royalties which require initial payments, usually paid in installments, represent a non-refundable commitment, such that the total present value of these payments is recorded as a liability upon execution of the agreements and the costs are amortized over the contract period using the straight-line method and charged to research and development expenses in the statements of operations.</w:t>
      </w:r>
    </w:p>
    <w:p>
      <w:pPr>
        <w:spacing w:after="0" w:line="80"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Running royalty is paid based on the revenue of related products sold by the Company. For example, the Company entered into an agreement with a semiconductor design company, who comprised 88.4%, 94.4%, 92.4% and 88.2% of total running royalty expenses in the two-month period ended December 31, 2009, the ten-month period ended October 25, 2009 and the years ended December 31, 2008 and 2007, respectively. Pursuant to the agreement with the semiconductor design company, royalty rates range from 2.5% to 6% of the related product revenue and payment is made monthly, and is charged to selling, general and administrative expenses in the statements of operations as incurred.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Stock/Unit-Based Compensation</w:t>
      </w:r>
    </w:p>
    <w:p>
      <w:pPr>
        <w:spacing w:after="0" w:line="88"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 xml:space="preserve">The Company follows the provisions of 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formerly SFAS 123(R), “</w:t>
      </w:r>
      <w:r>
        <w:rPr>
          <w:rFonts w:ascii="Arial" w:cs="Arial" w:eastAsia="Arial" w:hAnsi="Arial"/>
          <w:sz w:val="13"/>
          <w:szCs w:val="13"/>
          <w:i w:val="1"/>
          <w:iCs w:val="1"/>
          <w:color w:val="auto"/>
        </w:rPr>
        <w:t>Share-Based Payment (revised 2004)</w:t>
      </w:r>
      <w:r>
        <w:rPr>
          <w:rFonts w:ascii="Arial" w:cs="Arial" w:eastAsia="Arial" w:hAnsi="Arial"/>
          <w:sz w:val="13"/>
          <w:szCs w:val="13"/>
          <w:color w:val="auto"/>
        </w:rPr>
        <w:t>” (“ASC 718”). Under ASC 718, stock/unit-based compensation cost is measured at grant date, based on the fair value of the award, and is recognized as expense over the requisite service period. As permitted under ASC 718, the Company elected to recognize compensation expense for all options with graded vesting based on the graded attribution method.</w:t>
      </w:r>
    </w:p>
    <w:p>
      <w:pPr>
        <w:spacing w:after="0" w:line="22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share/unit. 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 The Company estimates the fair value of the underlying common stock/unit because there is no public trading market for its common stock/units.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Earnings per Share/Unit</w:t>
      </w:r>
    </w:p>
    <w:p>
      <w:pPr>
        <w:spacing w:after="0" w:line="88" w:lineRule="exact"/>
        <w:rPr>
          <w:sz w:val="20"/>
          <w:szCs w:val="20"/>
          <w:color w:val="auto"/>
        </w:rPr>
      </w:pPr>
    </w:p>
    <w:p>
      <w:pPr>
        <w:ind w:left="680" w:right="520" w:firstLine="499"/>
        <w:spacing w:after="0" w:line="270" w:lineRule="auto"/>
        <w:rPr>
          <w:sz w:val="20"/>
          <w:szCs w:val="20"/>
          <w:color w:val="auto"/>
        </w:rPr>
      </w:pPr>
      <w:r>
        <w:rPr>
          <w:rFonts w:ascii="Arial" w:cs="Arial" w:eastAsia="Arial" w:hAnsi="Arial"/>
          <w:sz w:val="13"/>
          <w:szCs w:val="13"/>
          <w:color w:val="auto"/>
        </w:rPr>
        <w:t xml:space="preserve">In accordance with ASC 260,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formerly SFAS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(ASC 260), the Company computes basic earnings from continuing operations per share/unit and basic</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0" w:name="page221"/>
    <w:bookmarkEnd w:id="2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180"/>
        <w:spacing w:after="0" w:line="239" w:lineRule="auto"/>
        <w:rPr>
          <w:sz w:val="20"/>
          <w:szCs w:val="20"/>
          <w:color w:val="auto"/>
        </w:rPr>
      </w:pPr>
      <w:r>
        <w:rPr>
          <w:rFonts w:ascii="Arial" w:cs="Arial" w:eastAsia="Arial" w:hAnsi="Arial"/>
          <w:sz w:val="13"/>
          <w:szCs w:val="13"/>
          <w:color w:val="auto"/>
        </w:rPr>
        <w:t>earnings per share/unit by dividing income from continuing operations available to common stockholders/unitholders and net income available to common stockholders/unitholders, respectively, by the weighted average number of common units outstanding during the period which would include, to the extent their effect is dilutive, redeemable convertible preferred units, options to purchase common stock/units and restricted stock/units. Diluted earnings per share/unit reflect the dilution of potential common stock/units outstanding during the period. In determining the hypothetical shares/units repurchased, the Company uses the average share/unit price for the period.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680" w:right="260" w:firstLine="499"/>
        <w:spacing w:after="0" w:line="242" w:lineRule="auto"/>
        <w:rPr>
          <w:sz w:val="20"/>
          <w:szCs w:val="20"/>
          <w:color w:val="auto"/>
        </w:rPr>
      </w:pPr>
      <w:r>
        <w:rPr>
          <w:rFonts w:ascii="Arial" w:cs="Arial" w:eastAsia="Arial" w:hAnsi="Arial"/>
          <w:sz w:val="13"/>
          <w:szCs w:val="13"/>
          <w:color w:val="auto"/>
        </w:rPr>
        <w:t>Prior to its conversion to a corporation, MagnaChip Semiconductor Corporation elected to be treated as a partnership for U.S. federal income tax purposes and therefore was not subject to income taxes on its income. Taxes on its income were the responsibility of the individual equity owners of MagnaChip Semiconductor Corporation. The Company operates a number of subsidiaries that are subject to local income taxes in those markets.</w:t>
      </w:r>
    </w:p>
    <w:p>
      <w:pPr>
        <w:spacing w:after="0" w:line="65"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 xml:space="preserve">The Company accounts for income taxes in accordance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65"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Company follows Financial Accounting Standards Board (“FASB”) interpretation No. 48, “</w:t>
      </w:r>
      <w:r>
        <w:rPr>
          <w:rFonts w:ascii="Arial" w:cs="Arial" w:eastAsia="Arial" w:hAnsi="Arial"/>
          <w:sz w:val="13"/>
          <w:szCs w:val="13"/>
          <w:i w:val="1"/>
          <w:iCs w:val="1"/>
          <w:color w:val="auto"/>
        </w:rPr>
        <w:t>Accounting for Uncertainty in Income Taxes — an interpretation of</w:t>
      </w:r>
      <w:r>
        <w:rPr>
          <w:rFonts w:ascii="Arial" w:cs="Arial" w:eastAsia="Arial" w:hAnsi="Arial"/>
          <w:sz w:val="13"/>
          <w:szCs w:val="13"/>
          <w:color w:val="auto"/>
        </w:rPr>
        <w:t xml:space="preserve"> </w:t>
      </w:r>
      <w:r>
        <w:rPr>
          <w:rFonts w:ascii="Arial" w:cs="Arial" w:eastAsia="Arial" w:hAnsi="Arial"/>
          <w:sz w:val="13"/>
          <w:szCs w:val="13"/>
          <w:i w:val="1"/>
          <w:iCs w:val="1"/>
          <w:color w:val="auto"/>
        </w:rPr>
        <w:t>FASB Statement No. 109,</w:t>
      </w:r>
      <w:r>
        <w:rPr>
          <w:rFonts w:ascii="Arial" w:cs="Arial" w:eastAsia="Arial" w:hAnsi="Arial"/>
          <w:sz w:val="13"/>
          <w:szCs w:val="13"/>
          <w:color w:val="auto"/>
        </w:rPr>
        <w:t>” codified as ASC 740, which prescribes a recognition threshold and measurement attribute for tax positions taken or expected to be taken in a tax</w:t>
      </w:r>
      <w:r>
        <w:rPr>
          <w:rFonts w:ascii="Arial" w:cs="Arial" w:eastAsia="Arial" w:hAnsi="Arial"/>
          <w:sz w:val="13"/>
          <w:szCs w:val="13"/>
          <w:i w:val="1"/>
          <w:iCs w:val="1"/>
          <w:color w:val="auto"/>
        </w:rPr>
        <w:t xml:space="preserve"> </w:t>
      </w:r>
      <w:r>
        <w:rPr>
          <w:rFonts w:ascii="Arial" w:cs="Arial" w:eastAsia="Arial" w:hAnsi="Arial"/>
          <w:sz w:val="13"/>
          <w:szCs w:val="13"/>
          <w:color w:val="auto"/>
        </w:rPr>
        <w:t>return. This interpretation also provides guidance on de-recognition, classification, interest and penalties, accounting in interim periods, disclosure and transition. The evaluation of a tax position in accordance with this interpretation is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 Differences between tax positions taken in a tax return and amounts recognized in the financial statements will generally result in (a) an increase in a liability for income taxes payable or a reduction of an income tax refund receivable, (b) a reduction in a deferred tax asset or an increase in a deferred tax liability or (c) both (a) and (b).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Use of a valuation allowance as described in ASC 740 is not an appropriate substitute for the de-recognition of a tax position. The requirement to assess the need for a valuation allowance for deferred tax assets based on sufficiency of future taxable income is unchanged by this interpretation.</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1" w:name="page222"/>
    <w:bookmarkEnd w:id="2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02" w:lineRule="exact"/>
        <w:rPr>
          <w:sz w:val="20"/>
          <w:szCs w:val="20"/>
          <w:color w:val="auto"/>
        </w:rPr>
      </w:pPr>
    </w:p>
    <w:p>
      <w:pPr>
        <w:ind w:left="680" w:right="220" w:firstLine="499"/>
        <w:spacing w:after="0" w:line="239" w:lineRule="auto"/>
        <w:rPr>
          <w:sz w:val="20"/>
          <w:szCs w:val="20"/>
          <w:color w:val="auto"/>
        </w:rPr>
      </w:pPr>
      <w:r>
        <w:rPr>
          <w:rFonts w:ascii="Arial" w:cs="Arial" w:eastAsia="Arial" w:hAnsi="Arial"/>
          <w:sz w:val="13"/>
          <w:szCs w:val="13"/>
          <w:color w:val="auto"/>
        </w:rPr>
        <w:t>The Company has determined, based on the nature of its operations and products offered to customers, that its reportable segments are Display Solutions, Semiconductor Manufacturing Services and Power Solutions. The Display Solutions segment’s primary products are flat panel display drivers and the Semiconductor Manufacturing Services segment provides for wafer foundry services to clients. The Power Solutions segment’s products are designed for applications such as mobile phones, LCD televisions and desktop computers, and allow electronics manufacturers to achieve specific design goals of high efficiency and low standby power consumption. Net sales and gross profit for the “All other” category primarily relate to certain business activities that do not constitute operating or reportable segments.</w:t>
      </w:r>
    </w:p>
    <w:p>
      <w:pPr>
        <w:spacing w:after="0" w:line="67" w:lineRule="exact"/>
        <w:rPr>
          <w:sz w:val="20"/>
          <w:szCs w:val="20"/>
          <w:color w:val="auto"/>
        </w:rPr>
      </w:pPr>
    </w:p>
    <w:p>
      <w:pPr>
        <w:ind w:left="680" w:right="120" w:firstLine="499"/>
        <w:spacing w:after="0" w:line="245" w:lineRule="auto"/>
        <w:rPr>
          <w:sz w:val="20"/>
          <w:szCs w:val="20"/>
          <w:color w:val="auto"/>
        </w:rPr>
      </w:pPr>
      <w:r>
        <w:rPr>
          <w:rFonts w:ascii="Arial" w:cs="Arial" w:eastAsia="Arial" w:hAnsi="Arial"/>
          <w:sz w:val="13"/>
          <w:szCs w:val="13"/>
          <w:color w:val="auto"/>
        </w:rPr>
        <w:t xml:space="preserve">The Company’s chief operating decision maker (“CODM”) as defined by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xml:space="preserve"> formerly SFAS 131, “</w:t>
      </w:r>
      <w:r>
        <w:rPr>
          <w:rFonts w:ascii="Arial" w:cs="Arial" w:eastAsia="Arial" w:hAnsi="Arial"/>
          <w:sz w:val="13"/>
          <w:szCs w:val="13"/>
          <w:i w:val="1"/>
          <w:iCs w:val="1"/>
          <w:color w:val="auto"/>
        </w:rPr>
        <w:t>Disclosure about Segments of an</w:t>
      </w:r>
      <w:r>
        <w:rPr>
          <w:rFonts w:ascii="Arial" w:cs="Arial" w:eastAsia="Arial" w:hAnsi="Arial"/>
          <w:sz w:val="13"/>
          <w:szCs w:val="13"/>
          <w:color w:val="auto"/>
        </w:rPr>
        <w:t xml:space="preserve"> </w:t>
      </w:r>
      <w:r>
        <w:rPr>
          <w:rFonts w:ascii="Arial" w:cs="Arial" w:eastAsia="Arial" w:hAnsi="Arial"/>
          <w:sz w:val="13"/>
          <w:szCs w:val="13"/>
          <w:i w:val="1"/>
          <w:iCs w:val="1"/>
          <w:color w:val="auto"/>
        </w:rPr>
        <w:t>Enterprise and Related Information</w:t>
      </w:r>
      <w:r>
        <w:rPr>
          <w:rFonts w:ascii="Arial" w:cs="Arial" w:eastAsia="Arial" w:hAnsi="Arial"/>
          <w:sz w:val="13"/>
          <w:szCs w:val="13"/>
          <w:color w:val="auto"/>
        </w:rPr>
        <w:t>” (“ASC 280”), allocates resources to and assesses the performance of each segment using information about its revenue and gross</w:t>
      </w:r>
      <w:r>
        <w:rPr>
          <w:rFonts w:ascii="Arial" w:cs="Arial" w:eastAsia="Arial" w:hAnsi="Arial"/>
          <w:sz w:val="13"/>
          <w:szCs w:val="13"/>
          <w:i w:val="1"/>
          <w:iCs w:val="1"/>
          <w:color w:val="auto"/>
        </w:rPr>
        <w:t xml:space="preserve"> </w:t>
      </w:r>
      <w:r>
        <w:rPr>
          <w:rFonts w:ascii="Arial" w:cs="Arial" w:eastAsia="Arial" w:hAnsi="Arial"/>
          <w:sz w:val="13"/>
          <w:szCs w:val="13"/>
          <w:color w:val="auto"/>
        </w:rPr>
        <w:t>profit. The Company does 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77"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 xml:space="preserve">On October 6, 2008, the Company announced the closure of its Imaging Solutions reporting unit. As of December 31, 2008, the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Accordingly, the results of operations of the Imaging Solutions business and reportable segment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discontinued operations. All prior period information has been reclassified to reflect this presentation on the statements of operations. Unless noted otherwise, discussions in these notes pertain to the Company’s continuing operations.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8"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In June 2009, the FASB issued the Accounting Standards Codification (“ASC”) Subtopic 105 “</w:t>
      </w:r>
      <w:r>
        <w:rPr>
          <w:rFonts w:ascii="Arial" w:cs="Arial" w:eastAsia="Arial" w:hAnsi="Arial"/>
          <w:sz w:val="13"/>
          <w:szCs w:val="13"/>
          <w:i w:val="1"/>
          <w:iCs w:val="1"/>
          <w:color w:val="auto"/>
        </w:rPr>
        <w:t>Generally Accepted Accounting Principles</w:t>
      </w:r>
      <w:r>
        <w:rPr>
          <w:rFonts w:ascii="Arial" w:cs="Arial" w:eastAsia="Arial" w:hAnsi="Arial"/>
          <w:sz w:val="13"/>
          <w:szCs w:val="13"/>
          <w:color w:val="auto"/>
        </w:rPr>
        <w:t>,” which establishes the Accounting Standards Codification as the single source of authoritative accounting principles recognized by the FASB to be applied by nongovernmental entities in the preparation of financial statements in conformity with GAAP. Rules and interpretive releases of the Securities and Exchange Commission (“SEC”) under authority of federal securities laws are also sources of authoritative GAAP for SEC registrants. The subsequent issuances of new standards will be in the form of Accounting Standards Updates that will be included in the codification. This guidance is effective for financial statements issued for interim and annual periods ending after September 15, 2009. The adoption of this guidance did not have a material effect on the Company’s consolidated financial position, results of operations or cash flows, since the codification is not intended to change GAAP.</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222" w:name="page223"/>
    <w:bookmarkEnd w:id="2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30"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color w:val="auto"/>
        </w:rPr>
        <w:t>In May 2009, the FASB issued authoritative guidance included in ASC Subtopic 855 “</w:t>
      </w:r>
      <w:r>
        <w:rPr>
          <w:rFonts w:ascii="Arial" w:cs="Arial" w:eastAsia="Arial" w:hAnsi="Arial"/>
          <w:sz w:val="13"/>
          <w:szCs w:val="13"/>
          <w:i w:val="1"/>
          <w:iCs w:val="1"/>
          <w:color w:val="auto"/>
        </w:rPr>
        <w:t>Subsequent Events</w:t>
      </w:r>
      <w:r>
        <w:rPr>
          <w:rFonts w:ascii="Arial" w:cs="Arial" w:eastAsia="Arial" w:hAnsi="Arial"/>
          <w:sz w:val="13"/>
          <w:szCs w:val="13"/>
          <w:color w:val="auto"/>
        </w:rPr>
        <w:t>,” which establishes general standards of accounting for and disclosure of events that occur after the balance sheet date, but before financial statements are issued or are available to be issued. Specifically, this guidance provides</w:t>
      </w:r>
    </w:p>
    <w:p>
      <w:pPr>
        <w:spacing w:after="0" w:line="1" w:lineRule="exact"/>
        <w:rPr>
          <w:sz w:val="20"/>
          <w:szCs w:val="20"/>
          <w:color w:val="auto"/>
        </w:rPr>
      </w:pPr>
    </w:p>
    <w:p>
      <w:pPr>
        <w:ind w:left="680" w:right="120" w:firstLine="7"/>
        <w:spacing w:after="0" w:line="239" w:lineRule="auto"/>
        <w:tabs>
          <w:tab w:leader="none" w:pos="833"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period after the balance sheet date during which management of a reporting entity should evaluate events or transactions that may occur for potential recognition or disclosure in the financial statements; (ii) the circumstances under which an entity should recognize events or transactions occurring after the balance sheet date in its financial statements; and (iii) the disclosures that an entity should make about events or transactions that occurred after the balance sheet date. This guidance is effective for interim or annual financial periods ending after June 15, 2009, and is to be applied prospectively. The adoption of this guidance did not have a material effect on the Company’s consolidated financial position, results of operations or cash flows.</w:t>
      </w:r>
    </w:p>
    <w:p>
      <w:pPr>
        <w:spacing w:after="0" w:line="67"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 xml:space="preserve">In December 2007, the FASB issued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(“ASC 805”), which replaces FASB Statement No. 141. ASC 805 establishes principles and requirements for how an acquirer recognizes and measures in its financial statements the identifiable assets acquired, the liabilities assumed, any non-controlling interest in the acquiree and the goodwill acquired. This guidance also establishes disclosure requirements that enable users to evaluate the nature and financial effects of the business combination. ASC 805 is effective as of the beginning of an entity’s fiscal year that begins after December 15, 2008. This guidance requires the fair value of acquired IPR&amp;D to be recorded as indefinite lived intangibles. IPR&amp;D was previously expensed at the time of the acquisition. The adoption of ASC 805 had a material impact on the Company’s consolidated financial position and results of operations through the recognition of $9.7 million of IPR&amp;D as intangibles.</w:t>
      </w:r>
    </w:p>
    <w:p>
      <w:pPr>
        <w:spacing w:after="0" w:line="65"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 xml:space="preserve">In December 2007,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160, “</w:t>
      </w:r>
      <w:r>
        <w:rPr>
          <w:rFonts w:ascii="Arial" w:cs="Arial" w:eastAsia="Arial" w:hAnsi="Arial"/>
          <w:sz w:val="13"/>
          <w:szCs w:val="13"/>
          <w:i w:val="1"/>
          <w:iCs w:val="1"/>
          <w:color w:val="auto"/>
        </w:rPr>
        <w:t>Noncontrolling Interests in Consolidated Financial Statement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amendments of ARB No. 51” </w:t>
      </w:r>
      <w:r>
        <w:rPr>
          <w:rFonts w:ascii="Arial" w:cs="Arial" w:eastAsia="Arial" w:hAnsi="Arial"/>
          <w:sz w:val="13"/>
          <w:szCs w:val="13"/>
          <w:color w:val="auto"/>
        </w:rPr>
        <w:t>(“ASC 810”). ASC 810 states that accounting and reporting for minority interests will be recharacterized as noncontrolling interests and</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a component of equity. ASC 810 also establishes reporting requirements that provide sufficient disclosures that clearly identify and distinguish between the interests of the parent and the interests of the noncontrolling owners. ASC 810 applies to all entities that prepare consolidated financial statements, except not-for-profit organizations, but will affect only those entities that have an outstanding noncontrolling interest in one or more subsidiaries or that deconsolidate a subsidiary. This guidance is effective as of the beginning of an entity’s first fiscal year beginning after December 15, 2008. The adoption of ASC 810 did not have a material impact on the Company’s consolidated financial position, results of operations or cash flows.</w:t>
      </w:r>
    </w:p>
    <w:p>
      <w:pPr>
        <w:spacing w:after="0" w:line="65"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 xml:space="preserve">The Company adopted the provisions of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xml:space="preserve"> formerly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(“ASC 820”) on January 1, 2008 and January 1, 2009 for financial assets and liabilities and for nonfinancial assets and liabilities, respectively. ASC 820 defines fair value, establishes a market-based framework or hierarchy for measuring fair value and expands disclosures about fair value measurements. ASC 820 is applicable whenever another accounting pronouncement requires or permits assets and liabilities to be measured at fair value. ASC 820 does not expand or require any new fair value measures, however the application of this guidance may change current practice. The adoption of ASC 820 did not have a material effect on the Company’s financial condition or results of operations.</w:t>
      </w:r>
    </w:p>
    <w:p>
      <w:pPr>
        <w:spacing w:after="0" w:line="65" w:lineRule="exact"/>
        <w:rPr>
          <w:sz w:val="20"/>
          <w:szCs w:val="20"/>
          <w:color w:val="auto"/>
        </w:rPr>
      </w:pPr>
    </w:p>
    <w:p>
      <w:pPr>
        <w:ind w:left="680" w:right="100" w:firstLine="499"/>
        <w:spacing w:after="0" w:line="253" w:lineRule="auto"/>
        <w:rPr>
          <w:sz w:val="20"/>
          <w:szCs w:val="20"/>
          <w:color w:val="auto"/>
        </w:rPr>
      </w:pPr>
      <w:r>
        <w:rPr>
          <w:rFonts w:ascii="Arial" w:cs="Arial" w:eastAsia="Arial" w:hAnsi="Arial"/>
          <w:sz w:val="13"/>
          <w:szCs w:val="13"/>
          <w:color w:val="auto"/>
        </w:rPr>
        <w:t xml:space="preserve">In April 2008, the FASB issued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xml:space="preserve"> formerly FSP FAS 142-3, “</w:t>
      </w:r>
      <w:r>
        <w:rPr>
          <w:rFonts w:ascii="Arial" w:cs="Arial" w:eastAsia="Arial" w:hAnsi="Arial"/>
          <w:sz w:val="13"/>
          <w:szCs w:val="13"/>
          <w:i w:val="1"/>
          <w:iCs w:val="1"/>
          <w:color w:val="auto"/>
        </w:rPr>
        <w:t>Determination of the Useful Life of Intangible Assets</w:t>
      </w:r>
      <w:r>
        <w:rPr>
          <w:rFonts w:ascii="Arial" w:cs="Arial" w:eastAsia="Arial" w:hAnsi="Arial"/>
          <w:sz w:val="13"/>
          <w:szCs w:val="13"/>
          <w:color w:val="auto"/>
        </w:rPr>
        <w:t>.” ASC 350 amends the factors that should be considered in developing renewal or extension assumptions used to determine the useful life of a recognized intangible asset under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3" w:name="page224"/>
    <w:bookmarkEnd w:id="2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940"/>
        <w:spacing w:after="0" w:line="248" w:lineRule="auto"/>
        <w:rPr>
          <w:sz w:val="20"/>
          <w:szCs w:val="20"/>
          <w:color w:val="auto"/>
        </w:rPr>
      </w:pPr>
      <w:r>
        <w:rPr>
          <w:rFonts w:ascii="Arial" w:cs="Arial" w:eastAsia="Arial" w:hAnsi="Arial"/>
          <w:sz w:val="13"/>
          <w:szCs w:val="13"/>
          <w:color w:val="auto"/>
        </w:rPr>
        <w:t>ASC 350 is effective for financial statements issued for fiscal years beginning after December 15, 2008, and interim periods within those fiscal years. The adoption of ASC 350 did not have a material impact on the Company’s consolidated financial position, results of operations or cash flows.</w:t>
      </w:r>
    </w:p>
    <w:p>
      <w:pPr>
        <w:spacing w:after="0" w:line="60" w:lineRule="exact"/>
        <w:rPr>
          <w:sz w:val="20"/>
          <w:szCs w:val="20"/>
          <w:color w:val="auto"/>
        </w:rPr>
      </w:pPr>
    </w:p>
    <w:p>
      <w:pPr>
        <w:ind w:left="680" w:right="840" w:firstLine="499"/>
        <w:spacing w:after="0" w:line="245"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167, “</w:t>
      </w:r>
      <w:r>
        <w:rPr>
          <w:rFonts w:ascii="Arial" w:cs="Arial" w:eastAsia="Arial" w:hAnsi="Arial"/>
          <w:sz w:val="13"/>
          <w:szCs w:val="13"/>
          <w:i w:val="1"/>
          <w:iCs w:val="1"/>
          <w:color w:val="auto"/>
        </w:rPr>
        <w:t>Amendments to FASB Interpretation No. 46(R)</w:t>
      </w:r>
      <w:r>
        <w:rPr>
          <w:rFonts w:ascii="Arial" w:cs="Arial" w:eastAsia="Arial" w:hAnsi="Arial"/>
          <w:sz w:val="13"/>
          <w:szCs w:val="13"/>
          <w:color w:val="auto"/>
        </w:rPr>
        <w:t>” (“SFAS No. 167”)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ASC 810 as of the beginning of 2010. The Company is evaluating the potential impact the adoption of ASC 810 will have on its consolidated financial statements.</w:t>
      </w:r>
    </w:p>
    <w:p>
      <w:pPr>
        <w:spacing w:after="0" w:line="139" w:lineRule="exact"/>
        <w:rPr>
          <w:sz w:val="20"/>
          <w:szCs w:val="20"/>
          <w:color w:val="auto"/>
        </w:rPr>
      </w:pPr>
    </w:p>
    <w:p>
      <w:pPr>
        <w:ind w:left="1000" w:hanging="313"/>
        <w:spacing w:after="0"/>
        <w:tabs>
          <w:tab w:leader="none" w:pos="1000"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Reorganization Related Items</w:t>
      </w:r>
    </w:p>
    <w:p>
      <w:pPr>
        <w:spacing w:after="0" w:line="102" w:lineRule="exact"/>
        <w:rPr>
          <w:sz w:val="20"/>
          <w:szCs w:val="20"/>
          <w:color w:val="auto"/>
        </w:rPr>
      </w:pPr>
    </w:p>
    <w:p>
      <w:pPr>
        <w:ind w:left="680" w:right="860" w:firstLine="499"/>
        <w:spacing w:after="0" w:line="242" w:lineRule="auto"/>
        <w:rPr>
          <w:sz w:val="20"/>
          <w:szCs w:val="20"/>
          <w:color w:val="auto"/>
        </w:rPr>
      </w:pPr>
      <w:r>
        <w:rPr>
          <w:rFonts w:ascii="Arial" w:cs="Arial" w:eastAsia="Arial" w:hAnsi="Arial"/>
          <w:sz w:val="13"/>
          <w:szCs w:val="13"/>
          <w:color w:val="auto"/>
        </w:rPr>
        <w:t>In accordance with ASC 852, the financial statements for the Predecessor Company periods distinguish transactions and events that are directly associated with the reorganization from the ongoing operations of the Company. In connection with the bankruptcy proceedings, implementation of the Plan of Reorganization and adoption of fresh-start reporting, the Company recorded the following reorganization income (expense) items: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7560" w:type="dxa"/>
            <w:vAlign w:val="bottom"/>
          </w:tcPr>
          <w:p>
            <w:pPr>
              <w:spacing w:after="0"/>
              <w:rPr>
                <w:sz w:val="14"/>
                <w:szCs w:val="1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7560" w:type="dxa"/>
            <w:vAlign w:val="bottom"/>
          </w:tcPr>
          <w:p>
            <w:pPr>
              <w:spacing w:after="0"/>
              <w:rPr>
                <w:sz w:val="10"/>
                <w:szCs w:val="10"/>
                <w:color w:val="auto"/>
              </w:rPr>
            </w:pPr>
          </w:p>
        </w:tc>
        <w:tc>
          <w:tcPr>
            <w:tcW w:w="2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 Period</w:t>
            </w:r>
          </w:p>
        </w:tc>
      </w:tr>
      <w:tr>
        <w:trPr>
          <w:trHeight w:val="147"/>
        </w:trPr>
        <w:tc>
          <w:tcPr>
            <w:tcW w:w="7560" w:type="dxa"/>
            <w:vAlign w:val="bottom"/>
          </w:tcPr>
          <w:p>
            <w:pPr>
              <w:spacing w:after="0"/>
              <w:rPr>
                <w:sz w:val="12"/>
                <w:szCs w:val="12"/>
                <w:color w:val="auto"/>
              </w:rPr>
            </w:pPr>
          </w:p>
        </w:tc>
        <w:tc>
          <w:tcPr>
            <w:tcW w:w="2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Ended October 25,</w:t>
            </w:r>
          </w:p>
        </w:tc>
      </w:tr>
      <w:tr>
        <w:trPr>
          <w:trHeight w:val="164"/>
        </w:trPr>
        <w:tc>
          <w:tcPr>
            <w:tcW w:w="75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960" w:type="dxa"/>
            <w:vAlign w:val="bottom"/>
            <w:tcBorders>
              <w:bottom w:val="single" w:sz="8" w:color="auto"/>
            </w:tcBorders>
          </w:tcPr>
          <w:p>
            <w:pPr>
              <w:spacing w:after="0"/>
              <w:rPr>
                <w:sz w:val="14"/>
                <w:szCs w:val="14"/>
                <w:color w:val="auto"/>
              </w:rPr>
            </w:pPr>
          </w:p>
        </w:tc>
      </w:tr>
      <w:tr>
        <w:trPr>
          <w:trHeight w:val="29"/>
        </w:trPr>
        <w:tc>
          <w:tcPr>
            <w:tcW w:w="7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7"/>
        </w:trPr>
        <w:tc>
          <w:tcPr>
            <w:tcW w:w="7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Professional fees</w:t>
            </w:r>
          </w:p>
        </w:tc>
        <w:tc>
          <w:tcPr>
            <w:tcW w:w="98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(7,459)</w:t>
            </w:r>
          </w:p>
        </w:tc>
      </w:tr>
      <w:tr>
        <w:trPr>
          <w:trHeight w:val="147"/>
        </w:trPr>
        <w:tc>
          <w:tcPr>
            <w:tcW w:w="7560" w:type="dxa"/>
            <w:vAlign w:val="bottom"/>
          </w:tcPr>
          <w:p>
            <w:pPr>
              <w:spacing w:after="0" w:line="148" w:lineRule="exact"/>
              <w:rPr>
                <w:sz w:val="20"/>
                <w:szCs w:val="20"/>
                <w:color w:val="auto"/>
              </w:rPr>
            </w:pPr>
            <w:r>
              <w:rPr>
                <w:rFonts w:ascii="Arial" w:cs="Arial" w:eastAsia="Arial" w:hAnsi="Arial"/>
                <w:sz w:val="13"/>
                <w:szCs w:val="13"/>
                <w:color w:val="auto"/>
              </w:rPr>
              <w:t>Revaluation of assets</w:t>
            </w:r>
          </w:p>
        </w:tc>
        <w:tc>
          <w:tcPr>
            <w:tcW w:w="980" w:type="dxa"/>
            <w:vAlign w:val="bottom"/>
          </w:tcPr>
          <w:p>
            <w:pPr>
              <w:spacing w:after="0"/>
              <w:rPr>
                <w:sz w:val="12"/>
                <w:szCs w:val="12"/>
                <w:color w:val="auto"/>
              </w:rPr>
            </w:pPr>
          </w:p>
        </w:tc>
        <w:tc>
          <w:tcPr>
            <w:tcW w:w="1440" w:type="dxa"/>
            <w:vAlign w:val="bottom"/>
            <w:gridSpan w:val="2"/>
          </w:tcPr>
          <w:p>
            <w:pPr>
              <w:jc w:val="right"/>
              <w:ind w:right="960"/>
              <w:spacing w:after="0" w:line="148" w:lineRule="exact"/>
              <w:rPr>
                <w:sz w:val="20"/>
                <w:szCs w:val="20"/>
                <w:color w:val="auto"/>
              </w:rPr>
            </w:pPr>
            <w:r>
              <w:rPr>
                <w:rFonts w:ascii="Arial" w:cs="Arial" w:eastAsia="Arial" w:hAnsi="Arial"/>
                <w:sz w:val="13"/>
                <w:szCs w:val="13"/>
                <w:color w:val="auto"/>
              </w:rPr>
              <w:t>31,399</w:t>
            </w:r>
          </w:p>
        </w:tc>
      </w:tr>
      <w:tr>
        <w:trPr>
          <w:trHeight w:val="147"/>
        </w:trPr>
        <w:tc>
          <w:tcPr>
            <w:tcW w:w="7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Effects of the plan of reorganization</w:t>
            </w:r>
          </w:p>
        </w:tc>
        <w:tc>
          <w:tcPr>
            <w:tcW w:w="98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780,981</w:t>
            </w:r>
          </w:p>
        </w:tc>
        <w:tc>
          <w:tcPr>
            <w:tcW w:w="960" w:type="dxa"/>
            <w:vAlign w:val="bottom"/>
            <w:shd w:val="clear" w:color="auto" w:fill="CCEEFF"/>
          </w:tcPr>
          <w:p>
            <w:pPr>
              <w:spacing w:after="0"/>
              <w:rPr>
                <w:sz w:val="12"/>
                <w:szCs w:val="12"/>
                <w:color w:val="auto"/>
              </w:rPr>
            </w:pPr>
          </w:p>
        </w:tc>
      </w:tr>
      <w:tr>
        <w:trPr>
          <w:trHeight w:val="147"/>
        </w:trPr>
        <w:tc>
          <w:tcPr>
            <w:tcW w:w="7560" w:type="dxa"/>
            <w:vAlign w:val="bottom"/>
          </w:tcPr>
          <w:p>
            <w:pPr>
              <w:spacing w:after="0" w:line="148" w:lineRule="exact"/>
              <w:rPr>
                <w:sz w:val="20"/>
                <w:szCs w:val="20"/>
                <w:color w:val="auto"/>
              </w:rPr>
            </w:pPr>
            <w:r>
              <w:rPr>
                <w:rFonts w:ascii="Arial" w:cs="Arial" w:eastAsia="Arial" w:hAnsi="Arial"/>
                <w:sz w:val="13"/>
                <w:szCs w:val="13"/>
                <w:color w:val="auto"/>
              </w:rPr>
              <w:t>Write-off of debt issuance costs</w:t>
            </w:r>
          </w:p>
        </w:tc>
        <w:tc>
          <w:tcPr>
            <w:tcW w:w="980" w:type="dxa"/>
            <w:vAlign w:val="bottom"/>
          </w:tcPr>
          <w:p>
            <w:pPr>
              <w:spacing w:after="0"/>
              <w:rPr>
                <w:sz w:val="12"/>
                <w:szCs w:val="12"/>
                <w:color w:val="auto"/>
              </w:rPr>
            </w:pPr>
          </w:p>
        </w:tc>
        <w:tc>
          <w:tcPr>
            <w:tcW w:w="144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(166)</w:t>
            </w:r>
          </w:p>
        </w:tc>
      </w:tr>
      <w:tr>
        <w:trPr>
          <w:trHeight w:val="147"/>
        </w:trPr>
        <w:tc>
          <w:tcPr>
            <w:tcW w:w="7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Others</w:t>
            </w:r>
          </w:p>
        </w:tc>
        <w:tc>
          <w:tcPr>
            <w:tcW w:w="98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(182)</w:t>
            </w:r>
          </w:p>
        </w:tc>
      </w:tr>
      <w:tr>
        <w:trPr>
          <w:trHeight w:val="20"/>
        </w:trPr>
        <w:tc>
          <w:tcPr>
            <w:tcW w:w="756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7"/>
        </w:trPr>
        <w:tc>
          <w:tcPr>
            <w:tcW w:w="756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804,573</w:t>
            </w:r>
          </w:p>
        </w:tc>
        <w:tc>
          <w:tcPr>
            <w:tcW w:w="960" w:type="dxa"/>
            <w:vAlign w:val="bottom"/>
          </w:tcPr>
          <w:p>
            <w:pPr>
              <w:spacing w:after="0"/>
              <w:rPr>
                <w:sz w:val="12"/>
                <w:szCs w:val="12"/>
                <w:color w:val="auto"/>
              </w:rPr>
            </w:pPr>
          </w:p>
        </w:tc>
      </w:tr>
      <w:tr>
        <w:trPr>
          <w:trHeight w:val="29"/>
        </w:trPr>
        <w:tc>
          <w:tcPr>
            <w:tcW w:w="75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r>
    </w:tbl>
    <w:p>
      <w:pPr>
        <w:spacing w:after="0" w:line="98" w:lineRule="exact"/>
        <w:rPr>
          <w:sz w:val="20"/>
          <w:szCs w:val="20"/>
          <w:color w:val="auto"/>
        </w:rPr>
      </w:pPr>
    </w:p>
    <w:p>
      <w:pPr>
        <w:ind w:left="680" w:right="800" w:firstLine="499"/>
        <w:spacing w:after="0" w:line="242" w:lineRule="auto"/>
        <w:rPr>
          <w:sz w:val="20"/>
          <w:szCs w:val="20"/>
          <w:color w:val="auto"/>
        </w:rPr>
      </w:pPr>
      <w:r>
        <w:rPr>
          <w:rFonts w:ascii="Arial" w:cs="Arial" w:eastAsia="Arial" w:hAnsi="Arial"/>
          <w:sz w:val="13"/>
          <w:szCs w:val="13"/>
          <w:color w:val="auto"/>
        </w:rPr>
        <w:t>Included in reorganization items, net for the ten-month period ended October 25, 2009 was the Predecessor Company’s gain recognized from the effects of the Plan of Reorganization. The gain results from the difference between the Predecessor Company’s carrying amount of remaining pre-petition liabilities subject to compromise and the amounts to be distributed pursuant to the Plan of Reorganization. The gain from the effects of the Plan of Reorganization is comprised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 Period</w:t>
            </w:r>
          </w:p>
        </w:tc>
        <w:tc>
          <w:tcPr>
            <w:tcW w:w="80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Ended October 25,</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120" w:type="dxa"/>
            <w:vAlign w:val="bottom"/>
            <w:gridSpan w:val="3"/>
          </w:tcPr>
          <w:p>
            <w:pPr>
              <w:jc w:val="center"/>
              <w:ind w:left="4554"/>
              <w:spacing w:after="0"/>
              <w:rPr>
                <w:sz w:val="20"/>
                <w:szCs w:val="20"/>
                <w:color w:val="auto"/>
              </w:rPr>
            </w:pPr>
            <w:r>
              <w:rPr>
                <w:rFonts w:ascii="Arial" w:cs="Arial" w:eastAsia="Arial" w:hAnsi="Arial"/>
                <w:sz w:val="13"/>
                <w:szCs w:val="13"/>
                <w:b w:val="1"/>
                <w:bCs w:val="1"/>
                <w:color w:val="auto"/>
              </w:rPr>
              <w:t>2009</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3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Discharge of liabilities subject to compromise</w:t>
            </w:r>
          </w:p>
        </w:tc>
        <w:tc>
          <w:tcPr>
            <w:tcW w:w="6080" w:type="dxa"/>
            <w:vAlign w:val="bottom"/>
            <w:gridSpan w:val="4"/>
            <w:shd w:val="clear" w:color="auto" w:fill="CCEEFF"/>
          </w:tcPr>
          <w:p>
            <w:pPr>
              <w:jc w:val="right"/>
              <w:ind w:right="960"/>
              <w:spacing w:after="0" w:line="148" w:lineRule="exact"/>
              <w:rPr>
                <w:sz w:val="20"/>
                <w:szCs w:val="20"/>
                <w:color w:val="auto"/>
              </w:rPr>
            </w:pPr>
            <w:r>
              <w:rPr>
                <w:rFonts w:ascii="Arial" w:cs="Arial" w:eastAsia="Arial" w:hAnsi="Arial"/>
                <w:sz w:val="13"/>
                <w:szCs w:val="13"/>
                <w:color w:val="auto"/>
              </w:rPr>
              <w:t>$ 798,043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00" w:type="dxa"/>
            <w:vAlign w:val="bottom"/>
          </w:tcPr>
          <w:p>
            <w:pPr>
              <w:spacing w:after="0" w:line="148" w:lineRule="exact"/>
              <w:rPr>
                <w:sz w:val="20"/>
                <w:szCs w:val="20"/>
                <w:color w:val="auto"/>
              </w:rPr>
            </w:pPr>
            <w:r>
              <w:rPr>
                <w:rFonts w:ascii="Arial" w:cs="Arial" w:eastAsia="Arial" w:hAnsi="Arial"/>
                <w:sz w:val="13"/>
                <w:szCs w:val="13"/>
                <w:color w:val="auto"/>
              </w:rPr>
              <w:t>Issuance of new common stock</w:t>
            </w:r>
          </w:p>
        </w:tc>
        <w:tc>
          <w:tcPr>
            <w:tcW w:w="6080" w:type="dxa"/>
            <w:vAlign w:val="bottom"/>
            <w:gridSpan w:val="4"/>
          </w:tcPr>
          <w:p>
            <w:pPr>
              <w:jc w:val="right"/>
              <w:ind w:right="920"/>
              <w:spacing w:after="0" w:line="148" w:lineRule="exact"/>
              <w:rPr>
                <w:sz w:val="20"/>
                <w:szCs w:val="20"/>
                <w:color w:val="auto"/>
              </w:rPr>
            </w:pPr>
            <w:r>
              <w:rPr>
                <w:rFonts w:ascii="Arial" w:cs="Arial" w:eastAsia="Arial" w:hAnsi="Arial"/>
                <w:sz w:val="13"/>
                <w:szCs w:val="13"/>
                <w:color w:val="auto"/>
              </w:rPr>
              <w:t>(14,259)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Issuance of new warrants</w:t>
            </w:r>
          </w:p>
        </w:tc>
        <w:tc>
          <w:tcPr>
            <w:tcW w:w="6080" w:type="dxa"/>
            <w:vAlign w:val="bottom"/>
            <w:gridSpan w:val="4"/>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(2,533)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00" w:type="dxa"/>
            <w:vAlign w:val="bottom"/>
          </w:tcPr>
          <w:p>
            <w:pPr>
              <w:spacing w:after="0" w:line="148" w:lineRule="exact"/>
              <w:rPr>
                <w:sz w:val="20"/>
                <w:szCs w:val="20"/>
                <w:color w:val="auto"/>
              </w:rPr>
            </w:pPr>
            <w:r>
              <w:rPr>
                <w:rFonts w:ascii="Arial" w:cs="Arial" w:eastAsia="Arial" w:hAnsi="Arial"/>
                <w:sz w:val="13"/>
                <w:szCs w:val="13"/>
                <w:color w:val="auto"/>
              </w:rPr>
              <w:t>Accrual of amounts to be settled in cash</w:t>
            </w:r>
          </w:p>
        </w:tc>
        <w:tc>
          <w:tcPr>
            <w:tcW w:w="4620" w:type="dxa"/>
            <w:vAlign w:val="bottom"/>
            <w:gridSpan w:val="2"/>
          </w:tcPr>
          <w:p>
            <w:pPr>
              <w:spacing w:after="0"/>
              <w:rPr>
                <w:sz w:val="12"/>
                <w:szCs w:val="12"/>
                <w:color w:val="auto"/>
              </w:rPr>
            </w:pPr>
          </w:p>
        </w:tc>
        <w:tc>
          <w:tcPr>
            <w:tcW w:w="146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(270)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Gain from the effects of the Plan of Reorganization</w:t>
            </w:r>
          </w:p>
        </w:tc>
        <w:tc>
          <w:tcPr>
            <w:tcW w:w="6080" w:type="dxa"/>
            <w:vAlign w:val="bottom"/>
            <w:gridSpan w:val="4"/>
            <w:shd w:val="clear" w:color="auto" w:fill="CCEEFF"/>
          </w:tcPr>
          <w:p>
            <w:pPr>
              <w:jc w:val="right"/>
              <w:ind w:right="960"/>
              <w:spacing w:after="0" w:line="148" w:lineRule="exact"/>
              <w:rPr>
                <w:sz w:val="20"/>
                <w:szCs w:val="20"/>
                <w:color w:val="auto"/>
              </w:rPr>
            </w:pPr>
            <w:r>
              <w:rPr>
                <w:rFonts w:ascii="Arial" w:cs="Arial" w:eastAsia="Arial" w:hAnsi="Arial"/>
                <w:sz w:val="13"/>
                <w:szCs w:val="13"/>
                <w:color w:val="auto"/>
              </w:rPr>
              <w:t>$780,981</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20" w:type="dxa"/>
            <w:vAlign w:val="bottom"/>
            <w:gridSpan w:val="2"/>
          </w:tcPr>
          <w:p>
            <w:pPr>
              <w:ind w:left="960"/>
              <w:spacing w:after="0"/>
              <w:rPr>
                <w:sz w:val="20"/>
                <w:szCs w:val="20"/>
                <w:color w:val="auto"/>
              </w:rPr>
            </w:pPr>
            <w:r>
              <w:rPr>
                <w:rFonts w:ascii="Arial" w:cs="Arial" w:eastAsia="Arial" w:hAnsi="Arial"/>
                <w:sz w:val="13"/>
                <w:szCs w:val="13"/>
                <w:color w:val="auto"/>
              </w:rPr>
              <w:t>F-43</w:t>
            </w:r>
          </w:p>
        </w:tc>
        <w:tc>
          <w:tcPr>
            <w:tcW w:w="5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900" w:type="dxa"/>
            <w:vAlign w:val="bottom"/>
            <w:tcBorders>
              <w:bottom w:val="single" w:sz="8" w:color="808080"/>
            </w:tcBorders>
          </w:tcPr>
          <w:p>
            <w:pPr>
              <w:spacing w:after="0"/>
              <w:rPr>
                <w:sz w:val="13"/>
                <w:szCs w:val="13"/>
                <w:color w:val="auto"/>
              </w:rPr>
            </w:pPr>
          </w:p>
        </w:tc>
        <w:tc>
          <w:tcPr>
            <w:tcW w:w="366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24" w:name="page225"/>
    <w:bookmarkEnd w:id="2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Liabilities subject to compromise represent the liabilities of the Company incurred prior to the petition date, except those that will not be impaired under the Plan of Reorganization. Liabilities subject to compromise consisted of the following at October 25, 2009.</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834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8340" w:type="dxa"/>
            <w:vAlign w:val="bottom"/>
          </w:tcPr>
          <w:p>
            <w:pPr>
              <w:spacing w:after="0"/>
              <w:rPr>
                <w:sz w:val="10"/>
                <w:szCs w:val="10"/>
                <w:color w:val="auto"/>
              </w:rPr>
            </w:pPr>
          </w:p>
        </w:tc>
        <w:tc>
          <w:tcPr>
            <w:tcW w:w="16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October 25,</w:t>
            </w:r>
          </w:p>
        </w:tc>
      </w:tr>
      <w:tr>
        <w:trPr>
          <w:trHeight w:val="164"/>
        </w:trPr>
        <w:tc>
          <w:tcPr>
            <w:tcW w:w="8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r>
      <w:tr>
        <w:trPr>
          <w:trHeight w:val="29"/>
        </w:trPr>
        <w:tc>
          <w:tcPr>
            <w:tcW w:w="8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47"/>
        </w:trPr>
        <w:tc>
          <w:tcPr>
            <w:tcW w:w="8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General unsecured claims</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2,702</w:t>
            </w:r>
          </w:p>
        </w:tc>
        <w:tc>
          <w:tcPr>
            <w:tcW w:w="580" w:type="dxa"/>
            <w:vAlign w:val="bottom"/>
            <w:shd w:val="clear" w:color="auto" w:fill="CCEEFF"/>
          </w:tcPr>
          <w:p>
            <w:pPr>
              <w:spacing w:after="0"/>
              <w:rPr>
                <w:sz w:val="12"/>
                <w:szCs w:val="12"/>
                <w:color w:val="auto"/>
              </w:rPr>
            </w:pPr>
          </w:p>
        </w:tc>
      </w:tr>
      <w:tr>
        <w:trPr>
          <w:trHeight w:val="147"/>
        </w:trPr>
        <w:tc>
          <w:tcPr>
            <w:tcW w:w="8340" w:type="dxa"/>
            <w:vAlign w:val="bottom"/>
          </w:tcPr>
          <w:p>
            <w:pPr>
              <w:spacing w:after="0" w:line="148" w:lineRule="exact"/>
              <w:rPr>
                <w:sz w:val="20"/>
                <w:szCs w:val="20"/>
                <w:color w:val="auto"/>
              </w:rPr>
            </w:pPr>
            <w:r>
              <w:rPr>
                <w:rFonts w:ascii="Arial" w:cs="Arial" w:eastAsia="Arial" w:hAnsi="Arial"/>
                <w:sz w:val="13"/>
                <w:szCs w:val="13"/>
                <w:color w:val="auto"/>
              </w:rPr>
              <w:t>Current portion of long-term debt-old</w:t>
            </w:r>
          </w:p>
        </w:tc>
        <w:tc>
          <w:tcPr>
            <w:tcW w:w="5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750,000</w:t>
            </w:r>
          </w:p>
        </w:tc>
        <w:tc>
          <w:tcPr>
            <w:tcW w:w="580" w:type="dxa"/>
            <w:vAlign w:val="bottom"/>
          </w:tcPr>
          <w:p>
            <w:pPr>
              <w:spacing w:after="0"/>
              <w:rPr>
                <w:sz w:val="12"/>
                <w:szCs w:val="12"/>
                <w:color w:val="auto"/>
              </w:rPr>
            </w:pPr>
          </w:p>
        </w:tc>
      </w:tr>
      <w:tr>
        <w:trPr>
          <w:trHeight w:val="147"/>
        </w:trPr>
        <w:tc>
          <w:tcPr>
            <w:tcW w:w="8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Accrued interest on current portion of long-term debt</w:t>
            </w:r>
          </w:p>
        </w:tc>
        <w:tc>
          <w:tcPr>
            <w:tcW w:w="5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45,341</w:t>
            </w:r>
          </w:p>
        </w:tc>
      </w:tr>
      <w:tr>
        <w:trPr>
          <w:trHeight w:val="157"/>
        </w:trPr>
        <w:tc>
          <w:tcPr>
            <w:tcW w:w="834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7"/>
              </w:rPr>
              <w:t>798,043</w:t>
            </w:r>
          </w:p>
        </w:tc>
        <w:tc>
          <w:tcPr>
            <w:tcW w:w="580" w:type="dxa"/>
            <w:vAlign w:val="bottom"/>
          </w:tcPr>
          <w:p>
            <w:pPr>
              <w:spacing w:after="0"/>
              <w:rPr>
                <w:sz w:val="13"/>
                <w:szCs w:val="13"/>
                <w:color w:val="auto"/>
              </w:rPr>
            </w:pPr>
          </w:p>
        </w:tc>
      </w:tr>
    </w:tbl>
    <w:p>
      <w:pPr>
        <w:spacing w:after="0" w:line="160" w:lineRule="exact"/>
        <w:rPr>
          <w:sz w:val="20"/>
          <w:szCs w:val="20"/>
          <w:color w:val="auto"/>
        </w:rPr>
      </w:pPr>
    </w:p>
    <w:p>
      <w:pPr>
        <w:ind w:left="1000" w:hanging="313"/>
        <w:spacing w:after="0"/>
        <w:tabs>
          <w:tab w:leader="none" w:pos="1000"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The Company adopted ASC 820 on January 1, 2008 for financial assets and liabilities and non-financial assets and liabilities. ASC 820 requires, among other things, the Company’s valuation techniques used to measure fair value to maximize the use of observable inputs and minimize the use of unobservable inputs. This guidance was applied prospectively to the valuation of assets and liabilities on and after the effective dates of this guidance.</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There are three general valuation techniques that may be used to measure fair value, as described below:</w:t>
      </w:r>
    </w:p>
    <w:p>
      <w:pPr>
        <w:spacing w:after="0" w:line="86" w:lineRule="exact"/>
        <w:rPr>
          <w:sz w:val="20"/>
          <w:szCs w:val="20"/>
          <w:color w:val="auto"/>
        </w:rPr>
      </w:pPr>
    </w:p>
    <w:p>
      <w:pPr>
        <w:ind w:left="1880" w:hanging="220"/>
        <w:spacing w:after="0"/>
        <w:tabs>
          <w:tab w:leader="none" w:pos="18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Market approach — Uses prices and other relevant information generated by market transactions involving identical or comparable assets or liabilities;</w:t>
      </w:r>
    </w:p>
    <w:p>
      <w:pPr>
        <w:spacing w:after="0" w:line="86" w:lineRule="exact"/>
        <w:rPr>
          <w:rFonts w:ascii="Arial" w:cs="Arial" w:eastAsia="Arial" w:hAnsi="Arial"/>
          <w:sz w:val="13"/>
          <w:szCs w:val="13"/>
          <w:color w:val="auto"/>
        </w:rPr>
      </w:pPr>
    </w:p>
    <w:p>
      <w:pPr>
        <w:ind w:left="1180" w:right="120" w:firstLine="480"/>
        <w:spacing w:after="0" w:line="248" w:lineRule="auto"/>
        <w:tabs>
          <w:tab w:leader="none" w:pos="1865" w:val="left"/>
        </w:tabs>
        <w:numPr>
          <w:ilvl w:val="0"/>
          <w:numId w:val="165"/>
        </w:numPr>
        <w:rPr>
          <w:rFonts w:ascii="Arial" w:cs="Arial" w:eastAsia="Arial" w:hAnsi="Arial"/>
          <w:sz w:val="13"/>
          <w:szCs w:val="13"/>
          <w:color w:val="auto"/>
        </w:rPr>
      </w:pPr>
      <w:r>
        <w:rPr>
          <w:rFonts w:ascii="Arial" w:cs="Arial" w:eastAsia="Arial" w:hAnsi="Arial"/>
          <w:sz w:val="13"/>
          <w:szCs w:val="13"/>
          <w:color w:val="auto"/>
        </w:rPr>
        <w:t>Cost approach — Based on the amount that currently would be required to reproduce or replace the service capacity of an asset (reproduction cost or replacement cost); and</w:t>
      </w:r>
    </w:p>
    <w:p>
      <w:pPr>
        <w:spacing w:after="0" w:line="74" w:lineRule="exact"/>
        <w:rPr>
          <w:rFonts w:ascii="Arial" w:cs="Arial" w:eastAsia="Arial" w:hAnsi="Arial"/>
          <w:sz w:val="13"/>
          <w:szCs w:val="13"/>
          <w:color w:val="auto"/>
        </w:rPr>
      </w:pPr>
    </w:p>
    <w:p>
      <w:pPr>
        <w:ind w:left="1180" w:right="120" w:firstLine="480"/>
        <w:spacing w:after="0" w:line="248" w:lineRule="auto"/>
        <w:tabs>
          <w:tab w:leader="none" w:pos="1872" w:val="left"/>
        </w:tabs>
        <w:numPr>
          <w:ilvl w:val="0"/>
          <w:numId w:val="165"/>
        </w:numPr>
        <w:rPr>
          <w:rFonts w:ascii="Arial" w:cs="Arial" w:eastAsia="Arial" w:hAnsi="Arial"/>
          <w:sz w:val="13"/>
          <w:szCs w:val="13"/>
          <w:color w:val="auto"/>
        </w:rPr>
      </w:pPr>
      <w:r>
        <w:rPr>
          <w:rFonts w:ascii="Arial" w:cs="Arial" w:eastAsia="Arial" w:hAnsi="Arial"/>
          <w:sz w:val="13"/>
          <w:szCs w:val="13"/>
          <w:color w:val="auto"/>
        </w:rPr>
        <w:t>Income approach — Uses valuation techniques to convert future amounts to a single present amount based on current market expectations about the future amounts (includes present value techniques, option-pricing models, the excess earnings method, and the royalty savings method).</w:t>
      </w:r>
    </w:p>
    <w:p>
      <w:pPr>
        <w:spacing w:after="0" w:line="74" w:lineRule="exact"/>
        <w:rPr>
          <w:rFonts w:ascii="Arial" w:cs="Arial" w:eastAsia="Arial" w:hAnsi="Arial"/>
          <w:sz w:val="13"/>
          <w:szCs w:val="13"/>
          <w:color w:val="auto"/>
        </w:rPr>
      </w:pPr>
    </w:p>
    <w:p>
      <w:pPr>
        <w:ind w:left="2240" w:hanging="106"/>
        <w:spacing w:after="0"/>
        <w:tabs>
          <w:tab w:leader="none" w:pos="2240" w:val="left"/>
        </w:tabs>
        <w:numPr>
          <w:ilvl w:val="1"/>
          <w:numId w:val="165"/>
        </w:numPr>
        <w:rPr>
          <w:rFonts w:ascii="Arial" w:cs="Arial" w:eastAsia="Arial" w:hAnsi="Arial"/>
          <w:sz w:val="13"/>
          <w:szCs w:val="13"/>
          <w:color w:val="auto"/>
        </w:rPr>
      </w:pPr>
      <w:r>
        <w:rPr>
          <w:rFonts w:ascii="Arial" w:cs="Arial" w:eastAsia="Arial" w:hAnsi="Arial"/>
          <w:sz w:val="13"/>
          <w:szCs w:val="13"/>
          <w:color w:val="auto"/>
        </w:rPr>
        <w:t>Net present value method is an income approach where a stream of expected cash flows is discounted at an appropriate discount rate.</w:t>
      </w:r>
    </w:p>
    <w:p>
      <w:pPr>
        <w:spacing w:after="0" w:line="8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II. The excess earnings method is a variation of the income approach where the value of a specific asset is isolated from its contributory assets.</w:t>
      </w:r>
    </w:p>
    <w:p>
      <w:pPr>
        <w:spacing w:after="0" w:line="86" w:lineRule="exact"/>
        <w:rPr>
          <w:sz w:val="20"/>
          <w:szCs w:val="20"/>
          <w:color w:val="auto"/>
        </w:rPr>
      </w:pPr>
    </w:p>
    <w:p>
      <w:pPr>
        <w:ind w:left="1680" w:firstLine="454"/>
        <w:spacing w:after="0" w:line="248" w:lineRule="auto"/>
        <w:tabs>
          <w:tab w:leader="none" w:pos="230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royalty savings method is a variation of the income approach where the underlying premise is that an intangible asset’s fair value is equal to the present value of the cost savings (royalties) achieved by owning the asset.</w:t>
      </w:r>
    </w:p>
    <w:p>
      <w:pPr>
        <w:spacing w:after="0" w:line="74"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Fair value information for each major category of assets and liabilities measured on a nonrecurring basis as part of fresh-start reporting during the period is listed in the following table. The Company remeasured its assets and liabilities at fair value on the Reorganization Effective Date as required by ASC 852 using the guidance for measurement found in ASC 805. The gains and losses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25" w:name="page226"/>
    <w:bookmarkEnd w:id="2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120"/>
        <w:spacing w:after="0" w:line="248" w:lineRule="auto"/>
        <w:rPr>
          <w:sz w:val="20"/>
          <w:szCs w:val="20"/>
          <w:color w:val="auto"/>
        </w:rPr>
      </w:pPr>
      <w:r>
        <w:rPr>
          <w:rFonts w:ascii="Arial" w:cs="Arial" w:eastAsia="Arial" w:hAnsi="Arial"/>
          <w:sz w:val="13"/>
          <w:szCs w:val="13"/>
          <w:color w:val="auto"/>
        </w:rPr>
        <w:t>related to these fair value adjustments were recorded by the Predecessor Company. Assets and liabilities measured at fair value on a nonrecurring basis during the period included:</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0"/>
                <w:szCs w:val="10"/>
                <w:b w:val="1"/>
                <w:bCs w:val="1"/>
                <w:color w:val="auto"/>
              </w:rPr>
              <w:t>Successor</w:t>
            </w: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99"/>
        </w:trPr>
        <w:tc>
          <w:tcPr>
            <w:tcW w:w="2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Quoted Prices</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in Active</w:t>
            </w:r>
          </w:p>
        </w:tc>
        <w:tc>
          <w:tcPr>
            <w:tcW w:w="300" w:type="dxa"/>
            <w:vAlign w:val="bottom"/>
          </w:tcPr>
          <w:p>
            <w:pPr>
              <w:spacing w:after="0"/>
              <w:rPr>
                <w:sz w:val="10"/>
                <w:szCs w:val="1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Significant</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Markets for</w:t>
            </w:r>
          </w:p>
        </w:tc>
        <w:tc>
          <w:tcPr>
            <w:tcW w:w="30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rPr>
              <w:t>Other</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Significant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As of</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Identical</w:t>
            </w:r>
          </w:p>
        </w:tc>
        <w:tc>
          <w:tcPr>
            <w:tcW w:w="30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rPr>
              <w:t>Observable</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Unobservable</w:t>
            </w:r>
          </w:p>
        </w:tc>
        <w:tc>
          <w:tcPr>
            <w:tcW w:w="120" w:type="dxa"/>
            <w:vAlign w:val="bottom"/>
          </w:tcPr>
          <w:p>
            <w:pPr>
              <w:spacing w:after="0"/>
              <w:rPr>
                <w:sz w:val="10"/>
                <w:szCs w:val="10"/>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Total</w:t>
            </w: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October 25,</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Assets</w:t>
            </w:r>
          </w:p>
        </w:tc>
        <w:tc>
          <w:tcPr>
            <w:tcW w:w="30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rPr>
              <w:t>Inputs</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9"/>
              </w:rPr>
              <w:t>Inputs</w:t>
            </w:r>
          </w:p>
        </w:tc>
        <w:tc>
          <w:tcPr>
            <w:tcW w:w="120" w:type="dxa"/>
            <w:vAlign w:val="bottom"/>
          </w:tcPr>
          <w:p>
            <w:pPr>
              <w:spacing w:after="0"/>
              <w:rPr>
                <w:sz w:val="10"/>
                <w:szCs w:val="10"/>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Gains</w:t>
            </w: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Valuation</w:t>
            </w:r>
          </w:p>
        </w:tc>
      </w:tr>
      <w:tr>
        <w:trPr>
          <w:trHeight w:val="136"/>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2"/>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(Level 1)</w:t>
            </w:r>
          </w:p>
        </w:tc>
        <w:tc>
          <w:tcPr>
            <w:tcW w:w="300" w:type="dxa"/>
            <w:vAlign w:val="bottom"/>
          </w:tcPr>
          <w:p>
            <w:pPr>
              <w:spacing w:after="0"/>
              <w:rPr>
                <w:sz w:val="11"/>
                <w:szCs w:val="1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(Level 2)</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(Level 3)</w:t>
            </w:r>
          </w:p>
        </w:tc>
        <w:tc>
          <w:tcPr>
            <w:tcW w:w="12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(Losses)</w:t>
            </w:r>
          </w:p>
        </w:tc>
        <w:tc>
          <w:tcPr>
            <w:tcW w:w="1220" w:type="dxa"/>
            <w:vAlign w:val="bottom"/>
          </w:tcPr>
          <w:p>
            <w:pPr>
              <w:ind w:left="620"/>
              <w:spacing w:after="0"/>
              <w:rPr>
                <w:sz w:val="20"/>
                <w:szCs w:val="20"/>
                <w:color w:val="auto"/>
              </w:rPr>
            </w:pPr>
            <w:r>
              <w:rPr>
                <w:rFonts w:ascii="Arial" w:cs="Arial" w:eastAsia="Arial" w:hAnsi="Arial"/>
                <w:sz w:val="10"/>
                <w:szCs w:val="10"/>
                <w:b w:val="1"/>
                <w:bCs w:val="1"/>
                <w:color w:val="auto"/>
              </w:rPr>
              <w:t>Technique</w:t>
            </w:r>
          </w:p>
        </w:tc>
      </w:tr>
      <w:tr>
        <w:trPr>
          <w:trHeight w:val="29"/>
        </w:trPr>
        <w:tc>
          <w:tcPr>
            <w:tcW w:w="2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8"/>
        </w:trPr>
        <w:tc>
          <w:tcPr>
            <w:tcW w:w="2920" w:type="dxa"/>
            <w:vAlign w:val="bottom"/>
          </w:tcPr>
          <w:p>
            <w:pPr>
              <w:spacing w:after="0"/>
              <w:rPr>
                <w:sz w:val="20"/>
                <w:szCs w:val="20"/>
                <w:color w:val="auto"/>
              </w:rPr>
            </w:pPr>
            <w:r>
              <w:rPr>
                <w:rFonts w:ascii="Arial" w:cs="Arial" w:eastAsia="Arial" w:hAnsi="Arial"/>
                <w:sz w:val="12"/>
                <w:szCs w:val="12"/>
                <w:b w:val="1"/>
                <w:bCs w:val="1"/>
                <w:color w:val="auto"/>
              </w:rPr>
              <w:t>Other current 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(1,233)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Inventories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Finished goods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10,078</w:t>
            </w:r>
          </w:p>
        </w:tc>
        <w:tc>
          <w:tcPr>
            <w:tcW w:w="1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25"/>
              <w:spacing w:after="0"/>
              <w:rPr>
                <w:sz w:val="20"/>
                <w:szCs w:val="20"/>
                <w:color w:val="auto"/>
              </w:rPr>
            </w:pPr>
            <w:r>
              <w:rPr>
                <w:rFonts w:ascii="Arial" w:cs="Arial" w:eastAsia="Arial" w:hAnsi="Arial"/>
                <w:sz w:val="12"/>
                <w:szCs w:val="12"/>
                <w:color w:val="auto"/>
              </w:rPr>
              <w:t>10,078</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2,557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Semi-finished goods and work-in-process</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52,309</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52,309</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15,346</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(A), (B), (C)-I</w:t>
            </w:r>
          </w:p>
        </w:tc>
      </w:tr>
      <w:tr>
        <w:trPr>
          <w:trHeight w:val="138"/>
        </w:trPr>
        <w:tc>
          <w:tcPr>
            <w:tcW w:w="2920" w:type="dxa"/>
            <w:vAlign w:val="bottom"/>
          </w:tcPr>
          <w:p>
            <w:pPr>
              <w:spacing w:after="0"/>
              <w:rPr>
                <w:sz w:val="20"/>
                <w:szCs w:val="20"/>
                <w:color w:val="auto"/>
              </w:rPr>
            </w:pPr>
            <w:r>
              <w:rPr>
                <w:rFonts w:ascii="Arial" w:cs="Arial" w:eastAsia="Arial" w:hAnsi="Arial"/>
                <w:sz w:val="12"/>
                <w:szCs w:val="12"/>
                <w:b w:val="1"/>
                <w:bCs w:val="1"/>
                <w:color w:val="auto"/>
              </w:rPr>
              <w:t>Property, plant and equipment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Land</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5,091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Building</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2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(25,113)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Furniture and fixture</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(4,771)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Machinery and equipment</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14,867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Structure</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(1,814)</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Other tangible assets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2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(2,200)</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Intangible assets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Technology</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13,095</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(C)-I, II, III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Customer relationships</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3,132</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(C)-I, II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Intellectual property assets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2,387</w:t>
            </w:r>
          </w:p>
        </w:tc>
        <w:tc>
          <w:tcPr>
            <w:tcW w:w="1220" w:type="dxa"/>
            <w:vAlign w:val="bottom"/>
          </w:tcPr>
          <w:p>
            <w:pPr>
              <w:jc w:val="center"/>
              <w:ind w:left="2"/>
              <w:spacing w:after="0"/>
              <w:rPr>
                <w:sz w:val="20"/>
                <w:szCs w:val="20"/>
                <w:color w:val="auto"/>
              </w:rPr>
            </w:pPr>
            <w:r>
              <w:rPr>
                <w:rFonts w:ascii="Arial" w:cs="Arial" w:eastAsia="Arial" w:hAnsi="Arial"/>
                <w:sz w:val="12"/>
                <w:szCs w:val="12"/>
                <w:color w:val="auto"/>
                <w:w w:val="98"/>
              </w:rPr>
              <w:t>(C)-I, III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In-process research and development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9,700</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(C)-I, II</w:t>
            </w:r>
          </w:p>
        </w:tc>
      </w:tr>
      <w:tr>
        <w:trPr>
          <w:trHeight w:val="138"/>
        </w:trPr>
        <w:tc>
          <w:tcPr>
            <w:tcW w:w="2920" w:type="dxa"/>
            <w:vAlign w:val="bottom"/>
          </w:tcPr>
          <w:p>
            <w:pPr>
              <w:spacing w:after="0"/>
              <w:rPr>
                <w:sz w:val="20"/>
                <w:szCs w:val="20"/>
                <w:color w:val="auto"/>
              </w:rPr>
            </w:pPr>
            <w:r>
              <w:rPr>
                <w:rFonts w:ascii="Arial" w:cs="Arial" w:eastAsia="Arial" w:hAnsi="Arial"/>
                <w:sz w:val="12"/>
                <w:szCs w:val="12"/>
                <w:b w:val="1"/>
                <w:bCs w:val="1"/>
                <w:color w:val="auto"/>
              </w:rPr>
              <w:t>Other non-current assets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2,270</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125"/>
              <w:spacing w:after="0"/>
              <w:rPr>
                <w:sz w:val="20"/>
                <w:szCs w:val="20"/>
                <w:color w:val="auto"/>
              </w:rPr>
            </w:pPr>
            <w:r>
              <w:rPr>
                <w:rFonts w:ascii="Arial" w:cs="Arial" w:eastAsia="Arial" w:hAnsi="Arial"/>
                <w:sz w:val="12"/>
                <w:szCs w:val="12"/>
                <w:color w:val="auto"/>
              </w:rPr>
              <w:t>2,270</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355</w:t>
            </w:r>
          </w:p>
        </w:tc>
        <w:tc>
          <w:tcPr>
            <w:tcW w:w="1220" w:type="dxa"/>
            <w:vAlign w:val="bottom"/>
          </w:tcPr>
          <w:p>
            <w:pPr>
              <w:jc w:val="center"/>
              <w:spacing w:after="0"/>
              <w:rPr>
                <w:sz w:val="20"/>
                <w:szCs w:val="20"/>
                <w:color w:val="auto"/>
              </w:rPr>
            </w:pPr>
            <w:r>
              <w:rPr>
                <w:rFonts w:ascii="Arial" w:cs="Arial" w:eastAsia="Arial" w:hAnsi="Arial"/>
                <w:sz w:val="12"/>
                <w:szCs w:val="12"/>
                <w:color w:val="auto"/>
                <w:w w:val="87"/>
              </w:rPr>
              <w:t>(A)</w:t>
            </w: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7"/>
        </w:trPr>
        <w:tc>
          <w:tcPr>
            <w:tcW w:w="2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31,399</w:t>
            </w:r>
          </w:p>
        </w:tc>
        <w:tc>
          <w:tcPr>
            <w:tcW w:w="1220" w:type="dxa"/>
            <w:vAlign w:val="bottom"/>
            <w:shd w:val="clear" w:color="auto" w:fill="CCEEFF"/>
          </w:tcPr>
          <w:p>
            <w:pPr>
              <w:spacing w:after="0"/>
              <w:rPr>
                <w:sz w:val="11"/>
                <w:szCs w:val="11"/>
                <w:color w:val="auto"/>
              </w:rPr>
            </w:pPr>
          </w:p>
        </w:tc>
      </w:tr>
      <w:tr>
        <w:trPr>
          <w:trHeight w:val="29"/>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-1722120</wp:posOffset>
            </wp:positionV>
            <wp:extent cx="635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-1722120</wp:posOffset>
            </wp:positionV>
            <wp:extent cx="635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-1722120</wp:posOffset>
            </wp:positionV>
            <wp:extent cx="635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Carrying amounts of the other assets and liabilities except those in the above table equal their fair values.</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details of key assumptions and inputs applied by the Company for above fair valuation, see “Note 3 Fresh-Start Reporting.”</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6" w:name="page227"/>
    <w:bookmarkEnd w:id="2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1000" w:hanging="313"/>
        <w:spacing w:after="0"/>
        <w:tabs>
          <w:tab w:leader="none" w:pos="1000" w:val="left"/>
        </w:tabs>
        <w:numPr>
          <w:ilvl w:val="0"/>
          <w:numId w:val="167"/>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Accounts receivable as of December 31, 2009 and 2008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5"/>
          </w:tcPr>
          <w:p>
            <w:pPr>
              <w:jc w:val="center"/>
              <w:ind w:right="260"/>
              <w:spacing w:after="0" w:line="121"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4"/>
          </w:tcPr>
          <w:p>
            <w:pPr>
              <w:jc w:val="center"/>
              <w:ind w:right="100"/>
              <w:spacing w:after="0" w:line="121"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Borders>
              <w:bottom w:val="single" w:sz="8" w:color="auto"/>
            </w:tcBorders>
            <w:gridSpan w:val="7"/>
          </w:tcPr>
          <w:p>
            <w:pPr>
              <w:jc w:val="center"/>
              <w:ind w:left="634"/>
              <w:spacing w:after="0"/>
              <w:rPr>
                <w:sz w:val="20"/>
                <w:szCs w:val="20"/>
                <w:color w:val="auto"/>
              </w:rPr>
            </w:pPr>
            <w:r>
              <w:rPr>
                <w:rFonts w:ascii="Arial" w:cs="Arial" w:eastAsia="Arial" w:hAnsi="Arial"/>
                <w:sz w:val="13"/>
                <w:szCs w:val="13"/>
                <w:b w:val="1"/>
                <w:bCs w:val="1"/>
                <w:color w:val="auto"/>
              </w:rPr>
              <w:t>2009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080" w:type="dxa"/>
            <w:vAlign w:val="bottom"/>
            <w:tcBorders>
              <w:bottom w:val="single" w:sz="8" w:color="auto"/>
            </w:tcBorders>
            <w:gridSpan w:val="4"/>
          </w:tcPr>
          <w:p>
            <w:pPr>
              <w:jc w:val="center"/>
              <w:ind w:left="634"/>
              <w:spacing w:after="0"/>
              <w:rPr>
                <w:sz w:val="20"/>
                <w:szCs w:val="20"/>
                <w:color w:val="auto"/>
              </w:rPr>
            </w:pPr>
            <w:r>
              <w:rPr>
                <w:rFonts w:ascii="Arial" w:cs="Arial" w:eastAsia="Arial" w:hAnsi="Arial"/>
                <w:sz w:val="13"/>
                <w:szCs w:val="13"/>
                <w:b w:val="1"/>
                <w:bCs w:val="1"/>
                <w:color w:val="auto"/>
              </w:rPr>
              <w:t>2008</w:t>
            </w:r>
          </w:p>
        </w:tc>
        <w:tc>
          <w:tcPr>
            <w:tcW w:w="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Accounts receivable</w:t>
            </w:r>
          </w:p>
        </w:tc>
        <w:tc>
          <w:tcPr>
            <w:tcW w:w="6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tcBorders>
              <w:left w:val="single" w:sz="8" w:color="CCEEFF"/>
            </w:tcBorders>
            <w:shd w:val="clear" w:color="auto" w:fill="CCEEFF"/>
          </w:tcPr>
          <w:p>
            <w:pPr>
              <w:spacing w:after="0"/>
              <w:rPr>
                <w:sz w:val="11"/>
                <w:szCs w:val="11"/>
                <w:color w:val="auto"/>
              </w:rPr>
            </w:pPr>
          </w:p>
        </w:tc>
        <w:tc>
          <w:tcPr>
            <w:tcW w:w="1260" w:type="dxa"/>
            <w:vAlign w:val="bottom"/>
            <w:gridSpan w:val="8"/>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$ 74,516</w:t>
            </w:r>
          </w:p>
        </w:tc>
        <w:tc>
          <w:tcPr>
            <w:tcW w:w="500" w:type="dxa"/>
            <w:vAlign w:val="bottom"/>
            <w:tcBorders>
              <w:left w:val="single" w:sz="8" w:color="CCEEFF"/>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gridSpan w:val="6"/>
            <w:shd w:val="clear" w:color="auto" w:fill="CCEEFF"/>
          </w:tcPr>
          <w:p>
            <w:pPr>
              <w:jc w:val="right"/>
              <w:spacing w:after="0" w:line="138" w:lineRule="exact"/>
              <w:rPr>
                <w:sz w:val="20"/>
                <w:szCs w:val="20"/>
                <w:color w:val="auto"/>
              </w:rPr>
            </w:pPr>
            <w:r>
              <w:rPr>
                <w:rFonts w:ascii="Arial" w:cs="Arial" w:eastAsia="Arial" w:hAnsi="Arial"/>
                <w:sz w:val="13"/>
                <w:szCs w:val="13"/>
                <w:color w:val="auto"/>
              </w:rPr>
              <w:t>$ 67,186</w:t>
            </w:r>
          </w:p>
        </w:tc>
        <w:tc>
          <w:tcPr>
            <w:tcW w:w="680" w:type="dxa"/>
            <w:vAlign w:val="bottom"/>
            <w:tcBorders>
              <w:left w:val="single" w:sz="8" w:color="CCEEFF"/>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Notes receivable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8"/>
          </w:tcPr>
          <w:p>
            <w:pPr>
              <w:jc w:val="right"/>
              <w:ind w:right="160"/>
              <w:spacing w:after="0" w:line="148" w:lineRule="exact"/>
              <w:rPr>
                <w:sz w:val="20"/>
                <w:szCs w:val="20"/>
                <w:color w:val="auto"/>
              </w:rPr>
            </w:pPr>
            <w:r>
              <w:rPr>
                <w:rFonts w:ascii="Arial" w:cs="Arial" w:eastAsia="Arial" w:hAnsi="Arial"/>
                <w:sz w:val="13"/>
                <w:szCs w:val="13"/>
                <w:color w:val="auto"/>
              </w:rPr>
              <w:t>3,260</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60" w:type="dxa"/>
            <w:vAlign w:val="bottom"/>
            <w:gridSpan w:val="6"/>
          </w:tcPr>
          <w:p>
            <w:pPr>
              <w:jc w:val="right"/>
              <w:spacing w:after="0" w:line="148" w:lineRule="exact"/>
              <w:rPr>
                <w:sz w:val="20"/>
                <w:szCs w:val="20"/>
                <w:color w:val="auto"/>
              </w:rPr>
            </w:pPr>
            <w:r>
              <w:rPr>
                <w:rFonts w:ascii="Arial" w:cs="Arial" w:eastAsia="Arial" w:hAnsi="Arial"/>
                <w:sz w:val="13"/>
                <w:szCs w:val="13"/>
                <w:color w:val="auto"/>
              </w:rPr>
              <w:t>12,450</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w:t>
            </w:r>
          </w:p>
        </w:tc>
        <w:tc>
          <w:tcPr>
            <w:tcW w:w="6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left w:val="single" w:sz="8" w:color="CCEEFF"/>
            </w:tcBorders>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Allowances for doubtful accounts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8"/>
          </w:tcPr>
          <w:p>
            <w:pPr>
              <w:jc w:val="right"/>
              <w:ind w:right="120"/>
              <w:spacing w:after="0" w:line="148" w:lineRule="exact"/>
              <w:rPr>
                <w:sz w:val="20"/>
                <w:szCs w:val="20"/>
                <w:color w:val="auto"/>
              </w:rPr>
            </w:pPr>
            <w:r>
              <w:rPr>
                <w:rFonts w:ascii="Arial" w:cs="Arial" w:eastAsia="Arial" w:hAnsi="Arial"/>
                <w:sz w:val="13"/>
                <w:szCs w:val="13"/>
                <w:color w:val="auto"/>
              </w:rPr>
              <w:t>(377)</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gridSpan w:val="7"/>
          </w:tcPr>
          <w:p>
            <w:pPr>
              <w:jc w:val="right"/>
              <w:ind w:right="620"/>
              <w:spacing w:after="0" w:line="148" w:lineRule="exact"/>
              <w:rPr>
                <w:sz w:val="20"/>
                <w:szCs w:val="20"/>
                <w:color w:val="auto"/>
              </w:rPr>
            </w:pPr>
            <w:r>
              <w:rPr>
                <w:rFonts w:ascii="Arial" w:cs="Arial" w:eastAsia="Arial" w:hAnsi="Arial"/>
                <w:sz w:val="13"/>
                <w:szCs w:val="13"/>
                <w:color w:val="auto"/>
              </w:rPr>
              <w:t>(1,569)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Cash return reserve</w:t>
            </w:r>
          </w:p>
        </w:tc>
        <w:tc>
          <w:tcPr>
            <w:tcW w:w="6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tcBorders>
              <w:left w:val="single" w:sz="8" w:color="CCEEFF"/>
            </w:tcBorders>
            <w:shd w:val="clear" w:color="auto" w:fill="CCEEFF"/>
          </w:tcPr>
          <w:p>
            <w:pPr>
              <w:spacing w:after="0"/>
              <w:rPr>
                <w:sz w:val="12"/>
                <w:szCs w:val="12"/>
                <w:color w:val="auto"/>
              </w:rPr>
            </w:pPr>
          </w:p>
        </w:tc>
        <w:tc>
          <w:tcPr>
            <w:tcW w:w="1260" w:type="dxa"/>
            <w:vAlign w:val="bottom"/>
            <w:gridSpan w:val="8"/>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(1,729)</w:t>
            </w:r>
          </w:p>
        </w:tc>
        <w:tc>
          <w:tcPr>
            <w:tcW w:w="5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840" w:type="dxa"/>
            <w:vAlign w:val="bottom"/>
            <w:gridSpan w:val="7"/>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Low yield compensation reserve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5"/>
          </w:tcPr>
          <w:p>
            <w:pPr>
              <w:spacing w:after="0"/>
              <w:rPr>
                <w:sz w:val="12"/>
                <w:szCs w:val="12"/>
                <w:color w:val="auto"/>
              </w:rPr>
            </w:pPr>
          </w:p>
        </w:tc>
        <w:tc>
          <w:tcPr>
            <w:tcW w:w="58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(1,437)</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gridSpan w:val="7"/>
          </w:tcPr>
          <w:p>
            <w:pPr>
              <w:jc w:val="right"/>
              <w:ind w:right="62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Accounts receivable, net</w:t>
            </w:r>
          </w:p>
        </w:tc>
        <w:tc>
          <w:tcPr>
            <w:tcW w:w="6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c>
          <w:tcPr>
            <w:tcW w:w="1260" w:type="dxa"/>
            <w:vAlign w:val="bottom"/>
            <w:gridSpan w:val="8"/>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$74,233</w:t>
            </w:r>
          </w:p>
        </w:tc>
        <w:tc>
          <w:tcPr>
            <w:tcW w:w="500" w:type="dxa"/>
            <w:vAlign w:val="bottom"/>
            <w:tcBorders>
              <w:left w:val="single" w:sz="8" w:color="CCEEFF"/>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160" w:type="dxa"/>
            <w:vAlign w:val="bottom"/>
            <w:gridSpan w:val="6"/>
            <w:shd w:val="clear" w:color="auto" w:fill="CCEEFF"/>
          </w:tcPr>
          <w:p>
            <w:pPr>
              <w:jc w:val="right"/>
              <w:spacing w:after="0" w:line="148" w:lineRule="exact"/>
              <w:rPr>
                <w:sz w:val="20"/>
                <w:szCs w:val="20"/>
                <w:color w:val="auto"/>
              </w:rPr>
            </w:pPr>
            <w:r>
              <w:rPr>
                <w:rFonts w:ascii="Arial" w:cs="Arial" w:eastAsia="Arial" w:hAnsi="Arial"/>
                <w:sz w:val="13"/>
                <w:szCs w:val="13"/>
                <w:color w:val="auto"/>
              </w:rPr>
              <w:t>$76,295</w:t>
            </w:r>
          </w:p>
        </w:tc>
        <w:tc>
          <w:tcPr>
            <w:tcW w:w="680" w:type="dxa"/>
            <w:vAlign w:val="bottom"/>
            <w:tcBorders>
              <w:left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4840" w:type="dxa"/>
            <w:vAlign w:val="bottom"/>
            <w:gridSpan w:val="11"/>
          </w:tcPr>
          <w:p>
            <w:pPr>
              <w:ind w:left="500"/>
              <w:spacing w:after="0"/>
              <w:rPr>
                <w:sz w:val="20"/>
                <w:szCs w:val="20"/>
                <w:color w:val="auto"/>
              </w:rPr>
            </w:pPr>
            <w:r>
              <w:rPr>
                <w:rFonts w:ascii="Arial" w:cs="Arial" w:eastAsia="Arial" w:hAnsi="Arial"/>
                <w:sz w:val="13"/>
                <w:szCs w:val="13"/>
                <w:color w:val="auto"/>
              </w:rPr>
              <w:t>Changes in allowance for doubtful accounts for each period are as follows:</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8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99"/>
              </w:rPr>
              <w:t>Ten-Month</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60"/>
              <w:spacing w:after="0" w:line="148" w:lineRule="exact"/>
              <w:rPr>
                <w:sz w:val="20"/>
                <w:szCs w:val="20"/>
                <w:color w:val="auto"/>
              </w:rPr>
            </w:pPr>
            <w:r>
              <w:rPr>
                <w:rFonts w:ascii="Arial" w:cs="Arial" w:eastAsia="Arial" w:hAnsi="Arial"/>
                <w:sz w:val="13"/>
                <w:szCs w:val="13"/>
                <w:b w:val="1"/>
                <w:bCs w:val="1"/>
                <w:color w:val="auto"/>
              </w:rPr>
              <w:t>Period Ended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tcPr>
          <w:p>
            <w:pPr>
              <w:jc w:val="center"/>
              <w:ind w:right="300"/>
              <w:spacing w:after="0" w:line="148" w:lineRule="exact"/>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60"/>
              <w:spacing w:after="0" w:line="148" w:lineRule="exact"/>
              <w:rPr>
                <w:sz w:val="20"/>
                <w:szCs w:val="20"/>
                <w:color w:val="auto"/>
              </w:rPr>
            </w:pPr>
            <w:r>
              <w:rPr>
                <w:rFonts w:ascii="Arial" w:cs="Arial" w:eastAsia="Arial" w:hAnsi="Arial"/>
                <w:sz w:val="13"/>
                <w:szCs w:val="13"/>
                <w:b w:val="1"/>
                <w:bCs w:val="1"/>
                <w:color w:val="auto"/>
              </w:rPr>
              <w:t>October 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tcPr>
          <w:p>
            <w:pPr>
              <w:jc w:val="center"/>
              <w:ind w:left="34"/>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2008</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2007</w:t>
            </w:r>
          </w:p>
        </w:tc>
        <w:tc>
          <w:tcPr>
            <w:tcW w:w="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640" w:type="dxa"/>
            <w:vAlign w:val="bottom"/>
            <w:tcBorders>
              <w:right w:val="single" w:sz="8" w:color="CCEEFF"/>
            </w:tcBorders>
            <w:gridSpan w:val="4"/>
            <w:shd w:val="clear" w:color="auto" w:fill="CCEEFF"/>
          </w:tcPr>
          <w:p>
            <w:pPr>
              <w:jc w:val="right"/>
              <w:ind w:right="720"/>
              <w:spacing w:after="0" w:line="138" w:lineRule="exact"/>
              <w:rPr>
                <w:sz w:val="20"/>
                <w:szCs w:val="20"/>
                <w:color w:val="auto"/>
              </w:rPr>
            </w:pPr>
            <w:r>
              <w:rPr>
                <w:rFonts w:ascii="Arial" w:cs="Arial" w:eastAsia="Arial" w:hAnsi="Arial"/>
                <w:sz w:val="13"/>
                <w:szCs w:val="13"/>
                <w:color w:val="auto"/>
              </w:rPr>
              <w:t>$  —</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 (1,569)</w:t>
            </w:r>
          </w:p>
        </w:tc>
        <w:tc>
          <w:tcPr>
            <w:tcW w:w="1760" w:type="dxa"/>
            <w:vAlign w:val="bottom"/>
            <w:gridSpan w:val="9"/>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(1,367)</w:t>
            </w:r>
          </w:p>
        </w:tc>
        <w:tc>
          <w:tcPr>
            <w:tcW w:w="1960" w:type="dxa"/>
            <w:vAlign w:val="bottom"/>
            <w:gridSpan w:val="8"/>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(1,418)</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Bad debt expense</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(379)</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(723)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rPr>
              <w:t>(503)</w:t>
            </w:r>
          </w:p>
        </w:tc>
        <w:tc>
          <w:tcPr>
            <w:tcW w:w="1960" w:type="dxa"/>
            <w:vAlign w:val="bottom"/>
            <w:gridSpan w:val="8"/>
          </w:tcPr>
          <w:p>
            <w:pPr>
              <w:jc w:val="right"/>
              <w:ind w:right="600"/>
              <w:spacing w:after="0" w:line="148" w:lineRule="exact"/>
              <w:rPr>
                <w:sz w:val="20"/>
                <w:szCs w:val="20"/>
                <w:color w:val="auto"/>
              </w:rPr>
            </w:pPr>
            <w:r>
              <w:rPr>
                <w:rFonts w:ascii="Arial" w:cs="Arial" w:eastAsia="Arial" w:hAnsi="Arial"/>
                <w:sz w:val="13"/>
                <w:szCs w:val="13"/>
                <w:color w:val="auto"/>
              </w:rPr>
              <w:t>(161)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Write off</w:t>
            </w:r>
          </w:p>
        </w:tc>
        <w:tc>
          <w:tcPr>
            <w:tcW w:w="6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gridSpan w:val="3"/>
            <w:shd w:val="clear" w:color="auto" w:fill="CCEEFF"/>
          </w:tcPr>
          <w:p>
            <w:pPr>
              <w:jc w:val="right"/>
              <w:ind w:right="7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104</w:t>
            </w:r>
          </w:p>
        </w:tc>
        <w:tc>
          <w:tcPr>
            <w:tcW w:w="500" w:type="dxa"/>
            <w:vAlign w:val="bottom"/>
            <w:tcBorders>
              <w:left w:val="single" w:sz="8" w:color="CCEEFF"/>
            </w:tcBorders>
            <w:shd w:val="clear" w:color="auto" w:fill="CCEEFF"/>
          </w:tcPr>
          <w:p>
            <w:pPr>
              <w:spacing w:after="0"/>
              <w:rPr>
                <w:sz w:val="12"/>
                <w:szCs w:val="12"/>
                <w:color w:val="auto"/>
              </w:rPr>
            </w:pPr>
          </w:p>
        </w:tc>
        <w:tc>
          <w:tcPr>
            <w:tcW w:w="1960" w:type="dxa"/>
            <w:vAlign w:val="bottom"/>
            <w:gridSpan w:val="8"/>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208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197</w:t>
            </w:r>
          </w:p>
        </w:tc>
        <w:tc>
          <w:tcPr>
            <w:tcW w:w="500" w:type="dxa"/>
            <w:vAlign w:val="bottom"/>
          </w:tcPr>
          <w:p>
            <w:pPr>
              <w:spacing w:after="0"/>
              <w:rPr>
                <w:sz w:val="12"/>
                <w:szCs w:val="12"/>
                <w:color w:val="auto"/>
              </w:rPr>
            </w:pPr>
          </w:p>
        </w:tc>
        <w:tc>
          <w:tcPr>
            <w:tcW w:w="1960" w:type="dxa"/>
            <w:vAlign w:val="bottom"/>
            <w:gridSpan w:val="8"/>
          </w:tcPr>
          <w:p>
            <w:pPr>
              <w:jc w:val="right"/>
              <w:ind w:right="640"/>
              <w:spacing w:after="0" w:line="14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9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$(377)</w:t>
            </w:r>
          </w:p>
        </w:tc>
        <w:tc>
          <w:tcPr>
            <w:tcW w:w="6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$(2,332)</w:t>
            </w:r>
          </w:p>
        </w:tc>
        <w:tc>
          <w:tcPr>
            <w:tcW w:w="1760" w:type="dxa"/>
            <w:vAlign w:val="bottom"/>
            <w:gridSpan w:val="9"/>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$(1,569)</w:t>
            </w:r>
          </w:p>
        </w:tc>
        <w:tc>
          <w:tcPr>
            <w:tcW w:w="1960" w:type="dxa"/>
            <w:vAlign w:val="bottom"/>
            <w:gridSpan w:val="8"/>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$(1,367)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68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680" w:type="dxa"/>
            <w:vAlign w:val="bottom"/>
          </w:tcPr>
          <w:p>
            <w:pPr>
              <w:spacing w:after="0"/>
              <w:rPr>
                <w:sz w:val="21"/>
                <w:szCs w:val="21"/>
                <w:color w:val="auto"/>
              </w:rPr>
            </w:pPr>
          </w:p>
        </w:tc>
        <w:tc>
          <w:tcPr>
            <w:tcW w:w="4840" w:type="dxa"/>
            <w:vAlign w:val="bottom"/>
            <w:gridSpan w:val="11"/>
          </w:tcPr>
          <w:p>
            <w:pPr>
              <w:ind w:left="500"/>
              <w:spacing w:after="0"/>
              <w:rPr>
                <w:sz w:val="20"/>
                <w:szCs w:val="20"/>
                <w:color w:val="auto"/>
              </w:rPr>
            </w:pPr>
            <w:r>
              <w:rPr>
                <w:rFonts w:ascii="Arial" w:cs="Arial" w:eastAsia="Arial" w:hAnsi="Arial"/>
                <w:sz w:val="13"/>
                <w:szCs w:val="13"/>
                <w:color w:val="auto"/>
              </w:rPr>
              <w:t>Changes in cash return reserve for each period are as follows:</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80" w:type="dxa"/>
            <w:vAlign w:val="bottom"/>
            <w:gridSpan w:val="6"/>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8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center"/>
              <w:ind w:right="80"/>
              <w:spacing w:after="0" w:line="121" w:lineRule="exact"/>
              <w:rPr>
                <w:sz w:val="20"/>
                <w:szCs w:val="20"/>
                <w:color w:val="auto"/>
              </w:rPr>
            </w:pPr>
            <w:r>
              <w:rPr>
                <w:rFonts w:ascii="Arial" w:cs="Arial" w:eastAsia="Arial" w:hAnsi="Arial"/>
                <w:sz w:val="13"/>
                <w:szCs w:val="13"/>
                <w:b w:val="1"/>
                <w:bCs w:val="1"/>
                <w:color w:val="auto"/>
                <w:w w:val="98"/>
              </w:rPr>
              <w:t>Two-Month</w:t>
            </w:r>
          </w:p>
        </w:tc>
        <w:tc>
          <w:tcPr>
            <w:tcW w:w="4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6"/>
          </w:tcPr>
          <w:p>
            <w:pPr>
              <w:jc w:val="center"/>
              <w:ind w:right="12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180" w:type="dxa"/>
            <w:vAlign w:val="bottom"/>
            <w:gridSpan w:val="2"/>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tcPr>
          <w:p>
            <w:pPr>
              <w:jc w:val="center"/>
              <w:ind w:right="260"/>
              <w:spacing w:after="0" w:line="148" w:lineRule="exact"/>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6"/>
          </w:tcPr>
          <w:p>
            <w:pPr>
              <w:jc w:val="center"/>
              <w:ind w:right="12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180" w:type="dxa"/>
            <w:vAlign w:val="bottom"/>
            <w:gridSpan w:val="2"/>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2008</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2007</w:t>
            </w:r>
          </w:p>
        </w:tc>
        <w:tc>
          <w:tcPr>
            <w:tcW w:w="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54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 (1,545)</w:t>
            </w: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(671)</w:t>
            </w:r>
          </w:p>
        </w:tc>
        <w:tc>
          <w:tcPr>
            <w:tcW w:w="900" w:type="dxa"/>
            <w:vAlign w:val="bottom"/>
            <w:tcBorders>
              <w:right w:val="single" w:sz="8" w:color="CCEEFF"/>
            </w:tcBorders>
            <w:gridSpan w:val="6"/>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(914)</w:t>
            </w:r>
          </w:p>
        </w:tc>
        <w:tc>
          <w:tcPr>
            <w:tcW w:w="1960" w:type="dxa"/>
            <w:vAlign w:val="bottom"/>
            <w:gridSpan w:val="8"/>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(1,450)</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Addition to reserve</w:t>
            </w:r>
          </w:p>
        </w:tc>
        <w:tc>
          <w:tcPr>
            <w:tcW w:w="154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(648)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(4,476)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w w:val="97"/>
              </w:rPr>
              <w:t>(3,385)</w:t>
            </w:r>
          </w:p>
        </w:tc>
        <w:tc>
          <w:tcPr>
            <w:tcW w:w="1960" w:type="dxa"/>
            <w:vAlign w:val="bottom"/>
            <w:gridSpan w:val="8"/>
          </w:tcPr>
          <w:p>
            <w:pPr>
              <w:jc w:val="right"/>
              <w:ind w:right="600"/>
              <w:spacing w:after="0" w:line="148" w:lineRule="exact"/>
              <w:rPr>
                <w:sz w:val="20"/>
                <w:szCs w:val="20"/>
                <w:color w:val="auto"/>
              </w:rPr>
            </w:pPr>
            <w:r>
              <w:rPr>
                <w:rFonts w:ascii="Arial" w:cs="Arial" w:eastAsia="Arial" w:hAnsi="Arial"/>
                <w:sz w:val="13"/>
                <w:szCs w:val="13"/>
                <w:color w:val="auto"/>
              </w:rPr>
              <w:t>(2,509)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Payment made</w:t>
            </w:r>
          </w:p>
        </w:tc>
        <w:tc>
          <w:tcPr>
            <w:tcW w:w="154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484</w:t>
            </w: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3,722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3,393</w:t>
            </w:r>
          </w:p>
        </w:tc>
        <w:tc>
          <w:tcPr>
            <w:tcW w:w="1960" w:type="dxa"/>
            <w:vAlign w:val="bottom"/>
            <w:gridSpan w:val="8"/>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3,040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9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(120)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235</w:t>
            </w:r>
          </w:p>
        </w:tc>
        <w:tc>
          <w:tcPr>
            <w:tcW w:w="1960" w:type="dxa"/>
            <w:vAlign w:val="bottom"/>
            <w:gridSpan w:val="8"/>
          </w:tcPr>
          <w:p>
            <w:pPr>
              <w:jc w:val="right"/>
              <w:ind w:right="640"/>
              <w:spacing w:after="0" w:line="148"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154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$(1,729)</w:t>
            </w:r>
          </w:p>
        </w:tc>
        <w:tc>
          <w:tcPr>
            <w:tcW w:w="10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$(1,545)</w:t>
            </w:r>
          </w:p>
        </w:tc>
        <w:tc>
          <w:tcPr>
            <w:tcW w:w="900" w:type="dxa"/>
            <w:vAlign w:val="bottom"/>
            <w:tcBorders>
              <w:right w:val="single" w:sz="8" w:color="CCEEFF"/>
            </w:tcBorders>
            <w:gridSpan w:val="6"/>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(671)</w:t>
            </w:r>
          </w:p>
        </w:tc>
        <w:tc>
          <w:tcPr>
            <w:tcW w:w="1960" w:type="dxa"/>
            <w:vAlign w:val="bottom"/>
            <w:gridSpan w:val="8"/>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  (914)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F-46</w:t>
            </w:r>
          </w:p>
        </w:tc>
        <w:tc>
          <w:tcPr>
            <w:tcW w:w="3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29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7" w:name="page228"/>
    <w:bookmarkEnd w:id="2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980" w:type="dxa"/>
            <w:vAlign w:val="bottom"/>
            <w:gridSpan w:val="8"/>
          </w:tcPr>
          <w:p>
            <w:pPr>
              <w:ind w:left="500"/>
              <w:spacing w:after="0"/>
              <w:rPr>
                <w:sz w:val="20"/>
                <w:szCs w:val="20"/>
                <w:color w:val="auto"/>
              </w:rPr>
            </w:pPr>
            <w:r>
              <w:rPr>
                <w:rFonts w:ascii="Arial" w:cs="Arial" w:eastAsia="Arial" w:hAnsi="Arial"/>
                <w:sz w:val="13"/>
                <w:szCs w:val="13"/>
                <w:color w:val="auto"/>
              </w:rPr>
              <w:t>Changes in low yield compensation reserve for each period are as follows:</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920" w:type="dxa"/>
            <w:vAlign w:val="bottom"/>
          </w:tcPr>
          <w:p>
            <w:pPr>
              <w:spacing w:after="0"/>
              <w:rPr>
                <w:sz w:val="7"/>
                <w:szCs w:val="7"/>
                <w:color w:val="auto"/>
              </w:rPr>
            </w:pPr>
          </w:p>
        </w:tc>
        <w:tc>
          <w:tcPr>
            <w:tcW w:w="172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320" w:type="dxa"/>
            <w:vAlign w:val="bottom"/>
            <w:gridSpan w:val="2"/>
            <w:vMerge w:val="restart"/>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164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240"/>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72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80" w:type="dxa"/>
            <w:vAlign w:val="bottom"/>
            <w:gridSpan w:val="3"/>
          </w:tcPr>
          <w:p>
            <w:pPr>
              <w:jc w:val="center"/>
              <w:ind w:right="240"/>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72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8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13"/>
                <w:szCs w:val="13"/>
                <w:b w:val="1"/>
                <w:bCs w:val="1"/>
                <w:color w:val="auto"/>
              </w:rPr>
              <w:t>2009</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w w:val="96"/>
              </w:rPr>
              <w:t>2007</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640" w:type="dxa"/>
            <w:vAlign w:val="bottom"/>
            <w:gridSpan w:val="3"/>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(1,213)</w:t>
            </w: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gridSpan w:val="3"/>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(1,101)</w:t>
            </w:r>
          </w:p>
        </w:tc>
        <w:tc>
          <w:tcPr>
            <w:tcW w:w="180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(1,260)</w:t>
            </w:r>
          </w:p>
        </w:tc>
        <w:tc>
          <w:tcPr>
            <w:tcW w:w="1820" w:type="dxa"/>
            <w:vAlign w:val="bottom"/>
            <w:gridSpan w:val="4"/>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(2,482)</w:t>
            </w:r>
          </w:p>
        </w:tc>
        <w:tc>
          <w:tcPr>
            <w:tcW w:w="0" w:type="dxa"/>
            <w:vAlign w:val="bottom"/>
          </w:tcPr>
          <w:p>
            <w:pPr>
              <w:spacing w:after="0"/>
              <w:rPr>
                <w:sz w:val="1"/>
                <w:szCs w:val="1"/>
                <w:color w:val="auto"/>
              </w:rPr>
            </w:pPr>
          </w:p>
        </w:tc>
      </w:tr>
      <w:tr>
        <w:trPr>
          <w:trHeight w:val="147"/>
        </w:trPr>
        <w:tc>
          <w:tcPr>
            <w:tcW w:w="2920" w:type="dxa"/>
            <w:vAlign w:val="bottom"/>
          </w:tcPr>
          <w:p>
            <w:pPr>
              <w:spacing w:after="0" w:line="148" w:lineRule="exact"/>
              <w:rPr>
                <w:sz w:val="20"/>
                <w:szCs w:val="20"/>
                <w:color w:val="auto"/>
              </w:rPr>
            </w:pPr>
            <w:r>
              <w:rPr>
                <w:rFonts w:ascii="Arial" w:cs="Arial" w:eastAsia="Arial" w:hAnsi="Arial"/>
                <w:sz w:val="13"/>
                <w:szCs w:val="13"/>
                <w:color w:val="auto"/>
              </w:rPr>
              <w:t>Addition to reserve</w:t>
            </w:r>
          </w:p>
        </w:tc>
        <w:tc>
          <w:tcPr>
            <w:tcW w:w="164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(715)</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(1,759)</w:t>
            </w:r>
          </w:p>
        </w:tc>
        <w:tc>
          <w:tcPr>
            <w:tcW w:w="180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(1,854)</w:t>
            </w:r>
          </w:p>
        </w:tc>
        <w:tc>
          <w:tcPr>
            <w:tcW w:w="1820" w:type="dxa"/>
            <w:vAlign w:val="bottom"/>
            <w:gridSpan w:val="4"/>
          </w:tcPr>
          <w:p>
            <w:pPr>
              <w:jc w:val="right"/>
              <w:ind w:right="600"/>
              <w:spacing w:after="0" w:line="148" w:lineRule="exact"/>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47"/>
        </w:trPr>
        <w:tc>
          <w:tcPr>
            <w:tcW w:w="2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Payment made</w:t>
            </w:r>
          </w:p>
        </w:tc>
        <w:tc>
          <w:tcPr>
            <w:tcW w:w="1640" w:type="dxa"/>
            <w:vAlign w:val="bottom"/>
            <w:gridSpan w:val="3"/>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1,724</w:t>
            </w:r>
          </w:p>
        </w:tc>
        <w:tc>
          <w:tcPr>
            <w:tcW w:w="18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1,663</w:t>
            </w:r>
          </w:p>
        </w:tc>
        <w:tc>
          <w:tcPr>
            <w:tcW w:w="1820" w:type="dxa"/>
            <w:vAlign w:val="bottom"/>
            <w:gridSpan w:val="4"/>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2,523</w:t>
            </w:r>
          </w:p>
        </w:tc>
        <w:tc>
          <w:tcPr>
            <w:tcW w:w="0" w:type="dxa"/>
            <w:vAlign w:val="bottom"/>
          </w:tcPr>
          <w:p>
            <w:pPr>
              <w:spacing w:after="0"/>
              <w:rPr>
                <w:sz w:val="1"/>
                <w:szCs w:val="1"/>
                <w:color w:val="auto"/>
              </w:rPr>
            </w:pPr>
          </w:p>
        </w:tc>
      </w:tr>
      <w:tr>
        <w:trPr>
          <w:trHeight w:val="147"/>
        </w:trPr>
        <w:tc>
          <w:tcPr>
            <w:tcW w:w="292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10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(77)</w:t>
            </w:r>
          </w:p>
        </w:tc>
        <w:tc>
          <w:tcPr>
            <w:tcW w:w="18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350</w:t>
            </w:r>
          </w:p>
        </w:tc>
        <w:tc>
          <w:tcPr>
            <w:tcW w:w="1820" w:type="dxa"/>
            <w:vAlign w:val="bottom"/>
            <w:gridSpan w:val="4"/>
          </w:tcPr>
          <w:p>
            <w:pPr>
              <w:jc w:val="right"/>
              <w:ind w:right="640"/>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164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$(1,437)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$(1,213)</w:t>
            </w:r>
          </w:p>
        </w:tc>
        <w:tc>
          <w:tcPr>
            <w:tcW w:w="180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$(1,101)</w:t>
            </w:r>
          </w:p>
        </w:tc>
        <w:tc>
          <w:tcPr>
            <w:tcW w:w="1820" w:type="dxa"/>
            <w:vAlign w:val="bottom"/>
            <w:gridSpan w:val="4"/>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$(1,260)</w:t>
            </w:r>
          </w:p>
        </w:tc>
        <w:tc>
          <w:tcPr>
            <w:tcW w:w="0" w:type="dxa"/>
            <w:vAlign w:val="bottom"/>
          </w:tcPr>
          <w:p>
            <w:pPr>
              <w:spacing w:after="0"/>
              <w:rPr>
                <w:sz w:val="1"/>
                <w:szCs w:val="1"/>
                <w:color w:val="auto"/>
              </w:rPr>
            </w:pPr>
          </w:p>
        </w:tc>
      </w:tr>
      <w:tr>
        <w:trPr>
          <w:trHeight w:val="39"/>
        </w:trPr>
        <w:tc>
          <w:tcPr>
            <w:tcW w:w="2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00" w:hanging="313"/>
        <w:spacing w:after="0"/>
        <w:tabs>
          <w:tab w:leader="none" w:pos="1000" w:val="left"/>
        </w:tabs>
        <w:numPr>
          <w:ilvl w:val="0"/>
          <w:numId w:val="168"/>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December 31, 2009 and 2008 consist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5"/>
          </w:tcPr>
          <w:p>
            <w:pPr>
              <w:jc w:val="center"/>
              <w:ind w:right="32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5"/>
          </w:tcPr>
          <w:p>
            <w:pPr>
              <w:jc w:val="center"/>
              <w:ind w:right="280"/>
              <w:spacing w:after="0" w:line="121"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3"/>
                <w:szCs w:val="13"/>
                <w:b w:val="1"/>
                <w:bCs w:val="1"/>
                <w:color w:val="auto"/>
              </w:rPr>
              <w:t>2009</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gridSpan w:val="5"/>
          </w:tcPr>
          <w:p>
            <w:pPr>
              <w:jc w:val="center"/>
              <w:ind w:left="614"/>
              <w:spacing w:after="0"/>
              <w:rPr>
                <w:sz w:val="20"/>
                <w:szCs w:val="20"/>
                <w:color w:val="auto"/>
              </w:rPr>
            </w:pPr>
            <w:r>
              <w:rPr>
                <w:rFonts w:ascii="Arial" w:cs="Arial" w:eastAsia="Arial" w:hAnsi="Arial"/>
                <w:sz w:val="13"/>
                <w:szCs w:val="13"/>
                <w:b w:val="1"/>
                <w:bCs w:val="1"/>
                <w:color w:val="auto"/>
                <w:w w:val="96"/>
              </w:rPr>
              <w:t>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Finished goods</w:t>
            </w:r>
          </w:p>
        </w:tc>
        <w:tc>
          <w:tcPr>
            <w:tcW w:w="6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gridSpan w:val="4"/>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$ 19,474</w:t>
            </w:r>
          </w:p>
        </w:tc>
        <w:tc>
          <w:tcPr>
            <w:tcW w:w="2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gridSpan w:val="7"/>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$ 22,694</w:t>
            </w:r>
          </w:p>
        </w:tc>
        <w:tc>
          <w:tcPr>
            <w:tcW w:w="54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Semi-finished goods and work-in-process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4"/>
          </w:tcPr>
          <w:p>
            <w:pPr>
              <w:jc w:val="right"/>
              <w:ind w:right="440"/>
              <w:spacing w:after="0" w:line="148" w:lineRule="exact"/>
              <w:rPr>
                <w:sz w:val="20"/>
                <w:szCs w:val="20"/>
                <w:color w:val="auto"/>
              </w:rPr>
            </w:pPr>
            <w:r>
              <w:rPr>
                <w:rFonts w:ascii="Arial" w:cs="Arial" w:eastAsia="Arial" w:hAnsi="Arial"/>
                <w:sz w:val="13"/>
                <w:szCs w:val="13"/>
                <w:color w:val="auto"/>
              </w:rPr>
              <w:t>42,604</w:t>
            </w: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60" w:type="dxa"/>
            <w:vAlign w:val="bottom"/>
            <w:gridSpan w:val="7"/>
          </w:tcPr>
          <w:p>
            <w:pPr>
              <w:jc w:val="right"/>
              <w:ind w:right="140"/>
              <w:spacing w:after="0" w:line="148" w:lineRule="exact"/>
              <w:rPr>
                <w:sz w:val="20"/>
                <w:szCs w:val="20"/>
                <w:color w:val="auto"/>
              </w:rPr>
            </w:pPr>
            <w:r>
              <w:rPr>
                <w:rFonts w:ascii="Arial" w:cs="Arial" w:eastAsia="Arial" w:hAnsi="Arial"/>
                <w:sz w:val="13"/>
                <w:szCs w:val="13"/>
                <w:color w:val="auto"/>
              </w:rPr>
              <w:t>49,814</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Raw materials</w:t>
            </w:r>
          </w:p>
        </w:tc>
        <w:tc>
          <w:tcPr>
            <w:tcW w:w="6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5,844</w:t>
            </w:r>
          </w:p>
        </w:tc>
        <w:tc>
          <w:tcPr>
            <w:tcW w:w="2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gridSpan w:val="7"/>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7,471</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Materials in-transit</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4"/>
          </w:tcPr>
          <w:p>
            <w:pPr>
              <w:jc w:val="right"/>
              <w:ind w:right="440"/>
              <w:spacing w:after="0" w:line="148" w:lineRule="exact"/>
              <w:rPr>
                <w:sz w:val="20"/>
                <w:szCs w:val="20"/>
                <w:color w:val="auto"/>
              </w:rPr>
            </w:pPr>
            <w:r>
              <w:rPr>
                <w:rFonts w:ascii="Arial" w:cs="Arial" w:eastAsia="Arial" w:hAnsi="Arial"/>
                <w:sz w:val="13"/>
                <w:szCs w:val="13"/>
                <w:color w:val="auto"/>
              </w:rPr>
              <w:t>64</w:t>
            </w: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60" w:type="dxa"/>
            <w:vAlign w:val="bottom"/>
            <w:gridSpan w:val="7"/>
          </w:tcPr>
          <w:p>
            <w:pPr>
              <w:jc w:val="right"/>
              <w:ind w:right="140"/>
              <w:spacing w:after="0" w:line="148" w:lineRule="exact"/>
              <w:rPr>
                <w:sz w:val="20"/>
                <w:szCs w:val="20"/>
                <w:color w:val="auto"/>
              </w:rPr>
            </w:pPr>
            <w:r>
              <w:rPr>
                <w:rFonts w:ascii="Arial" w:cs="Arial" w:eastAsia="Arial" w:hAnsi="Arial"/>
                <w:sz w:val="13"/>
                <w:szCs w:val="13"/>
                <w:color w:val="auto"/>
              </w:rPr>
              <w:t>206</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inventory reserve</w:t>
            </w:r>
          </w:p>
        </w:tc>
        <w:tc>
          <w:tcPr>
            <w:tcW w:w="6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(4,579)</w:t>
            </w:r>
          </w:p>
        </w:tc>
        <w:tc>
          <w:tcPr>
            <w:tcW w:w="2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gridSpan w:val="7"/>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(33,075)</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Inventories, net</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4"/>
          </w:tcPr>
          <w:p>
            <w:pPr>
              <w:jc w:val="right"/>
              <w:ind w:right="440"/>
              <w:spacing w:after="0" w:line="148" w:lineRule="exact"/>
              <w:rPr>
                <w:sz w:val="20"/>
                <w:szCs w:val="20"/>
                <w:color w:val="auto"/>
              </w:rPr>
            </w:pPr>
            <w:r>
              <w:rPr>
                <w:rFonts w:ascii="Arial" w:cs="Arial" w:eastAsia="Arial" w:hAnsi="Arial"/>
                <w:sz w:val="13"/>
                <w:szCs w:val="13"/>
                <w:color w:val="auto"/>
              </w:rPr>
              <w:t>$63,407</w:t>
            </w:r>
          </w:p>
        </w:tc>
        <w:tc>
          <w:tcPr>
            <w:tcW w:w="2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360" w:type="dxa"/>
            <w:vAlign w:val="bottom"/>
            <w:gridSpan w:val="7"/>
          </w:tcPr>
          <w:p>
            <w:pPr>
              <w:jc w:val="right"/>
              <w:ind w:right="140"/>
              <w:spacing w:after="0" w:line="148" w:lineRule="exact"/>
              <w:rPr>
                <w:sz w:val="20"/>
                <w:szCs w:val="20"/>
                <w:color w:val="auto"/>
              </w:rPr>
            </w:pPr>
            <w:r>
              <w:rPr>
                <w:rFonts w:ascii="Arial" w:cs="Arial" w:eastAsia="Arial" w:hAnsi="Arial"/>
                <w:sz w:val="13"/>
                <w:szCs w:val="13"/>
                <w:color w:val="auto"/>
              </w:rPr>
              <w:t>$ 47,110</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4680" w:type="dxa"/>
            <w:vAlign w:val="bottom"/>
            <w:gridSpan w:val="4"/>
          </w:tcPr>
          <w:p>
            <w:pPr>
              <w:ind w:left="500"/>
              <w:spacing w:after="0"/>
              <w:rPr>
                <w:sz w:val="20"/>
                <w:szCs w:val="20"/>
                <w:color w:val="auto"/>
              </w:rPr>
            </w:pPr>
            <w:r>
              <w:rPr>
                <w:rFonts w:ascii="Arial" w:cs="Arial" w:eastAsia="Arial" w:hAnsi="Arial"/>
                <w:sz w:val="13"/>
                <w:szCs w:val="13"/>
                <w:color w:val="auto"/>
              </w:rPr>
              <w:t>Changes in inventory reserve for each period are as follows: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20" w:type="dxa"/>
            <w:vAlign w:val="bottom"/>
            <w:gridSpan w:val="3"/>
            <w:vMerge w:val="restart"/>
          </w:tcPr>
          <w:p>
            <w:pPr>
              <w:jc w:val="center"/>
              <w:ind w:left="134"/>
              <w:spacing w:after="0"/>
              <w:rPr>
                <w:sz w:val="20"/>
                <w:szCs w:val="20"/>
                <w:color w:val="auto"/>
              </w:rPr>
            </w:pPr>
            <w:r>
              <w:rPr>
                <w:rFonts w:ascii="Arial" w:cs="Arial" w:eastAsia="Arial" w:hAnsi="Arial"/>
                <w:sz w:val="13"/>
                <w:szCs w:val="13"/>
                <w:b w:val="1"/>
                <w:bCs w:val="1"/>
                <w:color w:val="auto"/>
              </w:rPr>
              <w:t>Successor</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3"/>
            <w:vMerge w:val="restart"/>
          </w:tcPr>
          <w:p>
            <w:pPr>
              <w:jc w:val="center"/>
              <w:ind w:left="114"/>
              <w:spacing w:after="0"/>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20" w:type="dxa"/>
            <w:vAlign w:val="bottom"/>
            <w:gridSpan w:val="3"/>
          </w:tcPr>
          <w:p>
            <w:pPr>
              <w:jc w:val="center"/>
              <w:ind w:left="154"/>
              <w:spacing w:after="0" w:line="121" w:lineRule="exact"/>
              <w:rPr>
                <w:sz w:val="20"/>
                <w:szCs w:val="20"/>
                <w:color w:val="auto"/>
              </w:rPr>
            </w:pPr>
            <w:r>
              <w:rPr>
                <w:rFonts w:ascii="Arial" w:cs="Arial" w:eastAsia="Arial" w:hAnsi="Arial"/>
                <w:sz w:val="13"/>
                <w:szCs w:val="13"/>
                <w:b w:val="1"/>
                <w:bCs w:val="1"/>
                <w:color w:val="auto"/>
                <w:w w:val="98"/>
              </w:rPr>
              <w:t>Two-Month</w:t>
            </w:r>
          </w:p>
        </w:tc>
        <w:tc>
          <w:tcPr>
            <w:tcW w:w="2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4"/>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gridSpan w:val="3"/>
          </w:tcPr>
          <w:p>
            <w:pPr>
              <w:jc w:val="center"/>
              <w:ind w:left="154"/>
              <w:spacing w:after="0" w:line="148" w:lineRule="exact"/>
              <w:rPr>
                <w:sz w:val="20"/>
                <w:szCs w:val="20"/>
                <w:color w:val="auto"/>
              </w:rPr>
            </w:pPr>
            <w:r>
              <w:rPr>
                <w:rFonts w:ascii="Arial" w:cs="Arial" w:eastAsia="Arial" w:hAnsi="Arial"/>
                <w:sz w:val="13"/>
                <w:szCs w:val="13"/>
                <w:b w:val="1"/>
                <w:bCs w:val="1"/>
                <w:color w:val="auto"/>
              </w:rPr>
              <w:t>Period Ended</w:t>
            </w: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w w:val="97"/>
              </w:rPr>
              <w:t>Year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4"/>
          </w:tcPr>
          <w:p>
            <w:pPr>
              <w:jc w:val="center"/>
              <w:ind w:right="400"/>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gridSpan w:val="3"/>
          </w:tcPr>
          <w:p>
            <w:pPr>
              <w:jc w:val="center"/>
              <w:ind w:left="15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w w:val="96"/>
              </w:rPr>
              <w:t>2009</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3"/>
                <w:szCs w:val="13"/>
                <w:b w:val="1"/>
                <w:bCs w:val="1"/>
                <w:color w:val="auto"/>
              </w:rPr>
              <w:t>2008</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64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auto"/>
            </w:tcBorders>
            <w:gridSpan w:val="2"/>
            <w:shd w:val="clear" w:color="auto" w:fill="CCEEFF"/>
          </w:tcPr>
          <w:p>
            <w:pPr>
              <w:spacing w:after="0"/>
              <w:rPr>
                <w:sz w:val="11"/>
                <w:szCs w:val="11"/>
                <w:color w:val="auto"/>
              </w:rPr>
            </w:pPr>
          </w:p>
        </w:tc>
        <w:tc>
          <w:tcPr>
            <w:tcW w:w="122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 (33,075)</w:t>
            </w:r>
          </w:p>
        </w:tc>
        <w:tc>
          <w:tcPr>
            <w:tcW w:w="340" w:type="dxa"/>
            <w:vAlign w:val="bottom"/>
            <w:shd w:val="clear" w:color="auto" w:fill="CCEEFF"/>
          </w:tcPr>
          <w:p>
            <w:pPr>
              <w:spacing w:after="0"/>
              <w:rPr>
                <w:sz w:val="11"/>
                <w:szCs w:val="11"/>
                <w:color w:val="auto"/>
              </w:rPr>
            </w:pPr>
          </w:p>
        </w:tc>
        <w:tc>
          <w:tcPr>
            <w:tcW w:w="1420" w:type="dxa"/>
            <w:vAlign w:val="bottom"/>
            <w:gridSpan w:val="5"/>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 (8,620)</w:t>
            </w:r>
          </w:p>
        </w:tc>
        <w:tc>
          <w:tcPr>
            <w:tcW w:w="2000" w:type="dxa"/>
            <w:vAlign w:val="bottom"/>
            <w:gridSpan w:val="9"/>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 (11,652)</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Change in reserve</w:t>
            </w:r>
          </w:p>
        </w:tc>
        <w:tc>
          <w:tcPr>
            <w:tcW w:w="640" w:type="dxa"/>
            <w:vAlign w:val="bottom"/>
          </w:tcPr>
          <w:p>
            <w:pPr>
              <w:spacing w:after="0"/>
              <w:rPr>
                <w:sz w:val="12"/>
                <w:szCs w:val="12"/>
                <w:color w:val="auto"/>
              </w:rPr>
            </w:pP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w w:val="92"/>
              </w:rPr>
              <w:t>(4,952)</w:t>
            </w:r>
          </w:p>
        </w:tc>
        <w:tc>
          <w:tcPr>
            <w:tcW w:w="320" w:type="dxa"/>
            <w:vAlign w:val="bottom"/>
            <w:tcBorders>
              <w:right w:val="single" w:sz="8" w:color="auto"/>
            </w:tcBorders>
            <w:gridSpan w:val="2"/>
          </w:tcPr>
          <w:p>
            <w:pPr>
              <w:spacing w:after="0"/>
              <w:rPr>
                <w:sz w:val="12"/>
                <w:szCs w:val="12"/>
                <w:color w:val="auto"/>
              </w:rPr>
            </w:pPr>
          </w:p>
        </w:tc>
        <w:tc>
          <w:tcPr>
            <w:tcW w:w="1220" w:type="dxa"/>
            <w:vAlign w:val="bottom"/>
            <w:gridSpan w:val="4"/>
          </w:tcPr>
          <w:p>
            <w:pPr>
              <w:jc w:val="right"/>
              <w:ind w:right="180"/>
              <w:spacing w:after="0" w:line="148" w:lineRule="exact"/>
              <w:rPr>
                <w:sz w:val="20"/>
                <w:szCs w:val="20"/>
                <w:color w:val="auto"/>
              </w:rPr>
            </w:pPr>
            <w:r>
              <w:rPr>
                <w:rFonts w:ascii="Arial" w:cs="Arial" w:eastAsia="Arial" w:hAnsi="Arial"/>
                <w:sz w:val="13"/>
                <w:szCs w:val="13"/>
                <w:color w:val="auto"/>
              </w:rPr>
              <w:t>8,081</w:t>
            </w:r>
          </w:p>
        </w:tc>
        <w:tc>
          <w:tcPr>
            <w:tcW w:w="340" w:type="dxa"/>
            <w:vAlign w:val="bottom"/>
          </w:tcPr>
          <w:p>
            <w:pPr>
              <w:spacing w:after="0"/>
              <w:rPr>
                <w:sz w:val="12"/>
                <w:szCs w:val="12"/>
                <w:color w:val="auto"/>
              </w:rPr>
            </w:pPr>
          </w:p>
        </w:tc>
        <w:tc>
          <w:tcPr>
            <w:tcW w:w="1420" w:type="dxa"/>
            <w:vAlign w:val="bottom"/>
            <w:gridSpan w:val="5"/>
          </w:tcPr>
          <w:p>
            <w:pPr>
              <w:jc w:val="right"/>
              <w:ind w:right="200"/>
              <w:spacing w:after="0" w:line="148" w:lineRule="exact"/>
              <w:rPr>
                <w:sz w:val="20"/>
                <w:szCs w:val="20"/>
                <w:color w:val="auto"/>
              </w:rPr>
            </w:pPr>
            <w:r>
              <w:rPr>
                <w:rFonts w:ascii="Arial" w:cs="Arial" w:eastAsia="Arial" w:hAnsi="Arial"/>
                <w:sz w:val="13"/>
                <w:szCs w:val="13"/>
                <w:color w:val="auto"/>
              </w:rPr>
              <w:t>(34,869)</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Write off</w:t>
            </w:r>
          </w:p>
        </w:tc>
        <w:tc>
          <w:tcPr>
            <w:tcW w:w="6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391</w:t>
            </w:r>
          </w:p>
        </w:tc>
        <w:tc>
          <w:tcPr>
            <w:tcW w:w="320" w:type="dxa"/>
            <w:vAlign w:val="bottom"/>
            <w:tcBorders>
              <w:right w:val="single" w:sz="8" w:color="auto"/>
            </w:tcBorders>
            <w:gridSpan w:val="2"/>
            <w:shd w:val="clear" w:color="auto" w:fill="CCEEFF"/>
          </w:tcPr>
          <w:p>
            <w:pPr>
              <w:spacing w:after="0"/>
              <w:rPr>
                <w:sz w:val="12"/>
                <w:szCs w:val="12"/>
                <w:color w:val="auto"/>
              </w:rPr>
            </w:pPr>
          </w:p>
        </w:tc>
        <w:tc>
          <w:tcPr>
            <w:tcW w:w="1220" w:type="dxa"/>
            <w:vAlign w:val="bottom"/>
            <w:gridSpan w:val="4"/>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11,297</w:t>
            </w:r>
          </w:p>
        </w:tc>
        <w:tc>
          <w:tcPr>
            <w:tcW w:w="340" w:type="dxa"/>
            <w:vAlign w:val="bottom"/>
            <w:shd w:val="clear" w:color="auto" w:fill="CCEEFF"/>
          </w:tcPr>
          <w:p>
            <w:pPr>
              <w:spacing w:after="0"/>
              <w:rPr>
                <w:sz w:val="12"/>
                <w:szCs w:val="12"/>
                <w:color w:val="auto"/>
              </w:rPr>
            </w:pPr>
          </w:p>
        </w:tc>
        <w:tc>
          <w:tcPr>
            <w:tcW w:w="1420" w:type="dxa"/>
            <w:vAlign w:val="bottom"/>
            <w:gridSpan w:val="5"/>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4,992</w:t>
            </w:r>
          </w:p>
        </w:tc>
        <w:tc>
          <w:tcPr>
            <w:tcW w:w="2000" w:type="dxa"/>
            <w:vAlign w:val="bottom"/>
            <w:gridSpan w:val="9"/>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1,888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(18)</w:t>
            </w:r>
          </w:p>
        </w:tc>
        <w:tc>
          <w:tcPr>
            <w:tcW w:w="320" w:type="dxa"/>
            <w:vAlign w:val="bottom"/>
            <w:tcBorders>
              <w:right w:val="single" w:sz="8" w:color="auto"/>
            </w:tcBorders>
            <w:gridSpan w:val="2"/>
          </w:tcPr>
          <w:p>
            <w:pPr>
              <w:spacing w:after="0"/>
              <w:rPr>
                <w:sz w:val="12"/>
                <w:szCs w:val="12"/>
                <w:color w:val="auto"/>
              </w:rPr>
            </w:pPr>
          </w:p>
        </w:tc>
        <w:tc>
          <w:tcPr>
            <w:tcW w:w="1220" w:type="dxa"/>
            <w:vAlign w:val="bottom"/>
            <w:gridSpan w:val="4"/>
          </w:tcPr>
          <w:p>
            <w:pPr>
              <w:jc w:val="right"/>
              <w:ind w:right="180"/>
              <w:spacing w:after="0" w:line="148" w:lineRule="exact"/>
              <w:rPr>
                <w:sz w:val="20"/>
                <w:szCs w:val="20"/>
                <w:color w:val="auto"/>
              </w:rPr>
            </w:pPr>
            <w:r>
              <w:rPr>
                <w:rFonts w:ascii="Arial" w:cs="Arial" w:eastAsia="Arial" w:hAnsi="Arial"/>
                <w:sz w:val="13"/>
                <w:szCs w:val="13"/>
                <w:color w:val="auto"/>
              </w:rPr>
              <w:t>17</w:t>
            </w:r>
          </w:p>
        </w:tc>
        <w:tc>
          <w:tcPr>
            <w:tcW w:w="340" w:type="dxa"/>
            <w:vAlign w:val="bottom"/>
          </w:tcPr>
          <w:p>
            <w:pPr>
              <w:spacing w:after="0"/>
              <w:rPr>
                <w:sz w:val="12"/>
                <w:szCs w:val="12"/>
                <w:color w:val="auto"/>
              </w:rPr>
            </w:pPr>
          </w:p>
        </w:tc>
        <w:tc>
          <w:tcPr>
            <w:tcW w:w="1420" w:type="dxa"/>
            <w:vAlign w:val="bottom"/>
            <w:gridSpan w:val="5"/>
          </w:tcPr>
          <w:p>
            <w:pPr>
              <w:jc w:val="right"/>
              <w:ind w:right="240"/>
              <w:spacing w:after="0" w:line="148" w:lineRule="exact"/>
              <w:rPr>
                <w:sz w:val="20"/>
                <w:szCs w:val="20"/>
                <w:color w:val="auto"/>
              </w:rPr>
            </w:pPr>
            <w:r>
              <w:rPr>
                <w:rFonts w:ascii="Arial" w:cs="Arial" w:eastAsia="Arial" w:hAnsi="Arial"/>
                <w:sz w:val="13"/>
                <w:szCs w:val="13"/>
                <w:color w:val="auto"/>
              </w:rPr>
              <w:t>5,422</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43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64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w w:val="92"/>
              </w:rPr>
              <w:t>(4,579)</w:t>
            </w:r>
          </w:p>
        </w:tc>
        <w:tc>
          <w:tcPr>
            <w:tcW w:w="320" w:type="dxa"/>
            <w:vAlign w:val="bottom"/>
            <w:tcBorders>
              <w:right w:val="single" w:sz="8" w:color="auto"/>
            </w:tcBorders>
            <w:gridSpan w:val="2"/>
            <w:shd w:val="clear" w:color="auto" w:fill="CCEEFF"/>
          </w:tcPr>
          <w:p>
            <w:pPr>
              <w:spacing w:after="0"/>
              <w:rPr>
                <w:sz w:val="12"/>
                <w:szCs w:val="12"/>
                <w:color w:val="auto"/>
              </w:rPr>
            </w:pPr>
          </w:p>
        </w:tc>
        <w:tc>
          <w:tcPr>
            <w:tcW w:w="1220" w:type="dxa"/>
            <w:vAlign w:val="bottom"/>
            <w:gridSpan w:val="4"/>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$(13,680)</w:t>
            </w:r>
          </w:p>
        </w:tc>
        <w:tc>
          <w:tcPr>
            <w:tcW w:w="340" w:type="dxa"/>
            <w:vAlign w:val="bottom"/>
            <w:shd w:val="clear" w:color="auto" w:fill="CCEEFF"/>
          </w:tcPr>
          <w:p>
            <w:pPr>
              <w:spacing w:after="0"/>
              <w:rPr>
                <w:sz w:val="12"/>
                <w:szCs w:val="12"/>
                <w:color w:val="auto"/>
              </w:rPr>
            </w:pPr>
          </w:p>
        </w:tc>
        <w:tc>
          <w:tcPr>
            <w:tcW w:w="1420" w:type="dxa"/>
            <w:vAlign w:val="bottom"/>
            <w:gridSpan w:val="5"/>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$(33,075)</w:t>
            </w:r>
          </w:p>
        </w:tc>
        <w:tc>
          <w:tcPr>
            <w:tcW w:w="2000" w:type="dxa"/>
            <w:vAlign w:val="bottom"/>
            <w:gridSpan w:val="9"/>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 (8,620)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32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Borders>
              <w:right w:val="single" w:sz="8" w:color="auto"/>
            </w:tcBorders>
            <w:gridSpan w:val="2"/>
          </w:tcPr>
          <w:p>
            <w:pPr>
              <w:spacing w:after="0"/>
              <w:rPr>
                <w:sz w:val="3"/>
                <w:szCs w:val="3"/>
                <w:color w:val="auto"/>
              </w:rPr>
            </w:pPr>
          </w:p>
        </w:tc>
        <w:tc>
          <w:tcPr>
            <w:tcW w:w="580" w:type="dxa"/>
            <w:vAlign w:val="bottom"/>
            <w:gridSpan w:val="2"/>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1"/>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gridSpan w:val="7"/>
          </w:tcPr>
          <w:p>
            <w:pPr>
              <w:ind w:left="180"/>
              <w:spacing w:after="0"/>
              <w:rPr>
                <w:sz w:val="20"/>
                <w:szCs w:val="20"/>
                <w:color w:val="auto"/>
              </w:rPr>
            </w:pPr>
            <w:r>
              <w:rPr>
                <w:rFonts w:ascii="Arial" w:cs="Arial" w:eastAsia="Arial" w:hAnsi="Arial"/>
                <w:sz w:val="13"/>
                <w:szCs w:val="13"/>
                <w:color w:val="auto"/>
              </w:rPr>
              <w:t>F-47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2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8" w:name="page229"/>
    <w:bookmarkEnd w:id="2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380" w:type="dxa"/>
            <w:vAlign w:val="bottom"/>
            <w:gridSpan w:val="2"/>
          </w:tcPr>
          <w:p>
            <w:pPr>
              <w:spacing w:after="0"/>
              <w:rPr>
                <w:sz w:val="20"/>
                <w:szCs w:val="20"/>
                <w:color w:val="auto"/>
              </w:rPr>
            </w:pPr>
            <w:r>
              <w:rPr>
                <w:rFonts w:ascii="Arial" w:cs="Arial" w:eastAsia="Arial" w:hAnsi="Arial"/>
                <w:sz w:val="13"/>
                <w:szCs w:val="13"/>
                <w:b w:val="1"/>
                <w:bCs w:val="1"/>
                <w:color w:val="auto"/>
              </w:rPr>
              <w:t>9.   Property, Plant and Equipment</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380" w:type="dxa"/>
            <w:vAlign w:val="bottom"/>
            <w:gridSpan w:val="2"/>
          </w:tcPr>
          <w:p>
            <w:pPr>
              <w:ind w:left="500"/>
              <w:spacing w:after="0"/>
              <w:rPr>
                <w:sz w:val="20"/>
                <w:szCs w:val="20"/>
                <w:color w:val="auto"/>
              </w:rPr>
            </w:pPr>
            <w:r>
              <w:rPr>
                <w:rFonts w:ascii="Arial" w:cs="Arial" w:eastAsia="Arial" w:hAnsi="Arial"/>
                <w:sz w:val="13"/>
                <w:szCs w:val="13"/>
                <w:color w:val="auto"/>
              </w:rPr>
              <w:t>Property, plant and equipment as of December 31, 2009 and 2008 are comprised of the following:</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tcPr>
          <w:p>
            <w:pPr>
              <w:jc w:val="center"/>
              <w:ind w:right="260"/>
              <w:spacing w:after="0" w:line="121"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4"/>
        </w:trPr>
        <w:tc>
          <w:tcPr>
            <w:tcW w:w="6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gridSpan w:val="2"/>
          </w:tcPr>
          <w:p>
            <w:pPr>
              <w:jc w:val="center"/>
              <w:ind w:left="614"/>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3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Buildings and related structures</w:t>
            </w:r>
          </w:p>
        </w:tc>
        <w:tc>
          <w:tcPr>
            <w:tcW w:w="4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72,076</w:t>
            </w:r>
          </w:p>
        </w:tc>
        <w:tc>
          <w:tcPr>
            <w:tcW w:w="120" w:type="dxa"/>
            <w:vAlign w:val="bottom"/>
            <w:tcBorders>
              <w:right w:val="single" w:sz="8" w:color="auto"/>
            </w:tcBorders>
            <w:shd w:val="clear" w:color="auto" w:fill="CCEEFF"/>
          </w:tcPr>
          <w:p>
            <w:pPr>
              <w:spacing w:after="0"/>
              <w:rPr>
                <w:sz w:val="11"/>
                <w:szCs w:val="11"/>
                <w:color w:val="auto"/>
              </w:rPr>
            </w:pPr>
          </w:p>
        </w:tc>
        <w:tc>
          <w:tcPr>
            <w:tcW w:w="1940" w:type="dxa"/>
            <w:vAlign w:val="bottom"/>
            <w:gridSpan w:val="4"/>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$ 111,933</w:t>
            </w:r>
          </w:p>
        </w:tc>
        <w:tc>
          <w:tcPr>
            <w:tcW w:w="0" w:type="dxa"/>
            <w:vAlign w:val="bottom"/>
          </w:tcPr>
          <w:p>
            <w:pPr>
              <w:spacing w:after="0"/>
              <w:rPr>
                <w:sz w:val="1"/>
                <w:szCs w:val="1"/>
                <w:color w:val="auto"/>
              </w:rPr>
            </w:pPr>
          </w:p>
        </w:tc>
      </w:tr>
      <w:tr>
        <w:trPr>
          <w:trHeight w:val="147"/>
        </w:trPr>
        <w:tc>
          <w:tcPr>
            <w:tcW w:w="6380" w:type="dxa"/>
            <w:vAlign w:val="bottom"/>
            <w:gridSpan w:val="2"/>
          </w:tcPr>
          <w:p>
            <w:pPr>
              <w:spacing w:after="0" w:line="148" w:lineRule="exact"/>
              <w:rPr>
                <w:sz w:val="20"/>
                <w:szCs w:val="20"/>
                <w:color w:val="auto"/>
              </w:rPr>
            </w:pPr>
            <w:r>
              <w:rPr>
                <w:rFonts w:ascii="Arial" w:cs="Arial" w:eastAsia="Arial" w:hAnsi="Arial"/>
                <w:sz w:val="13"/>
                <w:szCs w:val="13"/>
                <w:color w:val="auto"/>
              </w:rPr>
              <w:t>Machinery and equipment</w:t>
            </w: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71,505</w:t>
            </w:r>
          </w:p>
        </w:tc>
        <w:tc>
          <w:tcPr>
            <w:tcW w:w="12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318,440</w:t>
            </w:r>
          </w:p>
        </w:tc>
        <w:tc>
          <w:tcPr>
            <w:tcW w:w="0" w:type="dxa"/>
            <w:vAlign w:val="bottom"/>
          </w:tcPr>
          <w:p>
            <w:pPr>
              <w:spacing w:after="0"/>
              <w:rPr>
                <w:sz w:val="1"/>
                <w:szCs w:val="1"/>
                <w:color w:val="auto"/>
              </w:rPr>
            </w:pPr>
          </w:p>
        </w:tc>
      </w:tr>
      <w:tr>
        <w:trPr>
          <w:trHeight w:val="147"/>
        </w:trPr>
        <w:tc>
          <w:tcPr>
            <w:tcW w:w="6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Vehicles and others</w:t>
            </w: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3,043</w:t>
            </w:r>
          </w:p>
        </w:tc>
        <w:tc>
          <w:tcPr>
            <w:tcW w:w="12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40,422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w w:val="97"/>
              </w:rPr>
              <w:t>146,624</w:t>
            </w:r>
          </w:p>
        </w:tc>
        <w:tc>
          <w:tcPr>
            <w:tcW w:w="12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470,795</w:t>
            </w:r>
          </w:p>
        </w:tc>
        <w:tc>
          <w:tcPr>
            <w:tcW w:w="0" w:type="dxa"/>
            <w:vAlign w:val="bottom"/>
          </w:tcPr>
          <w:p>
            <w:pPr>
              <w:spacing w:after="0"/>
              <w:rPr>
                <w:sz w:val="1"/>
                <w:szCs w:val="1"/>
                <w:color w:val="auto"/>
              </w:rPr>
            </w:pPr>
          </w:p>
        </w:tc>
      </w:tr>
      <w:tr>
        <w:trPr>
          <w:trHeight w:val="147"/>
        </w:trPr>
        <w:tc>
          <w:tcPr>
            <w:tcW w:w="6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accumulated depreciation</w:t>
            </w: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(5,388)</w:t>
            </w:r>
          </w:p>
        </w:tc>
        <w:tc>
          <w:tcPr>
            <w:tcW w:w="12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(296,038)</w:t>
            </w:r>
          </w:p>
        </w:tc>
        <w:tc>
          <w:tcPr>
            <w:tcW w:w="0" w:type="dxa"/>
            <w:vAlign w:val="bottom"/>
          </w:tcPr>
          <w:p>
            <w:pPr>
              <w:spacing w:after="0"/>
              <w:rPr>
                <w:sz w:val="1"/>
                <w:szCs w:val="1"/>
                <w:color w:val="auto"/>
              </w:rPr>
            </w:pPr>
          </w:p>
        </w:tc>
      </w:tr>
      <w:tr>
        <w:trPr>
          <w:trHeight w:val="147"/>
        </w:trPr>
        <w:tc>
          <w:tcPr>
            <w:tcW w:w="6380" w:type="dxa"/>
            <w:vAlign w:val="bottom"/>
            <w:gridSpan w:val="2"/>
          </w:tcPr>
          <w:p>
            <w:pPr>
              <w:spacing w:after="0" w:line="148" w:lineRule="exact"/>
              <w:rPr>
                <w:sz w:val="20"/>
                <w:szCs w:val="20"/>
                <w:color w:val="auto"/>
              </w:rPr>
            </w:pPr>
            <w:r>
              <w:rPr>
                <w:rFonts w:ascii="Arial" w:cs="Arial" w:eastAsia="Arial" w:hAnsi="Arial"/>
                <w:sz w:val="13"/>
                <w:szCs w:val="13"/>
                <w:color w:val="auto"/>
              </w:rPr>
              <w:t>Land</w:t>
            </w: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15,101</w:t>
            </w:r>
          </w:p>
        </w:tc>
        <w:tc>
          <w:tcPr>
            <w:tcW w:w="12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9,198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400" w:type="dxa"/>
            <w:vAlign w:val="bottom"/>
            <w:shd w:val="clear" w:color="auto" w:fill="CCEEFF"/>
          </w:tcPr>
          <w:p>
            <w:pPr>
              <w:ind w:left="320"/>
              <w:spacing w:after="0" w:line="148"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w w:val="97"/>
              </w:rPr>
              <w:t>156,337</w:t>
            </w:r>
          </w:p>
        </w:tc>
        <w:tc>
          <w:tcPr>
            <w:tcW w:w="12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$ 183,955</w:t>
            </w:r>
          </w:p>
        </w:tc>
        <w:tc>
          <w:tcPr>
            <w:tcW w:w="0" w:type="dxa"/>
            <w:vAlign w:val="bottom"/>
          </w:tcPr>
          <w:p>
            <w:pPr>
              <w:spacing w:after="0"/>
              <w:rPr>
                <w:sz w:val="1"/>
                <w:szCs w:val="1"/>
                <w:color w:val="auto"/>
              </w:rPr>
            </w:pPr>
          </w:p>
        </w:tc>
      </w:tr>
      <w:tr>
        <w:trPr>
          <w:trHeight w:val="39"/>
        </w:trPr>
        <w:tc>
          <w:tcPr>
            <w:tcW w:w="6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560" w:firstLine="499"/>
        <w:spacing w:after="0" w:line="248" w:lineRule="auto"/>
        <w:rPr>
          <w:sz w:val="20"/>
          <w:szCs w:val="20"/>
          <w:color w:val="auto"/>
        </w:rPr>
      </w:pPr>
      <w:r>
        <w:rPr>
          <w:rFonts w:ascii="Arial" w:cs="Arial" w:eastAsia="Arial" w:hAnsi="Arial"/>
          <w:sz w:val="13"/>
          <w:szCs w:val="13"/>
          <w:color w:val="auto"/>
        </w:rPr>
        <w:t>Aggregate depreciation expenses totaled $5,389 thousand, $28,649 thousand, $47,707 thousand and $129,870 thousand for the two-month period ended December 31, 2009, for the ten-month period ended October 25, 2009 and for the years ended December 31, 2008 and 2007, respectively.</w:t>
      </w:r>
    </w:p>
    <w:p>
      <w:pPr>
        <w:spacing w:after="0" w:line="74"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Property, plant and equipment are pledged as collateral for the new term loan of Successor Company and for the senior secured revolving credit facility and Second Priority Senior Secured Notes of Predecessor Company to a maximum of $780 million as of December 31, 2009 and 2008, respectively.</w:t>
      </w:r>
    </w:p>
    <w:p>
      <w:pPr>
        <w:spacing w:after="0" w:line="137" w:lineRule="exact"/>
        <w:rPr>
          <w:sz w:val="20"/>
          <w:szCs w:val="20"/>
          <w:color w:val="auto"/>
        </w:rPr>
      </w:pPr>
    </w:p>
    <w:p>
      <w:pPr>
        <w:ind w:left="1180" w:hanging="493"/>
        <w:spacing w:after="0"/>
        <w:tabs>
          <w:tab w:leader="none" w:pos="1180" w:val="left"/>
        </w:tabs>
        <w:numPr>
          <w:ilvl w:val="0"/>
          <w:numId w:val="169"/>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Intangible assets at December 31, 2009 and 2008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622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6220" w:type="dxa"/>
            <w:vAlign w:val="bottom"/>
          </w:tcPr>
          <w:p>
            <w:pPr>
              <w:spacing w:after="0"/>
              <w:rPr>
                <w:sz w:val="10"/>
                <w:szCs w:val="10"/>
                <w:color w:val="auto"/>
              </w:rPr>
            </w:pPr>
          </w:p>
        </w:tc>
        <w:tc>
          <w:tcPr>
            <w:tcW w:w="17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622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614"/>
              <w:spacing w:after="0"/>
              <w:rPr>
                <w:sz w:val="20"/>
                <w:szCs w:val="20"/>
                <w:color w:val="auto"/>
              </w:rPr>
            </w:pPr>
            <w:r>
              <w:rPr>
                <w:rFonts w:ascii="Arial" w:cs="Arial" w:eastAsia="Arial" w:hAnsi="Arial"/>
                <w:sz w:val="13"/>
                <w:szCs w:val="13"/>
                <w:b w:val="1"/>
                <w:bCs w:val="1"/>
                <w:color w:val="auto"/>
                <w:w w:val="96"/>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r>
      <w:tr>
        <w:trPr>
          <w:trHeight w:val="137"/>
        </w:trPr>
        <w:tc>
          <w:tcPr>
            <w:tcW w:w="6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Technology</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$ 14,942</w:t>
            </w: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14,156</w:t>
            </w:r>
          </w:p>
        </w:tc>
      </w:tr>
      <w:tr>
        <w:trPr>
          <w:trHeight w:val="147"/>
        </w:trPr>
        <w:tc>
          <w:tcPr>
            <w:tcW w:w="6220" w:type="dxa"/>
            <w:vAlign w:val="bottom"/>
          </w:tcPr>
          <w:p>
            <w:pPr>
              <w:spacing w:after="0" w:line="148" w:lineRule="exact"/>
              <w:rPr>
                <w:sz w:val="20"/>
                <w:szCs w:val="20"/>
                <w:color w:val="auto"/>
              </w:rPr>
            </w:pPr>
            <w:r>
              <w:rPr>
                <w:rFonts w:ascii="Arial" w:cs="Arial" w:eastAsia="Arial" w:hAnsi="Arial"/>
                <w:sz w:val="13"/>
                <w:szCs w:val="13"/>
                <w:color w:val="auto"/>
              </w:rPr>
              <w:t>Customer relationships</w:t>
            </w:r>
          </w:p>
        </w:tc>
        <w:tc>
          <w:tcPr>
            <w:tcW w:w="10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26,448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w w:val="97"/>
              </w:rPr>
              <w:t>112,167</w:t>
            </w:r>
          </w:p>
        </w:tc>
      </w:tr>
      <w:tr>
        <w:trPr>
          <w:trHeight w:val="147"/>
        </w:trPr>
        <w:tc>
          <w:tcPr>
            <w:tcW w:w="6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Intellectual property assets</w:t>
            </w:r>
          </w:p>
        </w:tc>
        <w:tc>
          <w:tcPr>
            <w:tcW w:w="10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4,779</w:t>
            </w: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6,011</w:t>
            </w:r>
          </w:p>
        </w:tc>
      </w:tr>
      <w:tr>
        <w:trPr>
          <w:trHeight w:val="147"/>
        </w:trPr>
        <w:tc>
          <w:tcPr>
            <w:tcW w:w="6220" w:type="dxa"/>
            <w:vAlign w:val="bottom"/>
          </w:tcPr>
          <w:p>
            <w:pPr>
              <w:spacing w:after="0" w:line="148" w:lineRule="exact"/>
              <w:rPr>
                <w:sz w:val="20"/>
                <w:szCs w:val="20"/>
                <w:color w:val="auto"/>
              </w:rPr>
            </w:pPr>
            <w:r>
              <w:rPr>
                <w:rFonts w:ascii="Arial" w:cs="Arial" w:eastAsia="Arial" w:hAnsi="Arial"/>
                <w:sz w:val="13"/>
                <w:szCs w:val="13"/>
                <w:color w:val="auto"/>
              </w:rPr>
              <w:t>In-process research and development</w:t>
            </w:r>
          </w:p>
        </w:tc>
        <w:tc>
          <w:tcPr>
            <w:tcW w:w="10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9,829</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r>
      <w:tr>
        <w:trPr>
          <w:trHeight w:val="147"/>
        </w:trPr>
        <w:tc>
          <w:tcPr>
            <w:tcW w:w="6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accumulated amortization</w:t>
            </w:r>
          </w:p>
        </w:tc>
        <w:tc>
          <w:tcPr>
            <w:tcW w:w="6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(5,840)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(97,442)</w:t>
            </w:r>
          </w:p>
        </w:tc>
      </w:tr>
      <w:tr>
        <w:trPr>
          <w:trHeight w:val="20"/>
        </w:trPr>
        <w:tc>
          <w:tcPr>
            <w:tcW w:w="6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7"/>
        </w:trPr>
        <w:tc>
          <w:tcPr>
            <w:tcW w:w="6220" w:type="dxa"/>
            <w:vAlign w:val="bottom"/>
          </w:tcPr>
          <w:p>
            <w:pPr>
              <w:spacing w:after="0" w:line="148" w:lineRule="exact"/>
              <w:rPr>
                <w:sz w:val="20"/>
                <w:szCs w:val="20"/>
                <w:color w:val="auto"/>
              </w:rPr>
            </w:pPr>
            <w:r>
              <w:rPr>
                <w:rFonts w:ascii="Arial" w:cs="Arial" w:eastAsia="Arial" w:hAnsi="Arial"/>
                <w:sz w:val="13"/>
                <w:szCs w:val="13"/>
                <w:color w:val="auto"/>
              </w:rPr>
              <w:t>Intangible assets, net</w:t>
            </w:r>
          </w:p>
        </w:tc>
        <w:tc>
          <w:tcPr>
            <w:tcW w:w="10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$50,158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34,892</w:t>
            </w:r>
          </w:p>
        </w:tc>
      </w:tr>
      <w:tr>
        <w:trPr>
          <w:trHeight w:val="39"/>
        </w:trPr>
        <w:tc>
          <w:tcPr>
            <w:tcW w:w="6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r>
    </w:tbl>
    <w:p>
      <w:pPr>
        <w:spacing w:after="0" w:line="88"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Aggregate amortization expenses for intangible assets totaled $5,829 thousand, $9,606 thousand, $24,254 thousand and $33,564 thousand for the two-month period ended December 31, 2009, for the ten-month period ended October 25, 2009 and for the years ended December 31, 2008 and 2007, respectively. The estimated aggregate amortization expense of intangible assets for the next five years is $25,182 thousand in 2010, $11,328 thousand in 2011, $6,402 thousand in 2012, $5,554 thousand in 2013 and $1,096 thousand in 2014.</w:t>
      </w:r>
    </w:p>
    <w:p>
      <w:pPr>
        <w:spacing w:after="0" w:line="80"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Intangible assets are pledged as collateral for the new term loan of the Successor Company and for the senior secured revolving credit facility and Second Priority Senior Secured Notes of the Predecessor Company as of December 31, 2009 and 2008, respectively.</w:t>
      </w:r>
    </w:p>
    <w:p>
      <w:pPr>
        <w:spacing w:after="0" w:line="74" w:lineRule="exact"/>
        <w:rPr>
          <w:sz w:val="20"/>
          <w:szCs w:val="20"/>
          <w:color w:val="auto"/>
        </w:rPr>
      </w:pPr>
    </w:p>
    <w:p>
      <w:pPr>
        <w:ind w:left="680" w:right="400" w:firstLine="499"/>
        <w:spacing w:after="0" w:line="248" w:lineRule="auto"/>
        <w:rPr>
          <w:sz w:val="20"/>
          <w:szCs w:val="20"/>
          <w:color w:val="auto"/>
        </w:rPr>
      </w:pPr>
      <w:r>
        <w:rPr>
          <w:rFonts w:ascii="Arial" w:cs="Arial" w:eastAsia="Arial" w:hAnsi="Arial"/>
          <w:sz w:val="13"/>
          <w:szCs w:val="13"/>
          <w:color w:val="auto"/>
        </w:rPr>
        <w:t>As part of its application of fresh-start reporting, the Company recognized fair value associated with IPR&amp;D of $9,700 thousand. The Company accounted for IPR&amp;D as an indefinite-lived intangible</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9" w:name="page230"/>
    <w:bookmarkEnd w:id="2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20"/>
        <w:spacing w:after="0" w:line="238" w:lineRule="auto"/>
        <w:rPr>
          <w:sz w:val="20"/>
          <w:szCs w:val="20"/>
          <w:color w:val="auto"/>
        </w:rPr>
      </w:pPr>
      <w:r>
        <w:rPr>
          <w:rFonts w:ascii="Arial" w:cs="Arial" w:eastAsia="Arial" w:hAnsi="Arial"/>
          <w:sz w:val="13"/>
          <w:szCs w:val="13"/>
          <w:color w:val="auto"/>
        </w:rPr>
        <w:t>asset until completion or abandonment of the associated research and development (“R&amp;D”) projects. The IPR&amp;D charges incurred by the Company’s Semiconductor Manufacturing Services (“SMS”) segment related to design of a product to the point that it met specific technical requirements, directly targeted at customers. The Large Display Solution (“LDS”) reporting unit incurs IPR&amp;D charges related to the design of possible products. These R&amp;D efforts are intended to incur incremental sales with the Company’s existing and new customers. Fair value of IPR&amp;D was based on estimating the future cash flows by the Company’s SMS segment and LDS reporting unit using the excess earnings method and discounting the net cash flows back to their present values. The revenues were allocated to IPR&amp;D of the SMS segment on the basis of percentage of projected SMS revenues for 2010, 2011 and thereafter. Selling, general and administrative (“SG&amp;A”) expenses as a percentage of revenue were determined to be consistent with the cost structure of SMS. R&amp;D expenses as a percentage of revenue were determined to be a percentage of the projected R&amp;D expenses. This percentage represents the cost to maintain IPR&amp;D. The cost to complete the IPR&amp;D was derived based on the R&amp;D expenses in the subsequent period not used to maintain existing technology. The estimated cash flows attributable to the IPR&amp;D were converted to a present value equivalent.</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IPR&amp;D of the LDS reporting unit is expected to generate revenue over a two-year time frame starting with its introduction to the market in 2010. The revenues allocated to IPR&amp;D of the LDS reporting unit were determined to be a percentage of the projected LDS revenues in 2010 and 2011. Costs of revenues and operating expenses were deducted from the revenues based on LDS cost structure as a percentage of revenue. While SG&amp;A expenses as a percentage of revenue were determined to be the same as the whole business, maintenance R&amp;D expenses were determined to be a percentage of the projected R&amp;D expenses. The cost to complete the IPR&amp;D project was estimated based on the R&amp;D budget less the amount of R&amp;D dedicated to maintaining the existing technology. The estimated cash flows attributable to the IPR&amp;D of LDS reporting unit were converted to a present value equivalent.</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the SMS segment, management determined that a small number of in-process projects were behind schedule based on a review of the status of each project as of December 31, 2009. Expected completion term ranges from 0.5 to 3.5 years from a project start date. Incurred costs as of December 31, 2009 totaled $5.6 million and costs to complete the projects are estimated at $1.5 million to be spent over the next one or two years from the year ended December 31, 2009. In the LDS reporting unit, management determined that none of the in-process projects were behind schedule based on a review of the status of each project as of December 31, 2009. All projects are expected to be completed within 2 years from a project start date. Incurred costs as of December 31, 2009 totaled $5.6 million and costs to complete the projects are estimated at $2.3 million to be spent within a year from the year ended December 31, 2009.</w:t>
      </w:r>
    </w:p>
    <w:p>
      <w:pPr>
        <w:spacing w:after="0" w:line="80"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The primary risks associated with the above projects include uncertainties in completing development projects on schedule due to technological feasibility and resource capacity, which could lead to lower demand at a lower selling point given the market trends. Such delay in development and production could adversely affect the related customer relationship. Additionally, there can be no assurance that meaningful sales will occur on a continuing basis considering market changes.</w:t>
      </w:r>
    </w:p>
    <w:p>
      <w:pPr>
        <w:spacing w:after="0" w:line="79"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Company periodically evaluates the existence of impairment for its IPR&amp;D assets. If a project is completed, the carrying value of the related intangible asset is amortized over the remaining estimated life of the asset beginning in the period in which the project is completed and sales of related product commenced. If a project becomes impaired or abandoned, the carrying value of the related intangible asset would be written down to its fair value and an impairment charge would be taken in the period in which the impairment occurs.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30" w:name="page231"/>
    <w:bookmarkEnd w:id="2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800" w:firstLine="499"/>
        <w:spacing w:after="0" w:line="238" w:lineRule="auto"/>
        <w:rPr>
          <w:sz w:val="20"/>
          <w:szCs w:val="20"/>
          <w:color w:val="auto"/>
        </w:rPr>
      </w:pPr>
      <w:r>
        <w:rPr>
          <w:rFonts w:ascii="Arial" w:cs="Arial" w:eastAsia="Arial" w:hAnsi="Arial"/>
          <w:sz w:val="13"/>
          <w:szCs w:val="13"/>
          <w:color w:val="auto"/>
        </w:rPr>
        <w:t>The Company recorded goodwill as a result from the acquisition of ISRON Corporation on March 6, 2005. On an ongoing basis, the Company evaluates goodwill at the reporting unit level for indications of potential impairment. Goodwill is tested for impairment based on the present value of discounted cash flows, and, if impaired, goodwill is written down to fair value. The Company performs its annual goodwill impairment test during the first quarter of each fiscal year, as well as additional impairment tests, if any, required on an event-driven basis. In the first quarter of each of fiscal year 2008, 2007 and 2006, the Company performed its annual goodwill impairment test and determined that goodwill was not impaired. As of December 31, 2008, the Company performed an additional goodwill impairment test triggered by the significant adverse change in the revenue of the mobile display solutions, or MDS, reporting unit, and determined that goodwill was impaired. At the time of impairment, revenue of the MDS reporting unit was expected to decrease due to the deterioration of the Company’s financial credit status and the decline of the semiconductor sector resulting from the world-wide economic slowdown. Accordingly, an impairment charge of $14,245 thousand, which represents the entire balance of goodwill, was recorded for the year ended December 31, 2008.</w:t>
      </w:r>
    </w:p>
    <w:p>
      <w:pPr>
        <w:spacing w:after="0" w:line="144" w:lineRule="exact"/>
        <w:rPr>
          <w:sz w:val="20"/>
          <w:szCs w:val="20"/>
          <w:color w:val="auto"/>
        </w:rPr>
      </w:pPr>
    </w:p>
    <w:p>
      <w:pPr>
        <w:ind w:left="1180" w:hanging="493"/>
        <w:spacing w:after="0"/>
        <w:tabs>
          <w:tab w:leader="none" w:pos="1180"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Product Warranties</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Changes in accrued warranty liabilities for each period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1"/>
        </w:trPr>
        <w:tc>
          <w:tcPr>
            <w:tcW w:w="3380" w:type="dxa"/>
            <w:vAlign w:val="bottom"/>
          </w:tcPr>
          <w:p>
            <w:pPr>
              <w:spacing w:after="0"/>
              <w:rPr>
                <w:sz w:val="10"/>
                <w:szCs w:val="10"/>
                <w:color w:val="auto"/>
              </w:rPr>
            </w:pPr>
          </w:p>
        </w:tc>
        <w:tc>
          <w:tcPr>
            <w:tcW w:w="13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7"/>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Period Ended</w:t>
            </w:r>
          </w:p>
        </w:tc>
        <w:tc>
          <w:tcPr>
            <w:tcW w:w="24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2"/>
                <w:szCs w:val="12"/>
                <w:color w:val="auto"/>
              </w:rPr>
            </w:pPr>
          </w:p>
        </w:tc>
        <w:tc>
          <w:tcPr>
            <w:tcW w:w="13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October 25,</w:t>
            </w:r>
          </w:p>
        </w:tc>
        <w:tc>
          <w:tcPr>
            <w:tcW w:w="24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2"/>
                <w:szCs w:val="12"/>
                <w:color w:val="auto"/>
              </w:rPr>
            </w:pPr>
          </w:p>
        </w:tc>
        <w:tc>
          <w:tcPr>
            <w:tcW w:w="13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2007</w:t>
            </w:r>
          </w:p>
        </w:tc>
      </w:tr>
      <w:tr>
        <w:trPr>
          <w:trHeight w:val="137"/>
        </w:trPr>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360" w:type="dxa"/>
            <w:vAlign w:val="bottom"/>
            <w:gridSpan w:val="3"/>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$ 929</w:t>
            </w:r>
          </w:p>
        </w:tc>
        <w:tc>
          <w:tcPr>
            <w:tcW w:w="100" w:type="dxa"/>
            <w:vAlign w:val="bottom"/>
            <w:tcBorders>
              <w:right w:val="single" w:sz="8" w:color="auto"/>
            </w:tcBorders>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474</w:t>
            </w:r>
          </w:p>
        </w:tc>
        <w:tc>
          <w:tcPr>
            <w:tcW w:w="820" w:type="dxa"/>
            <w:vAlign w:val="bottom"/>
            <w:tcBorders>
              <w:right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211</w:t>
            </w:r>
          </w:p>
        </w:tc>
        <w:tc>
          <w:tcPr>
            <w:tcW w:w="1640" w:type="dxa"/>
            <w:vAlign w:val="bottom"/>
            <w:gridSpan w:val="4"/>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$ 112</w:t>
            </w:r>
          </w:p>
        </w:tc>
      </w:tr>
      <w:tr>
        <w:trPr>
          <w:trHeight w:val="147"/>
        </w:trPr>
        <w:tc>
          <w:tcPr>
            <w:tcW w:w="3380" w:type="dxa"/>
            <w:vAlign w:val="bottom"/>
          </w:tcPr>
          <w:p>
            <w:pPr>
              <w:spacing w:after="0" w:line="148" w:lineRule="exact"/>
              <w:rPr>
                <w:sz w:val="20"/>
                <w:szCs w:val="20"/>
                <w:color w:val="auto"/>
              </w:rPr>
            </w:pPr>
            <w:r>
              <w:rPr>
                <w:rFonts w:ascii="Arial" w:cs="Arial" w:eastAsia="Arial" w:hAnsi="Arial"/>
                <w:sz w:val="13"/>
                <w:szCs w:val="13"/>
                <w:color w:val="auto"/>
              </w:rPr>
              <w:t>Addition to warranty reserve</w:t>
            </w:r>
          </w:p>
        </w:tc>
        <w:tc>
          <w:tcPr>
            <w:tcW w:w="136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(16)</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1,928</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2,608</w:t>
            </w:r>
          </w:p>
        </w:tc>
        <w:tc>
          <w:tcPr>
            <w:tcW w:w="1640" w:type="dxa"/>
            <w:vAlign w:val="bottom"/>
            <w:gridSpan w:val="4"/>
          </w:tcPr>
          <w:p>
            <w:pPr>
              <w:jc w:val="right"/>
              <w:ind w:right="560"/>
              <w:spacing w:after="0" w:line="148" w:lineRule="exact"/>
              <w:rPr>
                <w:sz w:val="20"/>
                <w:szCs w:val="20"/>
                <w:color w:val="auto"/>
              </w:rPr>
            </w:pPr>
            <w:r>
              <w:rPr>
                <w:rFonts w:ascii="Arial" w:cs="Arial" w:eastAsia="Arial" w:hAnsi="Arial"/>
                <w:sz w:val="13"/>
                <w:szCs w:val="13"/>
                <w:color w:val="auto"/>
              </w:rPr>
              <w:t>586</w:t>
            </w:r>
          </w:p>
        </w:tc>
      </w:tr>
      <w:tr>
        <w:trPr>
          <w:trHeight w:val="147"/>
        </w:trPr>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Payments made</w:t>
            </w:r>
          </w:p>
        </w:tc>
        <w:tc>
          <w:tcPr>
            <w:tcW w:w="136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2"/>
              </w:rPr>
              <w:t>(1,544)</w:t>
            </w:r>
          </w:p>
        </w:tc>
        <w:tc>
          <w:tcPr>
            <w:tcW w:w="2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w w:val="92"/>
              </w:rPr>
              <w:t>(2,243)</w:t>
            </w:r>
          </w:p>
        </w:tc>
        <w:tc>
          <w:tcPr>
            <w:tcW w:w="1640" w:type="dxa"/>
            <w:vAlign w:val="bottom"/>
            <w:gridSpan w:val="4"/>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(486)</w:t>
            </w:r>
          </w:p>
        </w:tc>
      </w:tr>
      <w:tr>
        <w:trPr>
          <w:trHeight w:val="147"/>
        </w:trPr>
        <w:tc>
          <w:tcPr>
            <w:tcW w:w="338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56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12</w:t>
            </w: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71</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(102)</w:t>
            </w:r>
          </w:p>
        </w:tc>
        <w:tc>
          <w:tcPr>
            <w:tcW w:w="1640" w:type="dxa"/>
            <w:vAlign w:val="bottom"/>
            <w:gridSpan w:val="4"/>
          </w:tcPr>
          <w:p>
            <w:pPr>
              <w:jc w:val="right"/>
              <w:ind w:right="520"/>
              <w:spacing w:after="0" w:line="148" w:lineRule="exact"/>
              <w:rPr>
                <w:sz w:val="20"/>
                <w:szCs w:val="20"/>
                <w:color w:val="auto"/>
              </w:rPr>
            </w:pPr>
            <w:r>
              <w:rPr>
                <w:rFonts w:ascii="Arial" w:cs="Arial" w:eastAsia="Arial" w:hAnsi="Arial"/>
                <w:sz w:val="13"/>
                <w:szCs w:val="13"/>
                <w:color w:val="auto"/>
              </w:rPr>
              <w:t>(1)</w:t>
            </w:r>
          </w:p>
        </w:tc>
      </w:tr>
      <w:tr>
        <w:trPr>
          <w:trHeight w:val="20"/>
        </w:trPr>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7"/>
        </w:trPr>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136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$921</w:t>
            </w:r>
          </w:p>
        </w:tc>
        <w:tc>
          <w:tcPr>
            <w:tcW w:w="10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929</w:t>
            </w:r>
          </w:p>
        </w:tc>
        <w:tc>
          <w:tcPr>
            <w:tcW w:w="82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474</w:t>
            </w:r>
          </w:p>
        </w:tc>
        <w:tc>
          <w:tcPr>
            <w:tcW w:w="1640" w:type="dxa"/>
            <w:vAlign w:val="bottom"/>
            <w:gridSpan w:val="4"/>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$ 211</w:t>
            </w:r>
          </w:p>
        </w:tc>
      </w:tr>
      <w:tr>
        <w:trPr>
          <w:trHeight w:val="39"/>
        </w:trPr>
        <w:tc>
          <w:tcPr>
            <w:tcW w:w="3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r>
    </w:tbl>
    <w:p>
      <w:pPr>
        <w:spacing w:after="0" w:line="111" w:lineRule="exact"/>
        <w:rPr>
          <w:sz w:val="20"/>
          <w:szCs w:val="20"/>
          <w:color w:val="auto"/>
        </w:rPr>
      </w:pPr>
    </w:p>
    <w:p>
      <w:pPr>
        <w:ind w:left="680" w:right="8840" w:firstLine="7"/>
        <w:spacing w:after="0" w:line="391" w:lineRule="auto"/>
        <w:tabs>
          <w:tab w:leader="none" w:pos="1181"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Short-term Borrowings </w:t>
      </w:r>
      <w:r>
        <w:rPr>
          <w:rFonts w:ascii="Arial" w:cs="Arial" w:eastAsia="Arial" w:hAnsi="Arial"/>
          <w:sz w:val="13"/>
          <w:szCs w:val="13"/>
          <w:b w:val="1"/>
          <w:bCs w:val="1"/>
          <w:i w:val="1"/>
          <w:iCs w:val="1"/>
          <w:color w:val="auto"/>
        </w:rPr>
        <w:t>Predecessor Company</w:t>
      </w:r>
    </w:p>
    <w:p>
      <w:pPr>
        <w:spacing w:after="0" w:line="1" w:lineRule="exact"/>
        <w:rPr>
          <w:sz w:val="20"/>
          <w:szCs w:val="20"/>
          <w:color w:val="auto"/>
        </w:rPr>
      </w:pPr>
    </w:p>
    <w:p>
      <w:pPr>
        <w:ind w:left="680" w:right="1100" w:firstLine="499"/>
        <w:spacing w:after="0" w:line="242" w:lineRule="auto"/>
        <w:rPr>
          <w:sz w:val="20"/>
          <w:szCs w:val="20"/>
          <w:color w:val="auto"/>
        </w:rPr>
      </w:pPr>
      <w:r>
        <w:rPr>
          <w:rFonts w:ascii="Arial" w:cs="Arial" w:eastAsia="Arial" w:hAnsi="Arial"/>
          <w:sz w:val="13"/>
          <w:szCs w:val="13"/>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was charged at current rates when drawn upon.</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Short-term borrowings under this facility were comprised of the following as of December 31, 2008:</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80" w:type="dxa"/>
            <w:vAlign w:val="bottom"/>
          </w:tcPr>
          <w:p>
            <w:pPr>
              <w:spacing w:after="0"/>
              <w:rPr>
                <w:sz w:val="13"/>
                <w:szCs w:val="13"/>
                <w:color w:val="auto"/>
              </w:rPr>
            </w:pPr>
          </w:p>
        </w:tc>
        <w:tc>
          <w:tcPr>
            <w:tcW w:w="1380" w:type="dxa"/>
            <w:vAlign w:val="bottom"/>
            <w:gridSpan w:val="3"/>
          </w:tcPr>
          <w:p>
            <w:pPr>
              <w:jc w:val="center"/>
              <w:spacing w:after="0"/>
              <w:rPr>
                <w:sz w:val="20"/>
                <w:szCs w:val="20"/>
                <w:color w:val="auto"/>
              </w:rPr>
            </w:pPr>
            <w:r>
              <w:rPr>
                <w:rFonts w:ascii="Arial" w:cs="Arial" w:eastAsia="Arial" w:hAnsi="Arial"/>
                <w:sz w:val="13"/>
                <w:szCs w:val="13"/>
                <w:b w:val="1"/>
                <w:bCs w:val="1"/>
                <w:color w:val="auto"/>
              </w:rPr>
              <w:t>Amount of</w:t>
            </w:r>
          </w:p>
        </w:tc>
        <w:tc>
          <w:tcPr>
            <w:tcW w:w="80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Maturity</w:t>
            </w:r>
          </w:p>
        </w:tc>
        <w:tc>
          <w:tcPr>
            <w:tcW w:w="30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 (%)</w:t>
            </w: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Euro dollar revolving loan</w:t>
            </w:r>
          </w:p>
        </w:tc>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January 15, 2009</w:t>
            </w:r>
          </w:p>
        </w:tc>
        <w:tc>
          <w:tcPr>
            <w:tcW w:w="300" w:type="dxa"/>
            <w:vAlign w:val="bottom"/>
            <w:shd w:val="clear" w:color="auto" w:fill="CCEEFF"/>
          </w:tcPr>
          <w:p>
            <w:pPr>
              <w:spacing w:after="0"/>
              <w:rPr>
                <w:sz w:val="12"/>
                <w:szCs w:val="12"/>
                <w:color w:val="auto"/>
              </w:rPr>
            </w:pPr>
          </w:p>
        </w:tc>
        <w:tc>
          <w:tcPr>
            <w:tcW w:w="2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+ 6.75</w:t>
            </w:r>
          </w:p>
        </w:tc>
        <w:tc>
          <w:tcPr>
            <w:tcW w:w="166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$ 10,000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Alternate Base Rate (“ABR”) revolving loan</w:t>
            </w:r>
          </w:p>
        </w:tc>
        <w:tc>
          <w:tcPr>
            <w:tcW w:w="1740" w:type="dxa"/>
            <w:vAlign w:val="bottom"/>
          </w:tcPr>
          <w:p>
            <w:pPr>
              <w:spacing w:after="0" w:line="148" w:lineRule="exact"/>
              <w:rPr>
                <w:sz w:val="20"/>
                <w:szCs w:val="20"/>
                <w:color w:val="auto"/>
              </w:rPr>
            </w:pPr>
            <w:r>
              <w:rPr>
                <w:rFonts w:ascii="Arial" w:cs="Arial" w:eastAsia="Arial" w:hAnsi="Arial"/>
                <w:sz w:val="13"/>
                <w:szCs w:val="13"/>
                <w:color w:val="auto"/>
              </w:rPr>
              <w:t>March 31, 2009</w:t>
            </w:r>
          </w:p>
        </w:tc>
        <w:tc>
          <w:tcPr>
            <w:tcW w:w="300" w:type="dxa"/>
            <w:vAlign w:val="bottom"/>
          </w:tcPr>
          <w:p>
            <w:pPr>
              <w:spacing w:after="0"/>
              <w:rPr>
                <w:sz w:val="12"/>
                <w:szCs w:val="12"/>
                <w:color w:val="auto"/>
              </w:rPr>
            </w:pPr>
          </w:p>
        </w:tc>
        <w:tc>
          <w:tcPr>
            <w:tcW w:w="2340" w:type="dxa"/>
            <w:vAlign w:val="bottom"/>
          </w:tcPr>
          <w:p>
            <w:pPr>
              <w:jc w:val="center"/>
              <w:spacing w:after="0" w:line="148" w:lineRule="exact"/>
              <w:rPr>
                <w:sz w:val="20"/>
                <w:szCs w:val="20"/>
                <w:color w:val="auto"/>
              </w:rPr>
            </w:pPr>
            <w:r>
              <w:rPr>
                <w:rFonts w:ascii="Arial" w:cs="Arial" w:eastAsia="Arial" w:hAnsi="Arial"/>
                <w:sz w:val="13"/>
                <w:szCs w:val="13"/>
                <w:color w:val="auto"/>
              </w:rPr>
              <w:t>ABR + 5.75</w:t>
            </w:r>
          </w:p>
        </w:tc>
        <w:tc>
          <w:tcPr>
            <w:tcW w:w="760" w:type="dxa"/>
            <w:vAlign w:val="bottom"/>
            <w:gridSpan w:val="2"/>
          </w:tcPr>
          <w:p>
            <w:pPr>
              <w:spacing w:after="0"/>
              <w:rPr>
                <w:sz w:val="12"/>
                <w:szCs w:val="12"/>
                <w:color w:val="auto"/>
              </w:rPr>
            </w:pPr>
          </w:p>
        </w:tc>
        <w:tc>
          <w:tcPr>
            <w:tcW w:w="4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85,000</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66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$95,000</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ind w:left="920"/>
              <w:spacing w:after="0"/>
              <w:rPr>
                <w:sz w:val="20"/>
                <w:szCs w:val="20"/>
                <w:color w:val="auto"/>
              </w:rPr>
            </w:pPr>
            <w:r>
              <w:rPr>
                <w:rFonts w:ascii="Arial" w:cs="Arial" w:eastAsia="Arial" w:hAnsi="Arial"/>
                <w:sz w:val="13"/>
                <w:szCs w:val="13"/>
                <w:color w:val="auto"/>
              </w:rPr>
              <w:t>F-50</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940" w:type="dxa"/>
            <w:vAlign w:val="bottom"/>
            <w:tcBorders>
              <w:bottom w:val="single" w:sz="8" w:color="808080"/>
            </w:tcBorders>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3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1" w:name="page232"/>
    <w:bookmarkEnd w:id="2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380" w:firstLine="499"/>
        <w:spacing w:after="0" w:line="248" w:lineRule="auto"/>
        <w:rPr>
          <w:sz w:val="20"/>
          <w:szCs w:val="20"/>
          <w:color w:val="auto"/>
        </w:rPr>
      </w:pPr>
      <w:r>
        <w:rPr>
          <w:rFonts w:ascii="Arial" w:cs="Arial" w:eastAsia="Arial" w:hAnsi="Arial"/>
          <w:sz w:val="13"/>
          <w:szCs w:val="13"/>
          <w:color w:val="auto"/>
        </w:rPr>
        <w:t>As discussed in Note 2, on the Reorganization Effective Date, $61,750 thousand of these short-term borrowings was refinanced with a new term loan and the remainder of $33,250 thousand was repaid in cash as part of the Company’s reorganization.</w:t>
      </w:r>
    </w:p>
    <w:p>
      <w:pPr>
        <w:spacing w:after="0" w:line="98" w:lineRule="exact"/>
        <w:rPr>
          <w:sz w:val="20"/>
          <w:szCs w:val="20"/>
          <w:color w:val="auto"/>
        </w:rPr>
      </w:pPr>
    </w:p>
    <w:p>
      <w:pPr>
        <w:ind w:left="680" w:right="7340" w:firstLine="7"/>
        <w:spacing w:after="0" w:line="391" w:lineRule="auto"/>
        <w:tabs>
          <w:tab w:leader="none" w:pos="1181"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Current Portion of Long-term Debt </w:t>
      </w:r>
      <w:r>
        <w:rPr>
          <w:rFonts w:ascii="Arial" w:cs="Arial" w:eastAsia="Arial" w:hAnsi="Arial"/>
          <w:sz w:val="13"/>
          <w:szCs w:val="13"/>
          <w:b w:val="1"/>
          <w:bCs w:val="1"/>
          <w:i w:val="1"/>
          <w:iCs w:val="1"/>
          <w:color w:val="auto"/>
        </w:rPr>
        <w:t>Successor Company</w:t>
      </w:r>
    </w:p>
    <w:p>
      <w:pPr>
        <w:ind w:left="1180"/>
        <w:spacing w:after="0" w:line="237" w:lineRule="auto"/>
        <w:rPr>
          <w:sz w:val="20"/>
          <w:szCs w:val="20"/>
          <w:color w:val="auto"/>
        </w:rPr>
      </w:pPr>
      <w:r>
        <w:rPr>
          <w:rFonts w:ascii="Arial" w:cs="Arial" w:eastAsia="Arial" w:hAnsi="Arial"/>
          <w:sz w:val="13"/>
          <w:szCs w:val="13"/>
          <w:color w:val="auto"/>
        </w:rPr>
        <w:t>The current portion of the new term loan issued in connection with the Company’s reorganization was $618 thousand as of December 31, 2009, as described in</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 14.</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On December 23, 2004, two of the Company’s subsidiaries, MagnaChip Semiconductor S.A. and MagnaChip Semiconductor Finance Company, issued</w:t>
      </w:r>
    </w:p>
    <w:p>
      <w:pPr>
        <w:ind w:left="680"/>
        <w:spacing w:after="0" w:line="214" w:lineRule="auto"/>
        <w:rPr>
          <w:sz w:val="20"/>
          <w:szCs w:val="20"/>
          <w:color w:val="auto"/>
        </w:rPr>
      </w:pPr>
      <w:r>
        <w:rPr>
          <w:rFonts w:ascii="Arial" w:cs="Arial" w:eastAsia="Arial" w:hAnsi="Arial"/>
          <w:sz w:val="13"/>
          <w:szCs w:val="13"/>
          <w:color w:val="auto"/>
        </w:rPr>
        <w:t>$500 million aggregate principal amount of Second Priority Senior Secured Notes consisting of $300 million aggregate principal amount of Floating Rate Second Priority Senior Secured Notes and $200 million aggregate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At the same time, these subsidiaries issued $250 million aggregate principal amount of 8% Senior Subordinated Notes.</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Details of the current portion of long-term debt as of December 31, 2008 are presented as below:</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180" w:type="dxa"/>
            <w:vAlign w:val="bottom"/>
          </w:tcPr>
          <w:p>
            <w:pPr>
              <w:spacing w:after="0"/>
              <w:rPr>
                <w:sz w:val="13"/>
                <w:szCs w:val="13"/>
                <w:color w:val="auto"/>
              </w:rPr>
            </w:pPr>
          </w:p>
        </w:tc>
        <w:tc>
          <w:tcPr>
            <w:tcW w:w="1840" w:type="dxa"/>
            <w:vAlign w:val="bottom"/>
            <w:vMerge w:val="restart"/>
          </w:tcPr>
          <w:p>
            <w:pPr>
              <w:jc w:val="center"/>
              <w:ind w:left="874"/>
              <w:spacing w:after="0"/>
              <w:rPr>
                <w:sz w:val="20"/>
                <w:szCs w:val="20"/>
                <w:color w:val="auto"/>
              </w:rPr>
            </w:pPr>
            <w:r>
              <w:rPr>
                <w:rFonts w:ascii="Arial" w:cs="Arial" w:eastAsia="Arial" w:hAnsi="Arial"/>
                <w:sz w:val="13"/>
                <w:szCs w:val="13"/>
                <w:b w:val="1"/>
                <w:bCs w:val="1"/>
                <w:color w:val="auto"/>
                <w:w w:val="98"/>
              </w:rPr>
              <w:t>Maturity</w:t>
            </w: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Amount of</w:t>
            </w: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99"/>
              </w:rPr>
              <w:t>Rate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Principal</w:t>
            </w: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Floating Rate Second Priority Senior Secured Notes</w:t>
            </w:r>
          </w:p>
        </w:tc>
        <w:tc>
          <w:tcPr>
            <w:tcW w:w="184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rPr>
              <w:t>2011</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+ 3.250</w:t>
            </w:r>
          </w:p>
        </w:tc>
        <w:tc>
          <w:tcPr>
            <w:tcW w:w="3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80" w:type="dxa"/>
            <w:vAlign w:val="bottom"/>
          </w:tcPr>
          <w:p>
            <w:pPr>
              <w:spacing w:after="0" w:line="148" w:lineRule="exact"/>
              <w:rPr>
                <w:sz w:val="20"/>
                <w:szCs w:val="20"/>
                <w:color w:val="auto"/>
              </w:rPr>
            </w:pPr>
            <w:r>
              <w:rPr>
                <w:rFonts w:ascii="Arial" w:cs="Arial" w:eastAsia="Arial" w:hAnsi="Arial"/>
                <w:sz w:val="12"/>
                <w:szCs w:val="12"/>
                <w:color w:val="auto"/>
              </w:rPr>
              <w:t>6</w:t>
            </w:r>
            <w:r>
              <w:rPr>
                <w:rFonts w:ascii="Arial" w:cs="Arial" w:eastAsia="Arial" w:hAnsi="Arial"/>
                <w:sz w:val="17"/>
                <w:szCs w:val="17"/>
                <w:color w:val="auto"/>
                <w:vertAlign w:val="superscript"/>
              </w:rPr>
              <w:t>7</w:t>
            </w:r>
            <w:r>
              <w:rPr>
                <w:rFonts w:ascii="Arial" w:cs="Arial" w:eastAsia="Arial" w:hAnsi="Arial"/>
                <w:sz w:val="12"/>
                <w:szCs w:val="12"/>
                <w:color w:val="auto"/>
              </w:rPr>
              <w:t>/</w:t>
            </w:r>
            <w:r>
              <w:rPr>
                <w:rFonts w:ascii="Arial" w:cs="Arial" w:eastAsia="Arial" w:hAnsi="Arial"/>
                <w:sz w:val="9"/>
                <w:szCs w:val="9"/>
                <w:color w:val="auto"/>
              </w:rPr>
              <w:t>8</w:t>
            </w:r>
            <w:r>
              <w:rPr>
                <w:rFonts w:ascii="Arial" w:cs="Arial" w:eastAsia="Arial" w:hAnsi="Arial"/>
                <w:sz w:val="12"/>
                <w:szCs w:val="12"/>
                <w:color w:val="auto"/>
              </w:rPr>
              <w:t>% Second Priority Senior Secured Notes</w:t>
            </w:r>
          </w:p>
        </w:tc>
        <w:tc>
          <w:tcPr>
            <w:tcW w:w="1840" w:type="dxa"/>
            <w:vAlign w:val="bottom"/>
          </w:tcPr>
          <w:p>
            <w:pPr>
              <w:jc w:val="center"/>
              <w:ind w:left="874"/>
              <w:spacing w:after="0" w:line="148" w:lineRule="exact"/>
              <w:rPr>
                <w:sz w:val="20"/>
                <w:szCs w:val="20"/>
                <w:color w:val="auto"/>
              </w:rPr>
            </w:pPr>
            <w:r>
              <w:rPr>
                <w:rFonts w:ascii="Arial" w:cs="Arial" w:eastAsia="Arial" w:hAnsi="Arial"/>
                <w:sz w:val="13"/>
                <w:szCs w:val="13"/>
                <w:color w:val="auto"/>
              </w:rPr>
              <w:t>2011</w:t>
            </w:r>
          </w:p>
        </w:tc>
        <w:tc>
          <w:tcPr>
            <w:tcW w:w="2580" w:type="dxa"/>
            <w:vAlign w:val="bottom"/>
          </w:tcPr>
          <w:p>
            <w:pPr>
              <w:jc w:val="center"/>
              <w:spacing w:after="0" w:line="148" w:lineRule="exact"/>
              <w:rPr>
                <w:sz w:val="20"/>
                <w:szCs w:val="20"/>
                <w:color w:val="auto"/>
              </w:rPr>
            </w:pPr>
            <w:r>
              <w:rPr>
                <w:rFonts w:ascii="Arial" w:cs="Arial" w:eastAsia="Arial" w:hAnsi="Arial"/>
                <w:sz w:val="13"/>
                <w:szCs w:val="13"/>
                <w:color w:val="auto"/>
              </w:rPr>
              <w:t>6.875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8% Senior Subordinated Notes</w:t>
            </w:r>
          </w:p>
        </w:tc>
        <w:tc>
          <w:tcPr>
            <w:tcW w:w="184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rPr>
              <w:t>2014</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8.000</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-436245</wp:posOffset>
            </wp:positionV>
            <wp:extent cx="635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The senior secured revolving credit facility and Second Priority Senior Secured Notes were collateralized by substantially all of the assets of the Company. This indebtedness was initially expected to be paid in full upon maturity.</w:t>
      </w:r>
    </w:p>
    <w:p>
      <w:pPr>
        <w:spacing w:after="0" w:line="74"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Each indenture governing the notes contained covenants that limited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of December 31, 2008, the Company and all of its subsidiaries except for MagnaChip Semiconductor (Shanghai) Company Limited jointly and severally guaranteed each series of the Second Priority Senior Secured Notes on a second priority senior secured basis. As of December 31, 2008, the Company and all of its subsidiaries except for MagnaChip Semiconductor Ltd. (Korea) and MagnaChip Semiconductor (Shanghai) Company Limited jointly and severally guaranteed the Senior Subordinated Notes on an unsecured, senior subordinated basis. In addition, the Company and each of its then current and future direct and indirect subsidiaries (subject to certain exceptions) were required to be guarantors of Second Priority Senior Secured Notes and Senior Subordinated Notes.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2" w:name="page233"/>
    <w:bookmarkEnd w:id="2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During December 2008, the Company failed to make interest payments under its Second Priority Senior Secured Notes and Senior Subordinated Notes. Additionally, as of December 31, 2008, the Company was not in compliance with certain of its financial covenants under the terms of its senior secured credit facility, and the indentures governing the Second Priority Senior Secured Notes and the Senior Subordinated Notes. Accordingly, amounts outstanding under the Second Priority Senior Secured Notes and Senior Subordinated Notes were reclassified as current portion of long-term debt in the Company’s accompanying balance sheet as of December 31, 2008.</w:t>
      </w:r>
    </w:p>
    <w:p>
      <w:pPr>
        <w:spacing w:after="0" w:line="228"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In connection with the issuance of the notes and entering into the credit facility, the Company capitalized certain costs and fees, which were being amortized using the effective interest method or straight-line method over their respective terms. As a result of not being in compliance with certain of its financial covenants under the terms of its senior secured credit facility and the indentures governing the Second Priority Senior Secured Notes and Senior Subordinated Notes, the remaining capitalized costs of $12,319 thousand in connection with the issuance of the Second Priority Senior Secured Notes and Senior Subordinated Notes as of December 31, 2008 were written off and included in interest expense. Amortization costs, which were included in interest expense in the accompanying consolidated statements of operations, amounted to $836 thousand for the ten-month period ended October 25, 2009, and $16,290 thousand and $3,919 thousand for the years ended December 31, 2008 and 2007, respectively. As of October 25, 2009, the remaining capitalized costs of $166 thousand in connection with the entrance into the credit facility were written off and included in reorganization items, net, in accordance with the Plan of Reorganization as described in Notes 3 and 5. The remaining capitalized costs as of December 31, 2008 and 2007 were $1,004 thousand and $17,917 thousand, respectively.</w:t>
      </w:r>
    </w:p>
    <w:p>
      <w:pPr>
        <w:spacing w:after="0" w:line="81" w:lineRule="exact"/>
        <w:rPr>
          <w:sz w:val="20"/>
          <w:szCs w:val="20"/>
          <w:color w:val="auto"/>
        </w:rPr>
      </w:pPr>
    </w:p>
    <w:p>
      <w:pPr>
        <w:jc w:val="both"/>
        <w:ind w:left="680" w:firstLine="499"/>
        <w:spacing w:after="0" w:line="242" w:lineRule="auto"/>
        <w:rPr>
          <w:sz w:val="20"/>
          <w:szCs w:val="20"/>
          <w:color w:val="auto"/>
        </w:rPr>
      </w:pPr>
      <w:r>
        <w:rPr>
          <w:rFonts w:ascii="Arial" w:cs="Arial" w:eastAsia="Arial" w:hAnsi="Arial"/>
          <w:sz w:val="13"/>
          <w:szCs w:val="13"/>
          <w:color w:val="auto"/>
        </w:rPr>
        <w:t>As of October 25, 2009, the current portion of long-term debt of $750,000 thousand and accrued interest of $45,341 thousand were discharged in exchange for new common units with a fair value of $14,259 thousand and new warrants with a fair value of $2,533 thousand as part of the Company’s reorganization as described in Notes 3 and 5.</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Interest Rate Swap</w:t>
      </w:r>
    </w:p>
    <w:p>
      <w:pPr>
        <w:spacing w:after="0" w:line="100"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Under the terms of the Swap, the Company received a variable interest rate equal to the three-month LIBOR rate plus 3.25%. In exchange, the Company paid interest at a fixed rate of 7.34%. The Swap effectively replaced the variable interest rate on the notes with a fixed interest rate through the expiration date of the Swap on June 15, 2008.</w:t>
      </w:r>
    </w:p>
    <w:p>
      <w:pPr>
        <w:spacing w:after="0" w:line="80"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The Swap qualified as a cash flow hedge under ASC 815, since at both the inception of the hedge and on an ongoing basis, the hedging relationship was expected to be highly effective in achieving offsetting cash flows attributable to the hedged risk during the term of the hedge. The Company utilized the “hypothetical derivative method” to measure the effectiveness by comparing the changes in value of the actual derivative versus the change in fair value of the “hypothetical derivative.”</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3" w:name="page234"/>
    <w:bookmarkEnd w:id="2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1180" w:hanging="493"/>
        <w:spacing w:after="0"/>
        <w:tabs>
          <w:tab w:leader="none" w:pos="1180"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connection with the Predecessor Company’s reorganization as described in Note 3, in complete satisfaction of the first lien lender claims arising from the senior secured credit facility (included in short-term borrowings) of $95,000 thousand, the Company made a cash payment of $33,250 thousand to the senior secured credit facility lenders and, together with its subsidiaries, including MagnaChip Semiconductor S.A. and MagnaChip Semiconductor Finance Company, as borrowers, entered into a $61,750 thousand Amended and Restated Credit Agreement (the “Credit Agreement” or the “new term loan”) with Avenue Investments, LP, Goldman Sachs Lending Partners LLC and Citicorp North America, Inc.</w:t>
      </w:r>
    </w:p>
    <w:p>
      <w:pPr>
        <w:spacing w:after="0" w:line="81"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Long-term borrowings as of December 31, 2009 consisted of Eurodollar loans at an annual interest rate of 6 month LIBOR + 12% to Avenue Investments, LP, Goldman Sachs Lending Partners LLC and Citicorp North America, Inc. in the principal amount of $42,055 thousand, $ 12,285 thousand and $7,410 thousand, respectively. After deducting the current portion of long-term debt of $618 thousand, long-term borrowings as of December 31, 2009 were $61,132 thousand.</w:t>
      </w:r>
    </w:p>
    <w:p>
      <w:pPr>
        <w:spacing w:after="0" w:line="79"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The principal balance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 as follows:</w:t>
      </w:r>
    </w:p>
    <w:p>
      <w:pPr>
        <w:spacing w:after="0" w:line="58"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 xml:space="preserve">Optional Prepayments. </w:t>
      </w:r>
      <w:r>
        <w:rPr>
          <w:rFonts w:ascii="Arial" w:cs="Arial" w:eastAsia="Arial" w:hAnsi="Arial"/>
          <w:sz w:val="13"/>
          <w:szCs w:val="13"/>
          <w:color w:val="auto"/>
        </w:rPr>
        <w:t>The Company has the right at any time and from time to time to prepay the new term loan, in whole or in part.</w:t>
      </w:r>
    </w:p>
    <w:p>
      <w:pPr>
        <w:spacing w:after="0" w:line="86" w:lineRule="exact"/>
        <w:rPr>
          <w:sz w:val="20"/>
          <w:szCs w:val="20"/>
          <w:color w:val="auto"/>
        </w:rPr>
      </w:pPr>
    </w:p>
    <w:p>
      <w:pPr>
        <w:ind w:left="1080" w:firstLine="383"/>
        <w:spacing w:after="0" w:line="242" w:lineRule="auto"/>
        <w:rPr>
          <w:sz w:val="20"/>
          <w:szCs w:val="20"/>
          <w:color w:val="auto"/>
        </w:rPr>
      </w:pPr>
      <w:r>
        <w:rPr>
          <w:rFonts w:ascii="Arial" w:cs="Arial" w:eastAsia="Arial" w:hAnsi="Arial"/>
          <w:sz w:val="13"/>
          <w:szCs w:val="13"/>
          <w:b w:val="1"/>
          <w:bCs w:val="1"/>
          <w:color w:val="auto"/>
        </w:rPr>
        <w:t xml:space="preserve">Excess Cash Flow Prepayments. </w:t>
      </w:r>
      <w:r>
        <w:rPr>
          <w:rFonts w:ascii="Arial" w:cs="Arial" w:eastAsia="Arial" w:hAnsi="Arial"/>
          <w:sz w:val="13"/>
          <w:szCs w:val="13"/>
          <w:color w:val="auto"/>
        </w:rPr>
        <w:t>Not later than 90 days after the end of each fiscal year (commencing with the fiscal year ending December 31, 2010),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shall calculate the amount of Excess Cash Flow (as defined in the Credit Agreement) for such fiscal year, and shall prepay the new loan in an amount equal to the amount by which (A) 50% of such Excess Cash Flow exceeds (B) the sum of (x) the aggregate principal amount of voluntary prepayments of the new term loan during such fiscal year, and (y) in the case of the fiscal year ending December 31, 2010, the aggregate principal amount of any Early Excess Cash Flow Prepayments (as defined in the Credit Agreement), which is equal to the amount of dividends paid and the amount of subordinated indebtedness payments made on or prior to 90 days after the end of such fiscal year, or an Excess Cash Flow Prepayment; provided, that if the amount in clause (B) exceeds the amount in clause (A), no such prepayment of the new term loan is required.</w:t>
      </w:r>
    </w:p>
    <w:p>
      <w:pPr>
        <w:spacing w:after="0" w:line="65" w:lineRule="exact"/>
        <w:rPr>
          <w:sz w:val="20"/>
          <w:szCs w:val="20"/>
          <w:color w:val="auto"/>
        </w:rPr>
      </w:pPr>
    </w:p>
    <w:p>
      <w:pPr>
        <w:ind w:left="1080" w:right="420" w:firstLine="383"/>
        <w:spacing w:after="0" w:line="273" w:lineRule="auto"/>
        <w:rPr>
          <w:sz w:val="20"/>
          <w:szCs w:val="20"/>
          <w:color w:val="auto"/>
        </w:rPr>
      </w:pPr>
      <w:r>
        <w:rPr>
          <w:rFonts w:ascii="Arial" w:cs="Arial" w:eastAsia="Arial" w:hAnsi="Arial"/>
          <w:sz w:val="13"/>
          <w:szCs w:val="13"/>
          <w:b w:val="1"/>
          <w:bCs w:val="1"/>
          <w:color w:val="auto"/>
        </w:rPr>
        <w:t xml:space="preserve">Asset Sales. </w:t>
      </w:r>
      <w:r>
        <w:rPr>
          <w:rFonts w:ascii="Arial" w:cs="Arial" w:eastAsia="Arial" w:hAnsi="Arial"/>
          <w:sz w:val="13"/>
          <w:szCs w:val="13"/>
          <w:color w:val="auto"/>
        </w:rPr>
        <w:t>Not later than three business days following the receipt of any net cash proceeds of any asset sale, the Company shall make (with certain</w:t>
      </w:r>
      <w:r>
        <w:rPr>
          <w:rFonts w:ascii="Arial" w:cs="Arial" w:eastAsia="Arial" w:hAnsi="Arial"/>
          <w:sz w:val="13"/>
          <w:szCs w:val="13"/>
          <w:b w:val="1"/>
          <w:bCs w:val="1"/>
          <w:color w:val="auto"/>
        </w:rPr>
        <w:t xml:space="preserve"> </w:t>
      </w:r>
      <w:r>
        <w:rPr>
          <w:rFonts w:ascii="Arial" w:cs="Arial" w:eastAsia="Arial" w:hAnsi="Arial"/>
          <w:sz w:val="13"/>
          <w:szCs w:val="13"/>
          <w:color w:val="auto"/>
        </w:rPr>
        <w:t>exceptions) prepayments in an aggregate amount equal to 100% of such net cash proceeds from such asset sale.</w:t>
      </w:r>
    </w:p>
    <w:p>
      <w:pPr>
        <w:spacing w:after="0" w:line="43" w:lineRule="exact"/>
        <w:rPr>
          <w:sz w:val="20"/>
          <w:szCs w:val="20"/>
          <w:color w:val="auto"/>
        </w:rPr>
      </w:pPr>
    </w:p>
    <w:p>
      <w:pPr>
        <w:ind w:left="1080" w:right="300" w:firstLine="383"/>
        <w:spacing w:after="0" w:line="255" w:lineRule="auto"/>
        <w:rPr>
          <w:sz w:val="20"/>
          <w:szCs w:val="20"/>
          <w:color w:val="auto"/>
        </w:rPr>
      </w:pPr>
      <w:r>
        <w:rPr>
          <w:rFonts w:ascii="Arial" w:cs="Arial" w:eastAsia="Arial" w:hAnsi="Arial"/>
          <w:sz w:val="13"/>
          <w:szCs w:val="13"/>
          <w:b w:val="1"/>
          <w:bCs w:val="1"/>
          <w:color w:val="auto"/>
        </w:rPr>
        <w:t xml:space="preserve">Dividend or Subordinated Indebtedness Payment. </w:t>
      </w:r>
      <w:r>
        <w:rPr>
          <w:rFonts w:ascii="Arial" w:cs="Arial" w:eastAsia="Arial" w:hAnsi="Arial"/>
          <w:sz w:val="13"/>
          <w:szCs w:val="13"/>
          <w:color w:val="auto"/>
        </w:rPr>
        <w:t>Concurrently with the making of any dividend and any subordinated indebtedness payment, in each</w:t>
      </w:r>
      <w:r>
        <w:rPr>
          <w:rFonts w:ascii="Arial" w:cs="Arial" w:eastAsia="Arial" w:hAnsi="Arial"/>
          <w:sz w:val="13"/>
          <w:szCs w:val="13"/>
          <w:b w:val="1"/>
          <w:bCs w:val="1"/>
          <w:color w:val="auto"/>
        </w:rPr>
        <w:t xml:space="preserve"> </w:t>
      </w:r>
      <w:r>
        <w:rPr>
          <w:rFonts w:ascii="Arial" w:cs="Arial" w:eastAsia="Arial" w:hAnsi="Arial"/>
          <w:sz w:val="13"/>
          <w:szCs w:val="13"/>
          <w:color w:val="auto"/>
        </w:rPr>
        <w:t>case from any Cumulative Credit (as defined in the Credit Agreement) prior to the date that the first Excess Cash Flow Prepayment is required to be made, the Company shall make prepayments of the outstanding</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4" w:name="page235"/>
    <w:bookmarkEnd w:id="2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term loan in an amount equal to the amount of such dividend or subordinated indebtedness payment, as the case may be.</w:t>
      </w:r>
    </w:p>
    <w:p>
      <w:pPr>
        <w:spacing w:after="0" w:line="70"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Casualty Events</w:t>
      </w:r>
      <w:r>
        <w:rPr>
          <w:rFonts w:ascii="Arial" w:cs="Arial" w:eastAsia="Arial" w:hAnsi="Arial"/>
          <w:sz w:val="13"/>
          <w:szCs w:val="13"/>
          <w:color w:val="auto"/>
        </w:rPr>
        <w:t>. Not later than three business days following the receipt by the Company of any net cash proceeds from a casualty event in excess of</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$3,000 thousand, the Company must use the full amount of such net cash proceeds to: (i) make prepayments of the outstanding term loan, or (ii) so long as no default shall</w:t>
      </w:r>
    </w:p>
    <w:p>
      <w:pPr>
        <w:ind w:left="680"/>
        <w:spacing w:after="0" w:line="236" w:lineRule="auto"/>
        <w:rPr>
          <w:sz w:val="20"/>
          <w:szCs w:val="20"/>
          <w:color w:val="auto"/>
        </w:rPr>
      </w:pPr>
      <w:r>
        <w:rPr>
          <w:rFonts w:ascii="Arial" w:cs="Arial" w:eastAsia="Arial" w:hAnsi="Arial"/>
          <w:sz w:val="13"/>
          <w:szCs w:val="13"/>
          <w:color w:val="auto"/>
        </w:rPr>
        <w:t>have occurred and be continuing, repair, replace or restore the property in respect of which such net cash proceeds were repaid or reinvested in other fixed or capital assets</w:t>
      </w:r>
    </w:p>
    <w:p>
      <w:pPr>
        <w:ind w:left="680"/>
        <w:spacing w:after="0"/>
        <w:rPr>
          <w:sz w:val="20"/>
          <w:szCs w:val="20"/>
          <w:color w:val="auto"/>
        </w:rPr>
      </w:pPr>
      <w:r>
        <w:rPr>
          <w:rFonts w:ascii="Arial" w:cs="Arial" w:eastAsia="Arial" w:hAnsi="Arial"/>
          <w:sz w:val="13"/>
          <w:szCs w:val="13"/>
          <w:color w:val="auto"/>
        </w:rPr>
        <w:t>no later than 360 days following receipt thereof.</w:t>
      </w:r>
    </w:p>
    <w:p>
      <w:pPr>
        <w:spacing w:after="0" w:line="86"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is required to pay the balance of the Credit Agreement, if any, on November 6, 2013. The Credit Agreement is collateralized by substantially all of the assets of the Company.</w:t>
      </w:r>
    </w:p>
    <w:p>
      <w:pPr>
        <w:spacing w:after="0" w:line="74"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Credit Agreement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(vii) sell all or substantially all of its assets or merge with or into other companies, (viii) issue specific equity interests and (ix) establish, create or acquire any additional subsidiaries. It also contains a minimum liquidity financial covenant and compliance with financial ratios.</w:t>
      </w:r>
    </w:p>
    <w:p>
      <w:pPr>
        <w:spacing w:after="0" w:line="81" w:lineRule="exact"/>
        <w:rPr>
          <w:sz w:val="20"/>
          <w:szCs w:val="20"/>
          <w:color w:val="auto"/>
        </w:rPr>
      </w:pPr>
    </w:p>
    <w:p>
      <w:pPr>
        <w:ind w:left="680" w:right="540" w:firstLine="499"/>
        <w:spacing w:after="0" w:line="248" w:lineRule="auto"/>
        <w:rPr>
          <w:sz w:val="20"/>
          <w:szCs w:val="20"/>
          <w:color w:val="auto"/>
        </w:rPr>
      </w:pPr>
      <w:r>
        <w:rPr>
          <w:rFonts w:ascii="Arial" w:cs="Arial" w:eastAsia="Arial" w:hAnsi="Arial"/>
          <w:sz w:val="13"/>
          <w:szCs w:val="13"/>
          <w:color w:val="auto"/>
        </w:rPr>
        <w:t>As of December 31, 2009, the Company and all of its subsidiaries except for MagnaChip Semiconductor (Shanghai) Company Limited jointly and severally guaranteed, as a primary obligor, the payment and performance of the borrower’s obligations under the Credit Agreement.</w:t>
      </w:r>
    </w:p>
    <w:p>
      <w:pPr>
        <w:spacing w:after="0" w:line="74" w:lineRule="exact"/>
        <w:rPr>
          <w:sz w:val="20"/>
          <w:szCs w:val="20"/>
          <w:color w:val="auto"/>
        </w:rPr>
      </w:pPr>
    </w:p>
    <w:p>
      <w:pPr>
        <w:ind w:left="680" w:right="200" w:firstLine="499"/>
        <w:spacing w:after="0" w:line="242" w:lineRule="auto"/>
        <w:rPr>
          <w:sz w:val="20"/>
          <w:szCs w:val="20"/>
          <w:color w:val="auto"/>
        </w:rPr>
      </w:pPr>
      <w:r>
        <w:rPr>
          <w:rFonts w:ascii="Arial" w:cs="Arial" w:eastAsia="Arial" w:hAnsi="Arial"/>
          <w:sz w:val="13"/>
          <w:szCs w:val="13"/>
          <w:color w:val="auto"/>
        </w:rPr>
        <w:t>In connection with the entrance into the Credit Agreement, the Company capitalized certain costs and fees, which are being amortized using the straight-line method over the term of loan. Amortization costs, which were included in interest expense in the accompanying consolidated statements of operations, amounted to $0.3 thousand for the two-month period ended December 31, 2009, and total remaining capitalized costs as of December 31, 2009 were $235 thousand.</w:t>
      </w:r>
    </w:p>
    <w:p>
      <w:pPr>
        <w:spacing w:after="0" w:line="141" w:lineRule="exact"/>
        <w:rPr>
          <w:sz w:val="20"/>
          <w:szCs w:val="20"/>
          <w:color w:val="auto"/>
        </w:rPr>
      </w:pPr>
    </w:p>
    <w:p>
      <w:pPr>
        <w:ind w:left="1180" w:hanging="493"/>
        <w:spacing w:after="0"/>
        <w:tabs>
          <w:tab w:leader="none" w:pos="1180"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2"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5" w:name="page236"/>
    <w:bookmarkEnd w:id="2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660" w:type="dxa"/>
            <w:vAlign w:val="bottom"/>
            <w:gridSpan w:val="7"/>
          </w:tcPr>
          <w:p>
            <w:pPr>
              <w:ind w:left="500"/>
              <w:spacing w:after="0"/>
              <w:rPr>
                <w:sz w:val="20"/>
                <w:szCs w:val="20"/>
                <w:color w:val="auto"/>
              </w:rPr>
            </w:pPr>
            <w:r>
              <w:rPr>
                <w:rFonts w:ascii="Arial" w:cs="Arial" w:eastAsia="Arial" w:hAnsi="Arial"/>
                <w:sz w:val="13"/>
                <w:szCs w:val="13"/>
                <w:color w:val="auto"/>
              </w:rPr>
              <w:t>Changes in accrued severance benefits for each period are as follows: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156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48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56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56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$ 72,243</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$ 63,147</w:t>
            </w:r>
          </w:p>
        </w:tc>
        <w:tc>
          <w:tcPr>
            <w:tcW w:w="188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$ 75,869</w:t>
            </w:r>
          </w:p>
        </w:tc>
        <w:tc>
          <w:tcPr>
            <w:tcW w:w="182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$ 64,642</w:t>
            </w:r>
          </w:p>
        </w:tc>
        <w:tc>
          <w:tcPr>
            <w:tcW w:w="0" w:type="dxa"/>
            <w:vAlign w:val="bottom"/>
          </w:tcPr>
          <w:p>
            <w:pPr>
              <w:spacing w:after="0"/>
              <w:rPr>
                <w:sz w:val="1"/>
                <w:szCs w:val="1"/>
                <w:color w:val="auto"/>
              </w:rPr>
            </w:pPr>
          </w:p>
        </w:tc>
      </w:tr>
      <w:tr>
        <w:trPr>
          <w:trHeight w:val="147"/>
        </w:trPr>
        <w:tc>
          <w:tcPr>
            <w:tcW w:w="3000" w:type="dxa"/>
            <w:vAlign w:val="bottom"/>
          </w:tcPr>
          <w:p>
            <w:pPr>
              <w:spacing w:after="0" w:line="148" w:lineRule="exact"/>
              <w:rPr>
                <w:sz w:val="20"/>
                <w:szCs w:val="20"/>
                <w:color w:val="auto"/>
              </w:rPr>
            </w:pPr>
            <w:r>
              <w:rPr>
                <w:rFonts w:ascii="Arial" w:cs="Arial" w:eastAsia="Arial" w:hAnsi="Arial"/>
                <w:sz w:val="13"/>
                <w:szCs w:val="13"/>
                <w:color w:val="auto"/>
              </w:rPr>
              <w:t>Provisions</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1,851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8,835</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14,026</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18,834</w:t>
            </w:r>
          </w:p>
        </w:tc>
        <w:tc>
          <w:tcPr>
            <w:tcW w:w="0" w:type="dxa"/>
            <w:vAlign w:val="bottom"/>
          </w:tcPr>
          <w:p>
            <w:pPr>
              <w:spacing w:after="0"/>
              <w:rPr>
                <w:sz w:val="1"/>
                <w:szCs w:val="1"/>
                <w:color w:val="auto"/>
              </w:rPr>
            </w:pPr>
          </w:p>
        </w:tc>
      </w:tr>
      <w:tr>
        <w:trPr>
          <w:trHeight w:val="147"/>
        </w:trPr>
        <w:tc>
          <w:tcPr>
            <w:tcW w:w="3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Severance payments</w:t>
            </w:r>
          </w:p>
        </w:tc>
        <w:tc>
          <w:tcPr>
            <w:tcW w:w="148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(1,389)</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(4,320)</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(6,505)</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(7,151)</w:t>
            </w:r>
          </w:p>
        </w:tc>
        <w:tc>
          <w:tcPr>
            <w:tcW w:w="0" w:type="dxa"/>
            <w:vAlign w:val="bottom"/>
          </w:tcPr>
          <w:p>
            <w:pPr>
              <w:spacing w:after="0"/>
              <w:rPr>
                <w:sz w:val="1"/>
                <w:szCs w:val="1"/>
                <w:color w:val="auto"/>
              </w:rPr>
            </w:pPr>
          </w:p>
        </w:tc>
      </w:tr>
      <w:tr>
        <w:trPr>
          <w:trHeight w:val="147"/>
        </w:trPr>
        <w:tc>
          <w:tcPr>
            <w:tcW w:w="300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54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941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4,581</w:t>
            </w:r>
          </w:p>
        </w:tc>
        <w:tc>
          <w:tcPr>
            <w:tcW w:w="60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w w:val="99"/>
              </w:rPr>
              <w:t>(20,243)</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73,646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72,243</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63,147</w:t>
            </w:r>
          </w:p>
        </w:tc>
        <w:tc>
          <w:tcPr>
            <w:tcW w:w="182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75,869</w:t>
            </w:r>
          </w:p>
        </w:tc>
        <w:tc>
          <w:tcPr>
            <w:tcW w:w="0" w:type="dxa"/>
            <w:vAlign w:val="bottom"/>
          </w:tcPr>
          <w:p>
            <w:pPr>
              <w:spacing w:after="0"/>
              <w:rPr>
                <w:sz w:val="1"/>
                <w:szCs w:val="1"/>
                <w:color w:val="auto"/>
              </w:rPr>
            </w:pPr>
          </w:p>
        </w:tc>
      </w:tr>
      <w:tr>
        <w:trPr>
          <w:trHeight w:val="147"/>
        </w:trPr>
        <w:tc>
          <w:tcPr>
            <w:tcW w:w="3000" w:type="dxa"/>
            <w:vAlign w:val="bottom"/>
          </w:tcPr>
          <w:p>
            <w:pPr>
              <w:spacing w:after="0" w:line="147" w:lineRule="exact"/>
              <w:rPr>
                <w:sz w:val="20"/>
                <w:szCs w:val="20"/>
                <w:color w:val="auto"/>
              </w:rPr>
            </w:pPr>
            <w:r>
              <w:rPr>
                <w:rFonts w:ascii="Arial" w:cs="Arial" w:eastAsia="Arial" w:hAnsi="Arial"/>
                <w:sz w:val="13"/>
                <w:szCs w:val="13"/>
                <w:color w:val="auto"/>
              </w:rPr>
              <w:t>Less: Cumulative contributions to the National</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320"/>
              <w:spacing w:after="0" w:line="148" w:lineRule="exact"/>
              <w:rPr>
                <w:sz w:val="20"/>
                <w:szCs w:val="20"/>
                <w:color w:val="auto"/>
              </w:rPr>
            </w:pPr>
            <w:r>
              <w:rPr>
                <w:rFonts w:ascii="Arial" w:cs="Arial" w:eastAsia="Arial" w:hAnsi="Arial"/>
                <w:sz w:val="13"/>
                <w:szCs w:val="13"/>
                <w:color w:val="auto"/>
              </w:rPr>
              <w:t>Pension Fund</w:t>
            </w:r>
          </w:p>
        </w:tc>
        <w:tc>
          <w:tcPr>
            <w:tcW w:w="148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(530)</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right"/>
              <w:ind w:right="560"/>
              <w:spacing w:after="0" w:line="148" w:lineRule="exact"/>
              <w:rPr>
                <w:sz w:val="20"/>
                <w:szCs w:val="20"/>
                <w:color w:val="auto"/>
              </w:rPr>
            </w:pPr>
            <w:r>
              <w:rPr>
                <w:rFonts w:ascii="Arial" w:cs="Arial" w:eastAsia="Arial" w:hAnsi="Arial"/>
                <w:sz w:val="13"/>
                <w:szCs w:val="13"/>
                <w:color w:val="auto"/>
              </w:rPr>
              <w:t>(533)</w:t>
            </w:r>
          </w:p>
        </w:tc>
        <w:tc>
          <w:tcPr>
            <w:tcW w:w="188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(539)</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47"/>
        </w:trPr>
        <w:tc>
          <w:tcPr>
            <w:tcW w:w="300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Group severance insurance plan</w:t>
            </w: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(707)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(681)</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(669)</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0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$72,409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$71,029</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$ 61,939</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$74,176</w:t>
            </w:r>
          </w:p>
        </w:tc>
        <w:tc>
          <w:tcPr>
            <w:tcW w:w="0" w:type="dxa"/>
            <w:vAlign w:val="bottom"/>
          </w:tcPr>
          <w:p>
            <w:pPr>
              <w:spacing w:after="0"/>
              <w:rPr>
                <w:sz w:val="1"/>
                <w:szCs w:val="1"/>
                <w:color w:val="auto"/>
              </w:rPr>
            </w:pPr>
          </w:p>
        </w:tc>
      </w:tr>
      <w:tr>
        <w:trPr>
          <w:trHeight w:val="39"/>
        </w:trPr>
        <w:tc>
          <w:tcPr>
            <w:tcW w:w="3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The severance benefits are funded approximately 1.68%, 1.91% and 2.23% as of December 31, 2009, 2008 and 2007,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9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employees upon their normal retirement age:</w:t>
            </w:r>
          </w:p>
        </w:tc>
        <w:tc>
          <w:tcPr>
            <w:tcW w:w="2080" w:type="dxa"/>
            <w:vAlign w:val="bottom"/>
          </w:tcPr>
          <w:p>
            <w:pPr>
              <w:spacing w:after="0"/>
              <w:rPr>
                <w:sz w:val="13"/>
                <w:szCs w:val="13"/>
                <w:color w:val="auto"/>
              </w:rPr>
            </w:pPr>
          </w:p>
        </w:tc>
      </w:tr>
      <w:tr>
        <w:trPr>
          <w:trHeight w:val="221"/>
        </w:trPr>
        <w:tc>
          <w:tcPr>
            <w:tcW w:w="7900" w:type="dxa"/>
            <w:vAlign w:val="bottom"/>
          </w:tcPr>
          <w:p>
            <w:pPr>
              <w:spacing w:after="0"/>
              <w:rPr>
                <w:sz w:val="19"/>
                <w:szCs w:val="19"/>
                <w:color w:val="auto"/>
              </w:rPr>
            </w:pPr>
          </w:p>
        </w:tc>
        <w:tc>
          <w:tcPr>
            <w:tcW w:w="2080" w:type="dxa"/>
            <w:vAlign w:val="bottom"/>
          </w:tcPr>
          <w:p>
            <w:pPr>
              <w:jc w:val="right"/>
              <w:ind w:right="254"/>
              <w:spacing w:after="0"/>
              <w:rPr>
                <w:sz w:val="20"/>
                <w:szCs w:val="20"/>
                <w:color w:val="auto"/>
              </w:rPr>
            </w:pPr>
            <w:r>
              <w:rPr>
                <w:rFonts w:ascii="Arial" w:cs="Arial" w:eastAsia="Arial" w:hAnsi="Arial"/>
                <w:sz w:val="13"/>
                <w:szCs w:val="13"/>
                <w:b w:val="1"/>
                <w:bCs w:val="1"/>
                <w:color w:val="auto"/>
              </w:rPr>
              <w:t>Severance</w:t>
            </w:r>
          </w:p>
        </w:tc>
      </w:tr>
      <w:tr>
        <w:trPr>
          <w:trHeight w:val="173"/>
        </w:trPr>
        <w:tc>
          <w:tcPr>
            <w:tcW w:w="7900" w:type="dxa"/>
            <w:vAlign w:val="bottom"/>
          </w:tcPr>
          <w:p>
            <w:pPr>
              <w:spacing w:after="0"/>
              <w:rPr>
                <w:sz w:val="15"/>
                <w:szCs w:val="15"/>
                <w:color w:val="auto"/>
              </w:rPr>
            </w:pPr>
          </w:p>
        </w:tc>
        <w:tc>
          <w:tcPr>
            <w:tcW w:w="2080" w:type="dxa"/>
            <w:vAlign w:val="bottom"/>
          </w:tcPr>
          <w:p>
            <w:pPr>
              <w:jc w:val="right"/>
              <w:ind w:right="154"/>
              <w:spacing w:after="0"/>
              <w:rPr>
                <w:sz w:val="20"/>
                <w:szCs w:val="20"/>
                <w:color w:val="auto"/>
              </w:rPr>
            </w:pPr>
            <w:r>
              <w:rPr>
                <w:rFonts w:ascii="Arial" w:cs="Arial" w:eastAsia="Arial" w:hAnsi="Arial"/>
                <w:sz w:val="13"/>
                <w:szCs w:val="13"/>
                <w:b w:val="1"/>
                <w:bCs w:val="1"/>
                <w:color w:val="auto"/>
              </w:rPr>
              <w:t>Benefit</w:t>
            </w:r>
          </w:p>
        </w:tc>
      </w:tr>
      <w:tr>
        <w:trPr>
          <w:trHeight w:val="50"/>
        </w:trPr>
        <w:tc>
          <w:tcPr>
            <w:tcW w:w="7900" w:type="dxa"/>
            <w:vAlign w:val="bottom"/>
          </w:tcPr>
          <w:p>
            <w:pPr>
              <w:spacing w:after="0"/>
              <w:rPr>
                <w:sz w:val="4"/>
                <w:szCs w:val="4"/>
                <w:color w:val="auto"/>
              </w:rPr>
            </w:pPr>
          </w:p>
        </w:tc>
        <w:tc>
          <w:tcPr>
            <w:tcW w:w="2080" w:type="dxa"/>
            <w:vAlign w:val="bottom"/>
          </w:tcPr>
          <w:p>
            <w:pPr>
              <w:spacing w:after="0"/>
              <w:rPr>
                <w:sz w:val="4"/>
                <w:szCs w:val="4"/>
                <w:color w:val="auto"/>
              </w:rPr>
            </w:pPr>
          </w:p>
        </w:tc>
      </w:tr>
      <w:tr>
        <w:trPr>
          <w:trHeight w:val="147"/>
        </w:trPr>
        <w:tc>
          <w:tcPr>
            <w:tcW w:w="7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2010</w:t>
            </w:r>
          </w:p>
        </w:tc>
        <w:tc>
          <w:tcPr>
            <w:tcW w:w="2080" w:type="dxa"/>
            <w:vAlign w:val="bottom"/>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   33</w:t>
            </w:r>
          </w:p>
        </w:tc>
      </w:tr>
      <w:tr>
        <w:trPr>
          <w:trHeight w:val="147"/>
        </w:trPr>
        <w:tc>
          <w:tcPr>
            <w:tcW w:w="7900" w:type="dxa"/>
            <w:vAlign w:val="bottom"/>
          </w:tcPr>
          <w:p>
            <w:pPr>
              <w:spacing w:after="0" w:line="148" w:lineRule="exact"/>
              <w:rPr>
                <w:sz w:val="20"/>
                <w:szCs w:val="20"/>
                <w:color w:val="auto"/>
              </w:rPr>
            </w:pPr>
            <w:r>
              <w:rPr>
                <w:rFonts w:ascii="Arial" w:cs="Arial" w:eastAsia="Arial" w:hAnsi="Arial"/>
                <w:sz w:val="13"/>
                <w:szCs w:val="13"/>
                <w:color w:val="auto"/>
              </w:rPr>
              <w:t>2011</w:t>
            </w:r>
          </w:p>
        </w:tc>
        <w:tc>
          <w:tcPr>
            <w:tcW w:w="2080" w:type="dxa"/>
            <w:vAlign w:val="bottom"/>
          </w:tcPr>
          <w:p>
            <w:pPr>
              <w:jc w:val="right"/>
              <w:ind w:right="414"/>
              <w:spacing w:after="0" w:line="148" w:lineRule="exact"/>
              <w:rPr>
                <w:sz w:val="20"/>
                <w:szCs w:val="20"/>
                <w:color w:val="auto"/>
              </w:rPr>
            </w:pPr>
            <w:r>
              <w:rPr>
                <w:rFonts w:ascii="Arial" w:cs="Arial" w:eastAsia="Arial" w:hAnsi="Arial"/>
                <w:sz w:val="13"/>
                <w:szCs w:val="13"/>
                <w:color w:val="auto"/>
              </w:rPr>
              <w:t>69</w:t>
            </w:r>
          </w:p>
        </w:tc>
      </w:tr>
      <w:tr>
        <w:trPr>
          <w:trHeight w:val="147"/>
        </w:trPr>
        <w:tc>
          <w:tcPr>
            <w:tcW w:w="7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2012</w:t>
            </w:r>
          </w:p>
        </w:tc>
        <w:tc>
          <w:tcPr>
            <w:tcW w:w="2080" w:type="dxa"/>
            <w:vAlign w:val="bottom"/>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135</w:t>
            </w:r>
          </w:p>
        </w:tc>
      </w:tr>
      <w:tr>
        <w:trPr>
          <w:trHeight w:val="147"/>
        </w:trPr>
        <w:tc>
          <w:tcPr>
            <w:tcW w:w="7900" w:type="dxa"/>
            <w:vAlign w:val="bottom"/>
          </w:tcPr>
          <w:p>
            <w:pPr>
              <w:spacing w:after="0" w:line="148" w:lineRule="exact"/>
              <w:rPr>
                <w:sz w:val="20"/>
                <w:szCs w:val="20"/>
                <w:color w:val="auto"/>
              </w:rPr>
            </w:pPr>
            <w:r>
              <w:rPr>
                <w:rFonts w:ascii="Arial" w:cs="Arial" w:eastAsia="Arial" w:hAnsi="Arial"/>
                <w:sz w:val="13"/>
                <w:szCs w:val="13"/>
                <w:color w:val="auto"/>
              </w:rPr>
              <w:t>2013</w:t>
            </w:r>
          </w:p>
        </w:tc>
        <w:tc>
          <w:tcPr>
            <w:tcW w:w="2080" w:type="dxa"/>
            <w:vAlign w:val="bottom"/>
          </w:tcPr>
          <w:p>
            <w:pPr>
              <w:jc w:val="right"/>
              <w:ind w:right="414"/>
              <w:spacing w:after="0" w:line="148" w:lineRule="exact"/>
              <w:rPr>
                <w:sz w:val="20"/>
                <w:szCs w:val="20"/>
                <w:color w:val="auto"/>
              </w:rPr>
            </w:pPr>
            <w:r>
              <w:rPr>
                <w:rFonts w:ascii="Arial" w:cs="Arial" w:eastAsia="Arial" w:hAnsi="Arial"/>
                <w:sz w:val="13"/>
                <w:szCs w:val="13"/>
                <w:color w:val="auto"/>
              </w:rPr>
              <w:t>—</w:t>
            </w:r>
          </w:p>
        </w:tc>
      </w:tr>
      <w:tr>
        <w:trPr>
          <w:trHeight w:val="147"/>
        </w:trPr>
        <w:tc>
          <w:tcPr>
            <w:tcW w:w="7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2080" w:type="dxa"/>
            <w:vAlign w:val="bottom"/>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279</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2015 - 2019</w:t>
            </w:r>
          </w:p>
        </w:tc>
        <w:tc>
          <w:tcPr>
            <w:tcW w:w="2080" w:type="dxa"/>
            <w:vAlign w:val="bottom"/>
          </w:tcPr>
          <w:p>
            <w:pPr>
              <w:jc w:val="right"/>
              <w:ind w:right="414"/>
              <w:spacing w:after="0"/>
              <w:rPr>
                <w:sz w:val="20"/>
                <w:szCs w:val="20"/>
                <w:color w:val="auto"/>
              </w:rPr>
            </w:pPr>
            <w:r>
              <w:rPr>
                <w:rFonts w:ascii="Arial" w:cs="Arial" w:eastAsia="Arial" w:hAnsi="Arial"/>
                <w:sz w:val="13"/>
                <w:szCs w:val="13"/>
                <w:color w:val="auto"/>
              </w:rPr>
              <w:t>8,332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-598170</wp:posOffset>
            </wp:positionV>
            <wp:extent cx="1270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59"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37" w:lineRule="exact"/>
        <w:rPr>
          <w:sz w:val="20"/>
          <w:szCs w:val="20"/>
          <w:color w:val="auto"/>
        </w:rPr>
      </w:pPr>
    </w:p>
    <w:p>
      <w:pPr>
        <w:ind w:left="680" w:right="6960" w:firstLine="7"/>
        <w:spacing w:after="0" w:line="391" w:lineRule="auto"/>
        <w:tabs>
          <w:tab w:leader="none" w:pos="1181" w:val="left"/>
        </w:tabs>
        <w:numPr>
          <w:ilvl w:val="0"/>
          <w:numId w:val="1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Redeemable Convertible Preferred Units </w:t>
      </w:r>
      <w:r>
        <w:rPr>
          <w:rFonts w:ascii="Arial" w:cs="Arial" w:eastAsia="Arial" w:hAnsi="Arial"/>
          <w:sz w:val="13"/>
          <w:szCs w:val="13"/>
          <w:b w:val="1"/>
          <w:bCs w:val="1"/>
          <w:i w:val="1"/>
          <w:iCs w:val="1"/>
          <w:color w:val="auto"/>
        </w:rPr>
        <w:t>Predecessor Company</w:t>
      </w:r>
    </w:p>
    <w:p>
      <w:pPr>
        <w:spacing w:after="0" w:line="1"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The Company issued 49,727 units as Series A redeemable convertible preferred units (the “Series A units”) and 447,420 units as Series B redeemable convertible preferred units (the “Series B units”) on September 23, 2004 and an additional 364 units of Series A units and 3,272 units of Series B units on November 30, 2004, respectively. Each Series A and Series B unit had a stated value of $1,000 per unit. As the Series A and B units were redeemable at the option of the holders,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6" w:name="page237"/>
    <w:bookmarkEnd w:id="2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200"/>
        <w:spacing w:after="0" w:line="248" w:lineRule="auto"/>
        <w:rPr>
          <w:sz w:val="20"/>
          <w:szCs w:val="20"/>
          <w:color w:val="auto"/>
        </w:rPr>
      </w:pPr>
      <w:r>
        <w:rPr>
          <w:rFonts w:ascii="Arial" w:cs="Arial" w:eastAsia="Arial" w:hAnsi="Arial"/>
          <w:sz w:val="13"/>
          <w:szCs w:val="13"/>
          <w:color w:val="auto"/>
        </w:rPr>
        <w:t>the Company classified the Series A units and B units outside of permanent equity. All Series A units were redeemed by cash on December 27, 2004 and a portion of the Series B units were redeemed by cash on December 15, 2004 and December 27, 2004.</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Series B units for each period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3"/>
                <w:szCs w:val="13"/>
                <w:b w:val="1"/>
                <w:bCs w:val="1"/>
                <w:color w:val="auto"/>
                <w:w w:val="99"/>
              </w:rPr>
              <w:t>Predecessor</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1"/>
        </w:trPr>
        <w:tc>
          <w:tcPr>
            <w:tcW w:w="3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4"/>
          </w:tcPr>
          <w:p>
            <w:pPr>
              <w:jc w:val="center"/>
              <w:ind w:right="560"/>
              <w:spacing w:after="0" w:line="121" w:lineRule="exact"/>
              <w:rPr>
                <w:sz w:val="20"/>
                <w:szCs w:val="20"/>
                <w:color w:val="auto"/>
              </w:rPr>
            </w:pPr>
            <w:r>
              <w:rPr>
                <w:rFonts w:ascii="Arial" w:cs="Arial" w:eastAsia="Arial" w:hAnsi="Arial"/>
                <w:sz w:val="13"/>
                <w:szCs w:val="13"/>
                <w:b w:val="1"/>
                <w:bCs w:val="1"/>
                <w:color w:val="auto"/>
                <w:w w:val="99"/>
              </w:rPr>
              <w:t>Ten-Month</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4"/>
          </w:tcPr>
          <w:p>
            <w:pPr>
              <w:jc w:val="center"/>
              <w:ind w:right="580"/>
              <w:spacing w:after="0" w:line="121"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5"/>
          </w:tcPr>
          <w:p>
            <w:pPr>
              <w:jc w:val="center"/>
              <w:ind w:right="560"/>
              <w:spacing w:after="0" w:line="121"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4"/>
          </w:tcPr>
          <w:p>
            <w:pPr>
              <w:jc w:val="center"/>
              <w:ind w:right="560"/>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4"/>
          </w:tcPr>
          <w:p>
            <w:pPr>
              <w:jc w:val="center"/>
              <w:ind w:right="560"/>
              <w:spacing w:after="0" w:line="14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5"/>
          </w:tcPr>
          <w:p>
            <w:pPr>
              <w:jc w:val="center"/>
              <w:ind w:right="560"/>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4"/>
        </w:trPr>
        <w:tc>
          <w:tcPr>
            <w:tcW w:w="3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rPr>
              <w:t>October 25, 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3"/>
                <w:szCs w:val="13"/>
                <w:b w:val="1"/>
                <w:bCs w:val="1"/>
                <w:color w:val="auto"/>
                <w:w w:val="96"/>
              </w:rPr>
              <w:t>2007</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7"/>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54"/>
              <w:spacing w:after="0" w:line="148" w:lineRule="exact"/>
              <w:rPr>
                <w:sz w:val="20"/>
                <w:szCs w:val="20"/>
                <w:color w:val="auto"/>
              </w:rPr>
            </w:pPr>
            <w:r>
              <w:rPr>
                <w:rFonts w:ascii="Arial" w:cs="Arial" w:eastAsia="Arial" w:hAnsi="Arial"/>
                <w:sz w:val="13"/>
                <w:szCs w:val="13"/>
                <w:b w:val="1"/>
                <w:bCs w:val="1"/>
                <w:color w:val="auto"/>
              </w:rPr>
              <w:t>Units</w:t>
            </w:r>
          </w:p>
        </w:tc>
        <w:tc>
          <w:tcPr>
            <w:tcW w:w="300" w:type="dxa"/>
            <w:vAlign w:val="bottom"/>
          </w:tcPr>
          <w:p>
            <w:pPr>
              <w:spacing w:after="0"/>
              <w:rPr>
                <w:sz w:val="12"/>
                <w:szCs w:val="12"/>
                <w:color w:val="auto"/>
              </w:rPr>
            </w:pPr>
          </w:p>
        </w:tc>
        <w:tc>
          <w:tcPr>
            <w:tcW w:w="7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200"/>
              <w:spacing w:after="0" w:line="148" w:lineRule="exact"/>
              <w:rPr>
                <w:sz w:val="20"/>
                <w:szCs w:val="20"/>
                <w:color w:val="auto"/>
              </w:rPr>
            </w:pPr>
            <w:r>
              <w:rPr>
                <w:rFonts w:ascii="Arial" w:cs="Arial" w:eastAsia="Arial" w:hAnsi="Arial"/>
                <w:sz w:val="13"/>
                <w:szCs w:val="13"/>
                <w:b w:val="1"/>
                <w:bCs w:val="1"/>
                <w:color w:val="auto"/>
              </w:rPr>
              <w:t>Units</w:t>
            </w:r>
          </w:p>
        </w:tc>
        <w:tc>
          <w:tcPr>
            <w:tcW w:w="420" w:type="dxa"/>
            <w:vAlign w:val="bottom"/>
          </w:tcPr>
          <w:p>
            <w:pPr>
              <w:spacing w:after="0"/>
              <w:rPr>
                <w:sz w:val="12"/>
                <w:szCs w:val="12"/>
                <w:color w:val="auto"/>
              </w:rPr>
            </w:pP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Units</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3"/>
          </w:tcPr>
          <w:p>
            <w:pPr>
              <w:jc w:val="right"/>
              <w:ind w:right="300"/>
              <w:spacing w:after="0" w:line="148" w:lineRule="exact"/>
              <w:rPr>
                <w:sz w:val="20"/>
                <w:szCs w:val="20"/>
                <w:color w:val="auto"/>
              </w:rPr>
            </w:pPr>
            <w:r>
              <w:rPr>
                <w:rFonts w:ascii="Arial" w:cs="Arial" w:eastAsia="Arial" w:hAnsi="Arial"/>
                <w:sz w:val="13"/>
                <w:szCs w:val="13"/>
                <w:b w:val="1"/>
                <w:bCs w:val="1"/>
                <w:color w:val="auto"/>
              </w:rPr>
              <w:t>Amount</w:t>
            </w:r>
          </w:p>
        </w:tc>
      </w:tr>
      <w:tr>
        <w:trPr>
          <w:trHeight w:val="29"/>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47"/>
        </w:trPr>
        <w:tc>
          <w:tcPr>
            <w:tcW w:w="37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Series B Units</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7"/>
        </w:trPr>
        <w:tc>
          <w:tcPr>
            <w:tcW w:w="3740" w:type="dxa"/>
            <w:vAlign w:val="bottom"/>
          </w:tcPr>
          <w:p>
            <w:pPr>
              <w:ind w:left="140"/>
              <w:spacing w:after="0" w:line="148" w:lineRule="exact"/>
              <w:rPr>
                <w:sz w:val="20"/>
                <w:szCs w:val="20"/>
                <w:color w:val="auto"/>
              </w:rPr>
            </w:pPr>
            <w:r>
              <w:rPr>
                <w:rFonts w:ascii="Arial" w:cs="Arial" w:eastAsia="Arial" w:hAnsi="Arial"/>
                <w:sz w:val="13"/>
                <w:szCs w:val="13"/>
                <w:color w:val="auto"/>
              </w:rPr>
              <w:t>Beginning of the period</w:t>
            </w: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$ 142,669</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20"/>
              <w:spacing w:after="0" w:line="148" w:lineRule="exact"/>
              <w:rPr>
                <w:sz w:val="20"/>
                <w:szCs w:val="20"/>
                <w:color w:val="auto"/>
              </w:rPr>
            </w:pPr>
            <w:r>
              <w:rPr>
                <w:rFonts w:ascii="Arial" w:cs="Arial" w:eastAsia="Arial" w:hAnsi="Arial"/>
                <w:sz w:val="13"/>
                <w:szCs w:val="13"/>
                <w:color w:val="auto"/>
              </w:rPr>
              <w:t>$ 129,405</w:t>
            </w:r>
          </w:p>
        </w:tc>
        <w:tc>
          <w:tcPr>
            <w:tcW w:w="720" w:type="dxa"/>
            <w:vAlign w:val="bottom"/>
            <w:gridSpan w:val="4"/>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140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$ 117,374</w:t>
            </w:r>
          </w:p>
        </w:tc>
      </w:tr>
      <w:tr>
        <w:trPr>
          <w:trHeight w:val="147"/>
        </w:trPr>
        <w:tc>
          <w:tcPr>
            <w:tcW w:w="37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Accrual of preferred dividends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6,317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13,264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400" w:type="dxa"/>
            <w:vAlign w:val="bottom"/>
            <w:gridSpan w:val="5"/>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12,031</w:t>
            </w: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7"/>
        </w:trPr>
        <w:tc>
          <w:tcPr>
            <w:tcW w:w="3740" w:type="dxa"/>
            <w:vAlign w:val="bottom"/>
          </w:tcPr>
          <w:p>
            <w:pPr>
              <w:ind w:left="140"/>
              <w:spacing w:after="0" w:line="148" w:lineRule="exact"/>
              <w:rPr>
                <w:sz w:val="20"/>
                <w:szCs w:val="20"/>
                <w:color w:val="auto"/>
              </w:rPr>
            </w:pPr>
            <w:r>
              <w:rPr>
                <w:rFonts w:ascii="Arial" w:cs="Arial" w:eastAsia="Arial" w:hAnsi="Arial"/>
                <w:sz w:val="13"/>
                <w:szCs w:val="13"/>
                <w:color w:val="auto"/>
              </w:rPr>
              <w:t>End of the period</w:t>
            </w:r>
          </w:p>
        </w:tc>
        <w:tc>
          <w:tcPr>
            <w:tcW w:w="1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w w:val="95"/>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$148,986</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20"/>
              <w:spacing w:after="0" w:line="148" w:lineRule="exact"/>
              <w:rPr>
                <w:sz w:val="20"/>
                <w:szCs w:val="20"/>
                <w:color w:val="auto"/>
              </w:rPr>
            </w:pPr>
            <w:r>
              <w:rPr>
                <w:rFonts w:ascii="Arial" w:cs="Arial" w:eastAsia="Arial" w:hAnsi="Arial"/>
                <w:sz w:val="13"/>
                <w:szCs w:val="13"/>
                <w:color w:val="auto"/>
              </w:rPr>
              <w:t>$142,669</w:t>
            </w:r>
          </w:p>
        </w:tc>
        <w:tc>
          <w:tcPr>
            <w:tcW w:w="720" w:type="dxa"/>
            <w:vAlign w:val="bottom"/>
            <w:gridSpan w:val="4"/>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140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$129,405</w:t>
            </w:r>
          </w:p>
        </w:tc>
      </w:tr>
      <w:tr>
        <w:trPr>
          <w:trHeight w:val="29"/>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-436245</wp:posOffset>
            </wp:positionV>
            <wp:extent cx="635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-436245</wp:posOffset>
            </wp:positionV>
            <wp:extent cx="635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-436245</wp:posOffset>
            </wp:positionV>
            <wp:extent cx="63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-436245</wp:posOffset>
            </wp:positionV>
            <wp:extent cx="63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jc w:val="both"/>
        <w:ind w:left="680" w:right="40" w:firstLine="499"/>
        <w:spacing w:after="0" w:line="242" w:lineRule="auto"/>
        <w:rPr>
          <w:sz w:val="20"/>
          <w:szCs w:val="20"/>
          <w:color w:val="auto"/>
        </w:rPr>
      </w:pPr>
      <w:r>
        <w:rPr>
          <w:rFonts w:ascii="Arial" w:cs="Arial" w:eastAsia="Arial" w:hAnsi="Arial"/>
          <w:sz w:val="13"/>
          <w:szCs w:val="13"/>
          <w:color w:val="auto"/>
        </w:rPr>
        <w:t>The Series B units were issued to the original purchasers of the Company in 2004. Holders of Series B units were entitled to receive cumulative dividends, whether or not earned or declared by the board of directors. The cumulative cash dividends accrued at the rate of 10% per unit per annum on the Series B units’ original issue price, compounded semi-annually.</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which had a carrying amount of $148,986 thousand, were retired without consideration as part of the Company’s reorganization as described in</w:t>
      </w:r>
    </w:p>
    <w:p>
      <w:pPr>
        <w:ind w:left="680"/>
        <w:spacing w:after="0"/>
        <w:rPr>
          <w:sz w:val="20"/>
          <w:szCs w:val="20"/>
          <w:color w:val="auto"/>
        </w:rPr>
      </w:pPr>
      <w:r>
        <w:rPr>
          <w:rFonts w:ascii="Arial" w:cs="Arial" w:eastAsia="Arial" w:hAnsi="Arial"/>
          <w:sz w:val="13"/>
          <w:szCs w:val="13"/>
          <w:color w:val="auto"/>
        </w:rPr>
        <w:t>Note 3.</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Conversion</w:t>
      </w:r>
    </w:p>
    <w:p>
      <w:pPr>
        <w:spacing w:after="0" w:line="100"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The outstanding Series B units were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was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Dividends</w:t>
      </w:r>
    </w:p>
    <w:p>
      <w:pPr>
        <w:spacing w:after="0" w:line="100"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Holders of Series B units were entitled to receive cumulative dividends, whether or not earned or declared by the board of directors. The cumulative cash dividends accrued at the rate of 10% per unit per annum on the Series B units original issue price, compounded semi-annually. Such dividends were payable in semi-annual installments in arrears commencing March 15, 2005.</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Liquidation</w:t>
      </w:r>
    </w:p>
    <w:p>
      <w:pPr>
        <w:spacing w:after="0" w:line="100" w:lineRule="exact"/>
        <w:rPr>
          <w:sz w:val="20"/>
          <w:szCs w:val="20"/>
          <w:color w:val="auto"/>
        </w:rPr>
      </w:pPr>
    </w:p>
    <w:p>
      <w:pPr>
        <w:ind w:left="680" w:right="200" w:firstLine="499"/>
        <w:spacing w:after="0" w:line="239" w:lineRule="auto"/>
        <w:rPr>
          <w:sz w:val="20"/>
          <w:szCs w:val="20"/>
          <w:color w:val="auto"/>
        </w:rPr>
      </w:pPr>
      <w:r>
        <w:rPr>
          <w:rFonts w:ascii="Arial" w:cs="Arial" w:eastAsia="Arial" w:hAnsi="Arial"/>
          <w:sz w:val="13"/>
          <w:szCs w:val="13"/>
          <w:color w:val="auto"/>
        </w:rPr>
        <w:t>In the event of liquidation, the holders of Series B units were entitled to receive after all creditors of the Company have been paid in full but before any amounts were paid to the holders of any units ranking junior to the Series B units with respect to dividends or upon liquidation (including common units), out of the assets of the Company legally available for distribution to its members, whether from capital, surplus or earnings, an amount equal to the Series B units original issue price in cash per unit plus an amount equal to full cumulative dividends accrued and unpaid thereon to the date of final distribution, and no more. If the net assets of the Company were insufficient to pay the holders of all</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7" w:name="page238"/>
    <w:bookmarkEnd w:id="2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60"/>
        <w:spacing w:after="0"/>
        <w:rPr>
          <w:sz w:val="20"/>
          <w:szCs w:val="20"/>
          <w:color w:val="auto"/>
        </w:rPr>
      </w:pPr>
      <w:r>
        <w:rPr>
          <w:rFonts w:ascii="Arial" w:cs="Arial" w:eastAsia="Arial" w:hAnsi="Arial"/>
          <w:sz w:val="13"/>
          <w:szCs w:val="13"/>
          <w:color w:val="auto"/>
        </w:rPr>
        <w:t>outstanding Series B units and of any units ranking on parity with the Series B units, the full amounts to which they respectively were entitled, such assets, or the proceeds thereof, were to be distributed ratably among the holders of the Series B units and any units ranking on parity with the Series B units in accordance with the amounts which would be payable on such distribution if the amount to which the holders of the Series B units and any units ranking on a parity with the Series B units were entitled to be paid in full.</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Voting</w:t>
      </w:r>
    </w:p>
    <w:p>
      <w:pPr>
        <w:spacing w:after="0" w:line="100" w:lineRule="exact"/>
        <w:rPr>
          <w:sz w:val="20"/>
          <w:szCs w:val="20"/>
          <w:color w:val="auto"/>
        </w:rPr>
      </w:pPr>
    </w:p>
    <w:p>
      <w:pPr>
        <w:ind w:left="680" w:right="440" w:firstLine="499"/>
        <w:spacing w:after="0" w:line="248" w:lineRule="auto"/>
        <w:rPr>
          <w:sz w:val="20"/>
          <w:szCs w:val="20"/>
          <w:color w:val="auto"/>
        </w:rPr>
      </w:pPr>
      <w:r>
        <w:rPr>
          <w:rFonts w:ascii="Arial" w:cs="Arial" w:eastAsia="Arial" w:hAnsi="Arial"/>
          <w:sz w:val="13"/>
          <w:szCs w:val="13"/>
          <w:color w:val="auto"/>
        </w:rPr>
        <w:t>As provided in Predecessor Company’s operating agreement, the holders of Series B units were not entitled to vote on any matter submitted to a vote of the Predecessor Company’s members, and were not entitled to notice of any meeting of members.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Redemption</w:t>
      </w:r>
    </w:p>
    <w:p>
      <w:pPr>
        <w:spacing w:after="0" w:line="100" w:lineRule="exact"/>
        <w:rPr>
          <w:sz w:val="20"/>
          <w:szCs w:val="20"/>
          <w:color w:val="auto"/>
        </w:rPr>
      </w:pPr>
    </w:p>
    <w:p>
      <w:pPr>
        <w:jc w:val="both"/>
        <w:ind w:left="680" w:right="80" w:firstLine="499"/>
        <w:spacing w:after="0" w:line="242" w:lineRule="auto"/>
        <w:rPr>
          <w:sz w:val="20"/>
          <w:szCs w:val="20"/>
          <w:color w:val="auto"/>
        </w:rPr>
      </w:pPr>
      <w:r>
        <w:rPr>
          <w:rFonts w:ascii="Arial" w:cs="Arial" w:eastAsia="Arial" w:hAnsi="Arial"/>
          <w:sz w:val="13"/>
          <w:szCs w:val="13"/>
          <w:color w:val="auto"/>
        </w:rPr>
        <w:t>If any outstanding Series B units had remained outstanding on the 14th anniversary after issuance of the Series B units, then the holders of a majority of the then outstanding Series B units had the right to elect to have the Company redeem all outstanding Series B units from funds legally available, at a price per unit equal to $1,000 plus an amount per unit equal to full cumulative dividends accrued and unpaid thereon to the redemption date.</w:t>
      </w:r>
    </w:p>
    <w:p>
      <w:pPr>
        <w:spacing w:after="0" w:line="7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Also the Series B units were redeemable from funds legally available, in whole or in part, at the election of the Company, expressed by resolution of its board of directors, at any time and from time to time at a price of $1,000 per unit plus any cumulative accrued and unpaid dividends.</w:t>
      </w:r>
    </w:p>
    <w:p>
      <w:pPr>
        <w:spacing w:after="0" w:line="137" w:lineRule="exact"/>
        <w:rPr>
          <w:sz w:val="20"/>
          <w:szCs w:val="20"/>
          <w:color w:val="auto"/>
        </w:rPr>
      </w:pPr>
    </w:p>
    <w:p>
      <w:pPr>
        <w:ind w:left="1180" w:hanging="493"/>
        <w:spacing w:after="0"/>
        <w:tabs>
          <w:tab w:leader="none" w:pos="1180" w:val="left"/>
        </w:tabs>
        <w:numPr>
          <w:ilvl w:val="0"/>
          <w:numId w:val="176"/>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connection with the Company’s reorganization, the Company issued warrants to purchase 1,875 thousand of the Company’s new common stock. The warrants were issued in partial satisfaction of the claims of the holders of the Company’s Senior Subordinated Notes and are exercisable at a price of $15.76 per share at any time following the issue date of the warrants, so long as the exercise of the warrants is exempt from the registration requirements of the Securities Act of 1933, as amended. The value of each warrant to purchase one common share is $1.35, which was estimated using the Black-Scholes option pricing model using the following assumptions: fair value of $6.32 per common share, exercise price of $15.76 per share, risk free rate of interest of 2.3%, volatility of 50%, dividend rate of 0% and term of 5 years.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38" w:name="page239"/>
    <w:bookmarkEnd w:id="2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1180" w:hanging="493"/>
        <w:spacing w:after="0"/>
        <w:tabs>
          <w:tab w:leader="none" w:pos="1180" w:val="left"/>
        </w:tabs>
        <w:numPr>
          <w:ilvl w:val="0"/>
          <w:numId w:val="177"/>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2" w:lineRule="exact"/>
        <w:rPr>
          <w:sz w:val="20"/>
          <w:szCs w:val="20"/>
          <w:color w:val="auto"/>
        </w:rPr>
      </w:pPr>
    </w:p>
    <w:p>
      <w:pPr>
        <w:ind w:left="680" w:right="380" w:firstLine="499"/>
        <w:spacing w:after="0" w:line="248" w:lineRule="auto"/>
        <w:rPr>
          <w:sz w:val="20"/>
          <w:szCs w:val="20"/>
          <w:color w:val="auto"/>
        </w:rPr>
      </w:pPr>
      <w:r>
        <w:rPr>
          <w:rFonts w:ascii="Arial" w:cs="Arial" w:eastAsia="Arial" w:hAnsi="Arial"/>
          <w:sz w:val="13"/>
          <w:szCs w:val="13"/>
          <w:color w:val="auto"/>
        </w:rPr>
        <w:t>New common stock par value $0.01 per share, was authorized in the amount of 150,000 thousand shares, of which 38,386 thousand shares were issued and outstanding as of December 31, 2009. Details of new common stock as of December 31, 2009 are as follows: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500" w:type="dxa"/>
            <w:vAlign w:val="bottom"/>
          </w:tcPr>
          <w:p>
            <w:pPr>
              <w:spacing w:after="0"/>
              <w:rPr>
                <w:sz w:val="10"/>
                <w:szCs w:val="10"/>
                <w:color w:val="auto"/>
              </w:rPr>
            </w:pPr>
          </w:p>
        </w:tc>
        <w:tc>
          <w:tcPr>
            <w:tcW w:w="1780" w:type="dxa"/>
            <w:vAlign w:val="bottom"/>
            <w:gridSpan w:val="3"/>
          </w:tcPr>
          <w:p>
            <w:pPr>
              <w:jc w:val="center"/>
              <w:ind w:left="539"/>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6"/>
        </w:trPr>
        <w:tc>
          <w:tcPr>
            <w:tcW w:w="7500" w:type="dxa"/>
            <w:vAlign w:val="bottom"/>
          </w:tcPr>
          <w:p>
            <w:pPr>
              <w:spacing w:after="0"/>
              <w:rPr>
                <w:sz w:val="10"/>
                <w:szCs w:val="10"/>
                <w:color w:val="auto"/>
              </w:rPr>
            </w:pPr>
          </w:p>
        </w:tc>
        <w:tc>
          <w:tcPr>
            <w:tcW w:w="15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2009</w:t>
            </w: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9"/>
        </w:trPr>
        <w:tc>
          <w:tcPr>
            <w:tcW w:w="7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5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Shares</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b w:val="1"/>
                <w:bCs w:val="1"/>
                <w:color w:val="auto"/>
              </w:rPr>
              <w:t>Amount</w:t>
            </w:r>
          </w:p>
        </w:tc>
      </w:tr>
      <w:tr>
        <w:trPr>
          <w:trHeight w:val="20"/>
        </w:trPr>
        <w:tc>
          <w:tcPr>
            <w:tcW w:w="7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500" w:type="dxa"/>
            <w:vAlign w:val="bottom"/>
          </w:tcPr>
          <w:p>
            <w:pPr>
              <w:spacing w:after="0" w:line="148" w:lineRule="exact"/>
              <w:rPr>
                <w:sz w:val="20"/>
                <w:szCs w:val="20"/>
                <w:color w:val="auto"/>
              </w:rPr>
            </w:pPr>
            <w:r>
              <w:rPr>
                <w:rFonts w:ascii="Arial" w:cs="Arial" w:eastAsia="Arial" w:hAnsi="Arial"/>
                <w:sz w:val="13"/>
                <w:szCs w:val="13"/>
                <w:color w:val="auto"/>
              </w:rPr>
              <w:t>Common stock at the beginning of the period</w:t>
            </w:r>
          </w:p>
        </w:tc>
        <w:tc>
          <w:tcPr>
            <w:tcW w:w="1100" w:type="dxa"/>
            <w:vAlign w:val="bottom"/>
          </w:tcPr>
          <w:p>
            <w:pPr>
              <w:jc w:val="right"/>
              <w:spacing w:after="0" w:line="148" w:lineRule="exact"/>
              <w:rPr>
                <w:sz w:val="20"/>
                <w:szCs w:val="20"/>
                <w:color w:val="auto"/>
              </w:rPr>
            </w:pPr>
            <w:r>
              <w:rPr>
                <w:rFonts w:ascii="Arial" w:cs="Arial" w:eastAsia="Arial" w:hAnsi="Arial"/>
                <w:sz w:val="13"/>
                <w:szCs w:val="13"/>
                <w:color w:val="auto"/>
              </w:rPr>
              <w:t>37,500,044</w:t>
            </w:r>
          </w:p>
        </w:tc>
        <w:tc>
          <w:tcPr>
            <w:tcW w:w="4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375</w:t>
            </w:r>
          </w:p>
        </w:tc>
      </w:tr>
      <w:tr>
        <w:trPr>
          <w:trHeight w:val="147"/>
        </w:trPr>
        <w:tc>
          <w:tcPr>
            <w:tcW w:w="7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Restricted stock bonuses issued</w:t>
            </w:r>
          </w:p>
        </w:tc>
        <w:tc>
          <w:tcPr>
            <w:tcW w:w="1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885,500</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w:t>
            </w:r>
          </w:p>
        </w:tc>
      </w:tr>
      <w:tr>
        <w:trPr>
          <w:trHeight w:val="20"/>
        </w:trPr>
        <w:tc>
          <w:tcPr>
            <w:tcW w:w="7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500" w:type="dxa"/>
            <w:vAlign w:val="bottom"/>
          </w:tcPr>
          <w:p>
            <w:pPr>
              <w:spacing w:after="0" w:line="148" w:lineRule="exact"/>
              <w:rPr>
                <w:sz w:val="20"/>
                <w:szCs w:val="20"/>
                <w:color w:val="auto"/>
              </w:rPr>
            </w:pPr>
            <w:r>
              <w:rPr>
                <w:rFonts w:ascii="Arial" w:cs="Arial" w:eastAsia="Arial" w:hAnsi="Arial"/>
                <w:sz w:val="13"/>
                <w:szCs w:val="13"/>
                <w:color w:val="auto"/>
              </w:rPr>
              <w:t>Total common stock issued and outstanding at the end of the period</w:t>
            </w:r>
          </w:p>
        </w:tc>
        <w:tc>
          <w:tcPr>
            <w:tcW w:w="1100" w:type="dxa"/>
            <w:vAlign w:val="bottom"/>
          </w:tcPr>
          <w:p>
            <w:pPr>
              <w:jc w:val="right"/>
              <w:spacing w:after="0" w:line="148" w:lineRule="exact"/>
              <w:rPr>
                <w:sz w:val="20"/>
                <w:szCs w:val="20"/>
                <w:color w:val="auto"/>
              </w:rPr>
            </w:pPr>
            <w:r>
              <w:rPr>
                <w:rFonts w:ascii="Arial" w:cs="Arial" w:eastAsia="Arial" w:hAnsi="Arial"/>
                <w:sz w:val="13"/>
                <w:szCs w:val="13"/>
                <w:color w:val="auto"/>
              </w:rPr>
              <w:t>38,385,544</w:t>
            </w:r>
          </w:p>
        </w:tc>
        <w:tc>
          <w:tcPr>
            <w:tcW w:w="4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384</w:t>
            </w:r>
          </w:p>
        </w:tc>
      </w:tr>
      <w:tr>
        <w:trPr>
          <w:trHeight w:val="29"/>
        </w:trPr>
        <w:tc>
          <w:tcPr>
            <w:tcW w:w="7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680" w:right="8080" w:firstLine="7"/>
        <w:spacing w:after="0" w:line="391" w:lineRule="auto"/>
        <w:tabs>
          <w:tab w:leader="none" w:pos="1181" w:val="left"/>
        </w:tabs>
        <w:numPr>
          <w:ilvl w:val="0"/>
          <w:numId w:val="17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Equity Incentive Plans </w:t>
      </w:r>
      <w:r>
        <w:rPr>
          <w:rFonts w:ascii="Arial" w:cs="Arial" w:eastAsia="Arial" w:hAnsi="Arial"/>
          <w:sz w:val="13"/>
          <w:szCs w:val="13"/>
          <w:b w:val="1"/>
          <w:bCs w:val="1"/>
          <w:i w:val="1"/>
          <w:iCs w:val="1"/>
          <w:color w:val="auto"/>
        </w:rPr>
        <w:t>Successor Company</w:t>
      </w:r>
    </w:p>
    <w:p>
      <w:pPr>
        <w:spacing w:after="0" w:line="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Successor Company adopted its 2009 Common Unit Plan effective December 8, 2009, which is administered by the board of directors. Under the plan, employees, consultants and non-employee directors are eligible for equity incentives, including grants of options to purchase the Company’s common stock or restricted stock bonuses or restricted stock purchase rights and deferred stock awards, subject to terms and conditions determined by the board of directors. The term of options shall not exceed ten years from the date of grant. Restricted stock purchase rights shall be exercisable within a period established by the board of directors, which shall in no event exceed thirty days from the effective date of the grant. As of December 31, 2009, on an as converted basis pursuant to the corporate conversion described in Note 27(C), an aggregate maximum of 3,750 thousand shares were authorized and 944 thousand shares were reserved for all future grants.</w:t>
      </w:r>
    </w:p>
    <w:p>
      <w:pPr>
        <w:spacing w:after="0" w:line="80" w:lineRule="exact"/>
        <w:rPr>
          <w:sz w:val="20"/>
          <w:szCs w:val="20"/>
          <w:color w:val="auto"/>
        </w:rPr>
      </w:pPr>
    </w:p>
    <w:p>
      <w:pPr>
        <w:ind w:left="680" w:right="340" w:firstLine="499"/>
        <w:spacing w:after="0" w:line="248" w:lineRule="auto"/>
        <w:rPr>
          <w:sz w:val="20"/>
          <w:szCs w:val="20"/>
          <w:color w:val="auto"/>
        </w:rPr>
      </w:pPr>
      <w:r>
        <w:rPr>
          <w:rFonts w:ascii="Arial" w:cs="Arial" w:eastAsia="Arial" w:hAnsi="Arial"/>
          <w:sz w:val="13"/>
          <w:szCs w:val="13"/>
          <w:color w:val="auto"/>
        </w:rPr>
        <w:t>Stock options are generally granted with exercise prices of no less than the fair market value of the Company’s common stock on the grant date. The requisite service period, or the period during which a grantee is required to provide service in exchange for option grants, coincides with the vesting period.</w:t>
      </w:r>
    </w:p>
    <w:p>
      <w:pPr>
        <w:spacing w:after="0" w:line="74"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The purchase price for shares issuable under each restricted stock purchase right shall be established by the board of directors in its discretion. No monetary payment (other than applicable tax withholding) shall be required as a condition of receiving shares pursuant to a restricted stock bonus, the consideration for which shall be services actually rendered to a participating company or for its benefit. Stock issued pursuant to any restricted stock award may (but need not) be made subject to vesting conditions based upon the satisfaction of such service requirements, conditions, restrictions or performance criteria as shall be established by the board of directors and set forth in the award agreement evidencing such award. During any period in which stock acquired pursuant to a restricted stock award remain subject to vesting conditions, such stock may not be sold, exchanged, transferred, pledged, assigned or otherwise disposed of other than pursuant to an ownership change event or transfer by will or the laws of descent and distribution. The grantee shall have all of the rights of a stockholder of the Company holding stock, including the right to vote such stock and to receive all dividends and other distributions paid with respect to such stock; provided, however, that if so determined by the board of directors and provided by the award agreement, such dividends and distributions shall be subject to the same vesting conditions as the stock subject to the restricted stock</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9" w:name="page240"/>
    <w:bookmarkEnd w:id="2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820"/>
        <w:spacing w:after="0" w:line="239" w:lineRule="auto"/>
        <w:rPr>
          <w:sz w:val="20"/>
          <w:szCs w:val="20"/>
          <w:color w:val="auto"/>
        </w:rPr>
      </w:pPr>
      <w:r>
        <w:rPr>
          <w:rFonts w:ascii="Arial" w:cs="Arial" w:eastAsia="Arial" w:hAnsi="Arial"/>
          <w:sz w:val="13"/>
          <w:szCs w:val="13"/>
          <w:color w:val="auto"/>
        </w:rPr>
        <w:t>award with respect to which such dividends or distributions were paid. If a grantee’s service terminates for any reason, whether voluntary or involuntary (including the grantee’s death or disability), then (a) the Company (or its assignee) has the option to repurchase for the purchase price paid by the grantee any stock acquired by the grantee pursuant to a restricted stock purchase right which remain subject to vesting conditions as of the date of the grantee’s termination of service and (b) the grantee shall forfeit to the Company any stock acquired by the grantee pursuant to a restricted stock bonus which remain subject to vesting conditions as of the date of the grantee’s termination of service. The Company shall have the right to assign at any time any repurchase right it may have, whether or not such right is then exercisable, to one or more persons as may be selected by the Company.</w:t>
      </w:r>
    </w:p>
    <w:p>
      <w:pPr>
        <w:spacing w:after="0" w:line="80" w:lineRule="exact"/>
        <w:rPr>
          <w:sz w:val="20"/>
          <w:szCs w:val="20"/>
          <w:color w:val="auto"/>
        </w:rPr>
      </w:pPr>
    </w:p>
    <w:p>
      <w:pPr>
        <w:ind w:left="680" w:right="800" w:firstLine="499"/>
        <w:spacing w:after="0" w:line="238" w:lineRule="auto"/>
        <w:rPr>
          <w:sz w:val="20"/>
          <w:szCs w:val="20"/>
          <w:color w:val="auto"/>
        </w:rPr>
      </w:pPr>
      <w:r>
        <w:rPr>
          <w:rFonts w:ascii="Arial" w:cs="Arial" w:eastAsia="Arial" w:hAnsi="Arial"/>
          <w:sz w:val="13"/>
          <w:szCs w:val="13"/>
          <w:color w:val="auto"/>
        </w:rPr>
        <w:t>No monetary payment (other than applicable tax withholding, if any) is required as a condition of receiving a deferred stock award, the consideration for which shall be services actually rendered to a participating company or for its benefit. Deferred stock awards may (but need not) be made subject to vesting conditions based upon the satisfaction of such service requirements, conditions, restrictions or performance criteria as shall be established by the Committee and set forth in the award agreement evidencing such award. Grantees have no voting rights with respect to stock represented by deferred stock awards until the date of the issuance of such stock (as evidenced by the appropriate entry on the books of the Company or of a duly authorized transfer agent of the Company). If a grantee’s service terminates for any reason, whether voluntary or involuntary (including the grantee’s death or disability), then the grantee shall forfeit to the Company any deferred stock pursuant to the award which remain subject to vesting conditions as of the date of the grantee’s termination of service, and, in the event of the grantee’s termination for cause, such deferred stock award to the extent not yet settled. The Company shall issue to a grantee on the date on which deferred stock subject to the grantee’s deferred stock award vest or on such other date determined by the board of directors, in its discretion, and set forth in the award agreement one share (and/or any other new, substituted or additional securities or other property) for each deferred stock then becoming vested or otherwise to be settled on such date, subject to the withholding of applicable taxes, if any.</w:t>
      </w:r>
    </w:p>
    <w:p>
      <w:pPr>
        <w:spacing w:after="0" w:line="80" w:lineRule="exact"/>
        <w:rPr>
          <w:sz w:val="20"/>
          <w:szCs w:val="20"/>
          <w:color w:val="auto"/>
        </w:rPr>
      </w:pPr>
    </w:p>
    <w:p>
      <w:pPr>
        <w:ind w:left="680" w:right="900" w:firstLine="499"/>
        <w:spacing w:after="0" w:line="248" w:lineRule="auto"/>
        <w:rPr>
          <w:sz w:val="20"/>
          <w:szCs w:val="20"/>
          <w:color w:val="auto"/>
        </w:rPr>
      </w:pPr>
      <w:r>
        <w:rPr>
          <w:rFonts w:ascii="Arial" w:cs="Arial" w:eastAsia="Arial" w:hAnsi="Arial"/>
          <w:sz w:val="13"/>
          <w:szCs w:val="13"/>
          <w:color w:val="auto"/>
        </w:rPr>
        <w:t>The following summarizes stock option and restricted stock bonus activities for the two-month period ended December 31, 2009 after giving effect to the corporate conversion described in Note 27(C). At the date of grant, all options had an exercise price above the fair value of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rPr>
              <w:t>Successor Company</w:t>
            </w: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9"/>
        </w:trPr>
        <w:tc>
          <w:tcPr>
            <w:tcW w:w="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Weighted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ind w:left="208"/>
              <w:spacing w:after="0"/>
              <w:rPr>
                <w:sz w:val="20"/>
                <w:szCs w:val="20"/>
                <w:color w:val="auto"/>
              </w:rPr>
            </w:pPr>
            <w:r>
              <w:rPr>
                <w:rFonts w:ascii="Arial" w:cs="Arial" w:eastAsia="Arial" w:hAnsi="Arial"/>
                <w:sz w:val="10"/>
                <w:szCs w:val="10"/>
                <w:b w:val="1"/>
                <w:bCs w:val="1"/>
                <w:color w:val="auto"/>
              </w:rPr>
              <w:t>Weighted</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Aggregate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Average</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ind w:left="208"/>
              <w:spacing w:after="0"/>
              <w:rPr>
                <w:sz w:val="20"/>
                <w:szCs w:val="20"/>
                <w:color w:val="auto"/>
              </w:rPr>
            </w:pPr>
            <w:r>
              <w:rPr>
                <w:rFonts w:ascii="Arial" w:cs="Arial" w:eastAsia="Arial" w:hAnsi="Arial"/>
                <w:sz w:val="10"/>
                <w:szCs w:val="10"/>
                <w:b w:val="1"/>
                <w:bCs w:val="1"/>
                <w:color w:val="auto"/>
              </w:rPr>
              <w:t>Average</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Intrinsic</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Remaining</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rPr>
              <w:t>Number of</w:t>
            </w: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ind w:left="208"/>
              <w:spacing w:after="0"/>
              <w:rPr>
                <w:sz w:val="20"/>
                <w:szCs w:val="20"/>
                <w:color w:val="auto"/>
              </w:rPr>
            </w:pPr>
            <w:r>
              <w:rPr>
                <w:rFonts w:ascii="Arial" w:cs="Arial" w:eastAsia="Arial" w:hAnsi="Arial"/>
                <w:sz w:val="10"/>
                <w:szCs w:val="10"/>
                <w:b w:val="1"/>
                <w:bCs w:val="1"/>
                <w:color w:val="auto"/>
              </w:rPr>
              <w:t>Exercise</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Value of</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Contractual</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rPr>
              <w:t>Restricted Stock</w:t>
            </w:r>
          </w:p>
        </w:tc>
        <w:tc>
          <w:tcPr>
            <w:tcW w:w="400" w:type="dxa"/>
            <w:vAlign w:val="bottom"/>
          </w:tcPr>
          <w:p>
            <w:pPr>
              <w:spacing w:after="0"/>
              <w:rPr>
                <w:sz w:val="10"/>
                <w:szCs w:val="1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Number of</w:t>
            </w:r>
          </w:p>
        </w:tc>
        <w:tc>
          <w:tcPr>
            <w:tcW w:w="280" w:type="dxa"/>
            <w:vAlign w:val="bottom"/>
          </w:tcPr>
          <w:p>
            <w:pPr>
              <w:spacing w:after="0"/>
              <w:rPr>
                <w:sz w:val="10"/>
                <w:szCs w:val="10"/>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Price of Stock</w:t>
            </w: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Stock</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Life of</w:t>
            </w:r>
          </w:p>
        </w:tc>
        <w:tc>
          <w:tcPr>
            <w:tcW w:w="800" w:type="dxa"/>
            <w:vAlign w:val="bottom"/>
          </w:tcPr>
          <w:p>
            <w:pPr>
              <w:spacing w:after="0"/>
              <w:rPr>
                <w:sz w:val="10"/>
                <w:szCs w:val="10"/>
                <w:color w:val="auto"/>
              </w:rPr>
            </w:pPr>
          </w:p>
        </w:tc>
      </w:tr>
      <w:tr>
        <w:trPr>
          <w:trHeight w:val="126"/>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rPr>
              <w:t>Bonuses</w:t>
            </w:r>
          </w:p>
        </w:tc>
        <w:tc>
          <w:tcPr>
            <w:tcW w:w="400" w:type="dxa"/>
            <w:vAlign w:val="bottom"/>
          </w:tcPr>
          <w:p>
            <w:pPr>
              <w:spacing w:after="0"/>
              <w:rPr>
                <w:sz w:val="10"/>
                <w:szCs w:val="1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Options</w:t>
            </w:r>
          </w:p>
        </w:tc>
        <w:tc>
          <w:tcPr>
            <w:tcW w:w="280" w:type="dxa"/>
            <w:vAlign w:val="bottom"/>
          </w:tcPr>
          <w:p>
            <w:pPr>
              <w:spacing w:after="0"/>
              <w:rPr>
                <w:sz w:val="10"/>
                <w:szCs w:val="10"/>
                <w:color w:val="auto"/>
              </w:rPr>
            </w:pPr>
          </w:p>
        </w:tc>
        <w:tc>
          <w:tcPr>
            <w:tcW w:w="740" w:type="dxa"/>
            <w:vAlign w:val="bottom"/>
          </w:tcPr>
          <w:p>
            <w:pPr>
              <w:jc w:val="center"/>
              <w:ind w:left="208"/>
              <w:spacing w:after="0"/>
              <w:rPr>
                <w:sz w:val="20"/>
                <w:szCs w:val="20"/>
                <w:color w:val="auto"/>
              </w:rPr>
            </w:pPr>
            <w:r>
              <w:rPr>
                <w:rFonts w:ascii="Arial" w:cs="Arial" w:eastAsia="Arial" w:hAnsi="Arial"/>
                <w:sz w:val="10"/>
                <w:szCs w:val="10"/>
                <w:b w:val="1"/>
                <w:bCs w:val="1"/>
                <w:color w:val="auto"/>
              </w:rPr>
              <w:t>Options</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Options</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Stock Options</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36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Outstanding at October 25, 2009</w:t>
            </w:r>
          </w:p>
        </w:tc>
        <w:tc>
          <w:tcPr>
            <w:tcW w:w="12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20" w:type="dxa"/>
            <w:vAlign w:val="bottom"/>
          </w:tcPr>
          <w:p>
            <w:pPr>
              <w:spacing w:after="0" w:line="148" w:lineRule="exact"/>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885,500</w:t>
            </w:r>
          </w:p>
        </w:tc>
        <w:tc>
          <w:tcPr>
            <w:tcW w:w="13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1,920,625</w:t>
            </w:r>
          </w:p>
        </w:tc>
        <w:tc>
          <w:tcPr>
            <w:tcW w:w="1020" w:type="dxa"/>
            <w:vAlign w:val="bottom"/>
            <w:gridSpan w:val="2"/>
          </w:tcPr>
          <w:p>
            <w:pPr>
              <w:jc w:val="right"/>
              <w:ind w:right="608"/>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w w:val="94"/>
              </w:rPr>
              <w:t>9.28</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Released from restriction</w:t>
            </w:r>
          </w:p>
        </w:tc>
        <w:tc>
          <w:tcPr>
            <w:tcW w:w="12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301,070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20" w:type="dxa"/>
            <w:vAlign w:val="bottom"/>
          </w:tcPr>
          <w:p>
            <w:pPr>
              <w:spacing w:after="0" w:line="148" w:lineRule="exact"/>
              <w:rPr>
                <w:sz w:val="20"/>
                <w:szCs w:val="20"/>
                <w:color w:val="auto"/>
              </w:rPr>
            </w:pPr>
            <w:r>
              <w:rPr>
                <w:rFonts w:ascii="Arial" w:cs="Arial" w:eastAsia="Arial" w:hAnsi="Arial"/>
                <w:sz w:val="13"/>
                <w:szCs w:val="13"/>
                <w:color w:val="auto"/>
              </w:rPr>
              <w:t>Outstanding at December 31, 2009</w:t>
            </w:r>
          </w:p>
        </w:tc>
        <w:tc>
          <w:tcPr>
            <w:tcW w:w="12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584,430</w:t>
            </w:r>
          </w:p>
        </w:tc>
        <w:tc>
          <w:tcPr>
            <w:tcW w:w="13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1,920,625</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w w:val="94"/>
              </w:rPr>
              <w:t>9.28</w:t>
            </w:r>
          </w:p>
        </w:tc>
        <w:tc>
          <w:tcPr>
            <w:tcW w:w="108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9.9 years</w:t>
            </w:r>
          </w:p>
        </w:tc>
        <w:tc>
          <w:tcPr>
            <w:tcW w:w="80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Vested and expected to vest at December 31, 2009</w:t>
            </w:r>
          </w:p>
        </w:tc>
        <w:tc>
          <w:tcPr>
            <w:tcW w:w="12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1,694,163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line="148" w:lineRule="exact"/>
              <w:rPr>
                <w:sz w:val="20"/>
                <w:szCs w:val="20"/>
                <w:color w:val="auto"/>
              </w:rPr>
            </w:pPr>
            <w:r>
              <w:rPr>
                <w:rFonts w:ascii="Arial" w:cs="Arial" w:eastAsia="Arial" w:hAnsi="Arial"/>
                <w:sz w:val="13"/>
                <w:szCs w:val="13"/>
                <w:color w:val="auto"/>
              </w:rPr>
              <w:t>Exercisable at December 31, 2009</w:t>
            </w: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F-59</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62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320" w:firstLine="499"/>
        <w:spacing w:after="0" w:line="236" w:lineRule="auto"/>
        <w:rPr>
          <w:sz w:val="20"/>
          <w:szCs w:val="20"/>
          <w:color w:val="auto"/>
        </w:rPr>
      </w:pPr>
      <w:r>
        <w:rPr>
          <w:rFonts w:ascii="Arial" w:cs="Arial" w:eastAsia="Arial" w:hAnsi="Arial"/>
          <w:sz w:val="13"/>
          <w:szCs w:val="13"/>
          <w:color w:val="auto"/>
        </w:rPr>
        <w:t>Total compensation expenses recorded for the restricted stock bonuses and stock options pursuant to ASC 718 for the two-month period ended December 31, 2009 was $2,073 thousand and $126 thousand, respectively. As of December 31, 2009, there were $3,243 thousand and $2,811 thousand of total unrecognized compensation cost related to unvested restricted stock bonuses and stock options, which are expected to be recognized over a weighted average future periods of</w:t>
      </w:r>
    </w:p>
    <w:p>
      <w:pPr>
        <w:spacing w:after="0" w:line="1" w:lineRule="exact"/>
        <w:rPr>
          <w:sz w:val="20"/>
          <w:szCs w:val="20"/>
          <w:color w:val="auto"/>
        </w:rPr>
      </w:pPr>
    </w:p>
    <w:p>
      <w:pPr>
        <w:ind w:left="680" w:right="200"/>
        <w:spacing w:after="0" w:line="248" w:lineRule="auto"/>
        <w:rPr>
          <w:sz w:val="20"/>
          <w:szCs w:val="20"/>
          <w:color w:val="auto"/>
        </w:rPr>
      </w:pPr>
      <w:r>
        <w:rPr>
          <w:rFonts w:ascii="Arial" w:cs="Arial" w:eastAsia="Arial" w:hAnsi="Arial"/>
          <w:sz w:val="13"/>
          <w:szCs w:val="13"/>
          <w:color w:val="auto"/>
        </w:rPr>
        <w:t>1.4 years and 1.7 years, respectively. Total fair value of restricted stock bonuses released from restriction for the period from October 25 to December 31, 2009 is $1,903 thousand.</w:t>
      </w:r>
    </w:p>
    <w:p>
      <w:pPr>
        <w:spacing w:after="0" w:line="7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for the two-month period ended December 31, 2009 and assumptions used in the Black-Scholes option-pricing model on a weighted average basis: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jc w:val="center"/>
              <w:ind w:left="25"/>
              <w:spacing w:after="0"/>
              <w:rPr>
                <w:sz w:val="20"/>
                <w:szCs w:val="20"/>
                <w:color w:val="auto"/>
              </w:rPr>
            </w:pPr>
            <w:r>
              <w:rPr>
                <w:rFonts w:ascii="Arial" w:cs="Arial" w:eastAsia="Arial" w:hAnsi="Arial"/>
                <w:sz w:val="10"/>
                <w:szCs w:val="10"/>
                <w:b w:val="1"/>
                <w:bCs w:val="1"/>
                <w:color w:val="auto"/>
              </w:rPr>
              <w:t>Two-Month Period Ended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center"/>
              <w:ind w:left="25"/>
              <w:spacing w:after="0"/>
              <w:rPr>
                <w:sz w:val="20"/>
                <w:szCs w:val="20"/>
                <w:color w:val="auto"/>
              </w:rPr>
            </w:pPr>
            <w:r>
              <w:rPr>
                <w:rFonts w:ascii="Arial" w:cs="Arial" w:eastAsia="Arial" w:hAnsi="Arial"/>
                <w:sz w:val="10"/>
                <w:szCs w:val="10"/>
                <w:b w:val="1"/>
                <w:bCs w:val="1"/>
                <w:color w:val="auto"/>
              </w:rPr>
              <w:t>December 31, 2009</w:t>
            </w:r>
          </w:p>
        </w:tc>
        <w:tc>
          <w:tcPr>
            <w:tcW w:w="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Grant-date fair value of option (in US dollars)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0" w:type="dxa"/>
            <w:vAlign w:val="bottom"/>
          </w:tcPr>
          <w:p>
            <w:pPr>
              <w:spacing w:after="0" w:line="148" w:lineRule="exact"/>
              <w:rPr>
                <w:sz w:val="20"/>
                <w:szCs w:val="20"/>
                <w:color w:val="auto"/>
              </w:rPr>
            </w:pPr>
            <w:r>
              <w:rPr>
                <w:rFonts w:ascii="Arial" w:cs="Arial" w:eastAsia="Arial" w:hAnsi="Arial"/>
                <w:sz w:val="13"/>
                <w:szCs w:val="13"/>
                <w:color w:val="auto"/>
              </w:rPr>
              <w:t>Expected term</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4"/>
          </w:tcPr>
          <w:p>
            <w:pPr>
              <w:jc w:val="right"/>
              <w:ind w:right="120"/>
              <w:spacing w:after="0" w:line="148" w:lineRule="exact"/>
              <w:rPr>
                <w:sz w:val="20"/>
                <w:szCs w:val="20"/>
                <w:color w:val="auto"/>
              </w:rPr>
            </w:pPr>
            <w:r>
              <w:rPr>
                <w:rFonts w:ascii="Arial" w:cs="Arial" w:eastAsia="Arial" w:hAnsi="Arial"/>
                <w:sz w:val="13"/>
                <w:szCs w:val="13"/>
                <w:color w:val="auto"/>
              </w:rPr>
              <w:t>2.9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Risk-free interest rate</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0" w:type="dxa"/>
            <w:vAlign w:val="bottom"/>
          </w:tcPr>
          <w:p>
            <w:pPr>
              <w:spacing w:after="0" w:line="148" w:lineRule="exact"/>
              <w:rPr>
                <w:sz w:val="20"/>
                <w:szCs w:val="20"/>
                <w:color w:val="auto"/>
              </w:rPr>
            </w:pPr>
            <w:r>
              <w:rPr>
                <w:rFonts w:ascii="Arial" w:cs="Arial" w:eastAsia="Arial" w:hAnsi="Arial"/>
                <w:sz w:val="13"/>
                <w:szCs w:val="13"/>
                <w:color w:val="auto"/>
              </w:rPr>
              <w:t>Expected volatility</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Expected dividends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500"/>
              <w:spacing w:after="0"/>
              <w:rPr>
                <w:sz w:val="20"/>
                <w:szCs w:val="20"/>
                <w:color w:val="auto"/>
              </w:rPr>
            </w:pPr>
            <w:r>
              <w:rPr>
                <w:rFonts w:ascii="Arial" w:cs="Arial" w:eastAsia="Arial" w:hAnsi="Arial"/>
                <w:sz w:val="13"/>
                <w:szCs w:val="13"/>
                <w:color w:val="auto"/>
              </w:rPr>
              <w:t>The number and weighted average grant-date fair value of the stock options are as follows:</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Arial" w:cs="Arial" w:eastAsia="Arial" w:hAnsi="Arial"/>
                <w:sz w:val="10"/>
                <w:szCs w:val="10"/>
                <w:b w:val="1"/>
                <w:bCs w:val="1"/>
                <w:color w:val="auto"/>
              </w:rPr>
              <w:t>Two-Month Period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6800" w:type="dxa"/>
            <w:vAlign w:val="bottom"/>
          </w:tcPr>
          <w:p>
            <w:pPr>
              <w:spacing w:after="0"/>
              <w:rPr>
                <w:sz w:val="10"/>
                <w:szCs w:val="10"/>
                <w:color w:val="auto"/>
              </w:rPr>
            </w:pPr>
          </w:p>
        </w:tc>
        <w:tc>
          <w:tcPr>
            <w:tcW w:w="276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0"/>
                <w:szCs w:val="10"/>
                <w:b w:val="1"/>
                <w:bCs w:val="1"/>
                <w:color w:val="auto"/>
              </w:rPr>
              <w:t>Ended December 31, 2009</w:t>
            </w: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jc w:val="center"/>
              <w:ind w:left="265"/>
              <w:spacing w:after="0" w:line="100" w:lineRule="exact"/>
              <w:rPr>
                <w:sz w:val="20"/>
                <w:szCs w:val="20"/>
                <w:color w:val="auto"/>
              </w:rPr>
            </w:pPr>
            <w:r>
              <w:rPr>
                <w:rFonts w:ascii="Arial" w:cs="Arial" w:eastAsia="Arial" w:hAnsi="Arial"/>
                <w:sz w:val="10"/>
                <w:szCs w:val="10"/>
                <w:b w:val="1"/>
                <w:bCs w:val="1"/>
                <w:color w:val="auto"/>
              </w:rPr>
              <w:t>Weighted Average</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800" w:type="dxa"/>
            <w:vAlign w:val="bottom"/>
          </w:tcPr>
          <w:p>
            <w:pPr>
              <w:spacing w:after="0"/>
              <w:rPr>
                <w:sz w:val="10"/>
                <w:szCs w:val="1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Number</w:t>
            </w:r>
          </w:p>
        </w:tc>
        <w:tc>
          <w:tcPr>
            <w:tcW w:w="220" w:type="dxa"/>
            <w:vAlign w:val="bottom"/>
          </w:tcPr>
          <w:p>
            <w:pPr>
              <w:spacing w:after="0"/>
              <w:rPr>
                <w:sz w:val="10"/>
                <w:szCs w:val="10"/>
                <w:color w:val="auto"/>
              </w:rPr>
            </w:pPr>
          </w:p>
        </w:tc>
        <w:tc>
          <w:tcPr>
            <w:tcW w:w="1460" w:type="dxa"/>
            <w:vAlign w:val="bottom"/>
          </w:tcPr>
          <w:p>
            <w:pPr>
              <w:jc w:val="center"/>
              <w:ind w:left="265"/>
              <w:spacing w:after="0"/>
              <w:rPr>
                <w:sz w:val="20"/>
                <w:szCs w:val="20"/>
                <w:color w:val="auto"/>
              </w:rPr>
            </w:pPr>
            <w:r>
              <w:rPr>
                <w:rFonts w:ascii="Arial" w:cs="Arial" w:eastAsia="Arial" w:hAnsi="Arial"/>
                <w:sz w:val="10"/>
                <w:szCs w:val="10"/>
                <w:b w:val="1"/>
                <w:bCs w:val="1"/>
                <w:color w:val="auto"/>
              </w:rPr>
              <w:t>Grant-Date Fair Value</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Unvested options at the beginning of the period</w:t>
            </w: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1325"/>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0" w:type="dxa"/>
            <w:vAlign w:val="bottom"/>
          </w:tcPr>
          <w:p>
            <w:pPr>
              <w:spacing w:after="0" w:line="148" w:lineRule="exact"/>
              <w:rPr>
                <w:sz w:val="20"/>
                <w:szCs w:val="20"/>
                <w:color w:val="auto"/>
              </w:rPr>
            </w:pPr>
            <w:r>
              <w:rPr>
                <w:rFonts w:ascii="Arial" w:cs="Arial" w:eastAsia="Arial" w:hAnsi="Arial"/>
                <w:sz w:val="13"/>
                <w:szCs w:val="13"/>
                <w:color w:val="auto"/>
              </w:rPr>
              <w:t>Granted options during the period</w:t>
            </w: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1,920,625</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Vested options during the period</w:t>
            </w: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Unvested options at the end of the period</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1,920,625</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2" w:lineRule="exact"/>
        <w:rPr>
          <w:sz w:val="20"/>
          <w:szCs w:val="20"/>
          <w:color w:val="auto"/>
        </w:rPr>
      </w:pPr>
    </w:p>
    <w:p>
      <w:pPr>
        <w:ind w:left="680" w:right="220" w:firstLine="499"/>
        <w:spacing w:after="0" w:line="239" w:lineRule="auto"/>
        <w:rPr>
          <w:sz w:val="20"/>
          <w:szCs w:val="20"/>
          <w:color w:val="auto"/>
        </w:rPr>
      </w:pPr>
      <w:r>
        <w:rPr>
          <w:rFonts w:ascii="Arial" w:cs="Arial" w:eastAsia="Arial" w:hAnsi="Arial"/>
          <w:sz w:val="13"/>
          <w:szCs w:val="13"/>
          <w:color w:val="auto"/>
        </w:rPr>
        <w:t>The Predecessor Company adopted two equity incentive plans effective October 6, 2004 and March 21, 2005, respectively, which were administered by the compensation committee designated by the board of directors. Employees, consultants and non-employee directors were eligible for the grant of options to purchase the Company’s common units or restricted common units subject to terms and conditions determined by the compensation committee. The term of options could in no event exceed ten years from the date of grant. As of December 31, 2008, an aggregate maximum of 7,890,864 common units were authorized and reserved for all future and outstanding grants of options.</w:t>
      </w:r>
    </w:p>
    <w:p>
      <w:pPr>
        <w:spacing w:after="0" w:line="81"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Unit options were generally granted with exercise prices of no less than the fair market value of the Company’s common units on the grant date. Generally, options vested and became exercisable in periodic installments, with 25% of the options vesting on the first anniversary of the grant date and 6.25% of options vesting on the last day of each calendar quarter thereafter. In most cases, the requisite service period, or the period during which a grantee was required to provide service in exchange for option grants, coincided with the vesting period.</w:t>
      </w:r>
    </w:p>
    <w:p>
      <w:pPr>
        <w:spacing w:after="0" w:line="80" w:lineRule="exact"/>
        <w:rPr>
          <w:sz w:val="20"/>
          <w:szCs w:val="20"/>
          <w:color w:val="auto"/>
        </w:rPr>
      </w:pPr>
    </w:p>
    <w:p>
      <w:pPr>
        <w:ind w:left="680" w:right="400" w:firstLine="499"/>
        <w:spacing w:after="0" w:line="248" w:lineRule="auto"/>
        <w:rPr>
          <w:sz w:val="20"/>
          <w:szCs w:val="20"/>
          <w:color w:val="auto"/>
        </w:rPr>
      </w:pPr>
      <w:r>
        <w:rPr>
          <w:rFonts w:ascii="Arial" w:cs="Arial" w:eastAsia="Arial" w:hAnsi="Arial"/>
          <w:sz w:val="13"/>
          <w:szCs w:val="13"/>
          <w:color w:val="auto"/>
        </w:rPr>
        <w:t>Upon the termination of a unit option grantee’s employment prior to a public offering, the Company had the right to repurchase all or any of the common units acquired by the grantee upon exercise of any of his or her options for a cash payment equal to the fair market value of such</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41" w:name="page242"/>
    <w:bookmarkEnd w:id="2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common units on the date of repurchase. The Company’s repurchase right would terminate ninety days after the termination date.</w:t>
      </w:r>
    </w:p>
    <w:p>
      <w:pPr>
        <w:spacing w:after="0" w:line="86"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During the three months ended December 31, 2004, restricted units were issued upon the exercise of certain options to purchase restricted common units at the exercise price of $1 per unit. Restricted units issued were subject to restrictions which generally lapsed in installments over a four-year period. Under the terms and conditions of these restricted units, the restricted units were subject to forfeiture upon the termination of the restricted unitholder’s employment with the Company. Upon termination, the Company could repurchase all, or any portion of the restricted common units for either $1 per unit (the exercise price) or the fair market value of the restricted common units at the time of repurchase. If the termination was for cause, as defined in the service agreements entered into with each restricted unitholder, the repurchase price per unit would be $1. However, if the termination was for any other reason, then the Company could repurchase all or any portion of the restricted units for which the restricted period had not lapsed as of the date of termination for a repurchase price per unit of $1, and could repurchase all or any portion of the restricted common units for which the restricted period had lapsed as of the date of termination for a repurchase price per unit equal to fair market value. Termination for “cause” was defined in the service agreements to mean a termination of the restricted unitholder’s employment with the Company because of (a) a failure by the restricted unitholder to substantially perform the restricted unitholder’s customary duties with the Company in the ordinary course (other than in certain specified circumstances); (b) the restricted unitholder’s gross negligence, intentional misconduct or fraud in the performance of his or her employment; (c) the restricted unitholder’s indictment for a felony or to a crime involving fraud or dishonesty; (d) a judicial determination that the restricted unitholder committed fraud or dishonesty against any person or entity; or (e) the restricted unitholder’s material violation of one or more of the Company’s policies applicable to the restricted unitholder’s employment as may be in effect from time to time.</w:t>
      </w:r>
    </w:p>
    <w:p>
      <w:pPr>
        <w:spacing w:after="0" w:line="86" w:lineRule="exact"/>
        <w:rPr>
          <w:sz w:val="20"/>
          <w:szCs w:val="20"/>
          <w:color w:val="auto"/>
        </w:rPr>
      </w:pPr>
    </w:p>
    <w:p>
      <w:pPr>
        <w:ind w:left="680" w:right="460" w:firstLine="499"/>
        <w:spacing w:after="0" w:line="248" w:lineRule="auto"/>
        <w:rPr>
          <w:sz w:val="20"/>
          <w:szCs w:val="20"/>
          <w:color w:val="auto"/>
        </w:rPr>
      </w:pPr>
      <w:r>
        <w:rPr>
          <w:rFonts w:ascii="Arial" w:cs="Arial" w:eastAsia="Arial" w:hAnsi="Arial"/>
          <w:sz w:val="13"/>
          <w:szCs w:val="13"/>
          <w:color w:val="auto"/>
        </w:rPr>
        <w:t>The Predecessor Company adopted fresh-start reporting (see Note 3) as of October 25, 2009, at which time it effectively cancelled all unit options under the Predecessor Company’s equity incentive plans.</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2" w:name="page243"/>
    <w:bookmarkEnd w:id="2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following summarizes unit option and restricted unit activities for the ten-month period ended October 25, 2009 and for the year ended December 31, 2008. At the date of grant, all options had an exercise price at or above the fair value of common units: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Predecessor Company</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15"/>
        </w:trPr>
        <w:tc>
          <w:tcPr>
            <w:tcW w:w="3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Aggregate</w:t>
            </w:r>
          </w:p>
        </w:tc>
        <w:tc>
          <w:tcPr>
            <w:tcW w:w="100" w:type="dxa"/>
            <w:vAlign w:val="bottom"/>
          </w:tcPr>
          <w:p>
            <w:pPr>
              <w:spacing w:after="0"/>
              <w:rPr>
                <w:sz w:val="9"/>
                <w:szCs w:val="9"/>
                <w:color w:val="auto"/>
              </w:rPr>
            </w:pPr>
          </w:p>
        </w:tc>
        <w:tc>
          <w:tcPr>
            <w:tcW w:w="15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Weighted</w:t>
            </w:r>
          </w:p>
        </w:tc>
      </w:tr>
      <w:tr>
        <w:trPr>
          <w:trHeight w:val="138"/>
        </w:trPr>
        <w:tc>
          <w:tcPr>
            <w:tcW w:w="3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Weighted</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Intrinsic</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7"/>
              </w:rPr>
              <w:t>Average</w:t>
            </w:r>
          </w:p>
        </w:tc>
      </w:tr>
      <w:tr>
        <w:trPr>
          <w:trHeight w:val="138"/>
        </w:trPr>
        <w:tc>
          <w:tcPr>
            <w:tcW w:w="3300" w:type="dxa"/>
            <w:vAlign w:val="bottom"/>
          </w:tcPr>
          <w:p>
            <w:pPr>
              <w:spacing w:after="0"/>
              <w:rPr>
                <w:sz w:val="11"/>
                <w:szCs w:val="11"/>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Average Exercise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Value of</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7"/>
              </w:rPr>
              <w:t>Remaining</w:t>
            </w:r>
          </w:p>
        </w:tc>
      </w:tr>
      <w:tr>
        <w:trPr>
          <w:trHeight w:val="138"/>
        </w:trPr>
        <w:tc>
          <w:tcPr>
            <w:tcW w:w="3300" w:type="dxa"/>
            <w:vAlign w:val="bottom"/>
          </w:tcPr>
          <w:p>
            <w:pPr>
              <w:spacing w:after="0"/>
              <w:rPr>
                <w:sz w:val="11"/>
                <w:szCs w:val="11"/>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Restricted</w:t>
            </w:r>
          </w:p>
        </w:tc>
        <w:tc>
          <w:tcPr>
            <w:tcW w:w="140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Number of</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Price of Unit</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4"/>
              </w:rPr>
              <w:t>Unit</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8"/>
              </w:rPr>
              <w:t>Contractual Life</w:t>
            </w:r>
          </w:p>
        </w:tc>
      </w:tr>
      <w:tr>
        <w:trPr>
          <w:trHeight w:val="160"/>
        </w:trPr>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Units</w:t>
            </w:r>
          </w:p>
        </w:tc>
        <w:tc>
          <w:tcPr>
            <w:tcW w:w="4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Options</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Options</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6"/>
              </w:rPr>
              <w:t>of Unit Options</w:t>
            </w:r>
          </w:p>
        </w:tc>
      </w:tr>
      <w:tr>
        <w:trPr>
          <w:trHeight w:val="29"/>
        </w:trPr>
        <w:tc>
          <w:tcPr>
            <w:tcW w:w="3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Outstanding at January 1, 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268,343</w:t>
            </w:r>
          </w:p>
        </w:tc>
        <w:tc>
          <w:tcPr>
            <w:tcW w:w="360" w:type="dxa"/>
            <w:vAlign w:val="bottom"/>
            <w:shd w:val="clear" w:color="auto" w:fill="CCEEFF"/>
          </w:tcPr>
          <w:p>
            <w:pPr>
              <w:spacing w:after="0"/>
              <w:rPr>
                <w:sz w:val="10"/>
                <w:szCs w:val="10"/>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4,916,840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315,000</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5.8</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161,460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0"/>
                <w:szCs w:val="10"/>
                <w:color w:val="auto"/>
              </w:rPr>
              <w:t>$   787</w:t>
            </w: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Forfeited/Repurchased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853,780</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3.1</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Released from restriction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268,343</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0"/>
                <w:szCs w:val="10"/>
                <w:color w:val="auto"/>
              </w:rPr>
              <w:t>—</w:t>
            </w: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32"/>
        </w:trPr>
        <w:tc>
          <w:tcPr>
            <w:tcW w:w="3300" w:type="dxa"/>
            <w:vAlign w:val="bottom"/>
          </w:tcPr>
          <w:p>
            <w:pPr>
              <w:spacing w:after="0"/>
              <w:rPr>
                <w:sz w:val="20"/>
                <w:szCs w:val="20"/>
                <w:color w:val="auto"/>
              </w:rPr>
            </w:pPr>
            <w:r>
              <w:rPr>
                <w:rFonts w:ascii="Arial" w:cs="Arial" w:eastAsia="Arial" w:hAnsi="Arial"/>
                <w:sz w:val="10"/>
                <w:szCs w:val="10"/>
                <w:color w:val="auto"/>
              </w:rPr>
              <w:t>Outstanding at December 31, 2008</w:t>
            </w:r>
          </w:p>
        </w:tc>
        <w:tc>
          <w:tcPr>
            <w:tcW w:w="3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4,216,600</w:t>
            </w:r>
          </w:p>
        </w:tc>
        <w:tc>
          <w:tcPr>
            <w:tcW w:w="440" w:type="dxa"/>
            <w:vAlign w:val="bottom"/>
          </w:tcPr>
          <w:p>
            <w:pPr>
              <w:spacing w:after="0"/>
              <w:rPr>
                <w:sz w:val="11"/>
                <w:szCs w:val="11"/>
                <w:color w:val="auto"/>
              </w:rPr>
            </w:pP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020" w:type="dxa"/>
            <w:vAlign w:val="bottom"/>
          </w:tcPr>
          <w:p>
            <w:pPr>
              <w:jc w:val="right"/>
              <w:ind w:right="305"/>
              <w:spacing w:after="0"/>
              <w:rPr>
                <w:sz w:val="20"/>
                <w:szCs w:val="20"/>
                <w:color w:val="auto"/>
              </w:rPr>
            </w:pPr>
            <w:r>
              <w:rPr>
                <w:rFonts w:ascii="Arial" w:cs="Arial" w:eastAsia="Arial" w:hAnsi="Arial"/>
                <w:sz w:val="10"/>
                <w:szCs w:val="10"/>
                <w:color w:val="auto"/>
              </w:rPr>
              <w:t>15,118</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0"/>
                <w:szCs w:val="10"/>
                <w:color w:val="auto"/>
              </w:rPr>
              <w:t>6.9 years</w:t>
            </w:r>
          </w:p>
        </w:tc>
      </w:tr>
      <w:tr>
        <w:trPr>
          <w:trHeight w:val="123"/>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Vested and expected to vest at December 31, 2008</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3,973,510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0"/>
                <w:szCs w:val="10"/>
                <w:color w:val="auto"/>
              </w:rPr>
              <w:t>14,412</w:t>
            </w: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6.9 years</w:t>
            </w: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Exercisable at December 31, 2008</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3,085,038</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0"/>
                <w:szCs w:val="10"/>
                <w:color w:val="auto"/>
              </w:rPr>
            </w:pPr>
          </w:p>
        </w:tc>
        <w:tc>
          <w:tcPr>
            <w:tcW w:w="1020" w:type="dxa"/>
            <w:vAlign w:val="bottom"/>
          </w:tcPr>
          <w:p>
            <w:pPr>
              <w:jc w:val="right"/>
              <w:ind w:right="305"/>
              <w:spacing w:after="0"/>
              <w:rPr>
                <w:sz w:val="20"/>
                <w:szCs w:val="20"/>
                <w:color w:val="auto"/>
              </w:rPr>
            </w:pPr>
            <w:r>
              <w:rPr>
                <w:rFonts w:ascii="Arial" w:cs="Arial" w:eastAsia="Arial" w:hAnsi="Arial"/>
                <w:sz w:val="10"/>
                <w:szCs w:val="10"/>
                <w:color w:val="auto"/>
              </w:rPr>
              <w:t>11,827</w:t>
            </w:r>
          </w:p>
        </w:tc>
        <w:tc>
          <w:tcPr>
            <w:tcW w:w="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color w:val="auto"/>
              </w:rPr>
              <w:t>6.6 years</w:t>
            </w: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Outstanding at January 1, 2009</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4,216,600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0"/>
                <w:szCs w:val="1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0"/>
                <w:szCs w:val="10"/>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0"/>
                <w:szCs w:val="10"/>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Forfeited / 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391,500</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Released from restriction</w:t>
            </w:r>
          </w:p>
        </w:tc>
        <w:tc>
          <w:tcPr>
            <w:tcW w:w="38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32"/>
        </w:trPr>
        <w:tc>
          <w:tcPr>
            <w:tcW w:w="3300" w:type="dxa"/>
            <w:vAlign w:val="bottom"/>
          </w:tcPr>
          <w:p>
            <w:pPr>
              <w:spacing w:after="0"/>
              <w:rPr>
                <w:sz w:val="20"/>
                <w:szCs w:val="20"/>
                <w:color w:val="auto"/>
              </w:rPr>
            </w:pPr>
            <w:r>
              <w:rPr>
                <w:rFonts w:ascii="Arial" w:cs="Arial" w:eastAsia="Arial" w:hAnsi="Arial"/>
                <w:sz w:val="10"/>
                <w:szCs w:val="10"/>
                <w:color w:val="auto"/>
              </w:rPr>
              <w:t>Outstanding at October 25, 2009 (Predecessor Company)</w:t>
            </w:r>
          </w:p>
        </w:tc>
        <w:tc>
          <w:tcPr>
            <w:tcW w:w="38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3,825,100</w:t>
            </w:r>
          </w:p>
        </w:tc>
        <w:tc>
          <w:tcPr>
            <w:tcW w:w="440" w:type="dxa"/>
            <w:vAlign w:val="bottom"/>
          </w:tcPr>
          <w:p>
            <w:pPr>
              <w:spacing w:after="0"/>
              <w:rPr>
                <w:sz w:val="11"/>
                <w:szCs w:val="11"/>
                <w:color w:val="auto"/>
              </w:rPr>
            </w:pP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020" w:type="dxa"/>
            <w:vAlign w:val="bottom"/>
          </w:tcPr>
          <w:p>
            <w:pPr>
              <w:jc w:val="right"/>
              <w:ind w:right="305"/>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0"/>
                <w:szCs w:val="10"/>
                <w:color w:val="auto"/>
              </w:rPr>
              <w:t>6.1 years</w:t>
            </w:r>
          </w:p>
        </w:tc>
      </w:tr>
      <w:tr>
        <w:trPr>
          <w:trHeight w:val="123"/>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Application of fresh-start reporting (Note 4)</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(3,825,100)</w:t>
            </w: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27"/>
        </w:trPr>
        <w:tc>
          <w:tcPr>
            <w:tcW w:w="3300" w:type="dxa"/>
            <w:vAlign w:val="bottom"/>
          </w:tcPr>
          <w:p>
            <w:pPr>
              <w:spacing w:after="0"/>
              <w:rPr>
                <w:sz w:val="20"/>
                <w:szCs w:val="20"/>
                <w:color w:val="auto"/>
              </w:rPr>
            </w:pPr>
            <w:r>
              <w:rPr>
                <w:rFonts w:ascii="Arial" w:cs="Arial" w:eastAsia="Arial" w:hAnsi="Arial"/>
                <w:sz w:val="10"/>
                <w:szCs w:val="10"/>
                <w:color w:val="auto"/>
              </w:rPr>
              <w:t>Outstanding at October 25, 2009 (Successor Company)</w:t>
            </w:r>
          </w:p>
        </w:tc>
        <w:tc>
          <w:tcPr>
            <w:tcW w:w="38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-1322705</wp:posOffset>
            </wp:positionV>
            <wp:extent cx="635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Total compensation expenses recorded for the restricted units and unit options pursuant to ASC 718 were $0 and $233 thousand for the ten-month period ended October 25, 2009, $16 thousand and $449 thousand for the year ended December 31, 2008 and $328 thousand and $276 thousand for the year ended December 31, 2007, respectively. As of October 25, 2009, total unrecognized compensation cost related to unvested unit options of $166 thousand, which were expected to be recognized over a weighted average future period of 0.7 years, was recognized as reorganization items, net, according to the Company’s reorganization. As of December 31, 2008, there was $ 335 thousand of total unrecognized compensation cost related to unvested unit options, which were expected to be recognized over a weighted average future period of 1.0 years. Total fair value of restricted units released from restriction for the year ended December 31, 2008 was $ 152 thousand. Total fair value of options vested for the ten-month period ended October 25, 2009 and for the year ended December 31, 2008 was $266 thousand and $408 thousand, respectively.</w:t>
      </w:r>
    </w:p>
    <w:p>
      <w:pPr>
        <w:spacing w:after="0" w:line="83"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during the</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49"/>
        </w:trPr>
        <w:tc>
          <w:tcPr>
            <w:tcW w:w="314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4420" w:type="dxa"/>
            <w:vAlign w:val="bottom"/>
            <w:gridSpan w:val="2"/>
          </w:tcPr>
          <w:p>
            <w:pPr>
              <w:jc w:val="center"/>
              <w:ind w:left="594"/>
              <w:spacing w:after="0"/>
              <w:rPr>
                <w:sz w:val="20"/>
                <w:szCs w:val="20"/>
                <w:color w:val="auto"/>
              </w:rPr>
            </w:pPr>
            <w:r>
              <w:rPr>
                <w:rFonts w:ascii="Arial" w:cs="Arial" w:eastAsia="Arial" w:hAnsi="Arial"/>
                <w:sz w:val="13"/>
                <w:szCs w:val="13"/>
                <w:b w:val="1"/>
                <w:bCs w:val="1"/>
                <w:color w:val="auto"/>
              </w:rPr>
              <w:t>MagnaChip Semiconductor Corporation and Subsidiaries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1"/>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20" w:type="dxa"/>
            <w:vAlign w:val="bottom"/>
            <w:gridSpan w:val="2"/>
          </w:tcPr>
          <w:p>
            <w:pPr>
              <w:jc w:val="center"/>
              <w:ind w:left="594"/>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420" w:type="dxa"/>
            <w:vAlign w:val="bottom"/>
            <w:gridSpan w:val="2"/>
          </w:tcPr>
          <w:p>
            <w:pPr>
              <w:jc w:val="center"/>
              <w:ind w:left="594"/>
              <w:spacing w:after="0"/>
              <w:rPr>
                <w:sz w:val="20"/>
                <w:szCs w:val="20"/>
                <w:color w:val="auto"/>
              </w:rPr>
            </w:pPr>
            <w:r>
              <w:rPr>
                <w:rFonts w:ascii="Arial" w:cs="Arial" w:eastAsia="Arial" w:hAnsi="Arial"/>
                <w:sz w:val="13"/>
                <w:szCs w:val="13"/>
                <w:b w:val="1"/>
                <w:bCs w:val="1"/>
                <w:color w:val="auto"/>
              </w:rPr>
              <w:t>(Tabular dollars in thousands, except share/unit data)</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93"/>
        </w:trPr>
        <w:tc>
          <w:tcPr>
            <w:tcW w:w="680" w:type="dxa"/>
            <w:vAlign w:val="bottom"/>
          </w:tcPr>
          <w:p>
            <w:pPr>
              <w:spacing w:after="0"/>
              <w:rPr>
                <w:sz w:val="24"/>
                <w:szCs w:val="24"/>
                <w:color w:val="auto"/>
              </w:rPr>
            </w:pPr>
          </w:p>
        </w:tc>
        <w:tc>
          <w:tcPr>
            <w:tcW w:w="6880" w:type="dxa"/>
            <w:vAlign w:val="bottom"/>
            <w:gridSpan w:val="4"/>
          </w:tcPr>
          <w:p>
            <w:pPr>
              <w:spacing w:after="0"/>
              <w:rPr>
                <w:sz w:val="20"/>
                <w:szCs w:val="20"/>
                <w:color w:val="auto"/>
              </w:rPr>
            </w:pPr>
            <w:r>
              <w:rPr>
                <w:rFonts w:ascii="Arial" w:cs="Arial" w:eastAsia="Arial" w:hAnsi="Arial"/>
                <w:sz w:val="13"/>
                <w:szCs w:val="13"/>
                <w:color w:val="auto"/>
              </w:rPr>
              <w:t>specified periods and assumptions used in the Black-Scholes option-pricing model on a weighted average basis: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Predecessor</w:t>
            </w:r>
          </w:p>
        </w:tc>
        <w:tc>
          <w:tcPr>
            <w:tcW w:w="1220" w:type="dxa"/>
            <w:vAlign w:val="bottom"/>
            <w:tcBorders>
              <w:bottom w:val="single" w:sz="8" w:color="auto"/>
            </w:tcBorders>
          </w:tcPr>
          <w:p>
            <w:pPr>
              <w:spacing w:after="0"/>
              <w:rPr>
                <w:sz w:val="20"/>
                <w:szCs w:val="20"/>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500" w:type="dxa"/>
            <w:vAlign w:val="bottom"/>
            <w:gridSpan w:val="2"/>
          </w:tcPr>
          <w:p>
            <w:pPr>
              <w:jc w:val="center"/>
              <w:ind w:left="314"/>
              <w:spacing w:after="0" w:line="121"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00" w:type="dxa"/>
            <w:vAlign w:val="bottom"/>
            <w:gridSpan w:val="2"/>
          </w:tcPr>
          <w:p>
            <w:pPr>
              <w:jc w:val="center"/>
              <w:ind w:left="31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0" w:type="dxa"/>
            <w:vAlign w:val="bottom"/>
            <w:gridSpan w:val="3"/>
          </w:tcPr>
          <w:p>
            <w:pPr>
              <w:jc w:val="center"/>
              <w:ind w:left="3814"/>
              <w:spacing w:after="0"/>
              <w:rPr>
                <w:sz w:val="20"/>
                <w:szCs w:val="20"/>
                <w:color w:val="auto"/>
              </w:rPr>
            </w:pPr>
            <w:r>
              <w:rPr>
                <w:rFonts w:ascii="Arial" w:cs="Arial" w:eastAsia="Arial" w:hAnsi="Arial"/>
                <w:sz w:val="13"/>
                <w:szCs w:val="13"/>
                <w:b w:val="1"/>
                <w:bCs w:val="1"/>
                <w:color w:val="auto"/>
                <w:w w:val="96"/>
              </w:rPr>
              <w:t>2008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jc w:val="center"/>
              <w:ind w:right="594"/>
              <w:spacing w:after="0"/>
              <w:rPr>
                <w:sz w:val="20"/>
                <w:szCs w:val="20"/>
                <w:color w:val="auto"/>
              </w:rPr>
            </w:pPr>
            <w:r>
              <w:rPr>
                <w:rFonts w:ascii="Arial" w:cs="Arial" w:eastAsia="Arial" w:hAnsi="Arial"/>
                <w:sz w:val="13"/>
                <w:szCs w:val="13"/>
                <w:b w:val="1"/>
                <w:bCs w:val="1"/>
                <w:color w:val="auto"/>
                <w:w w:val="96"/>
              </w:rPr>
              <w:t>2007</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24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Grant-date fair value of option</w:t>
            </w:r>
          </w:p>
        </w:tc>
        <w:tc>
          <w:tcPr>
            <w:tcW w:w="4420" w:type="dxa"/>
            <w:vAlign w:val="bottom"/>
            <w:gridSpan w:val="2"/>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0.87</w:t>
            </w:r>
          </w:p>
        </w:tc>
        <w:tc>
          <w:tcPr>
            <w:tcW w:w="13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0.67</w:t>
            </w:r>
          </w:p>
        </w:tc>
      </w:tr>
      <w:tr>
        <w:trPr>
          <w:trHeight w:val="147"/>
        </w:trPr>
        <w:tc>
          <w:tcPr>
            <w:tcW w:w="680" w:type="dxa"/>
            <w:vAlign w:val="bottom"/>
          </w:tcPr>
          <w:p>
            <w:pPr>
              <w:spacing w:after="0"/>
              <w:rPr>
                <w:sz w:val="12"/>
                <w:szCs w:val="12"/>
                <w:color w:val="auto"/>
              </w:rPr>
            </w:pPr>
          </w:p>
        </w:tc>
        <w:tc>
          <w:tcPr>
            <w:tcW w:w="2460" w:type="dxa"/>
            <w:vAlign w:val="bottom"/>
            <w:gridSpan w:val="2"/>
          </w:tcPr>
          <w:p>
            <w:pPr>
              <w:spacing w:after="0" w:line="148" w:lineRule="exact"/>
              <w:rPr>
                <w:sz w:val="20"/>
                <w:szCs w:val="20"/>
                <w:color w:val="auto"/>
              </w:rPr>
            </w:pPr>
            <w:r>
              <w:rPr>
                <w:rFonts w:ascii="Arial" w:cs="Arial" w:eastAsia="Arial" w:hAnsi="Arial"/>
                <w:sz w:val="13"/>
                <w:szCs w:val="13"/>
                <w:color w:val="auto"/>
              </w:rPr>
              <w:t>Expected term</w:t>
            </w:r>
          </w:p>
        </w:tc>
        <w:tc>
          <w:tcPr>
            <w:tcW w:w="3500" w:type="dxa"/>
            <w:vAlign w:val="bottom"/>
          </w:tcPr>
          <w:p>
            <w:pPr>
              <w:spacing w:after="0"/>
              <w:rPr>
                <w:sz w:val="12"/>
                <w:szCs w:val="12"/>
                <w:color w:val="auto"/>
              </w:rPr>
            </w:pPr>
          </w:p>
        </w:tc>
        <w:tc>
          <w:tcPr>
            <w:tcW w:w="1500" w:type="dxa"/>
            <w:vAlign w:val="bottom"/>
            <w:gridSpan w:val="2"/>
          </w:tcPr>
          <w:p>
            <w:pPr>
              <w:jc w:val="center"/>
              <w:ind w:left="314"/>
              <w:spacing w:after="0" w:line="148" w:lineRule="exact"/>
              <w:rPr>
                <w:sz w:val="20"/>
                <w:szCs w:val="20"/>
                <w:color w:val="auto"/>
              </w:rPr>
            </w:pPr>
            <w:r>
              <w:rPr>
                <w:rFonts w:ascii="Arial" w:cs="Arial" w:eastAsia="Arial" w:hAnsi="Arial"/>
                <w:sz w:val="13"/>
                <w:szCs w:val="13"/>
                <w:color w:val="auto"/>
              </w:rPr>
              <w:t>2.2 Years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center"/>
              <w:ind w:right="574"/>
              <w:spacing w:after="0" w:line="148" w:lineRule="exact"/>
              <w:rPr>
                <w:sz w:val="20"/>
                <w:szCs w:val="20"/>
                <w:color w:val="auto"/>
              </w:rPr>
            </w:pPr>
            <w:r>
              <w:rPr>
                <w:rFonts w:ascii="Arial" w:cs="Arial" w:eastAsia="Arial" w:hAnsi="Arial"/>
                <w:sz w:val="13"/>
                <w:szCs w:val="13"/>
                <w:color w:val="auto"/>
                <w:w w:val="96"/>
              </w:rPr>
              <w:t>2.1 Years</w:t>
            </w:r>
          </w:p>
        </w:tc>
      </w:tr>
      <w:tr>
        <w:trPr>
          <w:trHeight w:val="147"/>
        </w:trPr>
        <w:tc>
          <w:tcPr>
            <w:tcW w:w="680" w:type="dxa"/>
            <w:vAlign w:val="bottom"/>
          </w:tcPr>
          <w:p>
            <w:pPr>
              <w:spacing w:after="0"/>
              <w:rPr>
                <w:sz w:val="12"/>
                <w:szCs w:val="12"/>
                <w:color w:val="auto"/>
              </w:rPr>
            </w:pPr>
          </w:p>
        </w:tc>
        <w:tc>
          <w:tcPr>
            <w:tcW w:w="24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Risk-free interest rate</w:t>
            </w:r>
          </w:p>
        </w:tc>
        <w:tc>
          <w:tcPr>
            <w:tcW w:w="3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rPr>
              <w:t>2.5%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4.4%</w:t>
            </w:r>
          </w:p>
        </w:tc>
      </w:tr>
      <w:tr>
        <w:trPr>
          <w:trHeight w:val="147"/>
        </w:trPr>
        <w:tc>
          <w:tcPr>
            <w:tcW w:w="680" w:type="dxa"/>
            <w:vAlign w:val="bottom"/>
          </w:tcPr>
          <w:p>
            <w:pPr>
              <w:spacing w:after="0"/>
              <w:rPr>
                <w:sz w:val="12"/>
                <w:szCs w:val="12"/>
                <w:color w:val="auto"/>
              </w:rPr>
            </w:pPr>
          </w:p>
        </w:tc>
        <w:tc>
          <w:tcPr>
            <w:tcW w:w="2460" w:type="dxa"/>
            <w:vAlign w:val="bottom"/>
            <w:gridSpan w:val="2"/>
          </w:tcPr>
          <w:p>
            <w:pPr>
              <w:spacing w:after="0" w:line="148" w:lineRule="exact"/>
              <w:rPr>
                <w:sz w:val="20"/>
                <w:szCs w:val="20"/>
                <w:color w:val="auto"/>
              </w:rPr>
            </w:pPr>
            <w:r>
              <w:rPr>
                <w:rFonts w:ascii="Arial" w:cs="Arial" w:eastAsia="Arial" w:hAnsi="Arial"/>
                <w:sz w:val="13"/>
                <w:szCs w:val="13"/>
                <w:color w:val="auto"/>
              </w:rPr>
              <w:t>Expected volatility</w:t>
            </w:r>
          </w:p>
        </w:tc>
        <w:tc>
          <w:tcPr>
            <w:tcW w:w="3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ind w:right="94"/>
              <w:spacing w:after="0" w:line="148" w:lineRule="exact"/>
              <w:rPr>
                <w:sz w:val="20"/>
                <w:szCs w:val="20"/>
                <w:color w:val="auto"/>
              </w:rPr>
            </w:pPr>
            <w:r>
              <w:rPr>
                <w:rFonts w:ascii="Arial" w:cs="Arial" w:eastAsia="Arial" w:hAnsi="Arial"/>
                <w:sz w:val="13"/>
                <w:szCs w:val="13"/>
                <w:color w:val="auto"/>
              </w:rPr>
              <w:t>42.0%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46.6%</w:t>
            </w:r>
          </w:p>
        </w:tc>
      </w:tr>
      <w:tr>
        <w:trPr>
          <w:trHeight w:val="147"/>
        </w:trPr>
        <w:tc>
          <w:tcPr>
            <w:tcW w:w="680" w:type="dxa"/>
            <w:vAlign w:val="bottom"/>
          </w:tcPr>
          <w:p>
            <w:pPr>
              <w:spacing w:after="0"/>
              <w:rPr>
                <w:sz w:val="12"/>
                <w:szCs w:val="12"/>
                <w:color w:val="auto"/>
              </w:rPr>
            </w:pPr>
          </w:p>
        </w:tc>
        <w:tc>
          <w:tcPr>
            <w:tcW w:w="24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Expected dividends</w:t>
            </w:r>
          </w:p>
        </w:tc>
        <w:tc>
          <w:tcPr>
            <w:tcW w:w="3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w:t>
            </w:r>
          </w:p>
        </w:tc>
      </w:tr>
    </w:tbl>
    <w:p>
      <w:pPr>
        <w:spacing w:after="0" w:line="88"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The total cash received from employees as a result of option exercises was $0, $184 thousand and $151 thousand for the ten-month period ended October 25, 2009 and for the years ended December 31, 2008 and 2007, respectively.</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number and weighted average grant-date fair value of the unit options are as follows: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300" w:type="dxa"/>
            <w:vAlign w:val="bottom"/>
            <w:gridSpan w:val="2"/>
          </w:tcPr>
          <w:p>
            <w:pPr>
              <w:jc w:val="center"/>
              <w:ind w:left="165"/>
              <w:spacing w:after="0"/>
              <w:rPr>
                <w:sz w:val="20"/>
                <w:szCs w:val="20"/>
                <w:color w:val="auto"/>
              </w:rPr>
            </w:pPr>
            <w:r>
              <w:rPr>
                <w:rFonts w:ascii="Arial" w:cs="Arial" w:eastAsia="Arial" w:hAnsi="Arial"/>
                <w:sz w:val="12"/>
                <w:szCs w:val="12"/>
                <w:b w:val="1"/>
                <w:bCs w:val="1"/>
                <w:color w:val="auto"/>
                <w:w w:val="97"/>
              </w:rPr>
              <w:t>Ten-Month Period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jc w:val="center"/>
              <w:ind w:right="562"/>
              <w:spacing w:after="0"/>
              <w:rPr>
                <w:sz w:val="20"/>
                <w:szCs w:val="20"/>
                <w:color w:val="auto"/>
              </w:rPr>
            </w:pPr>
            <w:r>
              <w:rPr>
                <w:rFonts w:ascii="Arial" w:cs="Arial" w:eastAsia="Arial" w:hAnsi="Arial"/>
                <w:sz w:val="12"/>
                <w:szCs w:val="12"/>
                <w:b w:val="1"/>
                <w:bCs w:val="1"/>
                <w:color w:val="auto"/>
                <w:w w:val="96"/>
              </w:rPr>
              <w:t>Year 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gridSpan w:val="3"/>
          </w:tcPr>
          <w:p>
            <w:pPr>
              <w:jc w:val="right"/>
              <w:ind w:right="1020"/>
              <w:spacing w:after="0"/>
              <w:rPr>
                <w:sz w:val="20"/>
                <w:szCs w:val="20"/>
                <w:color w:val="auto"/>
              </w:rPr>
            </w:pPr>
            <w:r>
              <w:rPr>
                <w:rFonts w:ascii="Arial" w:cs="Arial" w:eastAsia="Arial" w:hAnsi="Arial"/>
                <w:sz w:val="12"/>
                <w:szCs w:val="12"/>
                <w:b w:val="1"/>
                <w:bCs w:val="1"/>
                <w:color w:val="auto"/>
                <w:w w:val="96"/>
              </w:rPr>
              <w:t>Year Ended</w:t>
            </w:r>
          </w:p>
        </w:tc>
      </w:tr>
      <w:tr>
        <w:trPr>
          <w:trHeight w:val="160"/>
        </w:trPr>
        <w:tc>
          <w:tcPr>
            <w:tcW w:w="2020" w:type="dxa"/>
            <w:vAlign w:val="bottom"/>
          </w:tcPr>
          <w:p>
            <w:pPr>
              <w:spacing w:after="0"/>
              <w:rPr>
                <w:sz w:val="13"/>
                <w:szCs w:val="13"/>
                <w:color w:val="auto"/>
              </w:rPr>
            </w:pPr>
          </w:p>
        </w:tc>
        <w:tc>
          <w:tcPr>
            <w:tcW w:w="2300" w:type="dxa"/>
            <w:vAlign w:val="bottom"/>
            <w:tcBorders>
              <w:bottom w:val="single" w:sz="8" w:color="auto"/>
            </w:tcBorders>
            <w:gridSpan w:val="2"/>
          </w:tcPr>
          <w:p>
            <w:pPr>
              <w:jc w:val="center"/>
              <w:ind w:left="145"/>
              <w:spacing w:after="0"/>
              <w:rPr>
                <w:sz w:val="20"/>
                <w:szCs w:val="20"/>
                <w:color w:val="auto"/>
              </w:rPr>
            </w:pPr>
            <w:r>
              <w:rPr>
                <w:rFonts w:ascii="Arial" w:cs="Arial" w:eastAsia="Arial" w:hAnsi="Arial"/>
                <w:sz w:val="12"/>
                <w:szCs w:val="12"/>
                <w:b w:val="1"/>
                <w:bCs w:val="1"/>
                <w:color w:val="auto"/>
                <w:w w:val="98"/>
              </w:rPr>
              <w:t>Ended October 25, 2009</w:t>
            </w:r>
          </w:p>
        </w:tc>
        <w:tc>
          <w:tcPr>
            <w:tcW w:w="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Borders>
              <w:bottom w:val="single" w:sz="8" w:color="auto"/>
            </w:tcBorders>
            <w:gridSpan w:val="2"/>
          </w:tcPr>
          <w:p>
            <w:pPr>
              <w:jc w:val="center"/>
              <w:ind w:left="186"/>
              <w:spacing w:after="0"/>
              <w:rPr>
                <w:sz w:val="20"/>
                <w:szCs w:val="20"/>
                <w:color w:val="auto"/>
              </w:rPr>
            </w:pPr>
            <w:r>
              <w:rPr>
                <w:rFonts w:ascii="Arial" w:cs="Arial" w:eastAsia="Arial" w:hAnsi="Arial"/>
                <w:sz w:val="12"/>
                <w:szCs w:val="12"/>
                <w:b w:val="1"/>
                <w:bCs w:val="1"/>
                <w:color w:val="auto"/>
                <w:w w:val="98"/>
              </w:rPr>
              <w:t>December 31, 2008</w:t>
            </w:r>
          </w:p>
        </w:tc>
        <w:tc>
          <w:tcPr>
            <w:tcW w:w="2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December 31, 2007</w:t>
            </w:r>
          </w:p>
        </w:tc>
      </w:tr>
      <w:tr>
        <w:trPr>
          <w:trHeight w:val="115"/>
        </w:trPr>
        <w:tc>
          <w:tcPr>
            <w:tcW w:w="2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tcPr>
          <w:p>
            <w:pPr>
              <w:jc w:val="center"/>
              <w:ind w:left="203"/>
              <w:spacing w:after="0" w:line="115" w:lineRule="exact"/>
              <w:rPr>
                <w:sz w:val="20"/>
                <w:szCs w:val="20"/>
                <w:color w:val="auto"/>
              </w:rPr>
            </w:pPr>
            <w:r>
              <w:rPr>
                <w:rFonts w:ascii="Arial" w:cs="Arial" w:eastAsia="Arial" w:hAnsi="Arial"/>
                <w:sz w:val="12"/>
                <w:szCs w:val="12"/>
                <w:b w:val="1"/>
                <w:bCs w:val="1"/>
                <w:color w:val="auto"/>
                <w:w w:val="97"/>
              </w:rPr>
              <w:t>Weighted Average</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jc w:val="center"/>
              <w:ind w:left="182"/>
              <w:spacing w:after="0" w:line="115" w:lineRule="exact"/>
              <w:rPr>
                <w:sz w:val="20"/>
                <w:szCs w:val="20"/>
                <w:color w:val="auto"/>
              </w:rPr>
            </w:pPr>
            <w:r>
              <w:rPr>
                <w:rFonts w:ascii="Arial" w:cs="Arial" w:eastAsia="Arial" w:hAnsi="Arial"/>
                <w:sz w:val="12"/>
                <w:szCs w:val="12"/>
                <w:b w:val="1"/>
                <w:bCs w:val="1"/>
                <w:color w:val="auto"/>
                <w:w w:val="97"/>
              </w:rPr>
              <w:t>Weighted Average</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w w:val="97"/>
              </w:rPr>
              <w:t>Weighted Average</w:t>
            </w:r>
          </w:p>
        </w:tc>
      </w:tr>
      <w:tr>
        <w:trPr>
          <w:trHeight w:val="138"/>
        </w:trPr>
        <w:tc>
          <w:tcPr>
            <w:tcW w:w="2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jc w:val="center"/>
              <w:ind w:left="223"/>
              <w:spacing w:after="0"/>
              <w:rPr>
                <w:sz w:val="20"/>
                <w:szCs w:val="20"/>
                <w:color w:val="auto"/>
              </w:rPr>
            </w:pPr>
            <w:r>
              <w:rPr>
                <w:rFonts w:ascii="Arial" w:cs="Arial" w:eastAsia="Arial" w:hAnsi="Arial"/>
                <w:sz w:val="12"/>
                <w:szCs w:val="12"/>
                <w:b w:val="1"/>
                <w:bCs w:val="1"/>
                <w:color w:val="auto"/>
                <w:w w:val="96"/>
              </w:rPr>
              <w:t>Grant-Date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center"/>
              <w:ind w:left="202"/>
              <w:spacing w:after="0"/>
              <w:rPr>
                <w:sz w:val="20"/>
                <w:szCs w:val="20"/>
                <w:color w:val="auto"/>
              </w:rPr>
            </w:pPr>
            <w:r>
              <w:rPr>
                <w:rFonts w:ascii="Arial" w:cs="Arial" w:eastAsia="Arial" w:hAnsi="Arial"/>
                <w:sz w:val="12"/>
                <w:szCs w:val="12"/>
                <w:b w:val="1"/>
                <w:bCs w:val="1"/>
                <w:color w:val="auto"/>
                <w:w w:val="96"/>
              </w:rPr>
              <w:t>Grant-Date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Grant-Date</w:t>
            </w:r>
          </w:p>
        </w:tc>
      </w:tr>
      <w:tr>
        <w:trPr>
          <w:trHeight w:val="160"/>
        </w:trPr>
        <w:tc>
          <w:tcPr>
            <w:tcW w:w="2020" w:type="dxa"/>
            <w:vAlign w:val="bottom"/>
          </w:tcPr>
          <w:p>
            <w:pPr>
              <w:spacing w:after="0"/>
              <w:rPr>
                <w:sz w:val="13"/>
                <w:szCs w:val="13"/>
                <w:color w:val="auto"/>
              </w:rPr>
            </w:pPr>
          </w:p>
        </w:tc>
        <w:tc>
          <w:tcPr>
            <w:tcW w:w="860" w:type="dxa"/>
            <w:vAlign w:val="bottom"/>
          </w:tcPr>
          <w:p>
            <w:pPr>
              <w:jc w:val="right"/>
              <w:ind w:right="25"/>
              <w:spacing w:after="0"/>
              <w:rPr>
                <w:sz w:val="20"/>
                <w:szCs w:val="20"/>
                <w:color w:val="auto"/>
              </w:rPr>
            </w:pPr>
            <w:r>
              <w:rPr>
                <w:rFonts w:ascii="Arial" w:cs="Arial" w:eastAsia="Arial" w:hAnsi="Arial"/>
                <w:sz w:val="12"/>
                <w:szCs w:val="12"/>
                <w:b w:val="1"/>
                <w:bCs w:val="1"/>
                <w:color w:val="auto"/>
              </w:rPr>
              <w:t>Number</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2"/>
                <w:szCs w:val="12"/>
                <w:b w:val="1"/>
                <w:bCs w:val="1"/>
                <w:color w:val="auto"/>
              </w:rPr>
              <w:t>Number</w:t>
            </w:r>
          </w:p>
        </w:tc>
        <w:tc>
          <w:tcPr>
            <w:tcW w:w="1340" w:type="dxa"/>
            <w:vAlign w:val="bottom"/>
          </w:tcPr>
          <w:p>
            <w:pPr>
              <w:jc w:val="center"/>
              <w:ind w:left="202"/>
              <w:spacing w:after="0"/>
              <w:rPr>
                <w:sz w:val="20"/>
                <w:szCs w:val="20"/>
                <w:color w:val="auto"/>
              </w:rPr>
            </w:pPr>
            <w:r>
              <w:rPr>
                <w:rFonts w:ascii="Arial" w:cs="Arial" w:eastAsia="Arial" w:hAnsi="Arial"/>
                <w:sz w:val="12"/>
                <w:szCs w:val="12"/>
                <w:b w:val="1"/>
                <w:bCs w:val="1"/>
                <w:color w:val="auto"/>
                <w:w w:val="97"/>
              </w:rPr>
              <w:t>Fair Value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47"/>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Fair Value</w:t>
            </w:r>
          </w:p>
        </w:tc>
      </w:tr>
      <w:tr>
        <w:trPr>
          <w:trHeight w:val="29"/>
        </w:trPr>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21"/>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Unvested options at the beginning of the</w:t>
            </w:r>
          </w:p>
        </w:tc>
        <w:tc>
          <w:tcPr>
            <w:tcW w:w="8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4"/>
        </w:trPr>
        <w:tc>
          <w:tcPr>
            <w:tcW w:w="20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period</w:t>
            </w:r>
          </w:p>
        </w:tc>
        <w:tc>
          <w:tcPr>
            <w:tcW w:w="86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rPr>
              <w:t>1,131,563</w:t>
            </w:r>
          </w:p>
        </w:tc>
        <w:tc>
          <w:tcPr>
            <w:tcW w:w="1440" w:type="dxa"/>
            <w:vAlign w:val="bottom"/>
            <w:shd w:val="clear" w:color="auto" w:fill="CCEEFF"/>
          </w:tcPr>
          <w:p>
            <w:pPr>
              <w:jc w:val="right"/>
              <w:ind w:right="1263"/>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0.65</w:t>
            </w:r>
          </w:p>
        </w:tc>
        <w:tc>
          <w:tcPr>
            <w:tcW w:w="880" w:type="dxa"/>
            <w:vAlign w:val="bottom"/>
            <w:shd w:val="clear" w:color="auto" w:fill="CCEEFF"/>
          </w:tcPr>
          <w:p>
            <w:pPr>
              <w:jc w:val="right"/>
              <w:ind w:right="146"/>
              <w:spacing w:after="0"/>
              <w:rPr>
                <w:sz w:val="20"/>
                <w:szCs w:val="20"/>
                <w:color w:val="auto"/>
              </w:rPr>
            </w:pPr>
            <w:r>
              <w:rPr>
                <w:rFonts w:ascii="Arial" w:cs="Arial" w:eastAsia="Arial" w:hAnsi="Arial"/>
                <w:sz w:val="10"/>
                <w:szCs w:val="10"/>
                <w:color w:val="auto"/>
              </w:rPr>
              <w:t>2,374,896</w:t>
            </w:r>
          </w:p>
        </w:tc>
        <w:tc>
          <w:tcPr>
            <w:tcW w:w="1340" w:type="dxa"/>
            <w:vAlign w:val="bottom"/>
            <w:shd w:val="clear" w:color="auto" w:fill="CCEEFF"/>
          </w:tcPr>
          <w:p>
            <w:pPr>
              <w:jc w:val="right"/>
              <w:ind w:right="1222"/>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0.43</w:t>
            </w: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rPr>
              <w:t>3,481,528</w:t>
            </w: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0.29</w:t>
            </w:r>
          </w:p>
        </w:tc>
      </w:tr>
      <w:tr>
        <w:trPr>
          <w:trHeight w:val="118"/>
        </w:trPr>
        <w:tc>
          <w:tcPr>
            <w:tcW w:w="2020" w:type="dxa"/>
            <w:vAlign w:val="bottom"/>
          </w:tcPr>
          <w:p>
            <w:pPr>
              <w:spacing w:after="0"/>
              <w:rPr>
                <w:sz w:val="20"/>
                <w:szCs w:val="20"/>
                <w:color w:val="auto"/>
              </w:rPr>
            </w:pPr>
            <w:r>
              <w:rPr>
                <w:rFonts w:ascii="Arial" w:cs="Arial" w:eastAsia="Arial" w:hAnsi="Arial"/>
                <w:sz w:val="10"/>
                <w:szCs w:val="10"/>
                <w:color w:val="auto"/>
              </w:rPr>
              <w:t>Granted options during the period</w:t>
            </w:r>
          </w:p>
        </w:tc>
        <w:tc>
          <w:tcPr>
            <w:tcW w:w="860" w:type="dxa"/>
            <w:vAlign w:val="bottom"/>
          </w:tcPr>
          <w:p>
            <w:pPr>
              <w:jc w:val="right"/>
              <w:ind w:right="105"/>
              <w:spacing w:after="0"/>
              <w:rPr>
                <w:sz w:val="20"/>
                <w:szCs w:val="20"/>
                <w:color w:val="auto"/>
              </w:rPr>
            </w:pPr>
            <w:r>
              <w:rPr>
                <w:rFonts w:ascii="Arial" w:cs="Arial" w:eastAsia="Arial" w:hAnsi="Arial"/>
                <w:sz w:val="10"/>
                <w:szCs w:val="10"/>
                <w:color w:val="auto"/>
              </w:rPr>
              <w:t>—</w:t>
            </w:r>
          </w:p>
        </w:tc>
        <w:tc>
          <w:tcPr>
            <w:tcW w:w="144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46"/>
              <w:spacing w:after="0"/>
              <w:rPr>
                <w:sz w:val="20"/>
                <w:szCs w:val="20"/>
                <w:color w:val="auto"/>
              </w:rPr>
            </w:pPr>
            <w:r>
              <w:rPr>
                <w:rFonts w:ascii="Arial" w:cs="Arial" w:eastAsia="Arial" w:hAnsi="Arial"/>
                <w:sz w:val="10"/>
                <w:szCs w:val="10"/>
                <w:color w:val="auto"/>
              </w:rPr>
              <w:t>315,000</w:t>
            </w:r>
          </w:p>
        </w:tc>
        <w:tc>
          <w:tcPr>
            <w:tcW w:w="134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0"/>
                <w:szCs w:val="10"/>
                <w:color w:val="auto"/>
              </w:rPr>
              <w:t>0.87</w:t>
            </w:r>
          </w:p>
        </w:tc>
        <w:tc>
          <w:tcPr>
            <w:tcW w:w="880" w:type="dxa"/>
            <w:vAlign w:val="bottom"/>
          </w:tcPr>
          <w:p>
            <w:pPr>
              <w:jc w:val="right"/>
              <w:ind w:right="147"/>
              <w:spacing w:after="0"/>
              <w:rPr>
                <w:sz w:val="20"/>
                <w:szCs w:val="20"/>
                <w:color w:val="auto"/>
              </w:rPr>
            </w:pPr>
            <w:r>
              <w:rPr>
                <w:rFonts w:ascii="Arial" w:cs="Arial" w:eastAsia="Arial" w:hAnsi="Arial"/>
                <w:sz w:val="10"/>
                <w:szCs w:val="10"/>
                <w:color w:val="auto"/>
              </w:rPr>
              <w:t>710,000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0.67</w:t>
            </w:r>
          </w:p>
        </w:tc>
      </w:tr>
      <w:tr>
        <w:trPr>
          <w:trHeight w:val="118"/>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Vested options during the period</w:t>
            </w:r>
          </w:p>
        </w:tc>
        <w:tc>
          <w:tcPr>
            <w:tcW w:w="86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rPr>
              <w:t>520,969</w:t>
            </w:r>
          </w:p>
        </w:tc>
        <w:tc>
          <w:tcPr>
            <w:tcW w:w="14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0.51</w:t>
            </w:r>
          </w:p>
        </w:tc>
        <w:tc>
          <w:tcPr>
            <w:tcW w:w="880" w:type="dxa"/>
            <w:vAlign w:val="bottom"/>
            <w:shd w:val="clear" w:color="auto" w:fill="CCEEFF"/>
          </w:tcPr>
          <w:p>
            <w:pPr>
              <w:jc w:val="right"/>
              <w:ind w:right="146"/>
              <w:spacing w:after="0"/>
              <w:rPr>
                <w:sz w:val="20"/>
                <w:szCs w:val="20"/>
                <w:color w:val="auto"/>
              </w:rPr>
            </w:pPr>
            <w:r>
              <w:rPr>
                <w:rFonts w:ascii="Arial" w:cs="Arial" w:eastAsia="Arial" w:hAnsi="Arial"/>
                <w:sz w:val="10"/>
                <w:szCs w:val="10"/>
                <w:color w:val="auto"/>
              </w:rPr>
              <w:t>1,108,772</w:t>
            </w:r>
          </w:p>
        </w:tc>
        <w:tc>
          <w:tcPr>
            <w:tcW w:w="13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0.31</w:t>
            </w: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rPr>
              <w:t>1,339,570</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0.23</w:t>
            </w:r>
          </w:p>
        </w:tc>
      </w:tr>
      <w:tr>
        <w:trPr>
          <w:trHeight w:val="118"/>
        </w:trPr>
        <w:tc>
          <w:tcPr>
            <w:tcW w:w="2020" w:type="dxa"/>
            <w:vAlign w:val="bottom"/>
          </w:tcPr>
          <w:p>
            <w:pPr>
              <w:spacing w:after="0"/>
              <w:rPr>
                <w:sz w:val="20"/>
                <w:szCs w:val="20"/>
                <w:color w:val="auto"/>
              </w:rPr>
            </w:pPr>
            <w:r>
              <w:rPr>
                <w:rFonts w:ascii="Arial" w:cs="Arial" w:eastAsia="Arial" w:hAnsi="Arial"/>
                <w:sz w:val="10"/>
                <w:szCs w:val="10"/>
                <w:color w:val="auto"/>
              </w:rPr>
              <w:t>Forfeited options during the period</w:t>
            </w:r>
          </w:p>
        </w:tc>
        <w:tc>
          <w:tcPr>
            <w:tcW w:w="860" w:type="dxa"/>
            <w:vAlign w:val="bottom"/>
          </w:tcPr>
          <w:p>
            <w:pPr>
              <w:jc w:val="right"/>
              <w:ind w:right="105"/>
              <w:spacing w:after="0"/>
              <w:rPr>
                <w:sz w:val="20"/>
                <w:szCs w:val="20"/>
                <w:color w:val="auto"/>
              </w:rPr>
            </w:pPr>
            <w:r>
              <w:rPr>
                <w:rFonts w:ascii="Arial" w:cs="Arial" w:eastAsia="Arial" w:hAnsi="Arial"/>
                <w:sz w:val="10"/>
                <w:szCs w:val="10"/>
                <w:color w:val="auto"/>
              </w:rPr>
              <w:t>391,500</w:t>
            </w:r>
          </w:p>
        </w:tc>
        <w:tc>
          <w:tcPr>
            <w:tcW w:w="144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0.17</w:t>
            </w:r>
          </w:p>
        </w:tc>
        <w:tc>
          <w:tcPr>
            <w:tcW w:w="880" w:type="dxa"/>
            <w:vAlign w:val="bottom"/>
          </w:tcPr>
          <w:p>
            <w:pPr>
              <w:jc w:val="right"/>
              <w:ind w:right="146"/>
              <w:spacing w:after="0"/>
              <w:rPr>
                <w:sz w:val="20"/>
                <w:szCs w:val="20"/>
                <w:color w:val="auto"/>
              </w:rPr>
            </w:pPr>
            <w:r>
              <w:rPr>
                <w:rFonts w:ascii="Arial" w:cs="Arial" w:eastAsia="Arial" w:hAnsi="Arial"/>
                <w:sz w:val="10"/>
                <w:szCs w:val="10"/>
                <w:color w:val="auto"/>
              </w:rPr>
              <w:t>853,780</w:t>
            </w:r>
          </w:p>
        </w:tc>
        <w:tc>
          <w:tcPr>
            <w:tcW w:w="134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0"/>
                <w:szCs w:val="10"/>
                <w:color w:val="auto"/>
              </w:rPr>
              <w:t>0.51</w:t>
            </w:r>
          </w:p>
        </w:tc>
        <w:tc>
          <w:tcPr>
            <w:tcW w:w="880" w:type="dxa"/>
            <w:vAlign w:val="bottom"/>
          </w:tcPr>
          <w:p>
            <w:pPr>
              <w:jc w:val="right"/>
              <w:ind w:right="147"/>
              <w:spacing w:after="0"/>
              <w:rPr>
                <w:sz w:val="20"/>
                <w:szCs w:val="20"/>
                <w:color w:val="auto"/>
              </w:rPr>
            </w:pPr>
            <w:r>
              <w:rPr>
                <w:rFonts w:ascii="Arial" w:cs="Arial" w:eastAsia="Arial" w:hAnsi="Arial"/>
                <w:sz w:val="10"/>
                <w:szCs w:val="10"/>
                <w:color w:val="auto"/>
              </w:rPr>
              <w:t>737,750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0.23</w:t>
            </w:r>
          </w:p>
        </w:tc>
      </w:tr>
      <w:tr>
        <w:trPr>
          <w:trHeight w:val="121"/>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Unvested options at the end of the</w:t>
            </w:r>
          </w:p>
        </w:tc>
        <w:tc>
          <w:tcPr>
            <w:tcW w:w="8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4"/>
        </w:trPr>
        <w:tc>
          <w:tcPr>
            <w:tcW w:w="20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period</w:t>
            </w:r>
          </w:p>
        </w:tc>
        <w:tc>
          <w:tcPr>
            <w:tcW w:w="86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rPr>
              <w:t>547,438</w:t>
            </w:r>
          </w:p>
        </w:tc>
        <w:tc>
          <w:tcPr>
            <w:tcW w:w="14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0.88</w:t>
            </w:r>
          </w:p>
        </w:tc>
        <w:tc>
          <w:tcPr>
            <w:tcW w:w="880" w:type="dxa"/>
            <w:vAlign w:val="bottom"/>
            <w:shd w:val="clear" w:color="auto" w:fill="CCEEFF"/>
          </w:tcPr>
          <w:p>
            <w:pPr>
              <w:jc w:val="right"/>
              <w:ind w:right="146"/>
              <w:spacing w:after="0"/>
              <w:rPr>
                <w:sz w:val="20"/>
                <w:szCs w:val="20"/>
                <w:color w:val="auto"/>
              </w:rPr>
            </w:pPr>
            <w:r>
              <w:rPr>
                <w:rFonts w:ascii="Arial" w:cs="Arial" w:eastAsia="Arial" w:hAnsi="Arial"/>
                <w:sz w:val="10"/>
                <w:szCs w:val="10"/>
                <w:color w:val="auto"/>
              </w:rPr>
              <w:t>1,131,563</w:t>
            </w:r>
          </w:p>
        </w:tc>
        <w:tc>
          <w:tcPr>
            <w:tcW w:w="13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0.65</w:t>
            </w: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rPr>
              <w:t>2,374,896</w:t>
            </w:r>
          </w:p>
        </w:tc>
        <w:tc>
          <w:tcPr>
            <w:tcW w:w="160" w:type="dxa"/>
            <w:vAlign w:val="bottom"/>
            <w:shd w:val="clear" w:color="auto" w:fill="CCEEFF"/>
          </w:tcPr>
          <w:p>
            <w:pPr>
              <w:spacing w:after="0"/>
              <w:rPr>
                <w:sz w:val="9"/>
                <w:szCs w:val="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-829310</wp:posOffset>
            </wp:positionV>
            <wp:extent cx="1270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-554990</wp:posOffset>
            </wp:positionV>
            <wp:extent cx="635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-554990</wp:posOffset>
            </wp:positionV>
            <wp:extent cx="635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-554990</wp:posOffset>
            </wp:positionV>
            <wp:extent cx="635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-554990</wp:posOffset>
            </wp:positionV>
            <wp:extent cx="635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0" w:lineRule="exact"/>
        <w:rPr>
          <w:sz w:val="20"/>
          <w:szCs w:val="20"/>
          <w:color w:val="auto"/>
        </w:rPr>
      </w:pPr>
    </w:p>
    <w:p>
      <w:pPr>
        <w:ind w:left="1180" w:hanging="493"/>
        <w:spacing w:after="0"/>
        <w:tabs>
          <w:tab w:leader="none" w:pos="1180" w:val="left"/>
        </w:tabs>
        <w:numPr>
          <w:ilvl w:val="0"/>
          <w:numId w:val="179"/>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As a result, the results of operations of the Imaging Solutions business segment were classified as discontinued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All prior period information has been reclassified to reflect this presentation on the statements of operations.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244" w:name="page245"/>
    <w:bookmarkEnd w:id="2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Predecessor</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15"/>
        </w:trPr>
        <w:tc>
          <w:tcPr>
            <w:tcW w:w="4200" w:type="dxa"/>
            <w:vAlign w:val="bottom"/>
          </w:tcPr>
          <w:p>
            <w:pPr>
              <w:spacing w:after="0"/>
              <w:rPr>
                <w:sz w:val="9"/>
                <w:szCs w:val="9"/>
                <w:color w:val="auto"/>
              </w:rPr>
            </w:pPr>
          </w:p>
        </w:tc>
        <w:tc>
          <w:tcPr>
            <w:tcW w:w="1160" w:type="dxa"/>
            <w:vAlign w:val="bottom"/>
            <w:gridSpan w:val="3"/>
          </w:tcPr>
          <w:p>
            <w:pPr>
              <w:jc w:val="center"/>
              <w:ind w:right="20"/>
              <w:spacing w:after="0" w:line="115" w:lineRule="exact"/>
              <w:rPr>
                <w:sz w:val="20"/>
                <w:szCs w:val="20"/>
                <w:color w:val="auto"/>
              </w:rPr>
            </w:pPr>
            <w:r>
              <w:rPr>
                <w:rFonts w:ascii="Arial" w:cs="Arial" w:eastAsia="Arial" w:hAnsi="Arial"/>
                <w:sz w:val="12"/>
                <w:szCs w:val="12"/>
                <w:b w:val="1"/>
                <w:bCs w:val="1"/>
                <w:color w:val="auto"/>
                <w:w w:val="96"/>
              </w:rPr>
              <w:t>Two-Month</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94"/>
              </w:rPr>
              <w:t>Ten-Month</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38"/>
        </w:trPr>
        <w:tc>
          <w:tcPr>
            <w:tcW w:w="4200" w:type="dxa"/>
            <w:vAlign w:val="bottom"/>
          </w:tcPr>
          <w:p>
            <w:pPr>
              <w:spacing w:after="0"/>
              <w:rPr>
                <w:sz w:val="11"/>
                <w:szCs w:val="11"/>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8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c>
          <w:tcPr>
            <w:tcW w:w="16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r>
      <w:tr>
        <w:trPr>
          <w:trHeight w:val="138"/>
        </w:trPr>
        <w:tc>
          <w:tcPr>
            <w:tcW w:w="4200" w:type="dxa"/>
            <w:vAlign w:val="bottom"/>
          </w:tcPr>
          <w:p>
            <w:pPr>
              <w:spacing w:after="0"/>
              <w:rPr>
                <w:sz w:val="11"/>
                <w:szCs w:val="11"/>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October 25,</w:t>
            </w:r>
          </w:p>
        </w:tc>
        <w:tc>
          <w:tcPr>
            <w:tcW w:w="18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6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December 31,</w:t>
            </w:r>
          </w:p>
        </w:tc>
      </w:tr>
      <w:tr>
        <w:trPr>
          <w:trHeight w:val="150"/>
        </w:trPr>
        <w:tc>
          <w:tcPr>
            <w:tcW w:w="4200" w:type="dxa"/>
            <w:vAlign w:val="bottom"/>
          </w:tcPr>
          <w:p>
            <w:pPr>
              <w:spacing w:after="0"/>
              <w:rPr>
                <w:sz w:val="13"/>
                <w:szCs w:val="13"/>
                <w:color w:val="auto"/>
              </w:rPr>
            </w:pPr>
          </w:p>
        </w:tc>
        <w:tc>
          <w:tcPr>
            <w:tcW w:w="1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97"/>
              </w:rPr>
              <w:t>2009</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2"/>
                <w:szCs w:val="12"/>
                <w:b w:val="1"/>
                <w:bCs w:val="1"/>
                <w:color w:val="auto"/>
                <w:w w:val="97"/>
              </w:rPr>
              <w:t>2009</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2"/>
                <w:szCs w:val="12"/>
                <w:b w:val="1"/>
                <w:bCs w:val="1"/>
                <w:color w:val="auto"/>
                <w:w w:val="97"/>
              </w:rPr>
              <w:t>2008</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2"/>
                <w:szCs w:val="12"/>
                <w:b w:val="1"/>
                <w:bCs w:val="1"/>
                <w:color w:val="auto"/>
                <w:w w:val="97"/>
              </w:rPr>
              <w:t>2007</w:t>
            </w:r>
          </w:p>
        </w:tc>
        <w:tc>
          <w:tcPr>
            <w:tcW w:w="460" w:type="dxa"/>
            <w:vAlign w:val="bottom"/>
            <w:tcBorders>
              <w:bottom w:val="single" w:sz="8" w:color="auto"/>
            </w:tcBorders>
          </w:tcPr>
          <w:p>
            <w:pPr>
              <w:spacing w:after="0"/>
              <w:rPr>
                <w:sz w:val="13"/>
                <w:szCs w:val="13"/>
                <w:color w:val="auto"/>
              </w:rPr>
            </w:pPr>
          </w:p>
        </w:tc>
      </w:tr>
      <w:tr>
        <w:trPr>
          <w:trHeight w:val="137"/>
        </w:trPr>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sales</w:t>
            </w:r>
          </w:p>
        </w:tc>
        <w:tc>
          <w:tcPr>
            <w:tcW w:w="1160" w:type="dxa"/>
            <w:vAlign w:val="bottom"/>
            <w:gridSpan w:val="3"/>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$ 947</w:t>
            </w:r>
          </w:p>
        </w:tc>
        <w:tc>
          <w:tcPr>
            <w:tcW w:w="100" w:type="dxa"/>
            <w:vAlign w:val="bottom"/>
            <w:tcBorders>
              <w:right w:val="single" w:sz="8" w:color="auto"/>
            </w:tcBorders>
            <w:shd w:val="clear" w:color="auto" w:fill="CCEEFF"/>
          </w:tcPr>
          <w:p>
            <w:pPr>
              <w:spacing w:after="0"/>
              <w:rPr>
                <w:sz w:val="11"/>
                <w:szCs w:val="11"/>
                <w:color w:val="auto"/>
              </w:rPr>
            </w:pPr>
          </w:p>
        </w:tc>
        <w:tc>
          <w:tcPr>
            <w:tcW w:w="1380" w:type="dxa"/>
            <w:vAlign w:val="bottom"/>
            <w:gridSpan w:val="4"/>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$ 2,728</w:t>
            </w:r>
          </w:p>
        </w:tc>
        <w:tc>
          <w:tcPr>
            <w:tcW w:w="1580" w:type="dxa"/>
            <w:vAlign w:val="bottom"/>
            <w:gridSpan w:val="4"/>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$ 65,862</w:t>
            </w:r>
          </w:p>
        </w:tc>
        <w:tc>
          <w:tcPr>
            <w:tcW w:w="1560" w:type="dxa"/>
            <w:vAlign w:val="bottom"/>
            <w:gridSpan w:val="4"/>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$ 82,848</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116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369</w:t>
            </w:r>
          </w:p>
        </w:tc>
        <w:tc>
          <w:tcPr>
            <w:tcW w:w="100" w:type="dxa"/>
            <w:vAlign w:val="bottom"/>
            <w:tcBorders>
              <w:right w:val="single" w:sz="8" w:color="auto"/>
            </w:tcBorders>
          </w:tcPr>
          <w:p>
            <w:pPr>
              <w:spacing w:after="0"/>
              <w:rPr>
                <w:sz w:val="12"/>
                <w:szCs w:val="12"/>
                <w:color w:val="auto"/>
              </w:rPr>
            </w:pPr>
          </w:p>
        </w:tc>
        <w:tc>
          <w:tcPr>
            <w:tcW w:w="138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3,617</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81,789</w:t>
            </w:r>
          </w:p>
        </w:tc>
        <w:tc>
          <w:tcPr>
            <w:tcW w:w="156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75,930</w:t>
            </w: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16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68</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(6,355)</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3,491</w:t>
            </w:r>
          </w:p>
        </w:tc>
        <w:tc>
          <w:tcPr>
            <w:tcW w:w="1560" w:type="dxa"/>
            <w:vAlign w:val="bottom"/>
            <w:gridSpan w:val="4"/>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10,280</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460" w:type="dxa"/>
            <w:vAlign w:val="bottom"/>
          </w:tcPr>
          <w:p>
            <w:pPr>
              <w:spacing w:after="0"/>
              <w:rPr>
                <w:sz w:val="12"/>
                <w:szCs w:val="12"/>
                <w:color w:val="auto"/>
              </w:rPr>
            </w:pPr>
          </w:p>
        </w:tc>
        <w:tc>
          <w:tcPr>
            <w:tcW w:w="7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37,506</w:t>
            </w:r>
          </w:p>
        </w:tc>
        <w:tc>
          <w:tcPr>
            <w:tcW w:w="156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48,058</w:t>
            </w: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4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(1,120)</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34,158</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Income tax expenses</w:t>
            </w:r>
          </w:p>
        </w:tc>
        <w:tc>
          <w:tcPr>
            <w:tcW w:w="460" w:type="dxa"/>
            <w:vAlign w:val="bottom"/>
          </w:tcPr>
          <w:p>
            <w:pPr>
              <w:spacing w:after="0"/>
              <w:rPr>
                <w:sz w:val="12"/>
                <w:szCs w:val="12"/>
                <w:color w:val="auto"/>
              </w:rPr>
            </w:pPr>
          </w:p>
        </w:tc>
        <w:tc>
          <w:tcPr>
            <w:tcW w:w="7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373</w:t>
            </w:r>
          </w:p>
        </w:tc>
        <w:tc>
          <w:tcPr>
            <w:tcW w:w="156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304</w:t>
            </w: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16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$510</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$ 6,586</w:t>
            </w:r>
          </w:p>
        </w:tc>
        <w:tc>
          <w:tcPr>
            <w:tcW w:w="1580" w:type="dxa"/>
            <w:vAlign w:val="bottom"/>
            <w:gridSpan w:val="4"/>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$(91,455)</w:t>
            </w:r>
          </w:p>
        </w:tc>
        <w:tc>
          <w:tcPr>
            <w:tcW w:w="156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$(51,724)</w:t>
            </w:r>
          </w:p>
        </w:tc>
      </w:tr>
      <w:tr>
        <w:trPr>
          <w:trHeight w:val="39"/>
        </w:trPr>
        <w:tc>
          <w:tcPr>
            <w:tcW w:w="4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r>
    </w:tbl>
    <w:p>
      <w:pPr>
        <w:spacing w:after="0" w:line="8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prior years the Company had entered into an agreement with a software company to purchase licensed software products (the “Purchase Agreement”), including the licensed CAD software, for the three-year period from January 31, 2008 to January 30, 2011. The licensed CAD software has been used across all lines of the Company’s business for purposes of developing products by the Imaging Solutions business and the Display Solution business and verifying the origin of defects in the manufacturing process of the Semiconductor Manufacturing Services.</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During the third quarter of 2009, due to the discontinuation of its Imaging Solutions business segment and the related declining usage of the licensed CAD software, the Company was able to renegotiate the Purchase Agreement with a software company. Such renegotiation resulted in a reduction of the total fee, which lowered the Company’s future scheduled payments. Therefore, the Company adjusted the previously recorded restructuring charges related to this agreement’s non-refundable future scheduled payments in the amount of $ 1,120 thousand. The Company had considered such payments as a contract termination cost. The adjustment of $1,120 thousand represents the amount by which the non-cancellable future payments that were to be incurred by the Imaging Solutions business segment were reduced as a result of the revised payment terms.</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renewed the Purchase Agreement exclusively for the use of other business segments and not for the use of the Imaging Solutions business segment and the Company has no continuing involvement in the Imaging Solutions business.</w:t>
      </w:r>
    </w:p>
    <w:p>
      <w:pPr>
        <w:spacing w:after="0" w:line="74"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 xml:space="preserve">In connection with the closure of its Imaging Solutions business segment, the Company recorded impairment charges of $26,285 thousand during the third quarter ended September 28, 2008, in accordance with ASC 360. Also, the Company recorded restructuring charges of $7,873 thousand during the fourth quarter ended December 31, 2008,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 Associated with Exit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420”), related to one-time employee termination benefits, costs associated with the closing of the facilities and contract terminations. Actual payments of</w:t>
      </w:r>
      <w:r>
        <w:rPr>
          <w:rFonts w:ascii="Arial" w:cs="Arial" w:eastAsia="Arial" w:hAnsi="Arial"/>
          <w:sz w:val="13"/>
          <w:szCs w:val="13"/>
          <w:i w:val="1"/>
          <w:iCs w:val="1"/>
          <w:color w:val="auto"/>
        </w:rPr>
        <w:t xml:space="preserve"> </w:t>
      </w:r>
      <w:r>
        <w:rPr>
          <w:rFonts w:ascii="Arial" w:cs="Arial" w:eastAsia="Arial" w:hAnsi="Arial"/>
          <w:sz w:val="13"/>
          <w:szCs w:val="13"/>
          <w:color w:val="auto"/>
        </w:rPr>
        <w:t>$4,989 thousand were charged against the restructuring accruals and the remaining accrual balance as of December 31, 2008 was $2,584 thousand.</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5" w:name="page246"/>
    <w:bookmarkEnd w:id="2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680" w:right="6920" w:firstLine="7"/>
        <w:spacing w:after="0" w:line="380" w:lineRule="auto"/>
        <w:tabs>
          <w:tab w:leader="none" w:pos="1181" w:val="left"/>
        </w:tabs>
        <w:numPr>
          <w:ilvl w:val="0"/>
          <w:numId w:val="1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Predecessor Company</w:t>
      </w:r>
    </w:p>
    <w:p>
      <w:pPr>
        <w:ind w:left="680"/>
        <w:spacing w:after="0"/>
        <w:rPr>
          <w:rFonts w:ascii="Arial" w:cs="Arial" w:eastAsia="Arial" w:hAnsi="Arial"/>
          <w:sz w:val="13"/>
          <w:szCs w:val="13"/>
          <w:b w:val="1"/>
          <w:bCs w:val="1"/>
          <w:color w:val="auto"/>
        </w:rPr>
      </w:pPr>
      <w:r>
        <w:rPr>
          <w:rFonts w:ascii="Arial" w:cs="Arial" w:eastAsia="Arial" w:hAnsi="Arial"/>
          <w:sz w:val="13"/>
          <w:szCs w:val="13"/>
          <w:i w:val="1"/>
          <w:iCs w:val="1"/>
          <w:color w:val="auto"/>
        </w:rPr>
        <w:t>2009 Restructuring and Impairment Charges</w:t>
      </w:r>
    </w:p>
    <w:p>
      <w:pPr>
        <w:spacing w:after="0" w:line="10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March 31, 2009, the Company announced the closure of the Tokyo office of its subsidiary, MagnaChip Semiconductor Inc. (Japan). In connection with this closure, the Company recognized $439 thousand of restructuring charges, which consisted of one-time termination benefits and other related costs under ASC 420 for the ten-month period ended October 25, 2009. Actual payments of $439 thousand were charged against the restructuring accruals and there were no remaining restructuring accruals as of December 31, 2009.</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2008 Restructuring and Impairment Charges</w:t>
      </w:r>
    </w:p>
    <w:p>
      <w:pPr>
        <w:spacing w:after="0" w:line="10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During the three months ended July 1, 2007, the Company recognized $1,978 thousand of restructuring accruals under ASC 420. The restructuring charges were related to the closure of the Company’s five-inch wafer fabrication facilities located in Gumi and those charges consisted of one-time termination benefits and other associated costs. Up to the first quarter of 2008, actual payments of $1,103 were charged against the restructuring accruals and the Company believes the restructuring activities were substantially completed as of March 30, 2008. Accordingly, the Company reversed $875 thousand of unused restructuring accruals.</w:t>
      </w:r>
    </w:p>
    <w:p>
      <w:pPr>
        <w:spacing w:after="0" w:line="80"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As of December 31, 2008, the Company performed an additional goodwill impairment test triggered by the significant adverse change in the revenue of the MDS reporting unit, and determined that total amount of goodwill was impaired. Revenue of the MDS reporting unit was expected to decrease due to the deterioration of the Company’s financial credit status and the recession in the semiconductor industry resulting from the world-wide economic crisis beginning in the third quarter of 2008. Accordingly, an impairment charge of $14,245 thousand was recorded for the year ended December 31, 2008.</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2007 Restructuring and Impairment Charges</w:t>
      </w:r>
    </w:p>
    <w:p>
      <w:pPr>
        <w:spacing w:after="0" w:line="100"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During the year ended December 31, 2007, the Company recorded restructuring and impairment charges totaling $12,084 thousand, which included $10,106 thousand of impairment charges under ASC 360 and $ 1,978 thousand of restructuring charges under ASC 420. The impairment charges and restructuring charges that were recorded related to the closure of the Company’s five-inch wafer fabrication facilities located in Gumi (the “asset group”) that had generated losses and no longer supported the Company’s strategic technology roadmap.</w:t>
      </w:r>
    </w:p>
    <w:p>
      <w:pPr>
        <w:spacing w:after="0" w:line="80"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ASC 360 requires the Company to evaluate the recoverability of certain long-lived assets whenever events or changes in circumstances indicate that the carrying amount may not be recoverable. The net book value of the asset group before the impairment charges as of July 1, 2007 was approximately $10,228 thousand.</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impairment charge was measured as the excess of the carrying amount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246" w:name="page247"/>
    <w:bookmarkEnd w:id="2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1180" w:hanging="493"/>
        <w:spacing w:after="0"/>
        <w:tabs>
          <w:tab w:leader="none" w:pos="1180" w:val="left"/>
        </w:tabs>
        <w:numPr>
          <w:ilvl w:val="0"/>
          <w:numId w:val="181"/>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The Company’s income tax expenses are composed of domestic and foreign income taxes depending on the relevant tax jurisdiction. “Domestic” refers to the income before taxes, current income taxes and deferred income taxes generated or incurred in the United States, where the Parent resides.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components of income tax expense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30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30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ind w:left="44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7"/>
        </w:trPr>
        <w:tc>
          <w:tcPr>
            <w:tcW w:w="330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330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0" w:type="dxa"/>
            <w:vAlign w:val="bottom"/>
            <w:gridSpan w:val="3"/>
          </w:tcPr>
          <w:p>
            <w:pPr>
              <w:jc w:val="right"/>
              <w:ind w:right="360"/>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4"/>
        </w:trPr>
        <w:tc>
          <w:tcPr>
            <w:tcW w:w="3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37"/>
        </w:trPr>
        <w:tc>
          <w:tcPr>
            <w:tcW w:w="33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Income (loss) from continuing operations before</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income taxes</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(4)</w:t>
            </w:r>
          </w:p>
        </w:tc>
        <w:tc>
          <w:tcPr>
            <w:tcW w:w="100" w:type="dxa"/>
            <w:vAlign w:val="bottom"/>
            <w:tcBorders>
              <w:right w:val="single" w:sz="8" w:color="auto"/>
            </w:tcBorders>
          </w:tcPr>
          <w:p>
            <w:pPr>
              <w:spacing w:after="0"/>
              <w:rPr>
                <w:sz w:val="12"/>
                <w:szCs w:val="12"/>
                <w:color w:val="auto"/>
              </w:rPr>
            </w:pPr>
          </w:p>
        </w:tc>
        <w:tc>
          <w:tcPr>
            <w:tcW w:w="600" w:type="dxa"/>
            <w:vAlign w:val="bottom"/>
            <w:gridSpan w:val="2"/>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774,188</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18,442</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16,031</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(523)</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67,627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(332,696)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(136,022)</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1"/>
        </w:trPr>
        <w:tc>
          <w:tcPr>
            <w:tcW w:w="3300" w:type="dxa"/>
            <w:vAlign w:val="bottom"/>
          </w:tcPr>
          <w:p>
            <w:pPr>
              <w:spacing w:after="0"/>
              <w:rPr>
                <w:sz w:val="14"/>
                <w:szCs w:val="14"/>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(527)</w:t>
            </w:r>
          </w:p>
        </w:tc>
        <w:tc>
          <w:tcPr>
            <w:tcW w:w="100" w:type="dxa"/>
            <w:vAlign w:val="bottom"/>
            <w:tcBorders>
              <w:right w:val="single" w:sz="8" w:color="auto"/>
            </w:tcBorders>
          </w:tcPr>
          <w:p>
            <w:pPr>
              <w:spacing w:after="0"/>
              <w:rPr>
                <w:sz w:val="14"/>
                <w:szCs w:val="14"/>
                <w:color w:val="auto"/>
              </w:rPr>
            </w:pPr>
          </w:p>
        </w:tc>
        <w:tc>
          <w:tcPr>
            <w:tcW w:w="600" w:type="dxa"/>
            <w:vAlign w:val="bottom"/>
            <w:gridSpan w:val="2"/>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841,815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(314,254)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(119,991)</w:t>
            </w:r>
          </w:p>
        </w:tc>
      </w:tr>
      <w:tr>
        <w:trPr>
          <w:trHeight w:val="152"/>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Current income taxes expense (benefits)</w:t>
            </w:r>
          </w:p>
        </w:tc>
        <w:tc>
          <w:tcPr>
            <w:tcW w:w="54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w:t>
            </w:r>
          </w:p>
        </w:tc>
        <w:tc>
          <w:tcPr>
            <w:tcW w:w="100" w:type="dxa"/>
            <w:vAlign w:val="bottom"/>
            <w:tcBorders>
              <w:right w:val="single" w:sz="8" w:color="auto"/>
            </w:tcBorders>
          </w:tcPr>
          <w:p>
            <w:pPr>
              <w:spacing w:after="0"/>
              <w:rPr>
                <w:sz w:val="12"/>
                <w:szCs w:val="12"/>
                <w:color w:val="auto"/>
              </w:rPr>
            </w:pPr>
          </w:p>
        </w:tc>
        <w:tc>
          <w:tcPr>
            <w:tcW w:w="600" w:type="dxa"/>
            <w:vAlign w:val="bottom"/>
            <w:gridSpan w:val="2"/>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(143)</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1,335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8"/>
              </w:rPr>
              <w:t>1,244</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6,033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8,530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8,103</w:t>
            </w: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Uncertain tax position liability (domestic)</w:t>
            </w:r>
          </w:p>
        </w:tc>
        <w:tc>
          <w:tcPr>
            <w:tcW w:w="54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256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Uncertain tax position liability (foreign)</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95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138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w w:val="98"/>
              </w:rPr>
              <w:t>1,292</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6,241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10,095</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8,496</w:t>
            </w:r>
          </w:p>
        </w:tc>
      </w:tr>
      <w:tr>
        <w:trPr>
          <w:trHeight w:val="147"/>
        </w:trPr>
        <w:tc>
          <w:tcPr>
            <w:tcW w:w="3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Deferred income taxes expense (benefits)</w:t>
            </w:r>
          </w:p>
        </w:tc>
        <w:tc>
          <w:tcPr>
            <w:tcW w:w="5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4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654</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654</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income tax expense</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1,946</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Prior to its conversion to a corporation, the Parent was a limited liability company and a non-taxable entity for US tax purposes, and thus the applicable statutory income tax rate was zero. MagnaChip Semiconductor, Ltd. (Korea) is the principal operating entity within the consolidated Company. The statutory income tax rate of MagnaChip Semiconductor, Ltd. (Korea), including tax surcharges, applicable to the consolidated Company was approximately 24.2% in 2009 and 27.5% in 2008 and 2007. MagnaChip Semiconductor, Ltd. (Korea) was eligible for a tax exemption for companies qualified as direct foreign investments under the Korean tax code until 2008, and, accordingly, its corporate income tax was reduced by 30% from 2007 to 2008.</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7" w:name="page248"/>
    <w:bookmarkEnd w:id="2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1100" w:firstLine="499"/>
        <w:spacing w:after="0" w:line="248" w:lineRule="auto"/>
        <w:rPr>
          <w:sz w:val="20"/>
          <w:szCs w:val="20"/>
          <w:color w:val="auto"/>
        </w:rPr>
      </w:pPr>
      <w:r>
        <w:rPr>
          <w:rFonts w:ascii="Arial" w:cs="Arial" w:eastAsia="Arial" w:hAnsi="Arial"/>
          <w:sz w:val="13"/>
          <w:szCs w:val="13"/>
          <w:color w:val="auto"/>
        </w:rPr>
        <w:t>The provision for domestic and foreign income taxes incurred is different from the amount calculated by applying the statutory tax rate to the net income before income taxes. The significant items causing this difference are as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44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7"/>
        </w:trPr>
        <w:tc>
          <w:tcPr>
            <w:tcW w:w="344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344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4"/>
        </w:trPr>
        <w:tc>
          <w:tcPr>
            <w:tcW w:w="3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37"/>
        </w:trPr>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Provision computed at statutory rate</w:t>
            </w:r>
          </w:p>
        </w:tc>
        <w:tc>
          <w:tcPr>
            <w:tcW w:w="56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r>
      <w:tr>
        <w:trPr>
          <w:trHeight w:val="147"/>
        </w:trPr>
        <w:tc>
          <w:tcPr>
            <w:tcW w:w="3440" w:type="dxa"/>
            <w:vAlign w:val="bottom"/>
          </w:tcPr>
          <w:p>
            <w:pPr>
              <w:spacing w:after="0" w:line="148" w:lineRule="exact"/>
              <w:rPr>
                <w:sz w:val="20"/>
                <w:szCs w:val="20"/>
                <w:color w:val="auto"/>
              </w:rPr>
            </w:pPr>
            <w:r>
              <w:rPr>
                <w:rFonts w:ascii="Arial" w:cs="Arial" w:eastAsia="Arial" w:hAnsi="Arial"/>
                <w:sz w:val="13"/>
                <w:szCs w:val="13"/>
                <w:color w:val="auto"/>
              </w:rPr>
              <w:t>Permanent differences</w:t>
            </w:r>
          </w:p>
        </w:tc>
        <w:tc>
          <w:tcPr>
            <w:tcW w:w="560" w:type="dxa"/>
            <w:vAlign w:val="bottom"/>
          </w:tcPr>
          <w:p>
            <w:pPr>
              <w:spacing w:after="0"/>
              <w:rPr>
                <w:sz w:val="12"/>
                <w:szCs w:val="12"/>
                <w:color w:val="auto"/>
              </w:rPr>
            </w:pPr>
          </w:p>
        </w:tc>
        <w:tc>
          <w:tcPr>
            <w:tcW w:w="8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(693)</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w w:val="99"/>
              </w:rPr>
              <w:t>(19,500)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(1,076)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4,831</w:t>
            </w:r>
          </w:p>
        </w:tc>
      </w:tr>
      <w:tr>
        <w:trPr>
          <w:trHeight w:val="147"/>
        </w:trPr>
        <w:tc>
          <w:tcPr>
            <w:tcW w:w="34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Change in statutory tax rate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(265)</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8,173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4"/>
              </w:rPr>
              <w:t>(18,242)</w:t>
            </w:r>
          </w:p>
        </w:tc>
      </w:tr>
      <w:tr>
        <w:trPr>
          <w:trHeight w:val="147"/>
        </w:trPr>
        <w:tc>
          <w:tcPr>
            <w:tcW w:w="3440" w:type="dxa"/>
            <w:vAlign w:val="bottom"/>
          </w:tcPr>
          <w:p>
            <w:pPr>
              <w:spacing w:after="0" w:line="148" w:lineRule="exact"/>
              <w:rPr>
                <w:sz w:val="20"/>
                <w:szCs w:val="20"/>
                <w:color w:val="auto"/>
              </w:rPr>
            </w:pPr>
            <w:r>
              <w:rPr>
                <w:rFonts w:ascii="Arial" w:cs="Arial" w:eastAsia="Arial" w:hAnsi="Arial"/>
                <w:sz w:val="13"/>
                <w:szCs w:val="13"/>
                <w:color w:val="auto"/>
              </w:rPr>
              <w:t>Adjustment for overseas tax rate</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2"/>
              </w:rPr>
              <w:t>3,139</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8,192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9"/>
              </w:rPr>
              <w:t>(52,569)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4"/>
              </w:rPr>
              <w:t>(27,028)</w:t>
            </w:r>
          </w:p>
        </w:tc>
      </w:tr>
      <w:tr>
        <w:trPr>
          <w:trHeight w:val="147"/>
        </w:trPr>
        <w:tc>
          <w:tcPr>
            <w:tcW w:w="34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Change in valuation allowance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(267)</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18,134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56,827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49,111</w:t>
            </w:r>
          </w:p>
        </w:tc>
      </w:tr>
      <w:tr>
        <w:trPr>
          <w:trHeight w:val="147"/>
        </w:trPr>
        <w:tc>
          <w:tcPr>
            <w:tcW w:w="3440" w:type="dxa"/>
            <w:vAlign w:val="bottom"/>
          </w:tcPr>
          <w:p>
            <w:pPr>
              <w:spacing w:after="0" w:line="148" w:lineRule="exact"/>
              <w:rPr>
                <w:sz w:val="20"/>
                <w:szCs w:val="20"/>
                <w:color w:val="auto"/>
              </w:rPr>
            </w:pPr>
            <w:r>
              <w:rPr>
                <w:rFonts w:ascii="Arial" w:cs="Arial" w:eastAsia="Arial" w:hAnsi="Arial"/>
                <w:sz w:val="13"/>
                <w:szCs w:val="13"/>
                <w:color w:val="auto"/>
              </w:rPr>
              <w:t>Uncertain tax positions liability</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32</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351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4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tax expenses</w:t>
            </w:r>
          </w:p>
        </w:tc>
        <w:tc>
          <w:tcPr>
            <w:tcW w:w="5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1,946</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44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summary of the composition of net deferred income tax assets (liabilities) at December 31, 2009 and 2008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4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0"/>
                <w:szCs w:val="10"/>
                <w:color w:val="auto"/>
              </w:rPr>
            </w:pPr>
          </w:p>
        </w:tc>
      </w:tr>
      <w:tr>
        <w:trPr>
          <w:trHeight w:val="164"/>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37"/>
        </w:trPr>
        <w:tc>
          <w:tcPr>
            <w:tcW w:w="680" w:type="dxa"/>
            <w:vAlign w:val="bottom"/>
          </w:tcPr>
          <w:p>
            <w:pPr>
              <w:spacing w:after="0"/>
              <w:rPr>
                <w:sz w:val="11"/>
                <w:szCs w:val="11"/>
                <w:color w:val="auto"/>
              </w:rPr>
            </w:pPr>
          </w:p>
        </w:tc>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Deferred tax assets</w:t>
            </w:r>
          </w:p>
        </w:tc>
        <w:tc>
          <w:tcPr>
            <w:tcW w:w="2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Inventories</w:t>
            </w:r>
          </w:p>
        </w:tc>
        <w:tc>
          <w:tcPr>
            <w:tcW w:w="3360" w:type="dxa"/>
            <w:vAlign w:val="bottom"/>
            <w:gridSpan w:val="2"/>
          </w:tcPr>
          <w:p>
            <w:pPr>
              <w:ind w:left="3280"/>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9,086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Accrued expenses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2,056</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1,419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Product warranties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322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152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reserves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530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356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Accumulated severance benefits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12,042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9,908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15,503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13,981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NOL carry-forwards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146,833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98,745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Tax credit</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31,558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23,947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Royalty income</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5,985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10,629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Foreign currency translation loss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30,198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40,916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Debt issuance costs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284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397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3,081</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1,402</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Total deferred tax assets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248,392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210,938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valuation allowance</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(225,704)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(196,093)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22,688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14,845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Deferred tax liabilities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Inventories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1,721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Intangible assets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12,247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Others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243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deferred tax liabilities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14,211</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Net deferred tax assets</w:t>
            </w:r>
          </w:p>
        </w:tc>
        <w:tc>
          <w:tcPr>
            <w:tcW w:w="3360" w:type="dxa"/>
            <w:vAlign w:val="bottom"/>
            <w:gridSpan w:val="2"/>
          </w:tcPr>
          <w:p>
            <w:pPr>
              <w:ind w:left="3280"/>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8,477</w:t>
            </w:r>
          </w:p>
        </w:tc>
        <w:tc>
          <w:tcPr>
            <w:tcW w:w="12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10,395</w:t>
            </w:r>
          </w:p>
        </w:tc>
        <w:tc>
          <w:tcPr>
            <w:tcW w:w="800" w:type="dxa"/>
            <w:vAlign w:val="bottom"/>
          </w:tcPr>
          <w:p>
            <w:pPr>
              <w:spacing w:after="0"/>
              <w:rPr>
                <w:sz w:val="15"/>
                <w:szCs w:val="15"/>
                <w:color w:val="auto"/>
              </w:rPr>
            </w:pPr>
          </w:p>
        </w:tc>
      </w:tr>
      <w:tr>
        <w:trPr>
          <w:trHeight w:val="43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gridSpan w:val="2"/>
          </w:tcPr>
          <w:p>
            <w:pPr>
              <w:ind w:left="1480"/>
              <w:spacing w:after="0"/>
              <w:rPr>
                <w:sz w:val="20"/>
                <w:szCs w:val="20"/>
                <w:color w:val="auto"/>
              </w:rPr>
            </w:pPr>
            <w:r>
              <w:rPr>
                <w:rFonts w:ascii="Arial" w:cs="Arial" w:eastAsia="Arial" w:hAnsi="Arial"/>
                <w:sz w:val="13"/>
                <w:szCs w:val="13"/>
                <w:color w:val="auto"/>
              </w:rPr>
              <w:t>F-67</w:t>
            </w: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380" w:type="dxa"/>
            <w:vAlign w:val="bottom"/>
            <w:tcBorders>
              <w:bottom w:val="single" w:sz="8" w:color="808080"/>
            </w:tcBorders>
          </w:tcPr>
          <w:p>
            <w:pPr>
              <w:spacing w:after="0"/>
              <w:rPr>
                <w:sz w:val="13"/>
                <w:szCs w:val="13"/>
                <w:color w:val="auto"/>
              </w:rPr>
            </w:pPr>
          </w:p>
        </w:tc>
        <w:tc>
          <w:tcPr>
            <w:tcW w:w="27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8" w:name="page249"/>
    <w:bookmarkEnd w:id="2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Changes in valuation allowance for deferred tax assets for the two-month period ended December 31, 2009, for the ten-month period ended October 25, 2009 and for the year ended December 31, 2008 are as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520"/>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4200" w:type="dxa"/>
            <w:vAlign w:val="bottom"/>
          </w:tcPr>
          <w:p>
            <w:pPr>
              <w:spacing w:after="0"/>
              <w:rPr>
                <w:sz w:val="10"/>
                <w:szCs w:val="10"/>
                <w:color w:val="auto"/>
              </w:rPr>
            </w:pPr>
          </w:p>
        </w:tc>
        <w:tc>
          <w:tcPr>
            <w:tcW w:w="17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jc w:val="center"/>
              <w:ind w:left="254"/>
              <w:spacing w:after="0" w:line="121" w:lineRule="exact"/>
              <w:rPr>
                <w:sz w:val="20"/>
                <w:szCs w:val="20"/>
                <w:color w:val="auto"/>
              </w:rPr>
            </w:pPr>
            <w:r>
              <w:rPr>
                <w:rFonts w:ascii="Arial" w:cs="Arial" w:eastAsia="Arial" w:hAnsi="Arial"/>
                <w:sz w:val="13"/>
                <w:szCs w:val="13"/>
                <w:b w:val="1"/>
                <w:bCs w:val="1"/>
                <w:color w:val="auto"/>
                <w:w w:val="99"/>
              </w:rPr>
              <w:t>Ten-Month</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7"/>
        </w:trPr>
        <w:tc>
          <w:tcPr>
            <w:tcW w:w="4200" w:type="dxa"/>
            <w:vAlign w:val="bottom"/>
          </w:tcPr>
          <w:p>
            <w:pPr>
              <w:spacing w:after="0"/>
              <w:rPr>
                <w:sz w:val="12"/>
                <w:szCs w:val="12"/>
                <w:color w:val="auto"/>
              </w:rPr>
            </w:pPr>
          </w:p>
        </w:tc>
        <w:tc>
          <w:tcPr>
            <w:tcW w:w="17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Period 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4200" w:type="dxa"/>
            <w:vAlign w:val="bottom"/>
          </w:tcPr>
          <w:p>
            <w:pPr>
              <w:spacing w:after="0"/>
              <w:rPr>
                <w:sz w:val="12"/>
                <w:szCs w:val="12"/>
                <w:color w:val="auto"/>
              </w:rPr>
            </w:pPr>
          </w:p>
        </w:tc>
        <w:tc>
          <w:tcPr>
            <w:tcW w:w="17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74"/>
              <w:spacing w:after="0" w:line="148" w:lineRule="exact"/>
              <w:rPr>
                <w:sz w:val="20"/>
                <w:szCs w:val="20"/>
                <w:color w:val="auto"/>
              </w:rPr>
            </w:pPr>
            <w:r>
              <w:rPr>
                <w:rFonts w:ascii="Arial" w:cs="Arial" w:eastAsia="Arial" w:hAnsi="Arial"/>
                <w:sz w:val="13"/>
                <w:szCs w:val="13"/>
                <w:b w:val="1"/>
                <w:bCs w:val="1"/>
                <w:color w:val="auto"/>
              </w:rPr>
              <w:t>October 25,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74"/>
        </w:trPr>
        <w:tc>
          <w:tcPr>
            <w:tcW w:w="4200" w:type="dxa"/>
            <w:vAlign w:val="bottom"/>
          </w:tcPr>
          <w:p>
            <w:pPr>
              <w:spacing w:after="0"/>
              <w:rPr>
                <w:sz w:val="15"/>
                <w:szCs w:val="15"/>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2009</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auto"/>
            </w:tcBorders>
            <w:gridSpan w:val="2"/>
          </w:tcPr>
          <w:p>
            <w:pPr>
              <w:jc w:val="center"/>
              <w:ind w:left="654"/>
              <w:spacing w:after="0"/>
              <w:rPr>
                <w:sz w:val="20"/>
                <w:szCs w:val="20"/>
                <w:color w:val="auto"/>
              </w:rPr>
            </w:pPr>
            <w:r>
              <w:rPr>
                <w:rFonts w:ascii="Arial" w:cs="Arial" w:eastAsia="Arial" w:hAnsi="Arial"/>
                <w:sz w:val="13"/>
                <w:szCs w:val="13"/>
                <w:b w:val="1"/>
                <w:bCs w:val="1"/>
                <w:color w:val="auto"/>
                <w:w w:val="96"/>
              </w:rPr>
              <w:t>2008</w:t>
            </w:r>
          </w:p>
        </w:tc>
        <w:tc>
          <w:tcPr>
            <w:tcW w:w="720" w:type="dxa"/>
            <w:vAlign w:val="bottom"/>
            <w:tcBorders>
              <w:bottom w:val="single" w:sz="8" w:color="auto"/>
            </w:tcBorders>
          </w:tcPr>
          <w:p>
            <w:pPr>
              <w:spacing w:after="0"/>
              <w:rPr>
                <w:sz w:val="15"/>
                <w:szCs w:val="15"/>
                <w:color w:val="auto"/>
              </w:rPr>
            </w:pPr>
          </w:p>
        </w:tc>
      </w:tr>
      <w:tr>
        <w:trPr>
          <w:trHeight w:val="137"/>
        </w:trPr>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1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$ 223,367</w:t>
            </w: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500" w:type="dxa"/>
            <w:vAlign w:val="bottom"/>
            <w:gridSpan w:val="4"/>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$ 196,093</w:t>
            </w:r>
          </w:p>
        </w:tc>
        <w:tc>
          <w:tcPr>
            <w:tcW w:w="2420" w:type="dxa"/>
            <w:vAlign w:val="bottom"/>
            <w:gridSpan w:val="5"/>
            <w:shd w:val="clear" w:color="auto" w:fill="CCEEFF"/>
          </w:tcPr>
          <w:p>
            <w:pPr>
              <w:jc w:val="right"/>
              <w:ind w:right="720"/>
              <w:spacing w:after="0" w:line="138" w:lineRule="exact"/>
              <w:rPr>
                <w:sz w:val="20"/>
                <w:szCs w:val="20"/>
                <w:color w:val="auto"/>
              </w:rPr>
            </w:pPr>
            <w:r>
              <w:rPr>
                <w:rFonts w:ascii="Arial" w:cs="Arial" w:eastAsia="Arial" w:hAnsi="Arial"/>
                <w:sz w:val="13"/>
                <w:szCs w:val="13"/>
                <w:color w:val="auto"/>
              </w:rPr>
              <w:t>$ 165,977</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Charge to expenses</w:t>
            </w:r>
          </w:p>
        </w:tc>
        <w:tc>
          <w:tcPr>
            <w:tcW w:w="176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(409)</w:t>
            </w: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00"/>
              <w:spacing w:after="0" w:line="148" w:lineRule="exact"/>
              <w:rPr>
                <w:sz w:val="20"/>
                <w:szCs w:val="20"/>
                <w:color w:val="auto"/>
              </w:rPr>
            </w:pPr>
            <w:r>
              <w:rPr>
                <w:rFonts w:ascii="Arial" w:cs="Arial" w:eastAsia="Arial" w:hAnsi="Arial"/>
                <w:sz w:val="13"/>
                <w:szCs w:val="13"/>
                <w:color w:val="auto"/>
              </w:rPr>
              <w:t>17,090</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79,438</w:t>
            </w: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Translation adjustment</w:t>
            </w: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2,746</w:t>
            </w: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10,184</w:t>
            </w:r>
          </w:p>
        </w:tc>
        <w:tc>
          <w:tcPr>
            <w:tcW w:w="3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spacing w:after="0"/>
              <w:rPr>
                <w:sz w:val="12"/>
                <w:szCs w:val="12"/>
                <w:color w:val="auto"/>
              </w:rPr>
            </w:pPr>
          </w:p>
        </w:tc>
        <w:tc>
          <w:tcPr>
            <w:tcW w:w="120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(49,322)</w:t>
            </w:r>
          </w:p>
        </w:tc>
      </w:tr>
      <w:tr>
        <w:trPr>
          <w:trHeight w:val="20"/>
        </w:trPr>
        <w:tc>
          <w:tcPr>
            <w:tcW w:w="4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Ending balance</w:t>
            </w:r>
          </w:p>
        </w:tc>
        <w:tc>
          <w:tcPr>
            <w:tcW w:w="11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$225,704</w:t>
            </w: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00"/>
              <w:spacing w:after="0" w:line="148" w:lineRule="exact"/>
              <w:rPr>
                <w:sz w:val="20"/>
                <w:szCs w:val="20"/>
                <w:color w:val="auto"/>
              </w:rPr>
            </w:pPr>
            <w:r>
              <w:rPr>
                <w:rFonts w:ascii="Arial" w:cs="Arial" w:eastAsia="Arial" w:hAnsi="Arial"/>
                <w:sz w:val="13"/>
                <w:szCs w:val="13"/>
                <w:color w:val="auto"/>
              </w:rPr>
              <w:t>$223,367</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$196,093</w:t>
            </w:r>
          </w:p>
        </w:tc>
      </w:tr>
      <w:tr>
        <w:trPr>
          <w:trHeight w:val="39"/>
        </w:trPr>
        <w:tc>
          <w:tcPr>
            <w:tcW w:w="4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-417830</wp:posOffset>
            </wp:positionV>
            <wp:extent cx="1270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8"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$8,477 thousand, $9,238 thousand and $ 10,395 thousand as of December 31, 2009, October 25, 2009 and December 31, 2008, respectively. Accordingly, the Company recorded a valuation allowance of $225,704 thousand, $223,367 thousand and $196,093 thousand on its net deferred tax assets as of December 31, 2009, October 25, 2009 and December 31, 2008, respectively.</w:t>
      </w:r>
    </w:p>
    <w:p>
      <w:pPr>
        <w:spacing w:after="0" w:line="83"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At December 31, 2009, the Company had approximately $625,616 thousand of net operating loss carry-forwards available to offset future taxable income. The majority of net operating loss is related to MagnaChip Korea, which expires in varying amounts starting from 2010 to 2019. The Company also has Korean and Dutch tax credit carry-forwards of approximately $11,446 thousand and $20,103 thousand, respectively, as of December 31, 2009. The Korean tax credits expire at various dates starting from 2010 to 2013, and the Dutch tax credits are carried forward to be used for an indefinite period of time.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Uncertainty in Income Taxes</w:t>
      </w:r>
    </w:p>
    <w:p>
      <w:pPr>
        <w:spacing w:after="0" w:line="102" w:lineRule="exact"/>
        <w:rPr>
          <w:sz w:val="20"/>
          <w:szCs w:val="20"/>
          <w:color w:val="auto"/>
        </w:rPr>
      </w:pPr>
    </w:p>
    <w:p>
      <w:pPr>
        <w:ind w:left="680" w:right="340" w:firstLine="499"/>
        <w:spacing w:after="0" w:line="248"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4"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Company adopted the provisions of ASC 740 guidance on uncertain tax positions on January 1, 2007. As a result of the implementation of ASC 740 guidance on uncertain tax positions, the Company recognized $1,554 thousand of liabilities for unrecognized tax benefits, which are related to the temporary difference arising from the timing of expensing certain inventories. Such liabilities were accounted for as an increase to the January 1, 2007 balance of accumulated deficits. As of December 31, 2009 and 2008, the Company recorded $1,997 thousand and $1,490 thousand of liabilities for unrecognized tax benefits, respectively.</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9" w:name="page250"/>
    <w:bookmarkEnd w:id="2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recognized $26 thousand, $206 thousand and $155 thousand of interest and penalties as income tax expense for the two-month period ended December 31, 2009, for the ten-month period ended October 25, 2009 and for the year ended December 31, 2008, respectively. Total interest and penalties accrued as of December 31, 2009, December 31, 2008 and as of the ASC 740 guidance on uncertain tax positions adoption date were $946 thousand, $652 thousand and $530 thousand, respectively.</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tabular reconciliation of the total amounts of unrecognized tax benefits at the beginning and end of each period is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518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5180" w:type="dxa"/>
            <w:vAlign w:val="bottom"/>
          </w:tcPr>
          <w:p>
            <w:pPr>
              <w:spacing w:after="0"/>
              <w:rPr>
                <w:sz w:val="10"/>
                <w:szCs w:val="10"/>
                <w:color w:val="auto"/>
              </w:rPr>
            </w:pPr>
          </w:p>
        </w:tc>
        <w:tc>
          <w:tcPr>
            <w:tcW w:w="14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left="234"/>
              <w:spacing w:after="0" w:line="121" w:lineRule="exact"/>
              <w:rPr>
                <w:sz w:val="20"/>
                <w:szCs w:val="20"/>
                <w:color w:val="auto"/>
              </w:rPr>
            </w:pPr>
            <w:r>
              <w:rPr>
                <w:rFonts w:ascii="Arial" w:cs="Arial" w:eastAsia="Arial" w:hAnsi="Arial"/>
                <w:sz w:val="13"/>
                <w:szCs w:val="13"/>
                <w:b w:val="1"/>
                <w:bCs w:val="1"/>
                <w:color w:val="auto"/>
                <w:w w:val="99"/>
              </w:rPr>
              <w:t>Ten-Month</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7"/>
        </w:trPr>
        <w:tc>
          <w:tcPr>
            <w:tcW w:w="5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left="214"/>
              <w:spacing w:after="0" w:line="148" w:lineRule="exact"/>
              <w:rPr>
                <w:sz w:val="20"/>
                <w:szCs w:val="20"/>
                <w:color w:val="auto"/>
              </w:rPr>
            </w:pPr>
            <w:r>
              <w:rPr>
                <w:rFonts w:ascii="Arial" w:cs="Arial" w:eastAsia="Arial" w:hAnsi="Arial"/>
                <w:sz w:val="13"/>
                <w:szCs w:val="13"/>
                <w:b w:val="1"/>
                <w:bCs w:val="1"/>
                <w:color w:val="auto"/>
              </w:rPr>
              <w:t>Period 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5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left="214"/>
              <w:spacing w:after="0" w:line="148" w:lineRule="exact"/>
              <w:rPr>
                <w:sz w:val="20"/>
                <w:szCs w:val="20"/>
                <w:color w:val="auto"/>
              </w:rPr>
            </w:pPr>
            <w:r>
              <w:rPr>
                <w:rFonts w:ascii="Arial" w:cs="Arial" w:eastAsia="Arial" w:hAnsi="Arial"/>
                <w:sz w:val="13"/>
                <w:szCs w:val="13"/>
                <w:b w:val="1"/>
                <w:bCs w:val="1"/>
                <w:color w:val="auto"/>
              </w:rPr>
              <w:t>October 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518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3"/>
                <w:szCs w:val="13"/>
                <w:b w:val="1"/>
                <w:bCs w:val="1"/>
                <w:color w:val="auto"/>
              </w:rPr>
              <w:t>2009</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2008</w:t>
            </w:r>
          </w:p>
        </w:tc>
        <w:tc>
          <w:tcPr>
            <w:tcW w:w="560" w:type="dxa"/>
            <w:vAlign w:val="bottom"/>
            <w:tcBorders>
              <w:bottom w:val="single" w:sz="8" w:color="auto"/>
            </w:tcBorders>
          </w:tcPr>
          <w:p>
            <w:pPr>
              <w:spacing w:after="0"/>
              <w:rPr>
                <w:sz w:val="14"/>
                <w:szCs w:val="14"/>
                <w:color w:val="auto"/>
              </w:rPr>
            </w:pPr>
          </w:p>
        </w:tc>
      </w:tr>
      <w:tr>
        <w:trPr>
          <w:trHeight w:val="137"/>
        </w:trPr>
        <w:tc>
          <w:tcPr>
            <w:tcW w:w="5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Unrecognized tax benefits, balance at the beginning</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$ 2,874</w:t>
            </w: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60" w:type="dxa"/>
            <w:vAlign w:val="bottom"/>
            <w:gridSpan w:val="4"/>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$ 2,293</w:t>
            </w:r>
          </w:p>
        </w:tc>
        <w:tc>
          <w:tcPr>
            <w:tcW w:w="1960" w:type="dxa"/>
            <w:vAlign w:val="bottom"/>
            <w:gridSpan w:val="5"/>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$ 1,593</w:t>
            </w:r>
          </w:p>
        </w:tc>
      </w:tr>
      <w:tr>
        <w:trPr>
          <w:trHeight w:val="147"/>
        </w:trPr>
        <w:tc>
          <w:tcPr>
            <w:tcW w:w="5180" w:type="dxa"/>
            <w:vAlign w:val="bottom"/>
          </w:tcPr>
          <w:p>
            <w:pPr>
              <w:ind w:left="140"/>
              <w:spacing w:after="0" w:line="148" w:lineRule="exact"/>
              <w:rPr>
                <w:sz w:val="20"/>
                <w:szCs w:val="20"/>
                <w:color w:val="auto"/>
              </w:rPr>
            </w:pPr>
            <w:r>
              <w:rPr>
                <w:rFonts w:ascii="Arial" w:cs="Arial" w:eastAsia="Arial" w:hAnsi="Arial"/>
                <w:sz w:val="13"/>
                <w:szCs w:val="13"/>
                <w:color w:val="auto"/>
              </w:rPr>
              <w:t>Additions based on tax positions related to the current year</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126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33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r>
      <w:tr>
        <w:trPr>
          <w:trHeight w:val="147"/>
        </w:trPr>
        <w:tc>
          <w:tcPr>
            <w:tcW w:w="51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Additions for tax positions of prior years</w:t>
            </w:r>
          </w:p>
        </w:tc>
        <w:tc>
          <w:tcPr>
            <w:tcW w:w="9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123</w:t>
            </w: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60" w:type="dxa"/>
            <w:vAlign w:val="bottom"/>
            <w:gridSpan w:val="4"/>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635</w:t>
            </w:r>
          </w:p>
        </w:tc>
        <w:tc>
          <w:tcPr>
            <w:tcW w:w="1960" w:type="dxa"/>
            <w:vAlign w:val="bottom"/>
            <w:gridSpan w:val="5"/>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748</w:t>
            </w:r>
          </w:p>
        </w:tc>
      </w:tr>
      <w:tr>
        <w:trPr>
          <w:trHeight w:val="147"/>
        </w:trPr>
        <w:tc>
          <w:tcPr>
            <w:tcW w:w="5180" w:type="dxa"/>
            <w:vAlign w:val="bottom"/>
          </w:tcPr>
          <w:p>
            <w:pPr>
              <w:ind w:left="140"/>
              <w:spacing w:after="0" w:line="148" w:lineRule="exact"/>
              <w:rPr>
                <w:sz w:val="20"/>
                <w:szCs w:val="20"/>
                <w:color w:val="auto"/>
              </w:rPr>
            </w:pPr>
            <w:r>
              <w:rPr>
                <w:rFonts w:ascii="Arial" w:cs="Arial" w:eastAsia="Arial" w:hAnsi="Arial"/>
                <w:sz w:val="13"/>
                <w:szCs w:val="13"/>
                <w:color w:val="auto"/>
              </w:rPr>
              <w:t>Reductions for tax positions of prior years</w:t>
            </w:r>
          </w:p>
        </w:tc>
        <w:tc>
          <w:tcPr>
            <w:tcW w:w="148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(18)</w:t>
            </w:r>
          </w:p>
        </w:tc>
        <w:tc>
          <w:tcPr>
            <w:tcW w:w="100" w:type="dxa"/>
            <w:vAlign w:val="bottom"/>
            <w:tcBorders>
              <w:right w:val="single" w:sz="8" w:color="auto"/>
            </w:tcBorders>
          </w:tcPr>
          <w:p>
            <w:pPr>
              <w:spacing w:after="0"/>
              <w:rPr>
                <w:sz w:val="12"/>
                <w:szCs w:val="12"/>
                <w:color w:val="auto"/>
              </w:rPr>
            </w:pPr>
          </w:p>
        </w:tc>
        <w:tc>
          <w:tcPr>
            <w:tcW w:w="126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(88)</w:t>
            </w:r>
          </w:p>
        </w:tc>
        <w:tc>
          <w:tcPr>
            <w:tcW w:w="1960" w:type="dxa"/>
            <w:vAlign w:val="bottom"/>
            <w:gridSpan w:val="5"/>
          </w:tcPr>
          <w:p>
            <w:pPr>
              <w:jc w:val="right"/>
              <w:ind w:right="520"/>
              <w:spacing w:after="0" w:line="148" w:lineRule="exact"/>
              <w:rPr>
                <w:sz w:val="20"/>
                <w:szCs w:val="20"/>
                <w:color w:val="auto"/>
              </w:rPr>
            </w:pPr>
            <w:r>
              <w:rPr>
                <w:rFonts w:ascii="Arial" w:cs="Arial" w:eastAsia="Arial" w:hAnsi="Arial"/>
                <w:sz w:val="13"/>
                <w:szCs w:val="13"/>
                <w:color w:val="auto"/>
              </w:rPr>
              <w:t>(64)</w:t>
            </w:r>
          </w:p>
        </w:tc>
      </w:tr>
      <w:tr>
        <w:trPr>
          <w:trHeight w:val="147"/>
        </w:trPr>
        <w:tc>
          <w:tcPr>
            <w:tcW w:w="51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Settlements</w:t>
            </w: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r>
      <w:tr>
        <w:trPr>
          <w:trHeight w:val="147"/>
        </w:trPr>
        <w:tc>
          <w:tcPr>
            <w:tcW w:w="5180" w:type="dxa"/>
            <w:vAlign w:val="bottom"/>
          </w:tcPr>
          <w:p>
            <w:pPr>
              <w:ind w:left="140"/>
              <w:spacing w:after="0" w:line="148" w:lineRule="exact"/>
              <w:rPr>
                <w:sz w:val="20"/>
                <w:szCs w:val="20"/>
                <w:color w:val="auto"/>
              </w:rPr>
            </w:pPr>
            <w:r>
              <w:rPr>
                <w:rFonts w:ascii="Arial" w:cs="Arial" w:eastAsia="Arial" w:hAnsi="Arial"/>
                <w:sz w:val="13"/>
                <w:szCs w:val="13"/>
                <w:color w:val="auto"/>
              </w:rPr>
              <w:t>Lapse of statute of limitations</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r>
      <w:tr>
        <w:trPr>
          <w:trHeight w:val="147"/>
        </w:trPr>
        <w:tc>
          <w:tcPr>
            <w:tcW w:w="51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Translation adjustment</w:t>
            </w:r>
          </w:p>
        </w:tc>
        <w:tc>
          <w:tcPr>
            <w:tcW w:w="5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w:t>
            </w:r>
          </w:p>
        </w:tc>
        <w:tc>
          <w:tcPr>
            <w:tcW w:w="2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560" w:type="dxa"/>
            <w:vAlign w:val="bottom"/>
            <w:shd w:val="clear" w:color="auto" w:fill="CCEEFF"/>
          </w:tcPr>
          <w:p>
            <w:pPr>
              <w:spacing w:after="0"/>
              <w:rPr>
                <w:sz w:val="12"/>
                <w:szCs w:val="12"/>
                <w:color w:val="auto"/>
              </w:rPr>
            </w:pPr>
          </w:p>
        </w:tc>
      </w:tr>
      <w:tr>
        <w:trPr>
          <w:trHeight w:val="147"/>
        </w:trPr>
        <w:tc>
          <w:tcPr>
            <w:tcW w:w="5180" w:type="dxa"/>
            <w:vAlign w:val="bottom"/>
          </w:tcPr>
          <w:p>
            <w:pPr>
              <w:spacing w:after="0" w:line="148" w:lineRule="exact"/>
              <w:rPr>
                <w:sz w:val="20"/>
                <w:szCs w:val="20"/>
                <w:color w:val="auto"/>
              </w:rPr>
            </w:pPr>
            <w:r>
              <w:rPr>
                <w:rFonts w:ascii="Arial" w:cs="Arial" w:eastAsia="Arial" w:hAnsi="Arial"/>
                <w:sz w:val="13"/>
                <w:szCs w:val="13"/>
                <w:color w:val="auto"/>
              </w:rPr>
              <w:t>Unrecognized tax benefits, balance at the ending</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$2,979</w:t>
            </w: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6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$2,874</w:t>
            </w:r>
          </w:p>
        </w:tc>
        <w:tc>
          <w:tcPr>
            <w:tcW w:w="1960" w:type="dxa"/>
            <w:vAlign w:val="bottom"/>
            <w:gridSpan w:val="5"/>
          </w:tcPr>
          <w:p>
            <w:pPr>
              <w:jc w:val="right"/>
              <w:ind w:right="560"/>
              <w:spacing w:after="0" w:line="148" w:lineRule="exact"/>
              <w:rPr>
                <w:sz w:val="20"/>
                <w:szCs w:val="20"/>
                <w:color w:val="auto"/>
              </w:rPr>
            </w:pPr>
            <w:r>
              <w:rPr>
                <w:rFonts w:ascii="Arial" w:cs="Arial" w:eastAsia="Arial" w:hAnsi="Arial"/>
                <w:sz w:val="13"/>
                <w:szCs w:val="13"/>
                <w:color w:val="auto"/>
              </w:rPr>
              <w:t>$2,293</w:t>
            </w:r>
          </w:p>
        </w:tc>
      </w:tr>
      <w:tr>
        <w:trPr>
          <w:trHeight w:val="39"/>
        </w:trPr>
        <w:tc>
          <w:tcPr>
            <w:tcW w:w="5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r>
    </w:tbl>
    <w:p>
      <w:pPr>
        <w:spacing w:after="0" w:line="150" w:lineRule="exact"/>
        <w:rPr>
          <w:sz w:val="20"/>
          <w:szCs w:val="20"/>
          <w:color w:val="auto"/>
        </w:rPr>
      </w:pPr>
    </w:p>
    <w:p>
      <w:pPr>
        <w:ind w:left="1180" w:hanging="493"/>
        <w:spacing w:after="0"/>
        <w:tabs>
          <w:tab w:leader="none" w:pos="1180" w:val="left"/>
        </w:tabs>
        <w:numPr>
          <w:ilvl w:val="0"/>
          <w:numId w:val="182"/>
        </w:numPr>
        <w:rPr>
          <w:rFonts w:ascii="Arial" w:cs="Arial" w:eastAsia="Arial" w:hAnsi="Arial"/>
          <w:sz w:val="13"/>
          <w:szCs w:val="13"/>
          <w:b w:val="1"/>
          <w:bCs w:val="1"/>
          <w:color w:val="auto"/>
        </w:rPr>
      </w:pPr>
      <w:r>
        <w:rPr>
          <w:rFonts w:ascii="Arial" w:cs="Arial" w:eastAsia="Arial" w:hAnsi="Arial"/>
          <w:sz w:val="13"/>
          <w:szCs w:val="13"/>
          <w:b w:val="1"/>
          <w:bCs w:val="1"/>
          <w:color w:val="auto"/>
        </w:rPr>
        <w:t>Geographic and Segment Information</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October 6, 2008, the Company announced the closure of its Imaging Solutions business segment, subject to support for existing customers. As of</w:t>
      </w:r>
    </w:p>
    <w:p>
      <w:pPr>
        <w:ind w:left="680"/>
        <w:spacing w:after="0" w:line="236" w:lineRule="auto"/>
        <w:rPr>
          <w:sz w:val="20"/>
          <w:szCs w:val="20"/>
          <w:color w:val="auto"/>
        </w:rPr>
      </w:pPr>
      <w:r>
        <w:rPr>
          <w:rFonts w:ascii="Arial" w:cs="Arial" w:eastAsia="Arial" w:hAnsi="Arial"/>
          <w:sz w:val="13"/>
          <w:szCs w:val="13"/>
          <w:color w:val="auto"/>
        </w:rPr>
        <w:t>December 31, 2008, the Imaging Solutions business segment qualified as a discontinued operation component of the Company under ASC 360. As a result, the results of</w:t>
      </w:r>
    </w:p>
    <w:p>
      <w:pPr>
        <w:ind w:left="680"/>
        <w:spacing w:after="0" w:line="237" w:lineRule="auto"/>
        <w:rPr>
          <w:sz w:val="20"/>
          <w:szCs w:val="20"/>
          <w:color w:val="auto"/>
        </w:rPr>
      </w:pPr>
      <w:r>
        <w:rPr>
          <w:rFonts w:ascii="Arial" w:cs="Arial" w:eastAsia="Arial" w:hAnsi="Arial"/>
          <w:sz w:val="13"/>
          <w:szCs w:val="13"/>
          <w:color w:val="auto"/>
        </w:rPr>
        <w:t>operations of the Imaging Solutions business and reportable segment have been classified as discontinued operations. Accordingly, the Company has restated prior</w:t>
      </w:r>
    </w:p>
    <w:p>
      <w:pPr>
        <w:ind w:left="680"/>
        <w:spacing w:after="0"/>
        <w:rPr>
          <w:sz w:val="20"/>
          <w:szCs w:val="20"/>
          <w:color w:val="auto"/>
        </w:rPr>
      </w:pPr>
      <w:r>
        <w:rPr>
          <w:rFonts w:ascii="Arial" w:cs="Arial" w:eastAsia="Arial" w:hAnsi="Arial"/>
          <w:sz w:val="13"/>
          <w:szCs w:val="13"/>
          <w:color w:val="auto"/>
        </w:rPr>
        <w:t>periods’ segment information to conform to the current presentation.</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0" w:name="page251"/>
    <w:bookmarkEnd w:id="2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800" w:type="dxa"/>
            <w:vAlign w:val="bottom"/>
            <w:gridSpan w:val="4"/>
          </w:tcPr>
          <w:p>
            <w:pPr>
              <w:ind w:left="500"/>
              <w:spacing w:after="0"/>
              <w:rPr>
                <w:sz w:val="20"/>
                <w:szCs w:val="20"/>
                <w:color w:val="auto"/>
              </w:rPr>
            </w:pPr>
            <w:r>
              <w:rPr>
                <w:rFonts w:ascii="Arial" w:cs="Arial" w:eastAsia="Arial" w:hAnsi="Arial"/>
                <w:sz w:val="13"/>
                <w:szCs w:val="13"/>
                <w:color w:val="auto"/>
              </w:rPr>
              <w:t>The following sets forth information relating to the reportable segments: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260" w:type="dxa"/>
            <w:vAlign w:val="bottom"/>
          </w:tcPr>
          <w:p>
            <w:pPr>
              <w:spacing w:after="0"/>
              <w:rPr>
                <w:sz w:val="7"/>
                <w:szCs w:val="7"/>
                <w:color w:val="auto"/>
              </w:rPr>
            </w:pPr>
          </w:p>
        </w:tc>
        <w:tc>
          <w:tcPr>
            <w:tcW w:w="1540" w:type="dxa"/>
            <w:vAlign w:val="bottom"/>
            <w:gridSpan w:val="3"/>
            <w:vMerge w:val="restart"/>
          </w:tcPr>
          <w:p>
            <w:pPr>
              <w:ind w:left="44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54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4"/>
        </w:trPr>
        <w:tc>
          <w:tcPr>
            <w:tcW w:w="3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Net Sales</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51,044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231,894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304,095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331,684</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54,759</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w w:val="97"/>
              </w:rPr>
              <w:t>206,662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287,111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321,034</w:t>
            </w: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4,746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7,627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5,437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533</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2,801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5,021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56,790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net sales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111,082</w:t>
            </w:r>
          </w:p>
        </w:tc>
        <w:tc>
          <w:tcPr>
            <w:tcW w:w="5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448,984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601,664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709,508</w:t>
            </w: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8,747</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61,788</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57,386</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41,524</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10,657</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71,825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98,411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67,127</w:t>
            </w: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736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1,431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(4,272)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534</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2,801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4,885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gross profit</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20,674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137,845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156,410</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130,651</w:t>
            </w: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80" w:type="dxa"/>
            <w:vAlign w:val="bottom"/>
            <w:gridSpan w:val="9"/>
          </w:tcPr>
          <w:p>
            <w:pPr>
              <w:jc w:val="right"/>
              <w:ind w:right="520"/>
              <w:spacing w:after="0"/>
              <w:rPr>
                <w:sz w:val="20"/>
                <w:szCs w:val="20"/>
                <w:color w:val="auto"/>
              </w:rPr>
            </w:pPr>
            <w:r>
              <w:rPr>
                <w:rFonts w:ascii="Arial" w:cs="Arial" w:eastAsia="Arial" w:hAnsi="Arial"/>
                <w:sz w:val="13"/>
                <w:szCs w:val="13"/>
                <w:color w:val="auto"/>
              </w:rPr>
              <w:t>The following is a summary of net sales by region, based on the location of the customer: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5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3"/>
                <w:szCs w:val="13"/>
                <w:b w:val="1"/>
                <w:bCs w:val="1"/>
                <w:color w:val="auto"/>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Korea</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62,241</w:t>
            </w: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$ 244,309</w:t>
            </w:r>
          </w:p>
        </w:tc>
        <w:tc>
          <w:tcPr>
            <w:tcW w:w="190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$ 301,006</w:t>
            </w:r>
          </w:p>
        </w:tc>
        <w:tc>
          <w:tcPr>
            <w:tcW w:w="190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$ 404,276</w:t>
            </w:r>
          </w:p>
        </w:tc>
        <w:tc>
          <w:tcPr>
            <w:tcW w:w="0" w:type="dxa"/>
            <w:vAlign w:val="bottom"/>
          </w:tcPr>
          <w:p>
            <w:pPr>
              <w:spacing w:after="0"/>
              <w:rPr>
                <w:sz w:val="1"/>
                <w:szCs w:val="1"/>
                <w:color w:val="auto"/>
              </w:rPr>
            </w:pPr>
          </w:p>
        </w:tc>
      </w:tr>
      <w:tr>
        <w:trPr>
          <w:trHeight w:val="147"/>
        </w:trPr>
        <w:tc>
          <w:tcPr>
            <w:tcW w:w="2780" w:type="dxa"/>
            <w:vAlign w:val="bottom"/>
          </w:tcPr>
          <w:p>
            <w:pPr>
              <w:spacing w:after="0" w:line="148" w:lineRule="exact"/>
              <w:rPr>
                <w:sz w:val="20"/>
                <w:szCs w:val="20"/>
                <w:color w:val="auto"/>
              </w:rPr>
            </w:pPr>
            <w:r>
              <w:rPr>
                <w:rFonts w:ascii="Arial" w:cs="Arial" w:eastAsia="Arial" w:hAnsi="Arial"/>
                <w:sz w:val="13"/>
                <w:szCs w:val="13"/>
                <w:color w:val="auto"/>
              </w:rPr>
              <w:t>Asia Pacific</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25,573</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116,920</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144,482</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155,488</w:t>
            </w:r>
          </w:p>
        </w:tc>
        <w:tc>
          <w:tcPr>
            <w:tcW w:w="0" w:type="dxa"/>
            <w:vAlign w:val="bottom"/>
          </w:tcPr>
          <w:p>
            <w:pPr>
              <w:spacing w:after="0"/>
              <w:rPr>
                <w:sz w:val="1"/>
                <w:szCs w:val="1"/>
                <w:color w:val="auto"/>
              </w:rPr>
            </w:pPr>
          </w:p>
        </w:tc>
      </w:tr>
      <w:tr>
        <w:trPr>
          <w:trHeight w:val="147"/>
        </w:trPr>
        <w:tc>
          <w:tcPr>
            <w:tcW w:w="2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Japan</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6,477</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31,641</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79,892</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71,211</w:t>
            </w:r>
          </w:p>
        </w:tc>
        <w:tc>
          <w:tcPr>
            <w:tcW w:w="0" w:type="dxa"/>
            <w:vAlign w:val="bottom"/>
          </w:tcPr>
          <w:p>
            <w:pPr>
              <w:spacing w:after="0"/>
              <w:rPr>
                <w:sz w:val="1"/>
                <w:szCs w:val="1"/>
                <w:color w:val="auto"/>
              </w:rPr>
            </w:pPr>
          </w:p>
        </w:tc>
      </w:tr>
      <w:tr>
        <w:trPr>
          <w:trHeight w:val="147"/>
        </w:trPr>
        <w:tc>
          <w:tcPr>
            <w:tcW w:w="2780" w:type="dxa"/>
            <w:vAlign w:val="bottom"/>
          </w:tcPr>
          <w:p>
            <w:pPr>
              <w:spacing w:after="0" w:line="148" w:lineRule="exact"/>
              <w:rPr>
                <w:sz w:val="20"/>
                <w:szCs w:val="20"/>
                <w:color w:val="auto"/>
              </w:rPr>
            </w:pPr>
            <w:r>
              <w:rPr>
                <w:rFonts w:ascii="Arial" w:cs="Arial" w:eastAsia="Arial" w:hAnsi="Arial"/>
                <w:sz w:val="13"/>
                <w:szCs w:val="13"/>
                <w:color w:val="auto"/>
              </w:rPr>
              <w:t>North America</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14,910</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48,458</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61,346</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58,506</w:t>
            </w:r>
          </w:p>
        </w:tc>
        <w:tc>
          <w:tcPr>
            <w:tcW w:w="0" w:type="dxa"/>
            <w:vAlign w:val="bottom"/>
          </w:tcPr>
          <w:p>
            <w:pPr>
              <w:spacing w:after="0"/>
              <w:rPr>
                <w:sz w:val="1"/>
                <w:szCs w:val="1"/>
                <w:color w:val="auto"/>
              </w:rPr>
            </w:pPr>
          </w:p>
        </w:tc>
      </w:tr>
      <w:tr>
        <w:trPr>
          <w:trHeight w:val="147"/>
        </w:trPr>
        <w:tc>
          <w:tcPr>
            <w:tcW w:w="2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Europe</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1,881</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7,656</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14,938</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20,027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7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111,082</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$448,984</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$601,664</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$709,508</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December 31, 2009.</w:t>
      </w:r>
    </w:p>
    <w:p>
      <w:pPr>
        <w:spacing w:after="0" w:line="86"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Net sales from the Company’s top ten largest customers accounted for 66%, 69%, 63% and 63% for the two-month period ended December 31, 2009, for the ten-month period ended October 25, 2009 and for the years ended December 31, 2008 and 2007, respectively.</w:t>
      </w:r>
    </w:p>
    <w:p>
      <w:pPr>
        <w:spacing w:after="0" w:line="74"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The Company recorded $25.3 million, $121.5 million, $152.4 million and $182.6 million of sales to one customer within its Display Solutions segment, which represents greater than 10% of net sales, for the two-month period ended December 31, 2009, for the ten-month period ended October 25, 2009 and for the years ended December 31, 2008 and 2007, respectively.</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51" w:name="page252"/>
    <w:bookmarkEnd w:id="2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680" w:right="7400" w:firstLine="7"/>
        <w:spacing w:after="0" w:line="391" w:lineRule="auto"/>
        <w:tabs>
          <w:tab w:leader="none" w:pos="1181" w:val="left"/>
        </w:tabs>
        <w:numPr>
          <w:ilvl w:val="0"/>
          <w:numId w:val="18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Operating Agreements with Hynix</w:t>
      </w:r>
    </w:p>
    <w:p>
      <w:pPr>
        <w:spacing w:after="0" w:line="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the acquisition of the non-memory semiconductor business from Hynix on October 4, 2004 (the “Original Acquisition”), the Company entered into several agreements with Hynix, including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certain of these services lasts indefinitely.</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Upon the closing of the Original Acquisition, MagnaChip Korea and Hynix also entered into lease agreements under which MagnaChip Korea leases space from Hynix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leases certain land from Hynix located in Cheongju, Korea. The term of this lease is indefinite unless otherwise agreed by the parties, and as long as the buildings remain on the lease site and are owned and used by the Company for permitted uses.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Company leases land, office building and equipment under various operating lease agreements that expire through 2034. Rental expenses were approximately $2,472 thousand, $11,775 thousand, $13,380 thousand and $11,614 thousand for the two-month period ended December 31, 2009, for the ten-month period ended October 25, 2009 and for the years ended December 31, 2008 and 2007, respectively.</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80" w:type="dxa"/>
            <w:vAlign w:val="bottom"/>
            <w:gridSpan w:val="2"/>
          </w:tcPr>
          <w:p>
            <w:pPr>
              <w:ind w:left="500"/>
              <w:spacing w:after="0"/>
              <w:rPr>
                <w:sz w:val="20"/>
                <w:szCs w:val="20"/>
                <w:color w:val="auto"/>
              </w:rPr>
            </w:pPr>
            <w:r>
              <w:rPr>
                <w:rFonts w:ascii="Arial" w:cs="Arial" w:eastAsia="Arial" w:hAnsi="Arial"/>
                <w:sz w:val="13"/>
                <w:szCs w:val="13"/>
                <w:color w:val="auto"/>
              </w:rPr>
              <w:t>As of December 31, 2009, the minimum aggregate rental payments due under non-cancelable lease contracts are as follows: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0"/>
        </w:trPr>
        <w:tc>
          <w:tcPr>
            <w:tcW w:w="9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7"/>
        </w:trPr>
        <w:tc>
          <w:tcPr>
            <w:tcW w:w="9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2010</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6,840</w:t>
            </w:r>
          </w:p>
        </w:tc>
      </w:tr>
      <w:tr>
        <w:trPr>
          <w:trHeight w:val="147"/>
        </w:trPr>
        <w:tc>
          <w:tcPr>
            <w:tcW w:w="9200" w:type="dxa"/>
            <w:vAlign w:val="bottom"/>
          </w:tcPr>
          <w:p>
            <w:pPr>
              <w:spacing w:after="0" w:line="148" w:lineRule="exact"/>
              <w:rPr>
                <w:sz w:val="20"/>
                <w:szCs w:val="20"/>
                <w:color w:val="auto"/>
              </w:rPr>
            </w:pPr>
            <w:r>
              <w:rPr>
                <w:rFonts w:ascii="Arial" w:cs="Arial" w:eastAsia="Arial" w:hAnsi="Arial"/>
                <w:sz w:val="13"/>
                <w:szCs w:val="13"/>
                <w:color w:val="auto"/>
              </w:rPr>
              <w:t>2011</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2012</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tcPr>
          <w:p>
            <w:pPr>
              <w:spacing w:after="0" w:line="148" w:lineRule="exact"/>
              <w:rPr>
                <w:sz w:val="20"/>
                <w:szCs w:val="20"/>
                <w:color w:val="auto"/>
              </w:rPr>
            </w:pPr>
            <w:r>
              <w:rPr>
                <w:rFonts w:ascii="Arial" w:cs="Arial" w:eastAsia="Arial" w:hAnsi="Arial"/>
                <w:sz w:val="13"/>
                <w:szCs w:val="13"/>
                <w:color w:val="auto"/>
              </w:rPr>
              <w:t>2013</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tcPr>
          <w:p>
            <w:pPr>
              <w:spacing w:after="0" w:line="148" w:lineRule="exact"/>
              <w:rPr>
                <w:sz w:val="20"/>
                <w:szCs w:val="20"/>
                <w:color w:val="auto"/>
              </w:rPr>
            </w:pPr>
            <w:r>
              <w:rPr>
                <w:rFonts w:ascii="Arial" w:cs="Arial" w:eastAsia="Arial" w:hAnsi="Arial"/>
                <w:sz w:val="13"/>
                <w:szCs w:val="13"/>
                <w:color w:val="auto"/>
              </w:rPr>
              <w:t>2015 and thereafter</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37,244</w:t>
            </w:r>
          </w:p>
        </w:tc>
      </w:tr>
      <w:tr>
        <w:trPr>
          <w:trHeight w:val="20"/>
        </w:trPr>
        <w:tc>
          <w:tcPr>
            <w:tcW w:w="9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380" w:type="dxa"/>
            <w:vAlign w:val="bottom"/>
            <w:gridSpan w:val="2"/>
            <w:shd w:val="clear" w:color="auto" w:fill="CCEEFF"/>
          </w:tcPr>
          <w:p>
            <w:pPr>
              <w:ind w:left="920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51,616</w:t>
            </w:r>
          </w:p>
        </w:tc>
      </w:tr>
      <w:tr>
        <w:trPr>
          <w:trHeight w:val="29"/>
        </w:trPr>
        <w:tc>
          <w:tcPr>
            <w:tcW w:w="9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Payments of Guarantee</w:t>
      </w:r>
    </w:p>
    <w:p>
      <w:pPr>
        <w:spacing w:after="0" w:line="102"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As of December 31, 2009 and 2008, the Company has provided guarantees for bank loans that employees borrowed to participate in the issuance of new shares of Hynix in 1999. The outstanding balances of guarantees for payments provided by the Company amounted to approximately $163 thousand and $138 thousand as of December 31, 2009 and 2008, respectively.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Contingency</w:t>
      </w:r>
    </w:p>
    <w:p>
      <w:pPr>
        <w:spacing w:after="0" w:line="102"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2" w:name="page253"/>
    <w:bookmarkEnd w:id="2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4" w:lineRule="exact"/>
        <w:rPr>
          <w:sz w:val="20"/>
          <w:szCs w:val="20"/>
          <w:color w:val="auto"/>
        </w:rPr>
      </w:pPr>
    </w:p>
    <w:p>
      <w:pPr>
        <w:ind w:left="680" w:right="100"/>
        <w:spacing w:after="0" w:line="242" w:lineRule="auto"/>
        <w:rPr>
          <w:sz w:val="20"/>
          <w:szCs w:val="20"/>
          <w:color w:val="auto"/>
        </w:rPr>
      </w:pPr>
      <w:r>
        <w:rPr>
          <w:rFonts w:ascii="Arial" w:cs="Arial" w:eastAsia="Arial" w:hAnsi="Arial"/>
          <w:sz w:val="13"/>
          <w:szCs w:val="13"/>
          <w:color w:val="auto"/>
        </w:rPr>
        <w:t>to ASC 450 ‘Contingencies‘ (“ASC 450”). The Company accrued $718 thousand of estimated liabilities as of October 25 and December 31, 2009 as the Company believes its accrual of $718 thousand is its best estimate if the final outcome is unfavorable. Estimation was based on the Company’s most recent communication with Samsung Fiber Optics. Accordingly, the Company cannot provide assurance that the estimated liabilities will be realized, and actual results could vary materially.</w:t>
      </w:r>
    </w:p>
    <w:p>
      <w:pPr>
        <w:spacing w:after="0" w:line="141" w:lineRule="exact"/>
        <w:rPr>
          <w:sz w:val="20"/>
          <w:szCs w:val="20"/>
          <w:color w:val="auto"/>
        </w:rPr>
      </w:pPr>
    </w:p>
    <w:p>
      <w:pPr>
        <w:ind w:left="680" w:right="7780" w:firstLine="7"/>
        <w:spacing w:after="0" w:line="391" w:lineRule="auto"/>
        <w:tabs>
          <w:tab w:leader="none" w:pos="1181" w:val="left"/>
        </w:tabs>
        <w:numPr>
          <w:ilvl w:val="0"/>
          <w:numId w:val="1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Related Party Transactions </w:t>
      </w:r>
      <w:r>
        <w:rPr>
          <w:rFonts w:ascii="Arial" w:cs="Arial" w:eastAsia="Arial" w:hAnsi="Arial"/>
          <w:sz w:val="13"/>
          <w:szCs w:val="13"/>
          <w:b w:val="1"/>
          <w:bCs w:val="1"/>
          <w:i w:val="1"/>
          <w:iCs w:val="1"/>
          <w:color w:val="auto"/>
        </w:rPr>
        <w:t>Stockholders</w:t>
      </w:r>
    </w:p>
    <w:p>
      <w:pPr>
        <w:spacing w:after="0" w:line="1" w:lineRule="exact"/>
        <w:rPr>
          <w:sz w:val="20"/>
          <w:szCs w:val="20"/>
          <w:color w:val="auto"/>
        </w:rPr>
      </w:pPr>
    </w:p>
    <w:p>
      <w:pPr>
        <w:ind w:left="680" w:right="540" w:firstLine="499"/>
        <w:spacing w:after="0" w:line="248" w:lineRule="auto"/>
        <w:rPr>
          <w:sz w:val="20"/>
          <w:szCs w:val="20"/>
          <w:color w:val="auto"/>
        </w:rPr>
      </w:pPr>
      <w:r>
        <w:rPr>
          <w:rFonts w:ascii="Arial" w:cs="Arial" w:eastAsia="Arial" w:hAnsi="Arial"/>
          <w:sz w:val="13"/>
          <w:szCs w:val="13"/>
          <w:color w:val="auto"/>
        </w:rPr>
        <w:t>Funds affiliated with Avenue Capital Management II, L.P. are the majority stockholders of the Company, owning 69.8% of the common stock outstanding at December 31,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Backstop Commitment Agreement</w:t>
      </w:r>
    </w:p>
    <w:p>
      <w:pPr>
        <w:spacing w:after="0" w:line="102" w:lineRule="exact"/>
        <w:rPr>
          <w:sz w:val="20"/>
          <w:szCs w:val="20"/>
          <w:color w:val="auto"/>
        </w:rPr>
      </w:pPr>
    </w:p>
    <w:p>
      <w:pPr>
        <w:ind w:left="680" w:right="280" w:firstLine="499"/>
        <w:spacing w:after="0" w:line="242" w:lineRule="auto"/>
        <w:rPr>
          <w:sz w:val="20"/>
          <w:szCs w:val="20"/>
          <w:color w:val="auto"/>
        </w:rPr>
      </w:pPr>
      <w:r>
        <w:rPr>
          <w:rFonts w:ascii="Arial" w:cs="Arial" w:eastAsia="Arial" w:hAnsi="Arial"/>
          <w:sz w:val="13"/>
          <w:szCs w:val="13"/>
          <w:color w:val="auto"/>
        </w:rPr>
        <w:t>Funds affiliated with Avenue Capital Management II, L.P. were paid an amount in new common stock equal to 10% of the new common stock (the “standby commitment fee”), or 3,750 thousand shares The standby commitment fee was deemed fully earned and payable upon the Reorganization Effective Date, regardless of whether the offering was fully subscribed by eligible holders of the second lien noteholder claims.</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Arial" w:cs="Arial" w:eastAsia="Arial" w:hAnsi="Arial"/>
                <w:sz w:val="13"/>
                <w:szCs w:val="13"/>
                <w:b w:val="1"/>
                <w:bCs w:val="1"/>
                <w:i w:val="1"/>
                <w:iCs w:val="1"/>
                <w:color w:val="auto"/>
              </w:rPr>
              <w:t>Loans to employees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500"/>
              <w:spacing w:after="0"/>
              <w:rPr>
                <w:sz w:val="20"/>
                <w:szCs w:val="20"/>
                <w:color w:val="auto"/>
              </w:rPr>
            </w:pPr>
            <w:r>
              <w:rPr>
                <w:rFonts w:ascii="Arial" w:cs="Arial" w:eastAsia="Arial" w:hAnsi="Arial"/>
                <w:sz w:val="13"/>
                <w:szCs w:val="13"/>
                <w:color w:val="auto"/>
              </w:rPr>
              <w:t>Loans to employees as of December 31, 2009 and 2008 were as follows: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620" w:type="dxa"/>
            <w:vAlign w:val="bottom"/>
          </w:tcPr>
          <w:p>
            <w:pPr>
              <w:spacing w:after="0"/>
              <w:rPr>
                <w:sz w:val="7"/>
                <w:szCs w:val="7"/>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620" w:type="dxa"/>
            <w:vAlign w:val="bottom"/>
          </w:tcPr>
          <w:p>
            <w:pPr>
              <w:spacing w:after="0"/>
              <w:rPr>
                <w:sz w:val="10"/>
                <w:szCs w:val="10"/>
                <w:color w:val="auto"/>
              </w:rPr>
            </w:pPr>
          </w:p>
        </w:tc>
        <w:tc>
          <w:tcPr>
            <w:tcW w:w="15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662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2008</w:t>
            </w:r>
          </w:p>
        </w:tc>
        <w:tc>
          <w:tcPr>
            <w:tcW w:w="0" w:type="dxa"/>
            <w:vAlign w:val="bottom"/>
          </w:tcPr>
          <w:p>
            <w:pPr>
              <w:spacing w:after="0"/>
              <w:rPr>
                <w:sz w:val="1"/>
                <w:szCs w:val="1"/>
                <w:color w:val="auto"/>
              </w:rPr>
            </w:pPr>
          </w:p>
        </w:tc>
      </w:tr>
      <w:tr>
        <w:trPr>
          <w:trHeight w:val="137"/>
        </w:trPr>
        <w:tc>
          <w:tcPr>
            <w:tcW w:w="6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Short-term loans</w:t>
            </w:r>
          </w:p>
        </w:tc>
        <w:tc>
          <w:tcPr>
            <w:tcW w:w="1540" w:type="dxa"/>
            <w:vAlign w:val="bottom"/>
            <w:gridSpan w:val="3"/>
            <w:shd w:val="clear" w:color="auto" w:fill="CCEEFF"/>
          </w:tcPr>
          <w:p>
            <w:pPr>
              <w:jc w:val="right"/>
              <w:ind w:right="700"/>
              <w:spacing w:after="0" w:line="138" w:lineRule="exact"/>
              <w:rPr>
                <w:sz w:val="20"/>
                <w:szCs w:val="20"/>
                <w:color w:val="auto"/>
              </w:rPr>
            </w:pPr>
            <w:r>
              <w:rPr>
                <w:rFonts w:ascii="Arial" w:cs="Arial" w:eastAsia="Arial" w:hAnsi="Arial"/>
                <w:sz w:val="13"/>
                <w:szCs w:val="13"/>
                <w:color w:val="auto"/>
              </w:rPr>
              <w:t>$ 40</w:t>
            </w:r>
          </w:p>
        </w:tc>
        <w:tc>
          <w:tcPr>
            <w:tcW w:w="120" w:type="dxa"/>
            <w:vAlign w:val="bottom"/>
            <w:tcBorders>
              <w:right w:val="single" w:sz="8" w:color="auto"/>
            </w:tcBorders>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700"/>
              <w:spacing w:after="0" w:line="138"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47"/>
        </w:trPr>
        <w:tc>
          <w:tcPr>
            <w:tcW w:w="6620" w:type="dxa"/>
            <w:vAlign w:val="bottom"/>
          </w:tcPr>
          <w:p>
            <w:pPr>
              <w:spacing w:after="0" w:line="148" w:lineRule="exact"/>
              <w:rPr>
                <w:sz w:val="20"/>
                <w:szCs w:val="20"/>
                <w:color w:val="auto"/>
              </w:rPr>
            </w:pPr>
            <w:r>
              <w:rPr>
                <w:rFonts w:ascii="Arial" w:cs="Arial" w:eastAsia="Arial" w:hAnsi="Arial"/>
                <w:sz w:val="13"/>
                <w:szCs w:val="13"/>
                <w:color w:val="auto"/>
              </w:rPr>
              <w:t>Long-term loans</w:t>
            </w:r>
          </w:p>
        </w:tc>
        <w:tc>
          <w:tcPr>
            <w:tcW w:w="700" w:type="dxa"/>
            <w:vAlign w:val="bottom"/>
          </w:tcPr>
          <w:p>
            <w:pPr>
              <w:spacing w:after="0"/>
              <w:rPr>
                <w:sz w:val="12"/>
                <w:szCs w:val="12"/>
                <w:color w:val="auto"/>
              </w:rPr>
            </w:pPr>
          </w:p>
        </w:tc>
        <w:tc>
          <w:tcPr>
            <w:tcW w:w="840" w:type="dxa"/>
            <w:vAlign w:val="bottom"/>
            <w:gridSpan w:val="2"/>
          </w:tcPr>
          <w:p>
            <w:pPr>
              <w:jc w:val="right"/>
              <w:ind w:right="700"/>
              <w:spacing w:after="0" w:line="148" w:lineRule="exact"/>
              <w:rPr>
                <w:sz w:val="20"/>
                <w:szCs w:val="20"/>
                <w:color w:val="auto"/>
              </w:rPr>
            </w:pPr>
            <w:r>
              <w:rPr>
                <w:rFonts w:ascii="Arial" w:cs="Arial" w:eastAsia="Arial" w:hAnsi="Arial"/>
                <w:sz w:val="13"/>
                <w:szCs w:val="13"/>
                <w:color w:val="auto"/>
                <w:w w:val="82"/>
              </w:rPr>
              <w:t>45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gridSpan w:val="2"/>
          </w:tcPr>
          <w:p>
            <w:pPr>
              <w:jc w:val="right"/>
              <w:ind w:right="700"/>
              <w:spacing w:after="0" w:line="148"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1540" w:type="dxa"/>
            <w:vAlign w:val="bottom"/>
            <w:gridSpan w:val="3"/>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$85</w:t>
            </w:r>
          </w:p>
        </w:tc>
        <w:tc>
          <w:tcPr>
            <w:tcW w:w="12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w w:val="92"/>
              </w:rPr>
              <w:t>140</w:t>
            </w:r>
          </w:p>
        </w:tc>
        <w:tc>
          <w:tcPr>
            <w:tcW w:w="0" w:type="dxa"/>
            <w:vAlign w:val="bottom"/>
          </w:tcPr>
          <w:p>
            <w:pPr>
              <w:spacing w:after="0"/>
              <w:rPr>
                <w:sz w:val="1"/>
                <w:szCs w:val="1"/>
                <w:color w:val="auto"/>
              </w:rPr>
            </w:pPr>
          </w:p>
        </w:tc>
      </w:tr>
      <w:tr>
        <w:trPr>
          <w:trHeight w:val="39"/>
        </w:trPr>
        <w:tc>
          <w:tcPr>
            <w:tcW w:w="6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New Term Loan</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A portion of the new term loan equal to $42,055 thousand was borrowed from Avenue Investments, LP, which is an affiliate of Avenue Capital Management II, L.P., and related interest expense of $822 thousand was recorded in relation to this new term loan and remains as accrued interest as of December 31,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Warrants</w:t>
      </w:r>
    </w:p>
    <w:p>
      <w:pPr>
        <w:spacing w:after="0" w:line="102"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Funds affiliated with Avenue Capital Management II, L.P. own warrants for the purchase of 556 thousand common shares out of the total warrants for the purchase of 1,875 thousand shares outstanding as of December 31, 2009.</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3" w:name="page254"/>
    <w:bookmarkEnd w:id="2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1180" w:hanging="493"/>
        <w:spacing w:after="0"/>
        <w:tabs>
          <w:tab w:leader="none" w:pos="1180" w:val="left"/>
        </w:tabs>
        <w:numPr>
          <w:ilvl w:val="0"/>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Share/Unit</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share/unit:</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120" w:type="dxa"/>
            <w:vAlign w:val="bottom"/>
          </w:tcPr>
          <w:p>
            <w:pPr>
              <w:spacing w:after="0"/>
              <w:rPr>
                <w:sz w:val="14"/>
                <w:szCs w:val="14"/>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21"/>
        </w:trPr>
        <w:tc>
          <w:tcPr>
            <w:tcW w:w="3120" w:type="dxa"/>
            <w:vAlign w:val="bottom"/>
          </w:tcPr>
          <w:p>
            <w:pPr>
              <w:spacing w:after="0"/>
              <w:rPr>
                <w:sz w:val="10"/>
                <w:szCs w:val="10"/>
                <w:color w:val="auto"/>
              </w:rPr>
            </w:pPr>
          </w:p>
        </w:tc>
        <w:tc>
          <w:tcPr>
            <w:tcW w:w="1580" w:type="dxa"/>
            <w:vAlign w:val="bottom"/>
            <w:gridSpan w:val="3"/>
          </w:tcPr>
          <w:p>
            <w:pPr>
              <w:ind w:left="440"/>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3"/>
          </w:tcPr>
          <w:p>
            <w:pPr>
              <w:ind w:left="44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7"/>
        </w:trPr>
        <w:tc>
          <w:tcPr>
            <w:tcW w:w="3120" w:type="dxa"/>
            <w:vAlign w:val="bottom"/>
          </w:tcPr>
          <w:p>
            <w:pPr>
              <w:spacing w:after="0"/>
              <w:rPr>
                <w:sz w:val="12"/>
                <w:szCs w:val="12"/>
                <w:color w:val="auto"/>
              </w:rPr>
            </w:pPr>
          </w:p>
        </w:tc>
        <w:tc>
          <w:tcPr>
            <w:tcW w:w="15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3120" w:type="dxa"/>
            <w:vAlign w:val="bottom"/>
          </w:tcPr>
          <w:p>
            <w:pPr>
              <w:spacing w:after="0"/>
              <w:rPr>
                <w:sz w:val="12"/>
                <w:szCs w:val="12"/>
                <w:color w:val="auto"/>
              </w:rPr>
            </w:pPr>
          </w:p>
        </w:tc>
        <w:tc>
          <w:tcPr>
            <w:tcW w:w="15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2"/>
                <w:szCs w:val="12"/>
                <w:color w:val="auto"/>
              </w:rPr>
            </w:pPr>
          </w:p>
        </w:tc>
        <w:tc>
          <w:tcPr>
            <w:tcW w:w="15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3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2007</w:t>
            </w:r>
          </w:p>
        </w:tc>
        <w:tc>
          <w:tcPr>
            <w:tcW w:w="520" w:type="dxa"/>
            <w:vAlign w:val="bottom"/>
            <w:tcBorders>
              <w:bottom w:val="single" w:sz="8" w:color="auto"/>
            </w:tcBorders>
          </w:tcPr>
          <w:p>
            <w:pPr>
              <w:spacing w:after="0"/>
              <w:rPr>
                <w:sz w:val="14"/>
                <w:szCs w:val="14"/>
                <w:color w:val="auto"/>
              </w:rPr>
            </w:pPr>
          </w:p>
        </w:tc>
      </w:tr>
      <w:tr>
        <w:trPr>
          <w:trHeight w:val="108"/>
        </w:trPr>
        <w:tc>
          <w:tcPr>
            <w:tcW w:w="31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(loss) from continuing operations</w:t>
            </w:r>
          </w:p>
        </w:tc>
        <w:tc>
          <w:tcPr>
            <w:tcW w:w="520" w:type="dxa"/>
            <w:vAlign w:val="bottom"/>
            <w:shd w:val="clear" w:color="auto" w:fill="CCEEFF"/>
          </w:tcPr>
          <w:p>
            <w:pPr>
              <w:ind w:left="460"/>
              <w:spacing w:after="0" w:line="108" w:lineRule="exact"/>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80"/>
              <w:spacing w:after="0" w:line="108" w:lineRule="exact"/>
              <w:rPr>
                <w:sz w:val="20"/>
                <w:szCs w:val="20"/>
                <w:color w:val="auto"/>
              </w:rPr>
            </w:pPr>
            <w:r>
              <w:rPr>
                <w:rFonts w:ascii="Arial" w:cs="Arial" w:eastAsia="Arial" w:hAnsi="Arial"/>
                <w:sz w:val="10"/>
                <w:szCs w:val="10"/>
                <w:color w:val="auto"/>
              </w:rPr>
              <w:t>(2,473)</w:t>
            </w:r>
          </w:p>
        </w:tc>
        <w:tc>
          <w:tcPr>
            <w:tcW w:w="120" w:type="dxa"/>
            <w:vAlign w:val="bottom"/>
            <w:tcBorders>
              <w:right w:val="single" w:sz="8" w:color="auto"/>
            </w:tcBorders>
            <w:shd w:val="clear" w:color="auto" w:fill="CCEEFF"/>
          </w:tcPr>
          <w:p>
            <w:pPr>
              <w:spacing w:after="0"/>
              <w:rPr>
                <w:sz w:val="9"/>
                <w:szCs w:val="9"/>
                <w:color w:val="auto"/>
              </w:rPr>
            </w:pPr>
          </w:p>
        </w:tc>
        <w:tc>
          <w:tcPr>
            <w:tcW w:w="580" w:type="dxa"/>
            <w:vAlign w:val="bottom"/>
            <w:gridSpan w:val="2"/>
            <w:shd w:val="clear" w:color="auto" w:fill="CCEEFF"/>
          </w:tcPr>
          <w:p>
            <w:pPr>
              <w:ind w:left="520"/>
              <w:spacing w:after="0" w:line="108" w:lineRule="exact"/>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line="108" w:lineRule="exact"/>
              <w:rPr>
                <w:sz w:val="20"/>
                <w:szCs w:val="20"/>
                <w:color w:val="auto"/>
              </w:rPr>
            </w:pPr>
            <w:r>
              <w:rPr>
                <w:rFonts w:ascii="Arial" w:cs="Arial" w:eastAsia="Arial" w:hAnsi="Arial"/>
                <w:sz w:val="10"/>
                <w:szCs w:val="10"/>
                <w:color w:val="auto"/>
              </w:rPr>
              <w:t>834,520</w:t>
            </w: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line="108" w:lineRule="exact"/>
              <w:rPr>
                <w:sz w:val="20"/>
                <w:szCs w:val="20"/>
                <w:color w:val="auto"/>
              </w:rPr>
            </w:pPr>
            <w:r>
              <w:rPr>
                <w:rFonts w:ascii="Arial" w:cs="Arial" w:eastAsia="Arial" w:hAnsi="Arial"/>
                <w:sz w:val="10"/>
                <w:szCs w:val="10"/>
                <w:color w:val="auto"/>
              </w:rPr>
              <w:t>(325,839)</w:t>
            </w:r>
          </w:p>
        </w:tc>
        <w:tc>
          <w:tcPr>
            <w:tcW w:w="7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line="108" w:lineRule="exact"/>
              <w:rPr>
                <w:sz w:val="20"/>
                <w:szCs w:val="20"/>
                <w:color w:val="auto"/>
              </w:rPr>
            </w:pPr>
            <w:r>
              <w:rPr>
                <w:rFonts w:ascii="Arial" w:cs="Arial" w:eastAsia="Arial" w:hAnsi="Arial"/>
                <w:sz w:val="10"/>
                <w:szCs w:val="10"/>
                <w:color w:val="auto"/>
              </w:rPr>
              <w:t>(128,826)</w:t>
            </w:r>
          </w:p>
        </w:tc>
      </w:tr>
      <w:tr>
        <w:trPr>
          <w:trHeight w:val="118"/>
        </w:trPr>
        <w:tc>
          <w:tcPr>
            <w:tcW w:w="3120" w:type="dxa"/>
            <w:vAlign w:val="bottom"/>
          </w:tcPr>
          <w:p>
            <w:pPr>
              <w:spacing w:after="0"/>
              <w:rPr>
                <w:sz w:val="20"/>
                <w:szCs w:val="20"/>
                <w:color w:val="auto"/>
              </w:rPr>
            </w:pPr>
            <w:r>
              <w:rPr>
                <w:rFonts w:ascii="Arial" w:cs="Arial" w:eastAsia="Arial" w:hAnsi="Arial"/>
                <w:sz w:val="10"/>
                <w:szCs w:val="10"/>
                <w:color w:val="auto"/>
              </w:rPr>
              <w:t>Income (loss) from discontinued operations, net of taxes</w:t>
            </w:r>
          </w:p>
        </w:tc>
        <w:tc>
          <w:tcPr>
            <w:tcW w:w="520" w:type="dxa"/>
            <w:vAlign w:val="bottom"/>
          </w:tcPr>
          <w:p>
            <w:pPr>
              <w:spacing w:after="0"/>
              <w:rPr>
                <w:sz w:val="10"/>
                <w:szCs w:val="1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0"/>
                <w:szCs w:val="10"/>
                <w:color w:val="auto"/>
              </w:rPr>
              <w:t>510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6,586</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(91,455)</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(51,724)</w:t>
            </w:r>
          </w:p>
        </w:tc>
      </w:tr>
      <w:tr>
        <w:trPr>
          <w:trHeight w:val="118"/>
        </w:trPr>
        <w:tc>
          <w:tcPr>
            <w:tcW w:w="312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5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rPr>
              <w:t>(1,963)</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841,116</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(417,294)</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(180,550)</w:t>
            </w:r>
          </w:p>
        </w:tc>
      </w:tr>
      <w:tr>
        <w:trPr>
          <w:trHeight w:val="118"/>
        </w:trPr>
        <w:tc>
          <w:tcPr>
            <w:tcW w:w="3120" w:type="dxa"/>
            <w:vAlign w:val="bottom"/>
          </w:tcPr>
          <w:p>
            <w:pPr>
              <w:spacing w:after="0"/>
              <w:rPr>
                <w:sz w:val="20"/>
                <w:szCs w:val="20"/>
                <w:color w:val="auto"/>
              </w:rPr>
            </w:pPr>
            <w:r>
              <w:rPr>
                <w:rFonts w:ascii="Arial" w:cs="Arial" w:eastAsia="Arial" w:hAnsi="Arial"/>
                <w:sz w:val="10"/>
                <w:szCs w:val="10"/>
                <w:color w:val="auto"/>
              </w:rPr>
              <w:t>Dividends accrued on preferred unitholders</w:t>
            </w:r>
          </w:p>
        </w:tc>
        <w:tc>
          <w:tcPr>
            <w:tcW w:w="520" w:type="dxa"/>
            <w:vAlign w:val="bottom"/>
          </w:tcPr>
          <w:p>
            <w:pPr>
              <w:spacing w:after="0"/>
              <w:rPr>
                <w:sz w:val="10"/>
                <w:szCs w:val="1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0"/>
                <w:szCs w:val="10"/>
                <w:color w:val="auto"/>
              </w:rPr>
              <w:t>(6,317)</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(13,264)</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(12,031)</w:t>
            </w:r>
          </w:p>
        </w:tc>
      </w:tr>
      <w:tr>
        <w:trPr>
          <w:trHeight w:val="121"/>
        </w:trPr>
        <w:tc>
          <w:tcPr>
            <w:tcW w:w="312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continuing operations attributable to</w:t>
            </w: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4"/>
        </w:trPr>
        <w:tc>
          <w:tcPr>
            <w:tcW w:w="3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common stock/units</w:t>
            </w:r>
          </w:p>
        </w:tc>
        <w:tc>
          <w:tcPr>
            <w:tcW w:w="520" w:type="dxa"/>
            <w:vAlign w:val="bottom"/>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rPr>
              <w:t>(2,473)</w:t>
            </w:r>
          </w:p>
        </w:tc>
        <w:tc>
          <w:tcPr>
            <w:tcW w:w="120" w:type="dxa"/>
            <w:vAlign w:val="bottom"/>
            <w:tcBorders>
              <w:right w:val="single" w:sz="8" w:color="auto"/>
            </w:tcBorders>
            <w:shd w:val="clear" w:color="auto" w:fill="CCEEFF"/>
          </w:tcPr>
          <w:p>
            <w:pPr>
              <w:spacing w:after="0"/>
              <w:rPr>
                <w:sz w:val="9"/>
                <w:szCs w:val="9"/>
                <w:color w:val="auto"/>
              </w:rPr>
            </w:pP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828,203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(339,103)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(140,857)</w:t>
            </w:r>
          </w:p>
        </w:tc>
      </w:tr>
      <w:tr>
        <w:trPr>
          <w:trHeight w:val="29"/>
        </w:trPr>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128"/>
        </w:trPr>
        <w:tc>
          <w:tcPr>
            <w:tcW w:w="3120" w:type="dxa"/>
            <w:vAlign w:val="bottom"/>
          </w:tcPr>
          <w:p>
            <w:pPr>
              <w:spacing w:after="0"/>
              <w:rPr>
                <w:sz w:val="20"/>
                <w:szCs w:val="20"/>
                <w:color w:val="auto"/>
              </w:rPr>
            </w:pPr>
            <w:r>
              <w:rPr>
                <w:rFonts w:ascii="Arial" w:cs="Arial" w:eastAsia="Arial" w:hAnsi="Arial"/>
                <w:sz w:val="10"/>
                <w:szCs w:val="10"/>
                <w:color w:val="auto"/>
              </w:rPr>
              <w:t>Net income (loss) attributable to common stock/units</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0"/>
                <w:szCs w:val="10"/>
                <w:color w:val="auto"/>
              </w:rPr>
              <w:t>(1,963)</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834,789</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(430,558)</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(192,581)</w:t>
            </w:r>
          </w:p>
        </w:tc>
      </w:tr>
      <w:tr>
        <w:trPr>
          <w:trHeight w:val="34"/>
        </w:trPr>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123"/>
        </w:trPr>
        <w:tc>
          <w:tcPr>
            <w:tcW w:w="3120" w:type="dxa"/>
            <w:vAlign w:val="bottom"/>
            <w:shd w:val="clear" w:color="auto" w:fill="CCEEFF"/>
          </w:tcPr>
          <w:p>
            <w:pPr>
              <w:spacing w:after="0"/>
              <w:rPr>
                <w:sz w:val="20"/>
                <w:szCs w:val="20"/>
                <w:color w:val="auto"/>
              </w:rPr>
            </w:pPr>
            <w:r>
              <w:rPr>
                <w:rFonts w:ascii="Arial" w:cs="Arial" w:eastAsia="Arial" w:hAnsi="Arial"/>
                <w:sz w:val="10"/>
                <w:szCs w:val="10"/>
                <w:color w:val="auto"/>
              </w:rPr>
              <w:t>Weighted average common stock/units outstanding</w:t>
            </w: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37,607,846</w:t>
            </w: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52,923,483</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0"/>
                <w:szCs w:val="10"/>
                <w:color w:val="auto"/>
                <w:w w:val="99"/>
              </w:rPr>
              <w:t>52,768,614</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0"/>
                <w:szCs w:val="10"/>
                <w:color w:val="auto"/>
              </w:rPr>
              <w:t>52,297,192</w:t>
            </w:r>
          </w:p>
        </w:tc>
      </w:tr>
      <w:tr>
        <w:trPr>
          <w:trHeight w:val="121"/>
        </w:trPr>
        <w:tc>
          <w:tcPr>
            <w:tcW w:w="3120" w:type="dxa"/>
            <w:vAlign w:val="bottom"/>
          </w:tcPr>
          <w:p>
            <w:pPr>
              <w:spacing w:after="0"/>
              <w:rPr>
                <w:sz w:val="20"/>
                <w:szCs w:val="20"/>
                <w:color w:val="auto"/>
              </w:rPr>
            </w:pPr>
            <w:r>
              <w:rPr>
                <w:rFonts w:ascii="Arial" w:cs="Arial" w:eastAsia="Arial" w:hAnsi="Arial"/>
                <w:sz w:val="10"/>
                <w:szCs w:val="10"/>
                <w:color w:val="auto"/>
              </w:rPr>
              <w:t>Basic and diluted earnings (loss) per share/unit from continuing</w:t>
            </w:r>
          </w:p>
        </w:tc>
        <w:tc>
          <w:tcPr>
            <w:tcW w:w="5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r>
      <w:tr>
        <w:trPr>
          <w:trHeight w:val="129"/>
        </w:trPr>
        <w:tc>
          <w:tcPr>
            <w:tcW w:w="3120" w:type="dxa"/>
            <w:vAlign w:val="bottom"/>
          </w:tcPr>
          <w:p>
            <w:pPr>
              <w:ind w:left="120"/>
              <w:spacing w:after="0"/>
              <w:rPr>
                <w:sz w:val="20"/>
                <w:szCs w:val="20"/>
                <w:color w:val="auto"/>
              </w:rPr>
            </w:pPr>
            <w:r>
              <w:rPr>
                <w:rFonts w:ascii="Arial" w:cs="Arial" w:eastAsia="Arial" w:hAnsi="Arial"/>
                <w:sz w:val="10"/>
                <w:szCs w:val="10"/>
                <w:color w:val="auto"/>
              </w:rPr>
              <w:t>operations</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0"/>
                <w:szCs w:val="10"/>
                <w:color w:val="auto"/>
              </w:rPr>
              <w:t>(0.07)</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15.65</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(6.43)</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(2.69)</w:t>
            </w:r>
          </w:p>
        </w:tc>
      </w:tr>
      <w:tr>
        <w:trPr>
          <w:trHeight w:val="126"/>
        </w:trPr>
        <w:tc>
          <w:tcPr>
            <w:tcW w:w="3120" w:type="dxa"/>
            <w:vAlign w:val="bottom"/>
            <w:shd w:val="clear" w:color="auto" w:fill="CCEEFF"/>
          </w:tcPr>
          <w:p>
            <w:pPr>
              <w:spacing w:after="0"/>
              <w:rPr>
                <w:sz w:val="20"/>
                <w:szCs w:val="20"/>
                <w:color w:val="auto"/>
              </w:rPr>
            </w:pPr>
            <w:r>
              <w:rPr>
                <w:rFonts w:ascii="Arial" w:cs="Arial" w:eastAsia="Arial" w:hAnsi="Arial"/>
                <w:sz w:val="10"/>
                <w:szCs w:val="10"/>
                <w:color w:val="auto"/>
              </w:rPr>
              <w:t>Basic and diluted earnings (loss) per share/unit from</w:t>
            </w: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4"/>
        </w:trPr>
        <w:tc>
          <w:tcPr>
            <w:tcW w:w="3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discontinued operations</w:t>
            </w:r>
          </w:p>
        </w:tc>
        <w:tc>
          <w:tcPr>
            <w:tcW w:w="5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5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(1.73)</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(0.99)</w:t>
            </w:r>
          </w:p>
        </w:tc>
      </w:tr>
      <w:tr>
        <w:trPr>
          <w:trHeight w:val="29"/>
        </w:trPr>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128"/>
        </w:trPr>
        <w:tc>
          <w:tcPr>
            <w:tcW w:w="3120" w:type="dxa"/>
            <w:vAlign w:val="bottom"/>
          </w:tcPr>
          <w:p>
            <w:pPr>
              <w:spacing w:after="0"/>
              <w:rPr>
                <w:sz w:val="20"/>
                <w:szCs w:val="20"/>
                <w:color w:val="auto"/>
              </w:rPr>
            </w:pPr>
            <w:r>
              <w:rPr>
                <w:rFonts w:ascii="Arial" w:cs="Arial" w:eastAsia="Arial" w:hAnsi="Arial"/>
                <w:sz w:val="10"/>
                <w:szCs w:val="10"/>
                <w:color w:val="auto"/>
              </w:rPr>
              <w:t>Basic and diluted net earnings (loss) per share/unit</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0"/>
                <w:szCs w:val="10"/>
                <w:color w:val="auto"/>
              </w:rPr>
              <w:t>(0.05)</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15.77</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(8.16)</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(3.68)</w:t>
            </w:r>
          </w:p>
        </w:tc>
      </w:tr>
      <w:tr>
        <w:trPr>
          <w:trHeight w:val="39"/>
        </w:trPr>
        <w:tc>
          <w:tcPr>
            <w:tcW w:w="3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r>
    </w:tbl>
    <w:p>
      <w:pPr>
        <w:spacing w:after="0" w:line="88" w:lineRule="exact"/>
        <w:rPr>
          <w:sz w:val="20"/>
          <w:szCs w:val="20"/>
          <w:color w:val="auto"/>
        </w:rPr>
      </w:pPr>
    </w:p>
    <w:p>
      <w:pPr>
        <w:ind w:left="680" w:right="1080" w:firstLine="499"/>
        <w:spacing w:after="0" w:line="248" w:lineRule="auto"/>
        <w:rPr>
          <w:sz w:val="20"/>
          <w:szCs w:val="20"/>
          <w:color w:val="auto"/>
        </w:rPr>
      </w:pPr>
      <w:r>
        <w:rPr>
          <w:rFonts w:ascii="Arial" w:cs="Arial" w:eastAsia="Arial" w:hAnsi="Arial"/>
          <w:sz w:val="13"/>
          <w:szCs w:val="13"/>
          <w:color w:val="auto"/>
        </w:rPr>
        <w:t>The following outstanding redeemable convertible preferred units, stock/unit options, restricted stock/units and warrants were excluded from the computation of diluted earnings (loss) per share/unit, as they would have an anti-dilutive effect on the calculation: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60" w:type="dxa"/>
            <w:vAlign w:val="bottom"/>
          </w:tcPr>
          <w:p>
            <w:pPr>
              <w:spacing w:after="0"/>
              <w:rPr>
                <w:sz w:val="12"/>
                <w:szCs w:val="12"/>
                <w:color w:val="auto"/>
              </w:rPr>
            </w:pPr>
          </w:p>
        </w:tc>
        <w:tc>
          <w:tcPr>
            <w:tcW w:w="1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right w:val="single" w:sz="8" w:color="auto"/>
            </w:tcBorders>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rPr>
              <w:t>2009</w:t>
            </w:r>
          </w:p>
        </w:tc>
        <w:tc>
          <w:tcPr>
            <w:tcW w:w="202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2008</w:t>
            </w:r>
          </w:p>
        </w:tc>
        <w:tc>
          <w:tcPr>
            <w:tcW w:w="202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2007</w:t>
            </w:r>
          </w:p>
        </w:tc>
        <w:tc>
          <w:tcPr>
            <w:tcW w:w="800" w:type="dxa"/>
            <w:vAlign w:val="bottom"/>
          </w:tcPr>
          <w:p>
            <w:pPr>
              <w:spacing w:after="0"/>
              <w:rPr>
                <w:sz w:val="14"/>
                <w:szCs w:val="14"/>
                <w:color w:val="auto"/>
              </w:rPr>
            </w:pPr>
          </w:p>
        </w:tc>
      </w:tr>
      <w:tr>
        <w:trPr>
          <w:trHeight w:val="137"/>
        </w:trPr>
        <w:tc>
          <w:tcPr>
            <w:tcW w:w="680" w:type="dxa"/>
            <w:vAlign w:val="bottom"/>
          </w:tcPr>
          <w:p>
            <w:pPr>
              <w:spacing w:after="0"/>
              <w:rPr>
                <w:sz w:val="11"/>
                <w:szCs w:val="11"/>
                <w:color w:val="auto"/>
              </w:rPr>
            </w:pPr>
          </w:p>
        </w:tc>
        <w:tc>
          <w:tcPr>
            <w:tcW w:w="23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Redeemable convertible preferred</w:t>
            </w:r>
          </w:p>
        </w:tc>
        <w:tc>
          <w:tcPr>
            <w:tcW w:w="174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680" w:type="dxa"/>
            <w:vAlign w:val="bottom"/>
          </w:tcPr>
          <w:p>
            <w:pPr>
              <w:spacing w:after="0"/>
              <w:rPr>
                <w:sz w:val="12"/>
                <w:szCs w:val="12"/>
                <w:color w:val="auto"/>
              </w:rPr>
            </w:pPr>
          </w:p>
        </w:tc>
        <w:tc>
          <w:tcPr>
            <w:tcW w:w="23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units</w:t>
            </w:r>
          </w:p>
        </w:tc>
        <w:tc>
          <w:tcPr>
            <w:tcW w:w="1740" w:type="dxa"/>
            <w:vAlign w:val="bottom"/>
            <w:shd w:val="clear" w:color="auto" w:fill="CCEEFF"/>
          </w:tcPr>
          <w:p>
            <w:pPr>
              <w:jc w:val="right"/>
              <w:ind w:right="514"/>
              <w:spacing w:after="0" w:line="148" w:lineRule="exact"/>
              <w:rPr>
                <w:sz w:val="20"/>
                <w:szCs w:val="20"/>
                <w:color w:val="auto"/>
              </w:rPr>
            </w:pPr>
            <w:r>
              <w:rPr>
                <w:rFonts w:ascii="Arial" w:cs="Arial" w:eastAsia="Arial" w:hAnsi="Arial"/>
                <w:sz w:val="13"/>
                <w:szCs w:val="13"/>
                <w:color w:val="auto"/>
              </w:rPr>
              <w:t>NA</w:t>
            </w:r>
          </w:p>
        </w:tc>
        <w:tc>
          <w:tcPr>
            <w:tcW w:w="120" w:type="dxa"/>
            <w:vAlign w:val="bottom"/>
            <w:tcBorders>
              <w:right w:val="single" w:sz="8" w:color="auto"/>
            </w:tcBorders>
            <w:shd w:val="clear" w:color="auto" w:fill="CCEEFF"/>
          </w:tcPr>
          <w:p>
            <w:pPr>
              <w:spacing w:after="0"/>
              <w:rPr>
                <w:sz w:val="12"/>
                <w:szCs w:val="12"/>
                <w:color w:val="auto"/>
              </w:rPr>
            </w:pPr>
          </w:p>
        </w:tc>
        <w:tc>
          <w:tcPr>
            <w:tcW w:w="1760" w:type="dxa"/>
            <w:vAlign w:val="bottom"/>
            <w:gridSpan w:val="2"/>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93,997</w:t>
            </w:r>
          </w:p>
        </w:tc>
        <w:tc>
          <w:tcPr>
            <w:tcW w:w="202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93,997</w:t>
            </w:r>
          </w:p>
        </w:tc>
        <w:tc>
          <w:tcPr>
            <w:tcW w:w="202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93,997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320" w:type="dxa"/>
            <w:vAlign w:val="bottom"/>
          </w:tcPr>
          <w:p>
            <w:pPr>
              <w:spacing w:after="0" w:line="148" w:lineRule="exact"/>
              <w:rPr>
                <w:sz w:val="20"/>
                <w:szCs w:val="20"/>
                <w:color w:val="auto"/>
              </w:rPr>
            </w:pPr>
            <w:r>
              <w:rPr>
                <w:rFonts w:ascii="Arial" w:cs="Arial" w:eastAsia="Arial" w:hAnsi="Arial"/>
                <w:sz w:val="13"/>
                <w:szCs w:val="13"/>
                <w:color w:val="auto"/>
              </w:rPr>
              <w:t>Options</w:t>
            </w:r>
          </w:p>
        </w:tc>
        <w:tc>
          <w:tcPr>
            <w:tcW w:w="174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1,920,625</w:t>
            </w:r>
          </w:p>
        </w:tc>
        <w:tc>
          <w:tcPr>
            <w:tcW w:w="120" w:type="dxa"/>
            <w:vAlign w:val="bottom"/>
            <w:tcBorders>
              <w:right w:val="single" w:sz="8" w:color="auto"/>
            </w:tcBorders>
          </w:tcPr>
          <w:p>
            <w:pPr>
              <w:spacing w:after="0"/>
              <w:rPr>
                <w:sz w:val="12"/>
                <w:szCs w:val="12"/>
                <w:color w:val="auto"/>
              </w:rPr>
            </w:pPr>
          </w:p>
        </w:tc>
        <w:tc>
          <w:tcPr>
            <w:tcW w:w="176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3,825,100</w:t>
            </w:r>
          </w:p>
        </w:tc>
        <w:tc>
          <w:tcPr>
            <w:tcW w:w="2020" w:type="dxa"/>
            <w:vAlign w:val="bottom"/>
            <w:gridSpan w:val="2"/>
          </w:tcPr>
          <w:p>
            <w:pPr>
              <w:jc w:val="right"/>
              <w:ind w:right="574"/>
              <w:spacing w:after="0" w:line="148" w:lineRule="exact"/>
              <w:rPr>
                <w:sz w:val="20"/>
                <w:szCs w:val="20"/>
                <w:color w:val="auto"/>
              </w:rPr>
            </w:pPr>
            <w:r>
              <w:rPr>
                <w:rFonts w:ascii="Arial" w:cs="Arial" w:eastAsia="Arial" w:hAnsi="Arial"/>
                <w:sz w:val="13"/>
                <w:szCs w:val="13"/>
                <w:color w:val="auto"/>
              </w:rPr>
              <w:t>4,216,600</w:t>
            </w:r>
          </w:p>
        </w:tc>
        <w:tc>
          <w:tcPr>
            <w:tcW w:w="2020" w:type="dxa"/>
            <w:vAlign w:val="bottom"/>
            <w:gridSpan w:val="2"/>
          </w:tcPr>
          <w:p>
            <w:pPr>
              <w:jc w:val="right"/>
              <w:ind w:right="574"/>
              <w:spacing w:after="0" w:line="148" w:lineRule="exact"/>
              <w:rPr>
                <w:sz w:val="20"/>
                <w:szCs w:val="20"/>
                <w:color w:val="auto"/>
              </w:rPr>
            </w:pPr>
            <w:r>
              <w:rPr>
                <w:rFonts w:ascii="Arial" w:cs="Arial" w:eastAsia="Arial" w:hAnsi="Arial"/>
                <w:sz w:val="13"/>
                <w:szCs w:val="13"/>
                <w:color w:val="auto"/>
              </w:rPr>
              <w:t>4,916,840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Restricted Stock/Units</w:t>
            </w:r>
          </w:p>
        </w:tc>
        <w:tc>
          <w:tcPr>
            <w:tcW w:w="1740" w:type="dxa"/>
            <w:vAlign w:val="bottom"/>
            <w:shd w:val="clear" w:color="auto" w:fill="CCEEFF"/>
          </w:tcPr>
          <w:p>
            <w:pPr>
              <w:jc w:val="right"/>
              <w:ind w:right="514"/>
              <w:spacing w:after="0" w:line="148" w:lineRule="exact"/>
              <w:rPr>
                <w:sz w:val="20"/>
                <w:szCs w:val="20"/>
                <w:color w:val="auto"/>
              </w:rPr>
            </w:pPr>
            <w:r>
              <w:rPr>
                <w:rFonts w:ascii="Arial" w:cs="Arial" w:eastAsia="Arial" w:hAnsi="Arial"/>
                <w:sz w:val="13"/>
                <w:szCs w:val="13"/>
                <w:color w:val="auto"/>
              </w:rPr>
              <w:t>584,430</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w:t>
            </w:r>
          </w:p>
        </w:tc>
        <w:tc>
          <w:tcPr>
            <w:tcW w:w="202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268,343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320" w:type="dxa"/>
            <w:vAlign w:val="bottom"/>
          </w:tcPr>
          <w:p>
            <w:pPr>
              <w:spacing w:after="0" w:line="148" w:lineRule="exact"/>
              <w:rPr>
                <w:sz w:val="20"/>
                <w:szCs w:val="20"/>
                <w:color w:val="auto"/>
              </w:rPr>
            </w:pPr>
            <w:r>
              <w:rPr>
                <w:rFonts w:ascii="Arial" w:cs="Arial" w:eastAsia="Arial" w:hAnsi="Arial"/>
                <w:sz w:val="13"/>
                <w:szCs w:val="13"/>
                <w:color w:val="auto"/>
              </w:rPr>
              <w:t>Warrants</w:t>
            </w:r>
          </w:p>
        </w:tc>
        <w:tc>
          <w:tcPr>
            <w:tcW w:w="174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1,875,015</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60" w:type="dxa"/>
            <w:vAlign w:val="bottom"/>
          </w:tcPr>
          <w:p>
            <w:pPr>
              <w:jc w:val="right"/>
              <w:ind w:right="57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6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441"/>
        </w:trPr>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jc w:val="right"/>
              <w:ind w:right="734"/>
              <w:spacing w:after="0"/>
              <w:rPr>
                <w:sz w:val="20"/>
                <w:szCs w:val="20"/>
                <w:color w:val="auto"/>
              </w:rPr>
            </w:pPr>
            <w:r>
              <w:rPr>
                <w:rFonts w:ascii="Arial" w:cs="Arial" w:eastAsia="Arial" w:hAnsi="Arial"/>
                <w:sz w:val="13"/>
                <w:szCs w:val="13"/>
                <w:color w:val="auto"/>
              </w:rPr>
              <w:t>F-73</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54" w:name="page255"/>
    <w:bookmarkEnd w:id="2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8" w:lineRule="exact"/>
        <w:rPr>
          <w:sz w:val="20"/>
          <w:szCs w:val="20"/>
          <w:color w:val="auto"/>
        </w:rPr>
      </w:pPr>
    </w:p>
    <w:p>
      <w:pPr>
        <w:ind w:left="1180" w:hanging="493"/>
        <w:spacing w:after="0"/>
        <w:tabs>
          <w:tab w:leader="none" w:pos="1180" w:val="left"/>
        </w:tabs>
        <w:numPr>
          <w:ilvl w:val="0"/>
          <w:numId w:val="186"/>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2"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January 1, 2010 through June 3, 2010, the date the consolidated financial statements were available to be issued.</w:t>
      </w:r>
    </w:p>
    <w:p>
      <w:pPr>
        <w:spacing w:after="0" w:line="137" w:lineRule="exact"/>
        <w:rPr>
          <w:sz w:val="20"/>
          <w:szCs w:val="20"/>
          <w:color w:val="auto"/>
        </w:rPr>
      </w:pPr>
    </w:p>
    <w:p>
      <w:pPr>
        <w:ind w:left="1080" w:hanging="393"/>
        <w:spacing w:after="0"/>
        <w:tabs>
          <w:tab w:leader="none" w:pos="1080" w:val="left"/>
        </w:tabs>
        <w:numPr>
          <w:ilvl w:val="0"/>
          <w:numId w:val="18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Flow Hedge Transactions</w:t>
      </w:r>
    </w:p>
    <w:p>
      <w:pPr>
        <w:spacing w:after="0" w:line="102" w:lineRule="exact"/>
        <w:rPr>
          <w:sz w:val="20"/>
          <w:szCs w:val="20"/>
          <w:color w:val="auto"/>
        </w:rPr>
      </w:pPr>
    </w:p>
    <w:p>
      <w:pPr>
        <w:ind w:left="680" w:right="220" w:firstLine="499"/>
        <w:spacing w:after="0" w:line="242"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 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141" w:lineRule="exact"/>
        <w:rPr>
          <w:sz w:val="20"/>
          <w:szCs w:val="20"/>
          <w:color w:val="auto"/>
        </w:rPr>
      </w:pPr>
    </w:p>
    <w:p>
      <w:pPr>
        <w:ind w:left="1080" w:hanging="393"/>
        <w:spacing w:after="0"/>
        <w:tabs>
          <w:tab w:leader="none" w:pos="1080" w:val="left"/>
        </w:tabs>
        <w:numPr>
          <w:ilvl w:val="0"/>
          <w:numId w:val="18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Issuance of $250 million of Senior Notes and Applications of Net Proceeds (Unaudited)</w:t>
      </w:r>
    </w:p>
    <w:p>
      <w:pPr>
        <w:spacing w:after="0" w:line="102" w:lineRule="exact"/>
        <w:rPr>
          <w:sz w:val="20"/>
          <w:szCs w:val="20"/>
          <w:color w:val="auto"/>
        </w:rPr>
      </w:pPr>
    </w:p>
    <w:p>
      <w:pPr>
        <w:jc w:val="both"/>
        <w:ind w:left="680" w:right="80" w:firstLine="499"/>
        <w:spacing w:after="0" w:line="242" w:lineRule="auto"/>
        <w:rPr>
          <w:sz w:val="20"/>
          <w:szCs w:val="20"/>
          <w:color w:val="auto"/>
        </w:rPr>
      </w:pPr>
      <w:r>
        <w:rPr>
          <w:rFonts w:ascii="Arial" w:cs="Arial" w:eastAsia="Arial" w:hAnsi="Arial"/>
          <w:sz w:val="13"/>
          <w:szCs w:val="13"/>
          <w:color w:val="auto"/>
        </w:rPr>
        <w:t>On April 9, 2010 the Company’s Luxembourg subsidiary and United States finance subsidiary completed the sale of $250 million in aggregate principal amount of 10.500% senior notes due 2018. Of the $238.4 million of net proceeds, $130.7 million was used to make a distribution to the Company’s unitholders and $61.6 million was used to repay all outstanding borrowings under the term loan. The remaining proceeds were retained to fund working capital and for general corporate purposes.</w:t>
      </w:r>
    </w:p>
    <w:p>
      <w:pPr>
        <w:spacing w:after="0" w:line="141" w:lineRule="exact"/>
        <w:rPr>
          <w:sz w:val="20"/>
          <w:szCs w:val="20"/>
          <w:color w:val="auto"/>
        </w:rPr>
      </w:pPr>
    </w:p>
    <w:p>
      <w:pPr>
        <w:ind w:left="1080" w:hanging="393"/>
        <w:spacing w:after="0"/>
        <w:tabs>
          <w:tab w:leader="none" w:pos="1080" w:val="left"/>
        </w:tabs>
        <w:numPr>
          <w:ilvl w:val="0"/>
          <w:numId w:val="18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Corporate Conversion</w:t>
      </w:r>
    </w:p>
    <w:p>
      <w:pPr>
        <w:spacing w:after="0" w:line="102" w:lineRule="exact"/>
        <w:rPr>
          <w:sz w:val="20"/>
          <w:szCs w:val="20"/>
          <w:color w:val="auto"/>
        </w:rPr>
      </w:pPr>
    </w:p>
    <w:p>
      <w:pPr>
        <w:ind w:left="680" w:right="60" w:firstLine="499"/>
        <w:spacing w:after="0" w:line="238" w:lineRule="auto"/>
        <w:rPr>
          <w:sz w:val="20"/>
          <w:szCs w:val="20"/>
          <w:color w:val="auto"/>
        </w:rPr>
      </w:pPr>
      <w:r>
        <w:rPr>
          <w:rFonts w:ascii="Arial" w:cs="Arial" w:eastAsia="Arial" w:hAnsi="Arial"/>
          <w:sz w:val="13"/>
          <w:szCs w:val="13"/>
          <w:color w:val="auto"/>
        </w:rPr>
        <w:t>In connection with the Company’s initial public offering (“IPO”), prior to the effectiveness of its registration statement, the Company’s board of directors and the holders of a majority of its outstanding common units will elect to convert the Company from a Delaware limited liability company to a Delaware corporation (the “Corporation”). In connection with the corporate conversion, outstanding common units of the Company will be automatically converted into shares of common stock of the Corporation, outstanding options to purchase common units of the Company will be automatically converted into options to purchase shares of common stock of the Corporation and outstanding warrants to purchase common units of the Company will be automatically converted into warrants to purchase shares of common stock of the Corporation, all at a ratio of eight-for-one. The consolidated financial statements as of December 31, 2009 and for the two-month period ended December 31, 2009 give retroactive effect to the corporate conversion.</w:t>
      </w:r>
    </w:p>
    <w:p>
      <w:pPr>
        <w:spacing w:after="0" w:line="145" w:lineRule="exact"/>
        <w:rPr>
          <w:sz w:val="20"/>
          <w:szCs w:val="20"/>
          <w:color w:val="auto"/>
        </w:rPr>
      </w:pPr>
    </w:p>
    <w:p>
      <w:pPr>
        <w:ind w:left="1080" w:hanging="393"/>
        <w:spacing w:after="0"/>
        <w:tabs>
          <w:tab w:leader="none" w:pos="1080" w:val="left"/>
        </w:tabs>
        <w:numPr>
          <w:ilvl w:val="0"/>
          <w:numId w:val="19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Unaudited Pro Forma Earnings (Loss) per Share</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Regarding the distribution made to unitholders subsequent to the balance sheet date, pro forma earnings (loss) per share as adjusted for distributions in excess of earnings includes 1,500,000 additional shares that represent, in accordance with Staff Accounting Bulletin Topic 1.B.3, the number of shares sold in the Company’s initial public offering, the proceeds of which are assumed for purposes of this calculation to have been used to pay distribution in excess of earning during the last four-month period ending February 28, 2010 which represents the period from October 25, 2009 to the month of declaration of distribution. The calculation assumes an initial offering price of $16.50 per share, the mid-point of the IPO price range. The distribution and assumed number of additional</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49"/>
        </w:trPr>
        <w:tc>
          <w:tcPr>
            <w:tcW w:w="938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0" w:type="dxa"/>
            <w:vAlign w:val="bottom"/>
          </w:tcPr>
          <w:p>
            <w:pPr>
              <w:jc w:val="center"/>
              <w:ind w:left="934"/>
              <w:spacing w:after="0"/>
              <w:rPr>
                <w:sz w:val="20"/>
                <w:szCs w:val="20"/>
                <w:color w:val="auto"/>
              </w:rPr>
            </w:pPr>
            <w:r>
              <w:rPr>
                <w:rFonts w:ascii="Arial" w:cs="Arial" w:eastAsia="Arial" w:hAnsi="Arial"/>
                <w:sz w:val="13"/>
                <w:szCs w:val="13"/>
                <w:b w:val="1"/>
                <w:bCs w:val="1"/>
                <w:color w:val="auto"/>
              </w:rPr>
              <w:t>MagnaChip Semiconductor Corporation and Subsidiaries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1"/>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jc w:val="center"/>
              <w:ind w:left="934"/>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0" w:type="dxa"/>
            <w:vAlign w:val="bottom"/>
          </w:tcPr>
          <w:p>
            <w:pPr>
              <w:jc w:val="center"/>
              <w:ind w:left="934"/>
              <w:spacing w:after="0"/>
              <w:rPr>
                <w:sz w:val="20"/>
                <w:szCs w:val="20"/>
                <w:color w:val="auto"/>
              </w:rPr>
            </w:pPr>
            <w:r>
              <w:rPr>
                <w:rFonts w:ascii="Arial" w:cs="Arial" w:eastAsia="Arial" w:hAnsi="Arial"/>
                <w:sz w:val="13"/>
                <w:szCs w:val="13"/>
                <w:b w:val="1"/>
                <w:bCs w:val="1"/>
                <w:color w:val="auto"/>
              </w:rPr>
              <w:t>(Tabular dollars in thousands, except share/unit data)</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93"/>
        </w:trPr>
        <w:tc>
          <w:tcPr>
            <w:tcW w:w="680" w:type="dxa"/>
            <w:vAlign w:val="bottom"/>
          </w:tcPr>
          <w:p>
            <w:pPr>
              <w:spacing w:after="0"/>
              <w:rPr>
                <w:sz w:val="24"/>
                <w:szCs w:val="24"/>
                <w:color w:val="auto"/>
              </w:rPr>
            </w:pPr>
          </w:p>
        </w:tc>
        <w:tc>
          <w:tcPr>
            <w:tcW w:w="8700" w:type="dxa"/>
            <w:vAlign w:val="bottom"/>
            <w:gridSpan w:val="2"/>
          </w:tcPr>
          <w:p>
            <w:pPr>
              <w:spacing w:after="0"/>
              <w:rPr>
                <w:sz w:val="20"/>
                <w:szCs w:val="20"/>
                <w:color w:val="auto"/>
              </w:rPr>
            </w:pPr>
            <w:r>
              <w:rPr>
                <w:rFonts w:ascii="Arial" w:cs="Arial" w:eastAsia="Arial" w:hAnsi="Arial"/>
                <w:sz w:val="13"/>
                <w:szCs w:val="13"/>
                <w:color w:val="auto"/>
              </w:rPr>
              <w:t>shares issued to pay distribution in excess of earnings for the two-month period ended December 31, 2009 is as follows: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90"/>
        </w:trPr>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Distribution paid</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130,697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tcPr>
          <w:p>
            <w:pPr>
              <w:spacing w:after="0" w:line="148" w:lineRule="exact"/>
              <w:rPr>
                <w:sz w:val="20"/>
                <w:szCs w:val="20"/>
                <w:color w:val="auto"/>
              </w:rPr>
            </w:pPr>
            <w:r>
              <w:rPr>
                <w:rFonts w:ascii="Arial" w:cs="Arial" w:eastAsia="Arial" w:hAnsi="Arial"/>
                <w:sz w:val="13"/>
                <w:szCs w:val="13"/>
                <w:color w:val="auto"/>
              </w:rPr>
              <w:t>Earnings during the last four-month period</w:t>
            </w:r>
          </w:p>
        </w:tc>
        <w:tc>
          <w:tcPr>
            <w:tcW w:w="3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(4,884)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Distribution paid in excess of earnings</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125,813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tcPr>
          <w:p>
            <w:pPr>
              <w:spacing w:after="0" w:line="148" w:lineRule="exact"/>
              <w:rPr>
                <w:sz w:val="20"/>
                <w:szCs w:val="20"/>
                <w:color w:val="auto"/>
              </w:rPr>
            </w:pPr>
            <w:r>
              <w:rPr>
                <w:rFonts w:ascii="Arial" w:cs="Arial" w:eastAsia="Arial" w:hAnsi="Arial"/>
                <w:sz w:val="13"/>
                <w:szCs w:val="13"/>
                <w:color w:val="auto"/>
              </w:rPr>
              <w:t>Assumed initial offering price per share</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Assumed additional number of shares issued to fund distribution in excess of earnings (A)</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7,625,027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tcPr>
          <w:p>
            <w:pPr>
              <w:spacing w:after="0" w:line="148" w:lineRule="exact"/>
              <w:rPr>
                <w:sz w:val="20"/>
                <w:szCs w:val="20"/>
                <w:color w:val="auto"/>
              </w:rPr>
            </w:pPr>
            <w:r>
              <w:rPr>
                <w:rFonts w:ascii="Arial" w:cs="Arial" w:eastAsia="Arial" w:hAnsi="Arial"/>
                <w:sz w:val="13"/>
                <w:szCs w:val="13"/>
                <w:color w:val="auto"/>
              </w:rPr>
              <w:t>Actual number of shares offered at IPO (B)</w:t>
            </w:r>
          </w:p>
        </w:tc>
        <w:tc>
          <w:tcPr>
            <w:tcW w:w="3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1,500,000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Assumed additional number of shares; Lower of (A) or (B)</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1,500,000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tcPr>
          <w:p>
            <w:pPr>
              <w:spacing w:after="0" w:line="148" w:lineRule="exact"/>
              <w:rPr>
                <w:sz w:val="20"/>
                <w:szCs w:val="20"/>
                <w:color w:val="auto"/>
              </w:rPr>
            </w:pPr>
            <w:r>
              <w:rPr>
                <w:rFonts w:ascii="Arial" w:cs="Arial" w:eastAsia="Arial" w:hAnsi="Arial"/>
                <w:sz w:val="13"/>
                <w:szCs w:val="13"/>
                <w:color w:val="auto"/>
              </w:rPr>
              <w:t>Historical weighted average number of shares — Basic and diluted</w:t>
            </w:r>
          </w:p>
        </w:tc>
        <w:tc>
          <w:tcPr>
            <w:tcW w:w="3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37,607,846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Unaudited pro forma weighted average number of shares — Basic and diluted</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39,107,846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tcPr>
          <w:p>
            <w:pPr>
              <w:spacing w:after="0" w:line="148" w:lineRule="exact"/>
              <w:rPr>
                <w:sz w:val="20"/>
                <w:szCs w:val="20"/>
                <w:color w:val="auto"/>
              </w:rPr>
            </w:pPr>
            <w:r>
              <w:rPr>
                <w:rFonts w:ascii="Arial" w:cs="Arial" w:eastAsia="Arial" w:hAnsi="Arial"/>
                <w:sz w:val="13"/>
                <w:szCs w:val="13"/>
                <w:color w:val="auto"/>
              </w:rPr>
              <w:t>Loss from continuing operations attributable to common stock/units</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(2,473)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from discontinued operations, net of taxes</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tcPr>
          <w:p>
            <w:pPr>
              <w:spacing w:after="0" w:line="148" w:lineRule="exact"/>
              <w:rPr>
                <w:sz w:val="20"/>
                <w:szCs w:val="20"/>
                <w:color w:val="auto"/>
              </w:rPr>
            </w:pPr>
            <w:r>
              <w:rPr>
                <w:rFonts w:ascii="Arial" w:cs="Arial" w:eastAsia="Arial" w:hAnsi="Arial"/>
                <w:sz w:val="13"/>
                <w:szCs w:val="13"/>
                <w:color w:val="auto"/>
              </w:rPr>
              <w:t>Net loss attributable to common shares</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(1,963)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Unaudited pro forma loss per common share from continuing operations — Basic and diluted</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(0.06)</w:t>
            </w: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700" w:type="dxa"/>
            <w:vAlign w:val="bottom"/>
            <w:gridSpan w:val="2"/>
          </w:tcPr>
          <w:p>
            <w:pPr>
              <w:spacing w:after="0"/>
              <w:rPr>
                <w:sz w:val="20"/>
                <w:szCs w:val="20"/>
                <w:color w:val="auto"/>
              </w:rPr>
            </w:pPr>
            <w:r>
              <w:rPr>
                <w:rFonts w:ascii="Arial" w:cs="Arial" w:eastAsia="Arial" w:hAnsi="Arial"/>
                <w:sz w:val="13"/>
                <w:szCs w:val="13"/>
                <w:color w:val="auto"/>
              </w:rPr>
              <w:t>Unaudited pro forma earnings per common share from discontinued operations — Basic and diluted</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r>
      <w:tr>
        <w:trPr>
          <w:trHeight w:val="34"/>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2"/>
        </w:trPr>
        <w:tc>
          <w:tcPr>
            <w:tcW w:w="680" w:type="dxa"/>
            <w:vAlign w:val="bottom"/>
          </w:tcPr>
          <w:p>
            <w:pPr>
              <w:spacing w:after="0"/>
              <w:rPr>
                <w:sz w:val="14"/>
                <w:szCs w:val="14"/>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Unaudited pro forma loss per common share — Basic and diluted</w:t>
            </w: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(0.05)</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jc w:val="center"/>
              <w:ind w:left="934"/>
              <w:spacing w:after="0"/>
              <w:rPr>
                <w:sz w:val="20"/>
                <w:szCs w:val="20"/>
                <w:color w:val="auto"/>
              </w:rPr>
            </w:pPr>
            <w:r>
              <w:rPr>
                <w:rFonts w:ascii="Arial" w:cs="Arial" w:eastAsia="Arial" w:hAnsi="Arial"/>
                <w:sz w:val="13"/>
                <w:szCs w:val="13"/>
                <w:color w:val="auto"/>
              </w:rPr>
              <w:t>F-75</w:t>
            </w: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84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256" w:name="page257"/>
    <w:bookmarkEnd w:id="256"/>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164465</wp:posOffset>
            </wp:positionV>
            <wp:extent cx="6485255" cy="247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485255" cy="24765"/>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79"/>
        <w:spacing w:after="0"/>
        <w:rPr>
          <w:sz w:val="20"/>
          <w:szCs w:val="20"/>
          <w:color w:val="auto"/>
        </w:rPr>
      </w:pPr>
      <w:r>
        <w:rPr>
          <w:rFonts w:ascii="Arial" w:cs="Arial" w:eastAsia="Arial" w:hAnsi="Arial"/>
          <w:sz w:val="21"/>
          <w:szCs w:val="21"/>
          <w:b w:val="1"/>
          <w:bCs w:val="1"/>
          <w:color w:val="auto"/>
        </w:rPr>
        <w:t>MagnaChip Semiconductor Corporation</w:t>
      </w:r>
    </w:p>
    <w:p>
      <w:pPr>
        <w:spacing w:after="0" w:line="30" w:lineRule="exact"/>
        <w:rPr>
          <w:sz w:val="20"/>
          <w:szCs w:val="20"/>
          <w:color w:val="auto"/>
        </w:rPr>
      </w:pPr>
    </w:p>
    <w:p>
      <w:pPr>
        <w:jc w:val="center"/>
        <w:ind w:right="-579"/>
        <w:spacing w:after="0"/>
        <w:rPr>
          <w:sz w:val="20"/>
          <w:szCs w:val="20"/>
          <w:color w:val="auto"/>
        </w:rPr>
      </w:pPr>
      <w:r>
        <w:rPr>
          <w:rFonts w:ascii="Arial" w:cs="Arial" w:eastAsia="Arial" w:hAnsi="Arial"/>
          <w:sz w:val="21"/>
          <w:szCs w:val="21"/>
          <w:color w:val="auto"/>
        </w:rPr>
        <w:t>7,500,000 Depositary Shares</w:t>
      </w:r>
    </w:p>
    <w:p>
      <w:pPr>
        <w:spacing w:after="0" w:line="335"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Representing 7,500,000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73660</wp:posOffset>
            </wp:positionV>
            <wp:extent cx="116713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67130" cy="635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822325</wp:posOffset>
            </wp:positionV>
            <wp:extent cx="116713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67130" cy="635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142240</wp:posOffset>
            </wp:positionV>
            <wp:extent cx="2390775" cy="542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9077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2120" w:type="dxa"/>
            <w:vAlign w:val="bottom"/>
            <w:gridSpan w:val="2"/>
          </w:tcPr>
          <w:p>
            <w:pPr>
              <w:ind w:left="20"/>
              <w:spacing w:after="0"/>
              <w:rPr>
                <w:sz w:val="20"/>
                <w:szCs w:val="20"/>
                <w:color w:val="auto"/>
              </w:rPr>
            </w:pPr>
            <w:r>
              <w:rPr>
                <w:rFonts w:ascii="Arial" w:cs="Arial" w:eastAsia="Arial" w:hAnsi="Arial"/>
                <w:sz w:val="17"/>
                <w:szCs w:val="17"/>
                <w:b w:val="1"/>
                <w:bCs w:val="1"/>
                <w:color w:val="auto"/>
              </w:rPr>
              <w:t>Goldman, Sachs &amp; Co.</w:t>
            </w:r>
          </w:p>
        </w:tc>
        <w:tc>
          <w:tcPr>
            <w:tcW w:w="4180" w:type="dxa"/>
            <w:vAlign w:val="bottom"/>
          </w:tcPr>
          <w:p>
            <w:pPr>
              <w:ind w:left="2340"/>
              <w:spacing w:after="0"/>
              <w:rPr>
                <w:sz w:val="20"/>
                <w:szCs w:val="20"/>
                <w:color w:val="auto"/>
              </w:rPr>
            </w:pPr>
            <w:r>
              <w:rPr>
                <w:rFonts w:ascii="Arial" w:cs="Arial" w:eastAsia="Arial" w:hAnsi="Arial"/>
                <w:sz w:val="17"/>
                <w:szCs w:val="17"/>
                <w:b w:val="1"/>
                <w:bCs w:val="1"/>
                <w:color w:val="auto"/>
              </w:rPr>
              <w:t>Barclays Capital</w:t>
            </w:r>
          </w:p>
        </w:tc>
        <w:tc>
          <w:tcPr>
            <w:tcW w:w="3920" w:type="dxa"/>
            <w:vAlign w:val="bottom"/>
          </w:tcPr>
          <w:p>
            <w:pPr>
              <w:ind w:left="1820"/>
              <w:spacing w:after="0"/>
              <w:rPr>
                <w:sz w:val="20"/>
                <w:szCs w:val="20"/>
                <w:color w:val="auto"/>
              </w:rPr>
            </w:pPr>
            <w:r>
              <w:rPr>
                <w:rFonts w:ascii="Arial" w:cs="Arial" w:eastAsia="Arial" w:hAnsi="Arial"/>
                <w:sz w:val="17"/>
                <w:szCs w:val="17"/>
                <w:b w:val="1"/>
                <w:bCs w:val="1"/>
                <w:color w:val="auto"/>
                <w:w w:val="99"/>
              </w:rPr>
              <w:t>Deutsche Bank Securities</w:t>
            </w:r>
          </w:p>
        </w:tc>
      </w:tr>
      <w:tr>
        <w:trPr>
          <w:trHeight w:val="383"/>
        </w:trPr>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ind w:left="320"/>
              <w:spacing w:after="0"/>
              <w:rPr>
                <w:sz w:val="20"/>
                <w:szCs w:val="20"/>
                <w:color w:val="auto"/>
              </w:rPr>
            </w:pPr>
            <w:r>
              <w:rPr>
                <w:rFonts w:ascii="Arial" w:cs="Arial" w:eastAsia="Arial" w:hAnsi="Arial"/>
                <w:sz w:val="17"/>
                <w:szCs w:val="17"/>
                <w:b w:val="1"/>
                <w:bCs w:val="1"/>
                <w:color w:val="auto"/>
              </w:rPr>
              <w:t>Citi</w:t>
            </w:r>
          </w:p>
        </w:tc>
        <w:tc>
          <w:tcPr>
            <w:tcW w:w="3920" w:type="dxa"/>
            <w:vAlign w:val="bottom"/>
          </w:tcPr>
          <w:p>
            <w:pPr>
              <w:ind w:left="540"/>
              <w:spacing w:after="0"/>
              <w:rPr>
                <w:sz w:val="20"/>
                <w:szCs w:val="20"/>
                <w:color w:val="auto"/>
              </w:rPr>
            </w:pPr>
            <w:r>
              <w:rPr>
                <w:rFonts w:ascii="Arial" w:cs="Arial" w:eastAsia="Arial" w:hAnsi="Arial"/>
                <w:sz w:val="17"/>
                <w:szCs w:val="17"/>
                <w:b w:val="1"/>
                <w:bCs w:val="1"/>
                <w:color w:val="auto"/>
              </w:rPr>
              <w:t>UBS Investment Bank</w:t>
            </w:r>
          </w:p>
        </w:tc>
      </w:tr>
      <w:tr>
        <w:trPr>
          <w:trHeight w:val="97"/>
        </w:trPr>
        <w:tc>
          <w:tcPr>
            <w:tcW w:w="1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100" w:type="dxa"/>
            <w:vAlign w:val="bottom"/>
            <w:gridSpan w:val="2"/>
          </w:tcPr>
          <w:p>
            <w:pPr>
              <w:spacing w:after="0"/>
              <w:rPr>
                <w:sz w:val="8"/>
                <w:szCs w:val="8"/>
                <w:color w:val="auto"/>
              </w:rPr>
            </w:pPr>
          </w:p>
        </w:tc>
      </w:tr>
      <w:tr>
        <w:trPr>
          <w:trHeight w:val="235"/>
        </w:trPr>
        <w:tc>
          <w:tcPr>
            <w:tcW w:w="2120" w:type="dxa"/>
            <w:vAlign w:val="bottom"/>
            <w:gridSpan w:val="2"/>
          </w:tcPr>
          <w:p>
            <w:pPr>
              <w:ind w:left="520"/>
              <w:spacing w:after="0"/>
              <w:rPr>
                <w:sz w:val="20"/>
                <w:szCs w:val="20"/>
                <w:color w:val="auto"/>
              </w:rPr>
            </w:pPr>
            <w:r>
              <w:rPr>
                <w:rFonts w:ascii="Arial" w:cs="Arial" w:eastAsia="Arial" w:hAnsi="Arial"/>
                <w:sz w:val="13"/>
                <w:szCs w:val="13"/>
                <w:b w:val="1"/>
                <w:bCs w:val="1"/>
                <w:color w:val="auto"/>
              </w:rPr>
              <w:t>Through and including</w:t>
            </w:r>
          </w:p>
        </w:tc>
        <w:tc>
          <w:tcPr>
            <w:tcW w:w="8100" w:type="dxa"/>
            <w:vAlign w:val="bottom"/>
            <w:gridSpan w:val="2"/>
          </w:tcPr>
          <w:p>
            <w:pPr>
              <w:ind w:left="180"/>
              <w:spacing w:after="0"/>
              <w:rPr>
                <w:sz w:val="20"/>
                <w:szCs w:val="20"/>
                <w:color w:val="auto"/>
              </w:rPr>
            </w:pPr>
            <w:r>
              <w:rPr>
                <w:rFonts w:ascii="Arial" w:cs="Arial" w:eastAsia="Arial" w:hAnsi="Arial"/>
                <w:sz w:val="13"/>
                <w:szCs w:val="13"/>
                <w:b w:val="1"/>
                <w:bCs w:val="1"/>
                <w:color w:val="auto"/>
              </w:rPr>
              <w:t>, 2010 (the 25th day after the date of this prospectus), all dealers effecting transactions in these securities, whether or not</w:t>
            </w:r>
          </w:p>
        </w:tc>
      </w:tr>
    </w:tbl>
    <w:p>
      <w:pPr>
        <w:ind w:left="580" w:right="640"/>
        <w:spacing w:after="0" w:line="248" w:lineRule="auto"/>
        <w:rPr>
          <w:sz w:val="20"/>
          <w:szCs w:val="20"/>
          <w:color w:val="auto"/>
        </w:rPr>
      </w:pPr>
      <w:r>
        <w:rPr>
          <w:rFonts w:ascii="Arial" w:cs="Arial" w:eastAsia="Arial" w:hAnsi="Arial"/>
          <w:sz w:val="13"/>
          <w:szCs w:val="13"/>
          <w:b w:val="1"/>
          <w:bCs w:val="1"/>
          <w:color w:val="auto"/>
        </w:rPr>
        <w:t>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203835</wp:posOffset>
            </wp:positionV>
            <wp:extent cx="6485255" cy="184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48525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318770</wp:posOffset>
            </wp:positionV>
            <wp:extent cx="7290435"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type w:val="continuous"/>
        </w:sectPr>
      </w:pPr>
    </w:p>
    <w:bookmarkStart w:id="257" w:name="page258"/>
    <w:bookmarkEnd w:id="2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6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i w:val="1"/>
          <w:iCs w:val="1"/>
          <w:color w:val="auto"/>
        </w:rPr>
        <w:t>Other Expenses of Issuance and Distribution.</w:t>
      </w:r>
    </w:p>
    <w:p>
      <w:pPr>
        <w:spacing w:after="0" w:line="102"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The following table sets forth all expenses other than the underwriting discount, payable by the registrant in connection with the sale of the common stock being registered. All amounts shown are estimates except for the SEC registration fee.</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17,825</w:t>
            </w:r>
          </w:p>
        </w:tc>
        <w:tc>
          <w:tcPr>
            <w:tcW w:w="100" w:type="dxa"/>
            <w:vAlign w:val="bottom"/>
            <w:shd w:val="clear" w:color="auto" w:fill="CCEEFF"/>
          </w:tcPr>
          <w:p>
            <w:pPr>
              <w:spacing w:after="0"/>
              <w:rPr>
                <w:sz w:val="13"/>
                <w:szCs w:val="13"/>
                <w:color w:val="auto"/>
              </w:rPr>
            </w:pPr>
          </w:p>
        </w:tc>
      </w:tr>
      <w:tr>
        <w:trPr>
          <w:trHeight w:val="147"/>
        </w:trPr>
        <w:tc>
          <w:tcPr>
            <w:tcW w:w="8800" w:type="dxa"/>
            <w:vAlign w:val="bottom"/>
          </w:tcPr>
          <w:p>
            <w:pPr>
              <w:spacing w:after="0" w:line="148" w:lineRule="exact"/>
              <w:rPr>
                <w:sz w:val="20"/>
                <w:szCs w:val="20"/>
                <w:color w:val="auto"/>
              </w:rPr>
            </w:pPr>
            <w:r>
              <w:rPr>
                <w:rFonts w:ascii="Arial" w:cs="Arial" w:eastAsia="Arial" w:hAnsi="Arial"/>
                <w:sz w:val="13"/>
                <w:szCs w:val="13"/>
                <w:color w:val="auto"/>
              </w:rPr>
              <w:t>FINRA Fees</w:t>
            </w:r>
          </w:p>
        </w:tc>
        <w:tc>
          <w:tcPr>
            <w:tcW w:w="2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25,500</w:t>
            </w:r>
          </w:p>
        </w:tc>
        <w:tc>
          <w:tcPr>
            <w:tcW w:w="100" w:type="dxa"/>
            <w:vAlign w:val="bottom"/>
          </w:tcPr>
          <w:p>
            <w:pPr>
              <w:spacing w:after="0"/>
              <w:rPr>
                <w:sz w:val="12"/>
                <w:szCs w:val="12"/>
                <w:color w:val="auto"/>
              </w:rPr>
            </w:pPr>
          </w:p>
        </w:tc>
      </w:tr>
      <w:tr>
        <w:trPr>
          <w:trHeight w:val="147"/>
        </w:trPr>
        <w:tc>
          <w:tcPr>
            <w:tcW w:w="8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New York Stock Exchange Listing Fee</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178,000</w:t>
            </w:r>
          </w:p>
        </w:tc>
        <w:tc>
          <w:tcPr>
            <w:tcW w:w="100" w:type="dxa"/>
            <w:vAlign w:val="bottom"/>
            <w:shd w:val="clear" w:color="auto" w:fill="CCEEFF"/>
          </w:tcPr>
          <w:p>
            <w:pPr>
              <w:spacing w:after="0"/>
              <w:rPr>
                <w:sz w:val="12"/>
                <w:szCs w:val="12"/>
                <w:color w:val="auto"/>
              </w:rPr>
            </w:pPr>
          </w:p>
        </w:tc>
      </w:tr>
      <w:tr>
        <w:trPr>
          <w:trHeight w:val="147"/>
        </w:trPr>
        <w:tc>
          <w:tcPr>
            <w:tcW w:w="8800" w:type="dxa"/>
            <w:vAlign w:val="bottom"/>
          </w:tcPr>
          <w:p>
            <w:pPr>
              <w:spacing w:after="0" w:line="148" w:lineRule="exact"/>
              <w:rPr>
                <w:sz w:val="20"/>
                <w:szCs w:val="20"/>
                <w:color w:val="auto"/>
              </w:rPr>
            </w:pPr>
            <w:r>
              <w:rPr>
                <w:rFonts w:ascii="Arial" w:cs="Arial" w:eastAsia="Arial" w:hAnsi="Arial"/>
                <w:sz w:val="13"/>
                <w:szCs w:val="13"/>
                <w:color w:val="auto"/>
              </w:rPr>
              <w:t>Legal Fees and Expenses</w:t>
            </w:r>
          </w:p>
        </w:tc>
        <w:tc>
          <w:tcPr>
            <w:tcW w:w="2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2,500,000</w:t>
            </w:r>
          </w:p>
        </w:tc>
        <w:tc>
          <w:tcPr>
            <w:tcW w:w="100" w:type="dxa"/>
            <w:vAlign w:val="bottom"/>
          </w:tcPr>
          <w:p>
            <w:pPr>
              <w:spacing w:after="0"/>
              <w:rPr>
                <w:sz w:val="12"/>
                <w:szCs w:val="12"/>
                <w:color w:val="auto"/>
              </w:rPr>
            </w:pPr>
          </w:p>
        </w:tc>
      </w:tr>
      <w:tr>
        <w:trPr>
          <w:trHeight w:val="147"/>
        </w:trPr>
        <w:tc>
          <w:tcPr>
            <w:tcW w:w="8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Printing Expenses</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395,000</w:t>
            </w:r>
          </w:p>
        </w:tc>
        <w:tc>
          <w:tcPr>
            <w:tcW w:w="100" w:type="dxa"/>
            <w:vAlign w:val="bottom"/>
            <w:shd w:val="clear" w:color="auto" w:fill="CCEEFF"/>
          </w:tcPr>
          <w:p>
            <w:pPr>
              <w:spacing w:after="0"/>
              <w:rPr>
                <w:sz w:val="12"/>
                <w:szCs w:val="12"/>
                <w:color w:val="auto"/>
              </w:rPr>
            </w:pPr>
          </w:p>
        </w:tc>
      </w:tr>
      <w:tr>
        <w:trPr>
          <w:trHeight w:val="147"/>
        </w:trPr>
        <w:tc>
          <w:tcPr>
            <w:tcW w:w="8800" w:type="dxa"/>
            <w:vAlign w:val="bottom"/>
          </w:tcPr>
          <w:p>
            <w:pPr>
              <w:spacing w:after="0" w:line="148" w:lineRule="exact"/>
              <w:rPr>
                <w:sz w:val="20"/>
                <w:szCs w:val="20"/>
                <w:color w:val="auto"/>
              </w:rPr>
            </w:pPr>
            <w:r>
              <w:rPr>
                <w:rFonts w:ascii="Arial" w:cs="Arial" w:eastAsia="Arial" w:hAnsi="Arial"/>
                <w:sz w:val="13"/>
                <w:szCs w:val="13"/>
                <w:color w:val="auto"/>
              </w:rPr>
              <w:t>Blue Sky Fees</w:t>
            </w:r>
          </w:p>
        </w:tc>
        <w:tc>
          <w:tcPr>
            <w:tcW w:w="2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20,000</w:t>
            </w:r>
          </w:p>
        </w:tc>
        <w:tc>
          <w:tcPr>
            <w:tcW w:w="100" w:type="dxa"/>
            <w:vAlign w:val="bottom"/>
          </w:tcPr>
          <w:p>
            <w:pPr>
              <w:spacing w:after="0"/>
              <w:rPr>
                <w:sz w:val="12"/>
                <w:szCs w:val="12"/>
                <w:color w:val="auto"/>
              </w:rPr>
            </w:pPr>
          </w:p>
        </w:tc>
      </w:tr>
      <w:tr>
        <w:trPr>
          <w:trHeight w:val="147"/>
        </w:trPr>
        <w:tc>
          <w:tcPr>
            <w:tcW w:w="8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Transfer Agent’s Fees</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12,500</w:t>
            </w:r>
          </w:p>
        </w:tc>
        <w:tc>
          <w:tcPr>
            <w:tcW w:w="100" w:type="dxa"/>
            <w:vAlign w:val="bottom"/>
            <w:shd w:val="clear" w:color="auto" w:fill="CCEEFF"/>
          </w:tcPr>
          <w:p>
            <w:pPr>
              <w:spacing w:after="0"/>
              <w:rPr>
                <w:sz w:val="12"/>
                <w:szCs w:val="12"/>
                <w:color w:val="auto"/>
              </w:rPr>
            </w:pPr>
          </w:p>
        </w:tc>
      </w:tr>
      <w:tr>
        <w:trPr>
          <w:trHeight w:val="147"/>
        </w:trPr>
        <w:tc>
          <w:tcPr>
            <w:tcW w:w="8800" w:type="dxa"/>
            <w:vAlign w:val="bottom"/>
          </w:tcPr>
          <w:p>
            <w:pPr>
              <w:spacing w:after="0" w:line="148" w:lineRule="exact"/>
              <w:rPr>
                <w:sz w:val="20"/>
                <w:szCs w:val="20"/>
                <w:color w:val="auto"/>
              </w:rPr>
            </w:pPr>
            <w:r>
              <w:rPr>
                <w:rFonts w:ascii="Arial" w:cs="Arial" w:eastAsia="Arial" w:hAnsi="Arial"/>
                <w:sz w:val="13"/>
                <w:szCs w:val="13"/>
                <w:color w:val="auto"/>
              </w:rPr>
              <w:t>Accounting Fees and Expenses</w:t>
            </w:r>
          </w:p>
        </w:tc>
        <w:tc>
          <w:tcPr>
            <w:tcW w:w="2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2,700,000</w:t>
            </w:r>
          </w:p>
        </w:tc>
        <w:tc>
          <w:tcPr>
            <w:tcW w:w="100" w:type="dxa"/>
            <w:vAlign w:val="bottom"/>
          </w:tcPr>
          <w:p>
            <w:pPr>
              <w:spacing w:after="0"/>
              <w:rPr>
                <w:sz w:val="12"/>
                <w:szCs w:val="12"/>
                <w:color w:val="auto"/>
              </w:rPr>
            </w:pPr>
          </w:p>
        </w:tc>
      </w:tr>
      <w:tr>
        <w:trPr>
          <w:trHeight w:val="147"/>
        </w:trPr>
        <w:tc>
          <w:tcPr>
            <w:tcW w:w="8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Miscellaneous</w:t>
            </w:r>
          </w:p>
        </w:tc>
        <w:tc>
          <w:tcPr>
            <w:tcW w:w="2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551,175</w:t>
            </w:r>
          </w:p>
        </w:tc>
        <w:tc>
          <w:tcPr>
            <w:tcW w:w="100" w:type="dxa"/>
            <w:vAlign w:val="bottom"/>
            <w:shd w:val="clear" w:color="auto" w:fill="CCEEFF"/>
          </w:tcPr>
          <w:p>
            <w:pPr>
              <w:spacing w:after="0"/>
              <w:rPr>
                <w:sz w:val="12"/>
                <w:szCs w:val="12"/>
                <w:color w:val="auto"/>
              </w:rPr>
            </w:pPr>
          </w:p>
        </w:tc>
      </w:tr>
      <w:tr>
        <w:trPr>
          <w:trHeight w:val="157"/>
        </w:trPr>
        <w:tc>
          <w:tcPr>
            <w:tcW w:w="88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6,400,000</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9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To be provided by amendment</w:t>
      </w:r>
    </w:p>
    <w:p>
      <w:pPr>
        <w:spacing w:after="0" w:line="149"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i w:val="1"/>
          <w:iCs w:val="1"/>
          <w:color w:val="auto"/>
        </w:rPr>
        <w:t>Indemnification of Officers and Directors.</w:t>
      </w:r>
    </w:p>
    <w:p>
      <w:pPr>
        <w:spacing w:after="0" w:line="102"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81"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As permitted by the DGCL, our certificate of incorporation includes a provision that eliminates the personal liability of our directors for monetary damages for breach of fiduciary duty as a director, except to the extent such exemption from liability is not permitted by DGCL.</w:t>
      </w:r>
    </w:p>
    <w:p>
      <w:pPr>
        <w:spacing w:after="0" w:line="7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As permitted by the DGCL, our bylaws provide that (1) we are required to indemnify our directors and officers to the fullest extent permitted by the DGCL, subject to certain exceptions; (2) we are permitted to indemnify our other employees and agents to the extent that we indemnify our officers and directors; (3) we are required to advance expenses, as incurred, to our directors and officers in connection with any legal proceeding, subject to certain exceptions; and (4) the rights conferred in our bylaws are not exclusive.</w:t>
      </w:r>
    </w:p>
    <w:p>
      <w:pPr>
        <w:spacing w:after="0" w:line="80"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We intend to enter into indemnification agreements with our directors and officers. The indemnification agreements will provide for indemnification and advancement of expenses to our directors and officers under certain circumstances for acts or omissions to the extent permissible under Delaware law. We also obtained directors’ and officers’ liability insurance, which insures against liabilities that our directors or officers may incur in such capacities. At present, we are not aware of any pending or threatened litigation or proceeding involving any of our directors, officers, employees or agents in which indemnification would be required or permitted. We believe that our charter and bylaw provisions are necessary to attract and retain qualified persons as directors and officers.</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8" w:name="page259"/>
    <w:bookmarkEnd w:id="2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i w:val="1"/>
          <w:iCs w:val="1"/>
          <w:color w:val="auto"/>
        </w:rPr>
        <w:t>Recent Sales of Unregistered Securities.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relates to sales of securities that have occurred since January 1, 2007 and that have not been registered under the Securities Act:</w:t>
      </w:r>
    </w:p>
    <w:p>
      <w:pPr>
        <w:spacing w:after="0" w:line="86" w:lineRule="exact"/>
        <w:rPr>
          <w:sz w:val="20"/>
          <w:szCs w:val="20"/>
          <w:color w:val="auto"/>
        </w:rPr>
      </w:pPr>
    </w:p>
    <w:p>
      <w:pPr>
        <w:ind w:left="680" w:right="20" w:firstLine="499"/>
        <w:spacing w:after="0" w:line="237" w:lineRule="auto"/>
        <w:rPr>
          <w:sz w:val="20"/>
          <w:szCs w:val="20"/>
          <w:color w:val="auto"/>
        </w:rPr>
      </w:pPr>
      <w:r>
        <w:rPr>
          <w:rFonts w:ascii="Arial" w:cs="Arial" w:eastAsia="Arial" w:hAnsi="Arial"/>
          <w:sz w:val="13"/>
          <w:szCs w:val="13"/>
          <w:color w:val="auto"/>
        </w:rPr>
        <w:t>Prior to the effectiveness of the registration statement of which this prospectus is a part, we will convert from a Delaware limited liability company into a Delaware corporation. At the time of the corporate conversion, all of the outstanding common units of MagnaChip Semiconductor LLC will be automatically converted into shares of our common stock and all of the outstanding warrants to purchase common units of MagnaChip Semiconductor LLC will be automatically converted into warrants to purchase shares of our common stock. The issuance of common stock and warrants to purchase common stock to our members in the corporate conversion will be exempt from registration under the Securities Act by virtue of the exemption provided under Section 3(a)(9) thereof as the common stock and warrants will be exchanged by us with our existing security holders exclusively where no commission or other remuneration is paid or given directly or indirectly for soliciting such exchange. The issuance of common stock and warrants will also be exempt from registration under the Securities Act by virtue of Section 4(2) thereof as a transaction not involving a public offering or, with respect to certain of our existing security holders, Regulation S thereof as an issuance to non-U.S. persons in transactions that will take place outside of the U.S. In addition, as part of our corporate conversion, we will convert outstanding options to purchase common units of MagnaChip Semiconductor LLC into options to purchase shares of our common stock. The issuance of such options to purchase shares of our stock pursuant to such corporate conversion will be exempt from registration in reliance upon exemptions from the registration requirements provided by Rule 701 under the Securities Act relating to transactions occurring under compensatory benefit plans or provided by Regulation S to non-U.S. persons in transactions that will take place outside of the U.S.</w:t>
      </w:r>
    </w:p>
    <w:p>
      <w:pPr>
        <w:spacing w:after="0" w:line="86" w:lineRule="exact"/>
        <w:rPr>
          <w:sz w:val="20"/>
          <w:szCs w:val="20"/>
          <w:color w:val="auto"/>
        </w:rPr>
      </w:pPr>
    </w:p>
    <w:p>
      <w:pPr>
        <w:ind w:left="680" w:right="240" w:firstLine="499"/>
        <w:spacing w:after="0" w:line="239" w:lineRule="auto"/>
        <w:rPr>
          <w:sz w:val="20"/>
          <w:szCs w:val="20"/>
          <w:color w:val="auto"/>
        </w:rPr>
      </w:pPr>
      <w:r>
        <w:rPr>
          <w:rFonts w:ascii="Arial" w:cs="Arial" w:eastAsia="Arial" w:hAnsi="Arial"/>
          <w:sz w:val="13"/>
          <w:szCs w:val="13"/>
          <w:color w:val="auto"/>
        </w:rPr>
        <w:t>In April 2010, our subsidiaries, MagnaChip Semiconductor S.A. and MagnaChip Semiconductor Finance Company, sold (and certain of our subsidiaries guaranteed) $250 million aggregate principal amount of 10.500% senior notes due 2018. We received net proceeds of $238.4 million pursuant to the sale of such notes. The initial purchasers of the foregoing notes were Goldman, Sachs &amp; Co., Barclays Capital Inc., Deutsche Bank Securities Inc., Morgan Stanley &amp; Co. Incorporated, Citigroup Global Markets Inc., Credit Suisse Securities (USA) LLC and UBS Securities LLC. The issuance of the notes to the initial purchasers was made in reliance on Section 4(2) under the Securities Act and the notes were subsequently resold by the initial purchasers pursuant to Rule 144A and Regulation S thereunder.</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March 2010, we issued to our director Nader Tavakoli a restricted unit bonus for 150,000 common units pursuant to the MagnaChip Semiconductor LLC 2009 Common Unit Plan. In March 2010, we also issued to certain of our directors and employees options to purchase up to 914,000 common units pursuant to the MagnaChip Semiconductor LLC 2009 Common Unit Plan at an exercise price of $2.12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8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December 2009, we issued to certain of our employees restricted unit bonuses for an aggregate of 7,084,000 common units pursuant to the MagnaChip Semiconductor LLC 2009 Common Unit Plan. In December 2009, we also issued to certain of our employees options to purchase up to 15,365,000 common units pursuant to the MagnaChip Semiconductor LLC 2009 Common Unit Plan at an exercise price of $1.16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9" w:name="page260"/>
    <w:bookmarkEnd w:id="2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In November 2009, in connection with our emergence from reorganization proceedings, we issued an aggregate of 17,999,996 common units and warrants to purchase 15,000,000 common units to certain of our former creditors in satisfaction and retirement of their claims. The issuance of such common units and warrants and the distribution thereof was exempt from registration under applicable securities laws pursuant to Section 1145(a) of the U.S. Bankruptcy Code.</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November 2009, in connection with our emergence from reorganization proceedings, we issued an aggregate of 252,000,000 common units in a rights offering to affiliated funds of Avenue Capital Management II, L.P. and certain of our other former creditors who were accredited investors, as defined in Regulation D of the Securities Act, for an aggregate purchase price of $35,280,000. In connection with such rights offering we issued an additional 30,000,000 common units to affiliated funds of Avenue Capital Management II, L.P. as payment of a backstop commitment fee payable pursuant to our Chapter 11 plan of reorganization. The sale and issuance of such securities was exempt from registration under applicable securities laws pursuant to Section 4(2) of the Securities Act and Regulation D promulgated thereunder.</w:t>
      </w:r>
    </w:p>
    <w:p>
      <w:pPr>
        <w:spacing w:after="0" w:line="81"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On July 4, 2008, one of our former employees exercised options to acquire 4,375 of our common units at a purchase price of $12,040.87.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79"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April 14, 2008, one of our former executives exercised options to acquire 143,272.50 of our common units at a purchase price of $143,272.50.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March 12, 2008, one of our former employees exercised options to acquire 2,437.50 of our common units at a purchase price of $7,312.50.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On February 19, 2008, two of our former employees exercised options to acquire 11,375 of our common units for an aggregate purchase price of $20,890. Because the offering transactions took place outside the U.S. and neither of the optionees was a U.S. person, the issuance of these securities was exempt from registration under Regulation S.</w:t>
      </w:r>
    </w:p>
    <w:p>
      <w:pPr>
        <w:spacing w:after="0" w:line="79"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December 24, 2007, one of our former executives exercised options to acquire 12,500 of our common units at a purchase price of $37,500.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On October 25, 2007, one of our former employees exercised options to acquire 1,500 of our common units at a purchase price of $3,000.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August 22, 2007, one of our former executives exercised options to acquire 30,937.50 of our common units at a purchase price of $30,937.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On May 4, 2007, one of our former executives exercised options to acquire 80,000 of our common units for an aggregate purchase price of $80,000.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0" w:name="page261"/>
    <w:bookmarkEnd w:id="260"/>
    <w:p>
      <w:pPr>
        <w:spacing w:after="0" w:line="206" w:lineRule="auto"/>
        <w:framePr w:w="320" w:h="119" w:wrap="auto" w:vAnchor="page" w:hAnchor="page" w:x="960" w:y="5506"/>
        <w:rPr>
          <w:rFonts w:ascii="Arial" w:cs="Arial" w:eastAsia="Arial" w:hAnsi="Arial"/>
          <w:sz w:val="12"/>
          <w:szCs w:val="12"/>
          <w:color w:val="auto"/>
        </w:rPr>
      </w:pPr>
      <w:r>
        <w:rPr>
          <w:rFonts w:ascii="Arial" w:cs="Arial" w:eastAsia="Arial" w:hAnsi="Arial"/>
          <w:sz w:val="12"/>
          <w:szCs w:val="12"/>
          <w:color w:val="auto"/>
        </w:rPr>
        <w:t>10.7</w:t>
      </w:r>
    </w:p>
    <w:p>
      <w:pPr>
        <w:spacing w:after="0" w:line="206" w:lineRule="auto"/>
        <w:framePr w:w="320" w:h="119" w:wrap="auto" w:vAnchor="page" w:hAnchor="page" w:x="960" w:y="5064"/>
        <w:rPr>
          <w:rFonts w:ascii="Arial" w:cs="Arial" w:eastAsia="Arial" w:hAnsi="Arial"/>
          <w:sz w:val="12"/>
          <w:szCs w:val="12"/>
          <w:color w:val="auto"/>
        </w:rPr>
      </w:pPr>
      <w:r>
        <w:rPr>
          <w:rFonts w:ascii="Arial" w:cs="Arial" w:eastAsia="Arial" w:hAnsi="Arial"/>
          <w:sz w:val="12"/>
          <w:szCs w:val="12"/>
          <w:color w:val="auto"/>
        </w:rPr>
        <w:t>10.5</w:t>
      </w:r>
    </w:p>
    <w:p>
      <w:pPr>
        <w:spacing w:after="0" w:line="206" w:lineRule="auto"/>
        <w:framePr w:w="320" w:h="119" w:wrap="auto" w:vAnchor="page" w:hAnchor="page" w:x="960" w:y="5211"/>
        <w:rPr>
          <w:rFonts w:ascii="Arial" w:cs="Arial" w:eastAsia="Arial" w:hAnsi="Arial"/>
          <w:sz w:val="12"/>
          <w:szCs w:val="12"/>
          <w:color w:val="auto"/>
        </w:rPr>
      </w:pPr>
      <w:r>
        <w:rPr>
          <w:rFonts w:ascii="Arial" w:cs="Arial" w:eastAsia="Arial" w:hAnsi="Arial"/>
          <w:sz w:val="12"/>
          <w:szCs w:val="12"/>
          <w:color w:val="auto"/>
        </w:rPr>
        <w:t>10.6</w:t>
      </w:r>
    </w:p>
    <w:p>
      <w:pPr>
        <w:spacing w:after="0" w:line="206" w:lineRule="auto"/>
        <w:framePr w:w="320" w:h="119" w:wrap="auto" w:vAnchor="page" w:hAnchor="page" w:x="960" w:y="4474"/>
        <w:rPr>
          <w:rFonts w:ascii="Arial" w:cs="Arial" w:eastAsia="Arial" w:hAnsi="Arial"/>
          <w:sz w:val="12"/>
          <w:szCs w:val="12"/>
          <w:color w:val="auto"/>
        </w:rPr>
      </w:pPr>
      <w:r>
        <w:rPr>
          <w:rFonts w:ascii="Arial" w:cs="Arial" w:eastAsia="Arial" w:hAnsi="Arial"/>
          <w:sz w:val="12"/>
          <w:szCs w:val="12"/>
          <w:color w:val="auto"/>
        </w:rPr>
        <w:t>10.2</w:t>
      </w:r>
    </w:p>
    <w:p>
      <w:pPr>
        <w:spacing w:after="0" w:line="206" w:lineRule="auto"/>
        <w:framePr w:w="320" w:h="119" w:wrap="auto" w:vAnchor="page" w:hAnchor="page" w:x="960" w:y="4622"/>
        <w:rPr>
          <w:rFonts w:ascii="Arial" w:cs="Arial" w:eastAsia="Arial" w:hAnsi="Arial"/>
          <w:sz w:val="12"/>
          <w:szCs w:val="12"/>
          <w:color w:val="auto"/>
        </w:rPr>
      </w:pPr>
      <w:r>
        <w:rPr>
          <w:rFonts w:ascii="Arial" w:cs="Arial" w:eastAsia="Arial" w:hAnsi="Arial"/>
          <w:sz w:val="12"/>
          <w:szCs w:val="12"/>
          <w:color w:val="auto"/>
        </w:rPr>
        <w:t>10.3</w:t>
      </w:r>
    </w:p>
    <w:p>
      <w:pPr>
        <w:spacing w:after="0" w:line="206" w:lineRule="auto"/>
        <w:framePr w:w="320" w:h="119" w:wrap="auto" w:vAnchor="page" w:hAnchor="page" w:x="960" w:y="4769"/>
        <w:rPr>
          <w:rFonts w:ascii="Arial" w:cs="Arial" w:eastAsia="Arial" w:hAnsi="Arial"/>
          <w:sz w:val="12"/>
          <w:szCs w:val="12"/>
          <w:color w:val="auto"/>
        </w:rPr>
      </w:pPr>
      <w:r>
        <w:rPr>
          <w:rFonts w:ascii="Arial" w:cs="Arial" w:eastAsia="Arial" w:hAnsi="Arial"/>
          <w:sz w:val="12"/>
          <w:szCs w:val="12"/>
          <w:color w:val="auto"/>
        </w:rPr>
        <w:t>10.4</w:t>
      </w:r>
    </w:p>
    <w:p>
      <w:pPr>
        <w:spacing w:after="0" w:line="206" w:lineRule="auto"/>
        <w:framePr w:w="260" w:h="119" w:wrap="auto" w:vAnchor="page" w:hAnchor="page" w:x="1020" w:y="3737"/>
        <w:rPr>
          <w:rFonts w:ascii="Arial" w:cs="Arial" w:eastAsia="Arial" w:hAnsi="Arial"/>
          <w:sz w:val="12"/>
          <w:szCs w:val="12"/>
          <w:color w:val="auto"/>
        </w:rPr>
      </w:pPr>
      <w:r>
        <w:rPr>
          <w:rFonts w:ascii="Arial" w:cs="Arial" w:eastAsia="Arial" w:hAnsi="Arial"/>
          <w:sz w:val="12"/>
          <w:szCs w:val="12"/>
          <w:color w:val="auto"/>
        </w:rPr>
        <w:t>5.1</w:t>
      </w:r>
    </w:p>
    <w:p>
      <w:pPr>
        <w:spacing w:after="0" w:line="206" w:lineRule="auto"/>
        <w:framePr w:w="260" w:h="119" w:wrap="auto" w:vAnchor="page" w:hAnchor="page" w:x="1020" w:y="3884"/>
        <w:rPr>
          <w:rFonts w:ascii="Arial" w:cs="Arial" w:eastAsia="Arial" w:hAnsi="Arial"/>
          <w:sz w:val="12"/>
          <w:szCs w:val="12"/>
          <w:color w:val="auto"/>
        </w:rPr>
      </w:pPr>
      <w:r>
        <w:rPr>
          <w:rFonts w:ascii="Arial" w:cs="Arial" w:eastAsia="Arial" w:hAnsi="Arial"/>
          <w:sz w:val="12"/>
          <w:szCs w:val="12"/>
          <w:color w:val="auto"/>
        </w:rPr>
        <w:t>5.2</w:t>
      </w:r>
    </w:p>
    <w:p>
      <w:pPr>
        <w:spacing w:after="0" w:line="206" w:lineRule="auto"/>
        <w:framePr w:w="260" w:h="119" w:wrap="auto" w:vAnchor="page" w:hAnchor="page" w:x="1020" w:y="4032"/>
        <w:rPr>
          <w:rFonts w:ascii="Arial" w:cs="Arial" w:eastAsia="Arial" w:hAnsi="Arial"/>
          <w:sz w:val="12"/>
          <w:szCs w:val="12"/>
          <w:color w:val="auto"/>
        </w:rPr>
      </w:pPr>
      <w:r>
        <w:rPr>
          <w:rFonts w:ascii="Arial" w:cs="Arial" w:eastAsia="Arial" w:hAnsi="Arial"/>
          <w:sz w:val="12"/>
          <w:szCs w:val="12"/>
          <w:color w:val="auto"/>
        </w:rPr>
        <w:t>8.1</w:t>
      </w:r>
    </w:p>
    <w:p>
      <w:pPr>
        <w:spacing w:after="0" w:line="206" w:lineRule="auto"/>
        <w:framePr w:w="320" w:h="119" w:wrap="auto" w:vAnchor="page" w:hAnchor="page" w:x="960" w:y="4179"/>
        <w:rPr>
          <w:rFonts w:ascii="Arial" w:cs="Arial" w:eastAsia="Arial" w:hAnsi="Arial"/>
          <w:sz w:val="12"/>
          <w:szCs w:val="12"/>
          <w:color w:val="auto"/>
        </w:rPr>
      </w:pPr>
      <w:r>
        <w:rPr>
          <w:rFonts w:ascii="Arial" w:cs="Arial" w:eastAsia="Arial" w:hAnsi="Arial"/>
          <w:sz w:val="12"/>
          <w:szCs w:val="12"/>
          <w:color w:val="auto"/>
        </w:rPr>
        <w:t>10.1</w:t>
      </w:r>
    </w:p>
    <w:p>
      <w:pPr>
        <w:spacing w:after="0" w:line="206" w:lineRule="auto"/>
        <w:framePr w:w="260" w:h="119" w:wrap="auto" w:vAnchor="page" w:hAnchor="page" w:x="1020" w:y="3147"/>
        <w:rPr>
          <w:rFonts w:ascii="Arial" w:cs="Arial" w:eastAsia="Arial" w:hAnsi="Arial"/>
          <w:sz w:val="12"/>
          <w:szCs w:val="12"/>
          <w:color w:val="auto"/>
        </w:rPr>
      </w:pPr>
      <w:r>
        <w:rPr>
          <w:rFonts w:ascii="Arial" w:cs="Arial" w:eastAsia="Arial" w:hAnsi="Arial"/>
          <w:sz w:val="12"/>
          <w:szCs w:val="12"/>
          <w:color w:val="auto"/>
        </w:rPr>
        <w:t>4.5</w:t>
      </w:r>
    </w:p>
    <w:p>
      <w:pPr>
        <w:spacing w:after="0" w:line="206" w:lineRule="auto"/>
        <w:framePr w:w="260" w:h="119" w:wrap="auto" w:vAnchor="page" w:hAnchor="page" w:x="1020" w:y="3295"/>
        <w:rPr>
          <w:rFonts w:ascii="Arial" w:cs="Arial" w:eastAsia="Arial" w:hAnsi="Arial"/>
          <w:sz w:val="12"/>
          <w:szCs w:val="12"/>
          <w:color w:val="auto"/>
        </w:rPr>
      </w:pPr>
      <w:r>
        <w:rPr>
          <w:rFonts w:ascii="Arial" w:cs="Arial" w:eastAsia="Arial" w:hAnsi="Arial"/>
          <w:sz w:val="12"/>
          <w:szCs w:val="12"/>
          <w:color w:val="auto"/>
        </w:rPr>
        <w:t>4.6</w:t>
      </w:r>
    </w:p>
    <w:p>
      <w:pPr>
        <w:spacing w:after="0" w:line="206" w:lineRule="auto"/>
        <w:framePr w:w="260" w:h="119" w:wrap="auto" w:vAnchor="page" w:hAnchor="page" w:x="1020" w:y="2705"/>
        <w:rPr>
          <w:rFonts w:ascii="Arial" w:cs="Arial" w:eastAsia="Arial" w:hAnsi="Arial"/>
          <w:sz w:val="12"/>
          <w:szCs w:val="12"/>
          <w:color w:val="auto"/>
        </w:rPr>
      </w:pPr>
      <w:r>
        <w:rPr>
          <w:rFonts w:ascii="Arial" w:cs="Arial" w:eastAsia="Arial" w:hAnsi="Arial"/>
          <w:sz w:val="12"/>
          <w:szCs w:val="12"/>
          <w:color w:val="auto"/>
        </w:rPr>
        <w:t>4.3</w:t>
      </w:r>
    </w:p>
    <w:p>
      <w:pPr>
        <w:spacing w:after="0" w:line="206" w:lineRule="auto"/>
        <w:framePr w:w="260" w:h="119" w:wrap="auto" w:vAnchor="page" w:hAnchor="page" w:x="1020" w:y="2852"/>
        <w:rPr>
          <w:rFonts w:ascii="Arial" w:cs="Arial" w:eastAsia="Arial" w:hAnsi="Arial"/>
          <w:sz w:val="12"/>
          <w:szCs w:val="12"/>
          <w:color w:val="auto"/>
        </w:rPr>
      </w:pPr>
      <w:r>
        <w:rPr>
          <w:rFonts w:ascii="Arial" w:cs="Arial" w:eastAsia="Arial" w:hAnsi="Arial"/>
          <w:sz w:val="12"/>
          <w:szCs w:val="12"/>
          <w:color w:val="auto"/>
        </w:rPr>
        <w:t>4.4</w:t>
      </w:r>
    </w:p>
    <w:p>
      <w:pPr>
        <w:spacing w:after="0" w:line="206" w:lineRule="auto"/>
        <w:framePr w:w="260" w:h="119" w:wrap="auto" w:vAnchor="page" w:hAnchor="page" w:x="1020" w:y="1378"/>
        <w:rPr>
          <w:rFonts w:ascii="Arial" w:cs="Arial" w:eastAsia="Arial" w:hAnsi="Arial"/>
          <w:sz w:val="12"/>
          <w:szCs w:val="12"/>
          <w:color w:val="auto"/>
        </w:rPr>
      </w:pPr>
      <w:r>
        <w:rPr>
          <w:rFonts w:ascii="Arial" w:cs="Arial" w:eastAsia="Arial" w:hAnsi="Arial"/>
          <w:sz w:val="12"/>
          <w:szCs w:val="12"/>
          <w:color w:val="auto"/>
        </w:rPr>
        <w:t>3.1</w:t>
      </w:r>
    </w:p>
    <w:p>
      <w:pPr>
        <w:spacing w:after="0" w:line="206" w:lineRule="auto"/>
        <w:framePr w:w="260" w:h="119" w:wrap="auto" w:vAnchor="page" w:hAnchor="page" w:x="1020" w:y="1525"/>
        <w:rPr>
          <w:rFonts w:ascii="Arial" w:cs="Arial" w:eastAsia="Arial" w:hAnsi="Arial"/>
          <w:sz w:val="12"/>
          <w:szCs w:val="12"/>
          <w:color w:val="auto"/>
        </w:rPr>
      </w:pPr>
      <w:r>
        <w:rPr>
          <w:rFonts w:ascii="Arial" w:cs="Arial" w:eastAsia="Arial" w:hAnsi="Arial"/>
          <w:sz w:val="12"/>
          <w:szCs w:val="12"/>
          <w:color w:val="auto"/>
        </w:rPr>
        <w:t>3.2</w:t>
      </w:r>
    </w:p>
    <w:p>
      <w:pPr>
        <w:spacing w:after="0" w:line="206" w:lineRule="auto"/>
        <w:framePr w:w="260" w:h="119" w:wrap="auto" w:vAnchor="page" w:hAnchor="page" w:x="1020" w:y="1673"/>
        <w:rPr>
          <w:rFonts w:ascii="Arial" w:cs="Arial" w:eastAsia="Arial" w:hAnsi="Arial"/>
          <w:sz w:val="12"/>
          <w:szCs w:val="12"/>
          <w:color w:val="auto"/>
        </w:rPr>
      </w:pPr>
      <w:r>
        <w:rPr>
          <w:rFonts w:ascii="Arial" w:cs="Arial" w:eastAsia="Arial" w:hAnsi="Arial"/>
          <w:sz w:val="12"/>
          <w:szCs w:val="12"/>
          <w:color w:val="auto"/>
        </w:rPr>
        <w:t>3.3</w:t>
      </w:r>
    </w:p>
    <w:p>
      <w:pPr>
        <w:spacing w:after="0" w:line="206" w:lineRule="auto"/>
        <w:framePr w:w="260" w:h="119" w:wrap="auto" w:vAnchor="page" w:hAnchor="page" w:x="1020" w:y="1820"/>
        <w:rPr>
          <w:rFonts w:ascii="Arial" w:cs="Arial" w:eastAsia="Arial" w:hAnsi="Arial"/>
          <w:sz w:val="12"/>
          <w:szCs w:val="12"/>
          <w:color w:val="auto"/>
        </w:rPr>
      </w:pPr>
      <w:r>
        <w:rPr>
          <w:rFonts w:ascii="Arial" w:cs="Arial" w:eastAsia="Arial" w:hAnsi="Arial"/>
          <w:sz w:val="12"/>
          <w:szCs w:val="12"/>
          <w:color w:val="auto"/>
        </w:rPr>
        <w:t>3.4</w:t>
      </w:r>
    </w:p>
    <w:p>
      <w:pPr>
        <w:spacing w:after="0" w:line="206" w:lineRule="auto"/>
        <w:framePr w:w="260" w:h="119" w:wrap="auto" w:vAnchor="page" w:hAnchor="page" w:x="1020" w:y="1968"/>
        <w:rPr>
          <w:rFonts w:ascii="Arial" w:cs="Arial" w:eastAsia="Arial" w:hAnsi="Arial"/>
          <w:sz w:val="12"/>
          <w:szCs w:val="12"/>
          <w:color w:val="auto"/>
        </w:rPr>
      </w:pPr>
      <w:r>
        <w:rPr>
          <w:rFonts w:ascii="Arial" w:cs="Arial" w:eastAsia="Arial" w:hAnsi="Arial"/>
          <w:sz w:val="12"/>
          <w:szCs w:val="12"/>
          <w:color w:val="auto"/>
        </w:rPr>
        <w:t>3.5</w:t>
      </w:r>
    </w:p>
    <w:p>
      <w:pPr>
        <w:spacing w:after="0" w:line="206" w:lineRule="auto"/>
        <w:framePr w:w="260" w:h="119" w:wrap="auto" w:vAnchor="page" w:hAnchor="page" w:x="1020" w:y="2115"/>
        <w:rPr>
          <w:rFonts w:ascii="Arial" w:cs="Arial" w:eastAsia="Arial" w:hAnsi="Arial"/>
          <w:sz w:val="12"/>
          <w:szCs w:val="12"/>
          <w:color w:val="auto"/>
        </w:rPr>
      </w:pPr>
      <w:r>
        <w:rPr>
          <w:rFonts w:ascii="Arial" w:cs="Arial" w:eastAsia="Arial" w:hAnsi="Arial"/>
          <w:sz w:val="12"/>
          <w:szCs w:val="12"/>
          <w:color w:val="auto"/>
        </w:rPr>
        <w:t>3.6</w:t>
      </w:r>
    </w:p>
    <w:p>
      <w:pPr>
        <w:spacing w:after="0" w:line="206" w:lineRule="auto"/>
        <w:framePr w:w="260" w:h="119" w:wrap="auto" w:vAnchor="page" w:hAnchor="page" w:x="1020" w:y="2263"/>
        <w:rPr>
          <w:rFonts w:ascii="Arial" w:cs="Arial" w:eastAsia="Arial" w:hAnsi="Arial"/>
          <w:sz w:val="12"/>
          <w:szCs w:val="12"/>
          <w:color w:val="auto"/>
        </w:rPr>
      </w:pPr>
      <w:r>
        <w:rPr>
          <w:rFonts w:ascii="Arial" w:cs="Arial" w:eastAsia="Arial" w:hAnsi="Arial"/>
          <w:sz w:val="12"/>
          <w:szCs w:val="12"/>
          <w:color w:val="auto"/>
        </w:rPr>
        <w:t>4.1</w:t>
      </w:r>
    </w:p>
    <w:p>
      <w:pPr>
        <w:spacing w:after="0" w:line="206" w:lineRule="auto"/>
        <w:framePr w:w="260" w:h="119" w:wrap="auto" w:vAnchor="page" w:hAnchor="page" w:x="1020" w:y="2410"/>
        <w:rPr>
          <w:rFonts w:ascii="Arial" w:cs="Arial" w:eastAsia="Arial" w:hAnsi="Arial"/>
          <w:sz w:val="12"/>
          <w:szCs w:val="12"/>
          <w:color w:val="auto"/>
        </w:rPr>
      </w:pPr>
      <w:r>
        <w:rPr>
          <w:rFonts w:ascii="Arial" w:cs="Arial" w:eastAsia="Arial" w:hAnsi="Arial"/>
          <w:sz w:val="12"/>
          <w:szCs w:val="12"/>
          <w:color w:val="auto"/>
        </w:rPr>
        <w:t>4.2</w:t>
      </w:r>
    </w:p>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rFonts w:ascii="Arial" w:cs="Arial" w:eastAsia="Arial" w:hAnsi="Arial"/>
          <w:sz w:val="12"/>
          <w:szCs w:val="12"/>
          <w:color w:val="auto"/>
        </w:rPr>
      </w:pPr>
    </w:p>
    <w:p>
      <w:pPr>
        <w:ind w:left="5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2"/>
          <w:szCs w:val="12"/>
          <w:b w:val="1"/>
          <w:bCs w:val="1"/>
          <w:i w:val="1"/>
          <w:iCs w:val="1"/>
          <w:color w:val="auto"/>
        </w:rPr>
        <w:t>Exhibits.</w:t>
      </w:r>
    </w:p>
    <w:p>
      <w:pPr>
        <w:spacing w:after="0" w:line="71" w:lineRule="exact"/>
        <w:rPr>
          <w:rFonts w:ascii="Arial" w:cs="Arial" w:eastAsia="Arial" w:hAnsi="Arial"/>
          <w:sz w:val="12"/>
          <w:szCs w:val="12"/>
          <w:color w:val="auto"/>
        </w:rPr>
      </w:pPr>
    </w:p>
    <w:p>
      <w:pPr>
        <w:ind w:left="840"/>
        <w:spacing w:after="0"/>
        <w:tabs>
          <w:tab w:leader="none" w:pos="13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840"/>
        <w:spacing w:after="0" w:line="236" w:lineRule="auto"/>
        <w:tabs>
          <w:tab w:leader="none" w:pos="13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w:t>
      </w:r>
    </w:p>
    <w:p>
      <w:pPr>
        <w:ind w:left="1320"/>
        <w:spacing w:after="0" w:line="237" w:lineRule="auto"/>
        <w:rPr>
          <w:sz w:val="20"/>
          <w:szCs w:val="20"/>
          <w:color w:val="auto"/>
        </w:rPr>
      </w:pPr>
      <w:r>
        <w:rPr>
          <w:rFonts w:ascii="Arial" w:cs="Arial" w:eastAsia="Arial" w:hAnsi="Arial"/>
          <w:sz w:val="13"/>
          <w:szCs w:val="13"/>
          <w:color w:val="auto"/>
        </w:rPr>
        <w:t>et al., dated as of September 24, 2009(3)</w:t>
      </w:r>
    </w:p>
    <w:p>
      <w:pPr>
        <w:ind w:left="1320"/>
        <w:spacing w:after="0" w:line="237" w:lineRule="auto"/>
        <w:rPr>
          <w:sz w:val="20"/>
          <w:szCs w:val="20"/>
          <w:color w:val="auto"/>
        </w:rPr>
      </w:pPr>
      <w:r>
        <w:rPr>
          <w:rFonts w:ascii="Arial" w:cs="Arial" w:eastAsia="Arial" w:hAnsi="Arial"/>
          <w:sz w:val="13"/>
          <w:szCs w:val="13"/>
          <w:color w:val="auto"/>
        </w:rPr>
        <w:t>Certificate of Formation of MagnaChip Semiconductor LLC (formerly System Semiconductor Holding LLC)(3)</w:t>
      </w:r>
    </w:p>
    <w:p>
      <w:pPr>
        <w:ind w:left="1320"/>
        <w:spacing w:after="0" w:line="236" w:lineRule="auto"/>
        <w:rPr>
          <w:sz w:val="20"/>
          <w:szCs w:val="20"/>
          <w:color w:val="auto"/>
        </w:rPr>
      </w:pPr>
      <w:r>
        <w:rPr>
          <w:rFonts w:ascii="Arial" w:cs="Arial" w:eastAsia="Arial" w:hAnsi="Arial"/>
          <w:sz w:val="13"/>
          <w:szCs w:val="13"/>
          <w:color w:val="auto"/>
        </w:rPr>
        <w:t>Certificate of Amendment to Certificate of Formation of MagnaChip Semiconductor LLC(3)</w:t>
      </w:r>
    </w:p>
    <w:p>
      <w:pPr>
        <w:ind w:left="1320"/>
        <w:spacing w:after="0" w:line="237" w:lineRule="auto"/>
        <w:rPr>
          <w:sz w:val="20"/>
          <w:szCs w:val="20"/>
          <w:color w:val="auto"/>
        </w:rPr>
      </w:pPr>
      <w:r>
        <w:rPr>
          <w:rFonts w:ascii="Arial" w:cs="Arial" w:eastAsia="Arial" w:hAnsi="Arial"/>
          <w:sz w:val="13"/>
          <w:szCs w:val="13"/>
          <w:color w:val="auto"/>
        </w:rPr>
        <w:t>Fifth Amended and Restated Limited Liability Company Operating Agreement of MagnaChip Semiconductor LLC(3)</w:t>
      </w:r>
    </w:p>
    <w:p>
      <w:pPr>
        <w:ind w:left="1320"/>
        <w:spacing w:after="0" w:line="237" w:lineRule="auto"/>
        <w:rPr>
          <w:sz w:val="20"/>
          <w:szCs w:val="20"/>
          <w:color w:val="auto"/>
        </w:rPr>
      </w:pPr>
      <w:r>
        <w:rPr>
          <w:rFonts w:ascii="Arial" w:cs="Arial" w:eastAsia="Arial" w:hAnsi="Arial"/>
          <w:sz w:val="13"/>
          <w:szCs w:val="13"/>
          <w:color w:val="auto"/>
        </w:rPr>
        <w:t>Form of Certificate of Incorporation of MagnaChip Semiconductor Corporation(3)</w:t>
      </w:r>
    </w:p>
    <w:p>
      <w:pPr>
        <w:ind w:left="1320"/>
        <w:spacing w:after="0" w:line="236" w:lineRule="auto"/>
        <w:rPr>
          <w:sz w:val="20"/>
          <w:szCs w:val="20"/>
          <w:color w:val="auto"/>
        </w:rPr>
      </w:pPr>
      <w:r>
        <w:rPr>
          <w:rFonts w:ascii="Arial" w:cs="Arial" w:eastAsia="Arial" w:hAnsi="Arial"/>
          <w:sz w:val="13"/>
          <w:szCs w:val="13"/>
          <w:color w:val="auto"/>
        </w:rPr>
        <w:t>Form of Bylaws of MagnaChip Semiconductor Corporation(3)</w:t>
      </w:r>
    </w:p>
    <w:p>
      <w:pPr>
        <w:ind w:left="1320"/>
        <w:spacing w:after="0" w:line="237" w:lineRule="auto"/>
        <w:rPr>
          <w:sz w:val="20"/>
          <w:szCs w:val="20"/>
          <w:color w:val="auto"/>
        </w:rPr>
      </w:pPr>
      <w:r>
        <w:rPr>
          <w:rFonts w:ascii="Arial" w:cs="Arial" w:eastAsia="Arial" w:hAnsi="Arial"/>
          <w:sz w:val="13"/>
          <w:szCs w:val="13"/>
          <w:color w:val="auto"/>
        </w:rPr>
        <w:t>Form of Plan of Conversion of MagnaChip Semiconductor LLC(3)</w:t>
      </w:r>
    </w:p>
    <w:p>
      <w:pPr>
        <w:ind w:left="1320" w:right="120"/>
        <w:spacing w:after="0"/>
        <w:rPr>
          <w:sz w:val="20"/>
          <w:szCs w:val="20"/>
          <w:color w:val="auto"/>
        </w:rPr>
      </w:pPr>
      <w:r>
        <w:rPr>
          <w:rFonts w:ascii="Arial" w:cs="Arial" w:eastAsia="Arial" w:hAnsi="Arial"/>
          <w:sz w:val="13"/>
          <w:szCs w:val="13"/>
          <w:color w:val="auto"/>
        </w:rPr>
        <w:t>Registration Rights Agreement, dated as of November 9, 2009, by and among MagnaChip Semiconductor LLC and each of the securityholders named therein(3) Form of Deposit Agreement, among MagnaChip Semiconductor Corporation, American Stock Transfer &amp; Trust Company, LLC, as the depositary, and the holders from time to time of the depositary shares(3) [reserved]</w:t>
      </w:r>
    </w:p>
    <w:p>
      <w:pPr>
        <w:spacing w:after="0" w:line="141" w:lineRule="exact"/>
        <w:rPr>
          <w:rFonts w:ascii="Arial" w:cs="Arial" w:eastAsia="Arial" w:hAnsi="Arial"/>
          <w:sz w:val="12"/>
          <w:szCs w:val="12"/>
          <w:color w:val="auto"/>
        </w:rPr>
      </w:pPr>
    </w:p>
    <w:p>
      <w:pPr>
        <w:ind w:left="1320" w:right="320"/>
        <w:spacing w:after="0" w:line="236" w:lineRule="auto"/>
        <w:rPr>
          <w:sz w:val="20"/>
          <w:szCs w:val="20"/>
          <w:color w:val="auto"/>
        </w:rPr>
      </w:pP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1320"/>
        <w:spacing w:after="0" w:line="238" w:lineRule="auto"/>
        <w:rPr>
          <w:sz w:val="20"/>
          <w:szCs w:val="20"/>
          <w:color w:val="auto"/>
        </w:rPr>
      </w:pPr>
      <w:r>
        <w:rPr>
          <w:rFonts w:ascii="Arial" w:cs="Arial" w:eastAsia="Arial" w:hAnsi="Arial"/>
          <w:sz w:val="13"/>
          <w:szCs w:val="13"/>
          <w:color w:val="auto"/>
        </w:rPr>
        <w:t>Form of 10.500% Senior Notes due 2018 and related notation of guarantee (included in Exhibit 4.4)</w:t>
      </w:r>
    </w:p>
    <w:p>
      <w:pPr>
        <w:ind w:left="1320" w:right="340"/>
        <w:spacing w:after="0"/>
        <w:rPr>
          <w:sz w:val="20"/>
          <w:szCs w:val="20"/>
          <w:color w:val="auto"/>
        </w:rPr>
      </w:pPr>
      <w:r>
        <w:rPr>
          <w:rFonts w:ascii="Arial" w:cs="Arial" w:eastAsia="Arial" w:hAnsi="Arial"/>
          <w:sz w:val="13"/>
          <w:szCs w:val="13"/>
          <w:color w:val="auto"/>
        </w:rPr>
        <w:t>Exchange and Registration Rights Agreement, dated as of April 9, 2010, by and among MagnaChip Semiconductor S.A., MagnaChip Semiconductor Finance Company, the guarantors named therein, and Goldman, Sachs &amp; Co., Barclays Capital Inc., Deutsche Bank Securities Inc. and Morgan Stanley &amp; Co. Incorporated, as representatives of the several purchasers named therein(3) Opinion of DLA Piper LLP (US)*</w:t>
      </w:r>
    </w:p>
    <w:p>
      <w:pPr>
        <w:spacing w:after="0" w:line="141" w:lineRule="exact"/>
        <w:rPr>
          <w:rFonts w:ascii="Arial" w:cs="Arial" w:eastAsia="Arial" w:hAnsi="Arial"/>
          <w:sz w:val="12"/>
          <w:szCs w:val="12"/>
          <w:color w:val="auto"/>
        </w:rPr>
      </w:pPr>
    </w:p>
    <w:p>
      <w:pPr>
        <w:ind w:left="1320" w:right="3640"/>
        <w:spacing w:after="0" w:line="236" w:lineRule="auto"/>
        <w:rPr>
          <w:sz w:val="20"/>
          <w:szCs w:val="20"/>
          <w:color w:val="auto"/>
        </w:rPr>
      </w:pPr>
      <w:r>
        <w:rPr>
          <w:rFonts w:ascii="Arial" w:cs="Arial" w:eastAsia="Arial" w:hAnsi="Arial"/>
          <w:sz w:val="13"/>
          <w:szCs w:val="13"/>
          <w:color w:val="auto"/>
        </w:rPr>
        <w:t>Opinion of Herbert J. Lemmer, General Counsel of American Stock Transfer &amp; Trust Company, LLC* Tax Opinion of DLA Piper LLP (US) (included in Exhibit 5.1)</w:t>
      </w:r>
    </w:p>
    <w:p>
      <w:pPr>
        <w:spacing w:after="0" w:line="1" w:lineRule="exact"/>
        <w:rPr>
          <w:rFonts w:ascii="Arial" w:cs="Arial" w:eastAsia="Arial" w:hAnsi="Arial"/>
          <w:sz w:val="12"/>
          <w:szCs w:val="12"/>
          <w:color w:val="auto"/>
        </w:rPr>
      </w:pPr>
    </w:p>
    <w:p>
      <w:pPr>
        <w:ind w:left="1320" w:right="20"/>
        <w:spacing w:after="0" w:line="236" w:lineRule="auto"/>
        <w:rPr>
          <w:sz w:val="20"/>
          <w:szCs w:val="20"/>
          <w:color w:val="auto"/>
        </w:rPr>
      </w:pP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spacing w:after="0" w:line="1" w:lineRule="exact"/>
        <w:rPr>
          <w:rFonts w:ascii="Arial" w:cs="Arial" w:eastAsia="Arial" w:hAnsi="Arial"/>
          <w:sz w:val="12"/>
          <w:szCs w:val="12"/>
          <w:color w:val="auto"/>
        </w:rPr>
      </w:pPr>
    </w:p>
    <w:p>
      <w:pPr>
        <w:ind w:left="1320" w:right="40"/>
        <w:spacing w:after="0" w:line="236" w:lineRule="auto"/>
        <w:rPr>
          <w:sz w:val="20"/>
          <w:szCs w:val="20"/>
          <w:color w:val="auto"/>
        </w:rPr>
      </w:pPr>
      <w:r>
        <w:rPr>
          <w:rFonts w:ascii="Arial" w:cs="Arial" w:eastAsia="Arial" w:hAnsi="Arial"/>
          <w:sz w:val="13"/>
          <w:szCs w:val="13"/>
          <w:color w:val="auto"/>
        </w:rPr>
        <w:t>Intellectual Property License Agreement, dated as of October 6, 2004, by and between Hynix Semiconductor Inc. and MagnaChip Semiconductor, Ltd. (Korea)(3) Land Lease and Easement Agreement, dated as of October 6, 2004, by and between Hynix Semiconductor Inc. and MagnaChip Semiconductor, Ltd. (Korea)(1)(3) First Amendment to Land Lease and Easement Agreement, dated as of December 30, 2005, by and between Hynix Semiconductor Inc. and MagnaChip Semiconductor, Ltd. (Korea)(3)</w:t>
      </w:r>
    </w:p>
    <w:p>
      <w:pPr>
        <w:spacing w:after="0" w:line="2" w:lineRule="exact"/>
        <w:rPr>
          <w:rFonts w:ascii="Arial" w:cs="Arial" w:eastAsia="Arial" w:hAnsi="Arial"/>
          <w:sz w:val="12"/>
          <w:szCs w:val="12"/>
          <w:color w:val="auto"/>
        </w:rPr>
      </w:pPr>
    </w:p>
    <w:p>
      <w:pPr>
        <w:ind w:left="1320" w:right="220"/>
        <w:spacing w:after="0" w:line="236" w:lineRule="auto"/>
        <w:rPr>
          <w:sz w:val="20"/>
          <w:szCs w:val="20"/>
          <w:color w:val="auto"/>
        </w:rPr>
      </w:pPr>
      <w:r>
        <w:rPr>
          <w:rFonts w:ascii="Arial" w:cs="Arial" w:eastAsia="Arial" w:hAnsi="Arial"/>
          <w:sz w:val="13"/>
          <w:szCs w:val="13"/>
          <w:color w:val="auto"/>
        </w:rPr>
        <w:t>General Service Supply Agreement, dated as of October 6, 2004, by and between Hynix Semiconductor Inc. and MagnaChip Semiconductor, Ltd. (Korea)(2)(3) First Amendment to the General Service Supply Agreement, dated as of December 30, 2005, by and between Hynix Semiconductor Inc. and MagnaChip Semiconductor, Ltd. (Korea)(3)</w:t>
      </w:r>
    </w:p>
    <w:p>
      <w:pPr>
        <w:spacing w:after="0" w:line="1" w:lineRule="exact"/>
        <w:rPr>
          <w:rFonts w:ascii="Arial" w:cs="Arial" w:eastAsia="Arial" w:hAnsi="Arial"/>
          <w:sz w:val="12"/>
          <w:szCs w:val="12"/>
          <w:color w:val="auto"/>
        </w:rPr>
      </w:pPr>
    </w:p>
    <w:p>
      <w:pPr>
        <w:ind w:left="1320" w:right="380"/>
        <w:spacing w:after="0" w:line="236" w:lineRule="auto"/>
        <w:rPr>
          <w:sz w:val="20"/>
          <w:szCs w:val="20"/>
          <w:color w:val="auto"/>
        </w:rPr>
      </w:pP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rFonts w:ascii="Arial" w:cs="Arial" w:eastAsia="Arial" w:hAnsi="Arial"/>
          <w:sz w:val="12"/>
          <w:szCs w:val="12"/>
          <w:color w:val="auto"/>
        </w:rPr>
      </w:pPr>
    </w:p>
    <w:p>
      <w:pPr>
        <w:ind w:left="1320" w:right="680" w:hanging="538"/>
        <w:spacing w:after="0" w:line="248" w:lineRule="auto"/>
        <w:tabs>
          <w:tab w:leader="none" w:pos="13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spacing w:after="0" w:line="271" w:lineRule="exact"/>
        <w:rPr>
          <w:rFonts w:ascii="Arial" w:cs="Arial" w:eastAsia="Arial" w:hAnsi="Arial"/>
          <w:sz w:val="12"/>
          <w:szCs w:val="12"/>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343" w:right="919" w:bottom="1440" w:gutter="0" w:footer="0" w:header="0"/>
        </w:sectPr>
      </w:pPr>
    </w:p>
    <w:bookmarkStart w:id="261" w:name="page262"/>
    <w:bookmarkEnd w:id="2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w:t>
      </w:r>
    </w:p>
    <w:p>
      <w:pPr>
        <w:ind w:left="1320"/>
        <w:spacing w:after="0" w:line="236" w:lineRule="auto"/>
        <w:rPr>
          <w:sz w:val="20"/>
          <w:szCs w:val="20"/>
          <w:color w:val="auto"/>
        </w:rPr>
      </w:pPr>
      <w:r>
        <w:rPr>
          <w:rFonts w:ascii="Arial" w:cs="Arial" w:eastAsia="Arial" w:hAnsi="Arial"/>
          <w:sz w:val="13"/>
          <w:szCs w:val="13"/>
          <w:color w:val="auto"/>
        </w:rPr>
        <w:t>(successor in interest to LG Semicon Company Limited)(1)(3)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Amendment to the Technology License Agreement, dated as of October 16, 2006, by and between ARM Limited and MagnaChip Semiconductor, Ltd. (Korea)(2)(3)</w:t>
      </w:r>
    </w:p>
    <w:p>
      <w:pPr>
        <w:ind w:left="1320" w:right="20" w:hanging="538"/>
        <w:spacing w:after="0" w:line="236" w:lineRule="auto"/>
        <w:tabs>
          <w:tab w:leader="none" w:pos="13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ARM7201TDSP Device License Agreement, dated as of August 26, 1997, by and between Advanced RISC Machines Limited and MagnaChip Semiconductor, Ltd. (Korea) (successor in interest to LG Semicon Company Limited)(1)(3)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Technology License Agreement, dated as of October 5, 1995, by and between Advanced RISC Machines Limited and MagnaChip Semiconductor, Ltd. (Korea)</w:t>
      </w:r>
    </w:p>
    <w:p>
      <w:pPr>
        <w:ind w:left="1320"/>
        <w:spacing w:after="0" w:line="236" w:lineRule="auto"/>
        <w:rPr>
          <w:sz w:val="20"/>
          <w:szCs w:val="20"/>
          <w:color w:val="auto"/>
        </w:rPr>
      </w:pPr>
      <w:r>
        <w:rPr>
          <w:rFonts w:ascii="Arial" w:cs="Arial" w:eastAsia="Arial" w:hAnsi="Arial"/>
          <w:sz w:val="13"/>
          <w:szCs w:val="13"/>
          <w:color w:val="auto"/>
        </w:rPr>
        <w:t>(successor in interest to LG Semicon Company Limited)(2)(3)</w:t>
      </w:r>
    </w:p>
    <w:p>
      <w:pPr>
        <w:ind w:left="1320" w:right="100" w:hanging="538"/>
        <w:spacing w:after="0" w:line="236" w:lineRule="auto"/>
        <w:tabs>
          <w:tab w:leader="none" w:pos="13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320" w:right="80" w:hanging="538"/>
        <w:spacing w:after="0" w:line="236" w:lineRule="auto"/>
        <w:tabs>
          <w:tab w:leader="none" w:pos="13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320" w:right="240" w:hanging="538"/>
        <w:spacing w:after="0" w:line="236" w:lineRule="auto"/>
        <w:tabs>
          <w:tab w:leader="none" w:pos="13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Technology License Agreement, dated as of May 20, 2004, by and between ARM Limited and MagnaChip Semiconductor, Ltd. (Korea) (successor in interest to Hynix Semiconductor Inc.)(3)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Design Migration Agreement, dated as of May 1, 2007, by and between ARM Limited and MagnaChip Semiconductor, Ltd. (Korea)(2)(3)</w:t>
      </w:r>
    </w:p>
    <w:p>
      <w:pPr>
        <w:ind w:left="1320" w:hanging="538"/>
        <w:spacing w:after="0" w:line="236" w:lineRule="auto"/>
        <w:tabs>
          <w:tab w:leader="none" w:pos="13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320" w:right="20" w:hanging="538"/>
        <w:spacing w:after="0" w:line="236" w:lineRule="auto"/>
        <w:tabs>
          <w:tab w:leader="none" w:pos="13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Master Service Agreement, dated as of December 27, 2000 by and between Sharp Corporation and MagnaChip Semiconductor, Ltd. (Korea) (successor in interest to Hyundai Electronics Japan Co., Ltd) (English translation)(3)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Warrant Agreement, dated as of November 9, 2009, between MagnaChip Semiconductor LLC and American Stock Transfer &amp; Trust Company, LLC(3)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MagnaChip Semiconductor LLC 2009 Common Unit Plan(3)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MagnaChip Semiconductor LLC 2009 Common Unit Plan form of Option Agreement (Non-U.S.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MagnaChip Semiconductor LLC 2009 Common Unit Plan form of Option Agreement (U.S. Participants)(3)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MagnaChip Semiconductor LLC 2009 Common Unit Plan form of Restricted Unit Agreement (Non-U.S.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MagnaChip Semiconductor LLC 2009 Common Unit Plan form of Restricted Unit Agreement (U.S.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MagnaChip Semiconductor Corporation 2010 Equity Incentive Plan(3)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MagnaChip Semiconductor Corporation 2010 Employee Stock Purchase Plan(3)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Amended and Restated Service Agreement, dated as of May 8, 2008, by and between MagnaChip Semiconductor, Ltd. (Korea) and Sang Park(3)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Sang Park(3)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Sang Park(3)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Entrustment Agreement, dated as of October 6, 2004, by and between MagnaChip Semiconductor, Ltd. (Korea) and Tae Young Hwang(3)</w:t>
      </w:r>
    </w:p>
    <w:p>
      <w:pPr>
        <w:spacing w:after="0" w:line="1"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Young Hwang(3)</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343" w:right="919" w:bottom="1440" w:gutter="0" w:footer="0" w:header="0"/>
        </w:sectPr>
      </w:pPr>
    </w:p>
    <w:bookmarkStart w:id="262" w:name="page263"/>
    <w:bookmarkEnd w:id="2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Young Hwang(3)</w:t>
      </w:r>
    </w:p>
    <w:p>
      <w:pPr>
        <w:ind w:left="1320" w:right="180" w:hanging="538"/>
        <w:spacing w:after="0" w:line="236" w:lineRule="auto"/>
        <w:tabs>
          <w:tab w:leader="none" w:pos="130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Offer Letter dated March 7, 2006, from MagnaChip Semiconductor LLC and MagnaChip Semiconductor, Inc. to Brent Rowe, as supplemented on December 20, 2006(3)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Brent Rowe(3)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Brent Rowe(3)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Offer Letter dated September 5, 2006, from MagnaChip Semiconductor LLC and MagnaChip Semiconductor, Ltd. to Margaret Sakai(3)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Margaret Sakai(3)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Margaret Sakai(3)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Offer Letter, dated as of July 1, 2007, by and between MagnaChip Semiconductor, Ltd. (Korea) and Heung Kyu Kim(3)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Heung Kyu Kim(3)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Heung Kyu Kim(3)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Offer Letter, dated as of June 20, 2007, by and between MagnaChip Semiconductor, Ltd. (Korea) and Tae Jong Lee(3)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Jong Lee(3)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Jong Lee(3)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Service Agreement, dated as of April 1, 2006, by and between MagnaChip Semiconductor, Ltd. (Korea) and John McFarland(3)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John McFarland(3)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John McFarland(3)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Senior Advisor Agreement, dated as of April 10, 2009, by and between MagnaChip Semiconductor, Ltd.(Korea) and Robert J. Krakauer(3)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MagnaChip Semiconductor Corporation Form of Indemnification Agreement with Directors and Officers(3)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Form of Accredited Investor Certification delivered to the Official Committee of Unsecured Creditors of MagnaChip Semiconductor Finance Company, et al.(3)</w:t>
      </w:r>
    </w:p>
    <w:p>
      <w:pPr>
        <w:ind w:left="1320" w:right="620" w:hanging="538"/>
        <w:spacing w:after="0" w:line="236" w:lineRule="auto"/>
        <w:tabs>
          <w:tab w:leader="none" w:pos="130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3"/>
          <w:szCs w:val="13"/>
          <w:color w:val="auto"/>
        </w:rPr>
        <w:t>Form of Subscription Agreement for common units of MagnaChip Semiconductor LLC (in connection with the Committee’s Plan of Reorganization under Chapter 11 of the Bankruptcy Code)(3)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3"/>
          <w:szCs w:val="13"/>
          <w:color w:val="auto"/>
        </w:rPr>
        <w:t>Subscription Form for Rights Offering in connection with the Committee’s Plan of Reorganization under Chapter 11 of the Bankruptcy Code(3)</w:t>
      </w:r>
    </w:p>
    <w:p>
      <w:pPr>
        <w:ind w:left="1320" w:hanging="538"/>
        <w:spacing w:after="0" w:line="236" w:lineRule="auto"/>
        <w:tabs>
          <w:tab w:leader="none" w:pos="130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3"/>
          <w:szCs w:val="13"/>
          <w:color w:val="auto"/>
        </w:rPr>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780"/>
        <w:spacing w:after="0"/>
        <w:tabs>
          <w:tab w:leader="none" w:pos="130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3"/>
          <w:szCs w:val="13"/>
          <w:color w:val="auto"/>
        </w:rPr>
        <w:t>MagnaChip Semiconductor LLC Profit Sharing Plan as adopted on December 31, 2009 and as amended on February 15, 2010(2)(3)</w:t>
      </w:r>
    </w:p>
    <w:p>
      <w:pPr>
        <w:ind w:left="780"/>
        <w:spacing w:after="0"/>
        <w:tabs>
          <w:tab w:leader="none" w:pos="130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40"/>
          </w:cols>
          <w:pgMar w:left="220" w:top="343" w:right="939" w:bottom="1440" w:gutter="0" w:footer="0" w:header="0"/>
        </w:sectPr>
      </w:pPr>
    </w:p>
    <w:bookmarkStart w:id="263" w:name="page264"/>
    <w:bookmarkEnd w:id="2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23.3</w:t>
      </w:r>
      <w:r>
        <w:rPr>
          <w:sz w:val="20"/>
          <w:szCs w:val="20"/>
          <w:color w:val="auto"/>
        </w:rPr>
        <w:tab/>
      </w:r>
      <w:r>
        <w:rPr>
          <w:rFonts w:ascii="Arial" w:cs="Arial" w:eastAsia="Arial" w:hAnsi="Arial"/>
          <w:sz w:val="13"/>
          <w:szCs w:val="13"/>
          <w:color w:val="auto"/>
        </w:rPr>
        <w:t>Consent of Herbert J. Lemmer (contained in Exhibit 5.2)*</w:t>
      </w:r>
    </w:p>
    <w:p>
      <w:pPr>
        <w:ind w:left="780"/>
        <w:spacing w:after="0"/>
        <w:tabs>
          <w:tab w:leader="none" w:pos="13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61595</wp:posOffset>
            </wp:positionV>
            <wp:extent cx="78041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80415" cy="6350"/>
                    </a:xfrm>
                    <a:prstGeom prst="rect">
                      <a:avLst/>
                    </a:prstGeom>
                    <a:noFill/>
                  </pic:spPr>
                </pic:pic>
              </a:graphicData>
            </a:graphic>
          </wp:anchor>
        </w:drawing>
      </w:r>
    </w:p>
    <w:p>
      <w:pPr>
        <w:spacing w:after="0" w:line="135" w:lineRule="exact"/>
        <w:rPr>
          <w:sz w:val="20"/>
          <w:szCs w:val="20"/>
          <w:color w:val="auto"/>
        </w:rPr>
      </w:pPr>
    </w:p>
    <w:p>
      <w:pPr>
        <w:ind w:left="780" w:hanging="208"/>
        <w:spacing w:after="0"/>
        <w:tabs>
          <w:tab w:leader="none" w:pos="78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70"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3"/>
          <w:szCs w:val="13"/>
          <w:b w:val="1"/>
          <w:bCs w:val="1"/>
          <w:color w:val="auto"/>
        </w:rPr>
        <w:t>Footnotes:</w:t>
      </w:r>
    </w:p>
    <w:p>
      <w:pPr>
        <w:spacing w:after="0" w:line="102" w:lineRule="exact"/>
        <w:rPr>
          <w:sz w:val="20"/>
          <w:szCs w:val="20"/>
          <w:color w:val="auto"/>
        </w:rPr>
      </w:pPr>
    </w:p>
    <w:p>
      <w:pPr>
        <w:ind w:left="880" w:hanging="308"/>
        <w:spacing w:after="0"/>
        <w:tabs>
          <w:tab w:leader="none" w:pos="88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6" w:lineRule="exact"/>
        <w:rPr>
          <w:rFonts w:ascii="Arial" w:cs="Arial" w:eastAsia="Arial" w:hAnsi="Arial"/>
          <w:sz w:val="13"/>
          <w:szCs w:val="13"/>
          <w:color w:val="auto"/>
        </w:rPr>
      </w:pPr>
    </w:p>
    <w:p>
      <w:pPr>
        <w:ind w:left="880" w:hanging="308"/>
        <w:spacing w:after="0"/>
        <w:tabs>
          <w:tab w:leader="none" w:pos="88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6" w:lineRule="exact"/>
        <w:rPr>
          <w:rFonts w:ascii="Arial" w:cs="Arial" w:eastAsia="Arial" w:hAnsi="Arial"/>
          <w:sz w:val="13"/>
          <w:szCs w:val="13"/>
          <w:color w:val="auto"/>
        </w:rPr>
      </w:pPr>
    </w:p>
    <w:p>
      <w:pPr>
        <w:ind w:left="880" w:hanging="308"/>
        <w:spacing w:after="0"/>
        <w:tabs>
          <w:tab w:leader="none" w:pos="88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49"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2"/>
          <w:szCs w:val="12"/>
          <w:b w:val="1"/>
          <w:bCs w:val="1"/>
          <w:i w:val="1"/>
          <w:iCs w:val="1"/>
          <w:color w:val="auto"/>
        </w:rPr>
        <w:t>Undertakings.</w:t>
      </w:r>
    </w:p>
    <w:p>
      <w:pPr>
        <w:spacing w:after="0" w:line="102" w:lineRule="exact"/>
        <w:rPr>
          <w:sz w:val="20"/>
          <w:szCs w:val="20"/>
          <w:color w:val="auto"/>
        </w:rPr>
      </w:pPr>
    </w:p>
    <w:p>
      <w:pPr>
        <w:ind w:left="580" w:right="160" w:firstLine="510"/>
        <w:spacing w:after="0" w:line="248" w:lineRule="auto"/>
        <w:rPr>
          <w:sz w:val="20"/>
          <w:szCs w:val="20"/>
          <w:color w:val="auto"/>
        </w:rPr>
      </w:pPr>
      <w:r>
        <w:rPr>
          <w:rFonts w:ascii="Arial" w:cs="Arial" w:eastAsia="Arial" w:hAnsi="Arial"/>
          <w:sz w:val="13"/>
          <w:szCs w:val="13"/>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74" w:lineRule="exact"/>
        <w:rPr>
          <w:sz w:val="20"/>
          <w:szCs w:val="20"/>
          <w:color w:val="auto"/>
        </w:rPr>
      </w:pPr>
    </w:p>
    <w:p>
      <w:pPr>
        <w:ind w:left="580" w:firstLine="510"/>
        <w:spacing w:after="0" w:line="239"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 that:</w:t>
      </w:r>
    </w:p>
    <w:p>
      <w:pPr>
        <w:spacing w:after="0" w:line="86" w:lineRule="exact"/>
        <w:rPr>
          <w:sz w:val="20"/>
          <w:szCs w:val="20"/>
          <w:color w:val="auto"/>
        </w:rPr>
      </w:pPr>
    </w:p>
    <w:p>
      <w:pPr>
        <w:ind w:left="1080" w:firstLine="487"/>
        <w:spacing w:after="0" w:line="242" w:lineRule="auto"/>
        <w:tabs>
          <w:tab w:leader="none" w:pos="1761" w:val="left"/>
        </w:tabs>
        <w:numPr>
          <w:ilvl w:val="0"/>
          <w:numId w:val="193"/>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8" w:lineRule="exact"/>
        <w:rPr>
          <w:rFonts w:ascii="Arial" w:cs="Arial" w:eastAsia="Arial" w:hAnsi="Arial"/>
          <w:sz w:val="13"/>
          <w:szCs w:val="13"/>
          <w:color w:val="auto"/>
        </w:rPr>
      </w:pPr>
    </w:p>
    <w:p>
      <w:pPr>
        <w:jc w:val="both"/>
        <w:ind w:left="1080" w:right="20" w:firstLine="487"/>
        <w:spacing w:after="0" w:line="242" w:lineRule="auto"/>
        <w:tabs>
          <w:tab w:leader="none" w:pos="1761" w:val="left"/>
        </w:tabs>
        <w:numPr>
          <w:ilvl w:val="0"/>
          <w:numId w:val="193"/>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264" w:name="page265"/>
    <w:bookmarkEnd w:id="2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SIGNATURES</w:t>
      </w:r>
    </w:p>
    <w:p>
      <w:pPr>
        <w:spacing w:after="0" w:line="102"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Pursuant to the requirements of the Securities Act of 1933, MagnaChip Semiconductor LLC has duly caused this Amendment No. 5 to Registration Statement on Form S-1 to be signed on its behalf by the undersigned, thereunto duly authorized, in Seoul, The Republic of Korea on June 16, 2010.</w:t>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MagnaChip Semiconductor LLC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tabs>
          <w:tab w:leader="none" w:pos="79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w:t>
      </w:r>
      <w:r>
        <w:rPr>
          <w:rFonts w:ascii="Arial" w:cs="Arial" w:eastAsia="Arial" w:hAnsi="Arial"/>
          <w:sz w:val="8"/>
          <w:szCs w:val="8"/>
          <w:color w:val="auto"/>
        </w:rPr>
        <w:t>ANG</w:t>
      </w:r>
      <w:r>
        <w:rPr>
          <w:rFonts w:ascii="Arial" w:cs="Arial" w:eastAsia="Arial" w:hAnsi="Arial"/>
          <w:sz w:val="13"/>
          <w:szCs w:val="13"/>
          <w:color w:val="auto"/>
        </w:rPr>
        <w:t xml:space="preserve"> P</w:t>
      </w:r>
      <w:r>
        <w:rPr>
          <w:rFonts w:ascii="Arial" w:cs="Arial" w:eastAsia="Arial" w:hAnsi="Arial"/>
          <w:sz w:val="8"/>
          <w:szCs w:val="8"/>
          <w:color w:val="auto"/>
        </w:rPr>
        <w:t>ARK</w:t>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Sang Park,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-93345</wp:posOffset>
            </wp:positionV>
            <wp:extent cx="353377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b w:val="1"/>
          <w:bCs w:val="1"/>
          <w:color w:val="auto"/>
        </w:rPr>
        <w:t>Officer (Principal Executive Officer)</w:t>
      </w:r>
    </w:p>
    <w:p>
      <w:pPr>
        <w:spacing w:after="0" w:line="86"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Pursuant to the requirements of the Securities Act of 1933, this Amendment No. 5 to Registration Statement on Form S-1 has been signed below by the following persons on behalf of MagnaChip Semiconductor LLC and in the capacities and on the dates indicated:</w:t>
      </w:r>
    </w:p>
    <w:p>
      <w:pPr>
        <w:spacing w:after="0" w:line="76" w:lineRule="exact"/>
        <w:rPr>
          <w:sz w:val="20"/>
          <w:szCs w:val="20"/>
          <w:color w:val="auto"/>
        </w:rPr>
      </w:pPr>
    </w:p>
    <w:p>
      <w:pPr>
        <w:ind w:left="2820"/>
        <w:spacing w:after="0"/>
        <w:tabs>
          <w:tab w:leader="none" w:pos="7040" w:val="left"/>
          <w:tab w:leader="none" w:pos="99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13335</wp:posOffset>
            </wp:positionV>
            <wp:extent cx="18415"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13335</wp:posOffset>
            </wp:positionV>
            <wp:extent cx="1270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2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/s/</w:t>
            </w: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Sang Park</w:t>
            </w:r>
          </w:p>
        </w:tc>
        <w:tc>
          <w:tcPr>
            <w:tcW w:w="4140" w:type="dxa"/>
            <w:vAlign w:val="bottom"/>
          </w:tcPr>
          <w:p>
            <w:pPr>
              <w:jc w:val="center"/>
              <w:spacing w:after="0"/>
              <w:rPr>
                <w:sz w:val="20"/>
                <w:szCs w:val="20"/>
                <w:color w:val="auto"/>
              </w:rPr>
            </w:pPr>
            <w:r>
              <w:rPr>
                <w:rFonts w:ascii="Arial" w:cs="Arial" w:eastAsia="Arial" w:hAnsi="Arial"/>
                <w:sz w:val="13"/>
                <w:szCs w:val="13"/>
                <w:color w:val="auto"/>
              </w:rPr>
              <w:t>Chief Executive Officer and</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27"/>
        </w:trPr>
        <w:tc>
          <w:tcPr>
            <w:tcW w:w="720" w:type="dxa"/>
            <w:vAlign w:val="bottom"/>
          </w:tcPr>
          <w:p>
            <w:pPr>
              <w:spacing w:after="0"/>
              <w:rPr>
                <w:sz w:val="11"/>
                <w:szCs w:val="11"/>
                <w:color w:val="auto"/>
              </w:rPr>
            </w:pPr>
          </w:p>
        </w:tc>
        <w:tc>
          <w:tcPr>
            <w:tcW w:w="3600" w:type="dxa"/>
            <w:vAlign w:val="bottom"/>
            <w:gridSpan w:val="2"/>
          </w:tcPr>
          <w:p>
            <w:pPr>
              <w:jc w:val="center"/>
              <w:ind w:right="654"/>
              <w:spacing w:after="0" w:line="128" w:lineRule="exact"/>
              <w:rPr>
                <w:sz w:val="20"/>
                <w:szCs w:val="20"/>
                <w:color w:val="auto"/>
              </w:rPr>
            </w:pPr>
            <w:r>
              <w:rPr>
                <w:rFonts w:ascii="Arial" w:cs="Arial" w:eastAsia="Arial" w:hAnsi="Arial"/>
                <w:sz w:val="13"/>
                <w:szCs w:val="13"/>
                <w:b w:val="1"/>
                <w:bCs w:val="1"/>
                <w:color w:val="auto"/>
              </w:rPr>
              <w:t>Sang Park</w:t>
            </w:r>
          </w:p>
        </w:tc>
        <w:tc>
          <w:tcPr>
            <w:tcW w:w="4140" w:type="dxa"/>
            <w:vAlign w:val="bottom"/>
          </w:tcPr>
          <w:p>
            <w:pPr>
              <w:jc w:val="center"/>
              <w:spacing w:after="0" w:line="128" w:lineRule="exact"/>
              <w:rPr>
                <w:sz w:val="20"/>
                <w:szCs w:val="20"/>
                <w:color w:val="auto"/>
              </w:rPr>
            </w:pPr>
            <w:r>
              <w:rPr>
                <w:rFonts w:ascii="Arial" w:cs="Arial" w:eastAsia="Arial" w:hAnsi="Arial"/>
                <w:sz w:val="13"/>
                <w:szCs w:val="13"/>
                <w:color w:val="auto"/>
              </w:rPr>
              <w:t>Chairman of the Board of Directors</w:t>
            </w:r>
          </w:p>
        </w:tc>
        <w:tc>
          <w:tcPr>
            <w:tcW w:w="1200" w:type="dxa"/>
            <w:vAlign w:val="bottom"/>
          </w:tcPr>
          <w:p>
            <w:pPr>
              <w:spacing w:after="0"/>
              <w:rPr>
                <w:sz w:val="11"/>
                <w:szCs w:val="11"/>
                <w:color w:val="auto"/>
              </w:rPr>
            </w:pPr>
          </w:p>
        </w:tc>
      </w:tr>
      <w:tr>
        <w:trPr>
          <w:trHeight w:val="157"/>
        </w:trPr>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140" w:type="dxa"/>
            <w:vAlign w:val="bottom"/>
          </w:tcPr>
          <w:p>
            <w:pPr>
              <w:jc w:val="center"/>
              <w:spacing w:after="0"/>
              <w:rPr>
                <w:sz w:val="20"/>
                <w:szCs w:val="20"/>
                <w:color w:val="auto"/>
              </w:rPr>
            </w:pPr>
            <w:r>
              <w:rPr>
                <w:rFonts w:ascii="Arial" w:cs="Arial" w:eastAsia="Arial" w:hAnsi="Arial"/>
                <w:sz w:val="13"/>
                <w:szCs w:val="13"/>
                <w:color w:val="auto"/>
                <w:w w:val="99"/>
              </w:rPr>
              <w:t>(Principal Executive Officer)</w:t>
            </w:r>
          </w:p>
        </w:tc>
        <w:tc>
          <w:tcPr>
            <w:tcW w:w="1200" w:type="dxa"/>
            <w:vAlign w:val="bottom"/>
          </w:tcPr>
          <w:p>
            <w:pPr>
              <w:spacing w:after="0"/>
              <w:rPr>
                <w:sz w:val="13"/>
                <w:szCs w:val="13"/>
                <w:color w:val="auto"/>
              </w:rPr>
            </w:pPr>
          </w:p>
        </w:tc>
      </w:tr>
      <w:tr>
        <w:trPr>
          <w:trHeight w:val="296"/>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Chief Financial Officer (Principal Financial and Accounting</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63"/>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9"/>
              </w:rPr>
              <w:t>Margaret Sakai</w:t>
            </w:r>
          </w:p>
        </w:tc>
        <w:tc>
          <w:tcPr>
            <w:tcW w:w="4140" w:type="dxa"/>
            <w:vAlign w:val="bottom"/>
          </w:tcPr>
          <w:p>
            <w:pPr>
              <w:ind w:left="1860"/>
              <w:spacing w:after="0" w:line="137" w:lineRule="exact"/>
              <w:rPr>
                <w:sz w:val="20"/>
                <w:szCs w:val="20"/>
                <w:color w:val="auto"/>
              </w:rPr>
            </w:pPr>
            <w:r>
              <w:rPr>
                <w:rFonts w:ascii="Arial" w:cs="Arial" w:eastAsia="Arial" w:hAnsi="Arial"/>
                <w:sz w:val="13"/>
                <w:szCs w:val="13"/>
                <w:color w:val="auto"/>
              </w:rPr>
              <w:t>Officer)</w:t>
            </w:r>
          </w:p>
        </w:tc>
        <w:tc>
          <w:tcPr>
            <w:tcW w:w="120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Michael Elkins</w:t>
            </w: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Randal Klein</w:t>
            </w: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34"/>
              <w:spacing w:after="0"/>
              <w:rPr>
                <w:sz w:val="20"/>
                <w:szCs w:val="20"/>
                <w:color w:val="auto"/>
              </w:rPr>
            </w:pPr>
            <w:r>
              <w:rPr>
                <w:rFonts w:ascii="Arial" w:cs="Arial" w:eastAsia="Arial" w:hAnsi="Arial"/>
                <w:sz w:val="13"/>
                <w:szCs w:val="13"/>
                <w:b w:val="1"/>
                <w:bCs w:val="1"/>
                <w:color w:val="auto"/>
              </w:rPr>
              <w:t>R. Douglas Norby</w:t>
            </w: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Gidu Shroff</w:t>
            </w: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7"/>
              </w:rPr>
              <w:t>Steven Tan</w:t>
            </w: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9"/>
              </w:rPr>
              <w:t>June 16,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9"/>
              </w:rPr>
              <w:t>Nader Tavakoli</w:t>
            </w: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0"/>
        </w:trPr>
        <w:tc>
          <w:tcPr>
            <w:tcW w:w="1920" w:type="dxa"/>
            <w:vAlign w:val="bottom"/>
            <w:gridSpan w:val="2"/>
          </w:tcPr>
          <w:p>
            <w:pPr>
              <w:ind w:left="200"/>
              <w:spacing w:after="0"/>
              <w:rPr>
                <w:sz w:val="20"/>
                <w:szCs w:val="20"/>
                <w:color w:val="auto"/>
              </w:rPr>
            </w:pPr>
            <w:r>
              <w:rPr>
                <w:rFonts w:ascii="Arial" w:cs="Arial" w:eastAsia="Arial" w:hAnsi="Arial"/>
                <w:sz w:val="13"/>
                <w:szCs w:val="13"/>
                <w:color w:val="auto"/>
              </w:rPr>
              <w:t>*By</w:t>
            </w:r>
          </w:p>
        </w:tc>
        <w:tc>
          <w:tcPr>
            <w:tcW w:w="2400" w:type="dxa"/>
            <w:vAlign w:val="bottom"/>
          </w:tcPr>
          <w:p>
            <w:pPr>
              <w:jc w:val="center"/>
              <w:ind w:right="1154"/>
              <w:spacing w:after="0"/>
              <w:rPr>
                <w:sz w:val="20"/>
                <w:szCs w:val="20"/>
                <w:color w:val="auto"/>
              </w:rPr>
            </w:pPr>
            <w:r>
              <w:rPr>
                <w:rFonts w:ascii="Arial" w:cs="Arial" w:eastAsia="Arial" w:hAnsi="Arial"/>
                <w:sz w:val="13"/>
                <w:szCs w:val="13"/>
                <w:color w:val="auto"/>
              </w:rPr>
              <w:t>/s/ Sang Park</w:t>
            </w:r>
          </w:p>
        </w:tc>
        <w:tc>
          <w:tcPr>
            <w:tcW w:w="4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2"/>
        </w:trPr>
        <w:tc>
          <w:tcPr>
            <w:tcW w:w="7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tcPr>
          <w:p>
            <w:pPr>
              <w:jc w:val="center"/>
              <w:ind w:right="1154"/>
              <w:spacing w:after="0"/>
              <w:rPr>
                <w:sz w:val="20"/>
                <w:szCs w:val="20"/>
                <w:color w:val="auto"/>
              </w:rPr>
            </w:pPr>
            <w:r>
              <w:rPr>
                <w:rFonts w:ascii="Arial" w:cs="Arial" w:eastAsia="Arial" w:hAnsi="Arial"/>
                <w:sz w:val="13"/>
                <w:szCs w:val="13"/>
                <w:b w:val="1"/>
                <w:bCs w:val="1"/>
                <w:color w:val="auto"/>
              </w:rPr>
              <w:t>Attorney-in-fact</w:t>
            </w: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24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265" w:name="page266"/>
    <w:bookmarkEnd w:id="2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Exhibit Index</w:t>
      </w:r>
    </w:p>
    <w:p>
      <w:pPr>
        <w:spacing w:after="0" w:line="110" w:lineRule="exact"/>
        <w:rPr>
          <w:sz w:val="20"/>
          <w:szCs w:val="20"/>
          <w:color w:val="auto"/>
        </w:rPr>
      </w:pPr>
    </w:p>
    <w:p>
      <w:pPr>
        <w:ind w:left="840"/>
        <w:spacing w:after="0"/>
        <w:tabs>
          <w:tab w:leader="none" w:pos="13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1320" w:hanging="465"/>
        <w:spacing w:after="0" w:line="236" w:lineRule="auto"/>
        <w:tabs>
          <w:tab w:leader="none" w:pos="13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 et al., dated as of September 24, 2009(3)</w:t>
      </w:r>
    </w:p>
    <w:p>
      <w:pPr>
        <w:ind w:left="840"/>
        <w:spacing w:after="0" w:line="238" w:lineRule="auto"/>
        <w:tabs>
          <w:tab w:leader="none" w:pos="13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Certificate of Formation of MagnaChip Semiconductor LLC (formerly System Semiconductor Holding LLC)(3)</w:t>
      </w:r>
    </w:p>
    <w:p>
      <w:pPr>
        <w:ind w:left="840"/>
        <w:spacing w:after="0" w:line="236" w:lineRule="auto"/>
        <w:tabs>
          <w:tab w:leader="none" w:pos="13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Certificate of Amendment to Certificate of Formation of MagnaChip Semiconductor LLC(3)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Fifth Amended and Restated Limited Liability Company Operating Agreement of MagnaChip Semiconductor LLC(3)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Form of Certificate of Incorporation of MagnaChip Semiconductor Corporation(3)</w:t>
      </w:r>
    </w:p>
    <w:p>
      <w:pPr>
        <w:ind w:left="840"/>
        <w:spacing w:after="0" w:line="236" w:lineRule="auto"/>
        <w:tabs>
          <w:tab w:leader="none" w:pos="130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Form of Bylaws of MagnaChip Semiconductor Corporation(3)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Form of Plan of Conversion of MagnaChip Semiconductor LLC(3)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Registration Rights Agreement, dated as of November 9, 2009, by and among MagnaChip Semiconductor LLC and each of the securityholders named therein(3)</w:t>
      </w:r>
    </w:p>
    <w:p>
      <w:pPr>
        <w:ind w:left="1320" w:right="120" w:hanging="465"/>
        <w:spacing w:after="0" w:line="236" w:lineRule="auto"/>
        <w:tabs>
          <w:tab w:leader="none" w:pos="13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Deposit Agreement, among MagnaChip Semiconductor Corporation, American Stock Transfer &amp; Trust Company, LLC, as the depositary, and the holders from time to time of the depositary shares(3)</w:t>
      </w:r>
    </w:p>
    <w:p>
      <w:pPr>
        <w:ind w:left="840"/>
        <w:spacing w:after="0" w:line="238" w:lineRule="auto"/>
        <w:tabs>
          <w:tab w:leader="none" w:pos="130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[reserved]</w:t>
      </w:r>
    </w:p>
    <w:p>
      <w:pPr>
        <w:ind w:left="1320" w:right="320" w:hanging="465"/>
        <w:spacing w:after="0" w:line="236" w:lineRule="auto"/>
        <w:tabs>
          <w:tab w:leader="none" w:pos="130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840"/>
        <w:spacing w:after="0" w:line="238" w:lineRule="auto"/>
        <w:tabs>
          <w:tab w:leader="none" w:pos="130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Form of 10.500% Senior Notes due 2018 and notation of guarantee (included in Exhibit 4.4)</w:t>
      </w:r>
    </w:p>
    <w:p>
      <w:pPr>
        <w:ind w:left="840"/>
        <w:spacing w:after="0" w:line="236" w:lineRule="auto"/>
        <w:tabs>
          <w:tab w:leader="none" w:pos="13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Exchange and Registration Rights Agreement, dated as of April 9, 2010, by and among MagnaChip Semiconductor S.A., MagnaChip Semiconductor Finance</w:t>
      </w:r>
    </w:p>
    <w:p>
      <w:pPr>
        <w:ind w:left="1320" w:right="780"/>
        <w:spacing w:after="0" w:line="236" w:lineRule="auto"/>
        <w:rPr>
          <w:sz w:val="20"/>
          <w:szCs w:val="20"/>
          <w:color w:val="auto"/>
        </w:rPr>
      </w:pPr>
      <w:r>
        <w:rPr>
          <w:rFonts w:ascii="Arial" w:cs="Arial" w:eastAsia="Arial" w:hAnsi="Arial"/>
          <w:sz w:val="13"/>
          <w:szCs w:val="13"/>
          <w:color w:val="auto"/>
        </w:rPr>
        <w:t>Company, the guarantors named therein, and Goldman, Sachs &amp; Co., Barclays Capital Inc., Deutsche Bank Securities Inc. and Morgan Stanley &amp; Co. Incorporated, as representatives of the several purchasers named therein(3)</w:t>
      </w:r>
    </w:p>
    <w:p>
      <w:pPr>
        <w:ind w:left="840"/>
        <w:spacing w:after="0"/>
        <w:tabs>
          <w:tab w:leader="none" w:pos="13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ind w:left="840"/>
        <w:spacing w:after="0" w:line="236" w:lineRule="auto"/>
        <w:tabs>
          <w:tab w:leader="none" w:pos="130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3"/>
          <w:szCs w:val="13"/>
          <w:color w:val="auto"/>
        </w:rPr>
        <w:t>Opinion of Herbert J. Lemmer, General Counsel of American Stock Transfer &amp; Trust Company, LLC*</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color w:val="auto"/>
        </w:rPr>
        <w:t>Tax Opinion of DLA Piper LLP (US) (included in Exhibit 5.1)</w:t>
      </w:r>
    </w:p>
    <w:p>
      <w:pPr>
        <w:ind w:left="1320" w:right="20" w:hanging="538"/>
        <w:spacing w:after="0" w:line="236" w:lineRule="auto"/>
        <w:tabs>
          <w:tab w:leader="none" w:pos="13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Intellectual Property License Agreement, dated as of October 6, 2004, by and between Hynix Semiconductor Inc. and MagnaChip Semiconductor, Ltd. (Korea)(3)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Land Lease and Easement Agreement, dated as of October 6, 2004, by and between Hynix Semiconductor Inc. and MagnaChip Semiconductor, Ltd. (Korea)(1)(3)</w:t>
      </w:r>
    </w:p>
    <w:p>
      <w:pPr>
        <w:ind w:left="1320" w:right="640" w:hanging="538"/>
        <w:spacing w:after="0" w:line="236" w:lineRule="auto"/>
        <w:tabs>
          <w:tab w:leader="none" w:pos="13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First Amendment to Land Lease and Easement Agreement, dated as of December 30, 2005, by and between Hynix Semiconductor Inc. and MagnaChip Semiconductor, Ltd. (Korea)(3)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General Service Supply Agreement, dated as of October 6, 2004, by and between Hynix Semiconductor Inc. and MagnaChip Semiconductor, Ltd. (Korea)(2)(3)</w:t>
      </w:r>
    </w:p>
    <w:p>
      <w:pPr>
        <w:ind w:left="1320" w:right="600" w:hanging="538"/>
        <w:spacing w:after="0" w:line="236" w:lineRule="auto"/>
        <w:tabs>
          <w:tab w:leader="none" w:pos="13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First Amendment to the General Service Supply Agreement, dated as of December 30, 2005, by and between Hynix Semiconductor Inc. and MagnaChip Semiconductor, Ltd. (Korea)(3)</w:t>
      </w:r>
    </w:p>
    <w:p>
      <w:pPr>
        <w:spacing w:after="0" w:line="1" w:lineRule="exact"/>
        <w:rPr>
          <w:sz w:val="20"/>
          <w:szCs w:val="20"/>
          <w:color w:val="auto"/>
        </w:rPr>
      </w:pPr>
    </w:p>
    <w:p>
      <w:pPr>
        <w:ind w:left="1320" w:right="380" w:hanging="538"/>
        <w:spacing w:after="0" w:line="236" w:lineRule="auto"/>
        <w:tabs>
          <w:tab w:leader="none" w:pos="13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sz w:val="20"/>
          <w:szCs w:val="20"/>
          <w:color w:val="auto"/>
        </w:rPr>
      </w:pPr>
    </w:p>
    <w:p>
      <w:pPr>
        <w:ind w:left="1320" w:right="680" w:hanging="538"/>
        <w:spacing w:after="0" w:line="236" w:lineRule="auto"/>
        <w:tabs>
          <w:tab w:leader="none" w:pos="13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w:t>
      </w:r>
    </w:p>
    <w:p>
      <w:pPr>
        <w:ind w:left="1320"/>
        <w:spacing w:after="0"/>
        <w:rPr>
          <w:sz w:val="20"/>
          <w:szCs w:val="20"/>
          <w:color w:val="auto"/>
        </w:rPr>
      </w:pPr>
      <w:r>
        <w:rPr>
          <w:rFonts w:ascii="Arial" w:cs="Arial" w:eastAsia="Arial" w:hAnsi="Arial"/>
          <w:sz w:val="13"/>
          <w:szCs w:val="13"/>
          <w:color w:val="auto"/>
        </w:rPr>
        <w:t>(successor in interest to LG Semicon Company Limited)(1)(3)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343" w:right="919" w:bottom="1440" w:gutter="0" w:footer="0" w:header="0"/>
        </w:sectPr>
      </w:pPr>
    </w:p>
    <w:bookmarkStart w:id="266" w:name="page267"/>
    <w:bookmarkEnd w:id="2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Amendment to the Technology License Agreement, dated as of October 16, 2006, by and between ARM Limited and MagnaChip Semiconductor, Ltd. (Korea)(2)(3)</w:t>
      </w:r>
    </w:p>
    <w:p>
      <w:pPr>
        <w:ind w:left="1320" w:right="20" w:hanging="538"/>
        <w:spacing w:after="0" w:line="236" w:lineRule="auto"/>
        <w:tabs>
          <w:tab w:leader="none" w:pos="13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ARM7201TDSP Device License Agreement, dated as of August 26, 1997, by and between Advanced RISC Machines Limited and MagnaChip Semiconductor, Ltd. (Korea) (successor in interest to LG Semicon Company Limited)(1)(3)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Technology License Agreement, dated as of October 5, 1995, by and between Advanced RISC Machines Limited and MagnaChip Semiconductor, Ltd. (Korea)</w:t>
      </w:r>
    </w:p>
    <w:p>
      <w:pPr>
        <w:ind w:left="1320"/>
        <w:spacing w:after="0" w:line="236" w:lineRule="auto"/>
        <w:rPr>
          <w:sz w:val="20"/>
          <w:szCs w:val="20"/>
          <w:color w:val="auto"/>
        </w:rPr>
      </w:pPr>
      <w:r>
        <w:rPr>
          <w:rFonts w:ascii="Arial" w:cs="Arial" w:eastAsia="Arial" w:hAnsi="Arial"/>
          <w:sz w:val="13"/>
          <w:szCs w:val="13"/>
          <w:color w:val="auto"/>
        </w:rPr>
        <w:t>(successor in interest to LG Semicon Company Limited)(2)(3)</w:t>
      </w:r>
    </w:p>
    <w:p>
      <w:pPr>
        <w:ind w:left="1320" w:right="100" w:hanging="538"/>
        <w:spacing w:after="0" w:line="236" w:lineRule="auto"/>
        <w:tabs>
          <w:tab w:leader="none" w:pos="13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320" w:right="80" w:hanging="538"/>
        <w:spacing w:after="0" w:line="236" w:lineRule="auto"/>
        <w:tabs>
          <w:tab w:leader="none" w:pos="13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320" w:right="240" w:hanging="538"/>
        <w:spacing w:after="0" w:line="236" w:lineRule="auto"/>
        <w:tabs>
          <w:tab w:leader="none" w:pos="13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Technology License Agreement, dated as of May 20, 2004, by and between ARM Limited and MagnaChip Semiconductor, Ltd. (Korea) (successor in interest to Hynix Semiconductor Inc.)(3)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Design Migration Agreement, dated as of May 1, 2007, by and between ARM Limited and MagnaChip Semiconductor, Ltd. (Korea)(2)(3)</w:t>
      </w:r>
    </w:p>
    <w:p>
      <w:pPr>
        <w:ind w:left="1320" w:hanging="538"/>
        <w:spacing w:after="0" w:line="236" w:lineRule="auto"/>
        <w:tabs>
          <w:tab w:leader="none" w:pos="13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320" w:right="20" w:hanging="538"/>
        <w:spacing w:after="0" w:line="236" w:lineRule="auto"/>
        <w:tabs>
          <w:tab w:leader="none" w:pos="13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Master Service Agreement, dated as of December 27, 2000 by and between Sharp Corporation and MagnaChip Semiconductor, Ltd. (Korea) (successor in interest to Hyundai Electronics Japan Co., Ltd) (English translation)(3)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Warrant Agreement, dated as of November 9, 2009, between MagnaChip Semiconductor LLC and American Stock Transfer &amp; Trust Company, LLC(3)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MagnaChip Semiconductor LLC 2009 Common Unit Plan(3)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MagnaChip Semiconductor LLC 2009 Common Unit Plan form of Option Agreement (Non-U.S.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MagnaChip Semiconductor LLC 2009 Common Unit Plan form of Option Agreement (U.S. Participants)(3)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MagnaChip Semiconductor LLC 2009 Common Unit Plan form of Restricted Unit Agreement (Non-U.S.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MagnaChip Semiconductor LLC 2009 Common Unit Plan form of Restricted Unit Agreement (U.S.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MagnaChip Semiconductor Corporation 2010 Equity Incentive Plan(3)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MagnaChip Semiconductor Corporation 2010 Employee Stock Purchase Plan(3)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Amended and Restated Service Agreement, dated as of May 8, 2008, by and between MagnaChip Semiconductor, Ltd. (Korea) and Sang Park(3)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Sang Park(3)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Sang Park(3)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Entrustment Agreement, dated as of October 6, 2004, by and between MagnaChip Semiconductor, Ltd. (Korea) and Tae Young Hwang(3)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Young Hwang(3)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Young Hwang(3)</w:t>
      </w:r>
    </w:p>
    <w:p>
      <w:pPr>
        <w:ind w:left="1320" w:right="200" w:hanging="538"/>
        <w:spacing w:after="0" w:line="248" w:lineRule="auto"/>
        <w:tabs>
          <w:tab w:leader="none" w:pos="130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Offer Letter dated March 7, 2006, from MagnaChip Semiconductor LLC and MagnaChip Semiconductor, Inc. to Brent Rowe, as supplemented on December 20, 2006(3)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343" w:right="919" w:bottom="1440" w:gutter="0" w:footer="0" w:header="0"/>
        </w:sectPr>
      </w:pPr>
    </w:p>
    <w:bookmarkStart w:id="267" w:name="page268"/>
    <w:bookmarkEnd w:id="2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Brent Rowe(3)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Brent Rowe(3)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Offer Letter dated September 5, 2006, from MagnaChip Semiconductor LLC and MagnaChip Semiconductor, Ltd. to Margaret Sakai(3)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Margaret Sakai(3)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Margaret Sakai(3)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Offer Letter, dated as of July 1, 2007, by and between MagnaChip Semiconductor, Ltd. (Korea) and Heung Kyu Kim(3)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Heung Kyu Kim(3)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Heung Kyu Kim(3)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Offer Letter, dated as of June 20, 2007, by and between MagnaChip Semiconductor, Ltd. (Korea) and Tae Jong Lee(3)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Jong Lee(3)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Jong Lee(3)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Service Agreement, dated as of April 1, 2006, by and between MagnaChip Semiconductor, Ltd. (Korea) and John McFarland(3)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John McFarland(3)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John McFarland(3)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Senior Advisor Agreement, dated as of April 10, 2009, by and between MagnaChip Semiconductor, Ltd.(Korea) and Robert J. Krakauer(3)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MagnaChip Semiconductor Corporation Form of Indemnification Agreement with Directors and Officers(3)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Form of Accredited Investor Certification delivered to the Official Committee of Unsecured Creditors of MagnaChip Semiconductor Finance Company, et al.(3)</w:t>
      </w:r>
    </w:p>
    <w:p>
      <w:pPr>
        <w:ind w:left="1320" w:right="620" w:hanging="538"/>
        <w:spacing w:after="0" w:line="236" w:lineRule="auto"/>
        <w:tabs>
          <w:tab w:leader="none" w:pos="130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3"/>
          <w:szCs w:val="13"/>
          <w:color w:val="auto"/>
        </w:rPr>
        <w:t>Form of Subscription Agreement for common units of MagnaChip Semiconductor LLC (in connection with the Committee’s Plan of Reorganization under Chapter 11 of the Bankruptcy Code)(3)</w:t>
      </w:r>
    </w:p>
    <w:p>
      <w:pPr>
        <w:ind w:left="780"/>
        <w:spacing w:after="0" w:line="238" w:lineRule="auto"/>
        <w:tabs>
          <w:tab w:leader="none" w:pos="130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3"/>
          <w:szCs w:val="13"/>
          <w:color w:val="auto"/>
        </w:rPr>
        <w:t>Subscription Form for Rights Offering in connection with the Committee’s Plan of Reorganization under Chapter 11 of the Bankruptcy Code(3)</w:t>
      </w:r>
    </w:p>
    <w:p>
      <w:pPr>
        <w:ind w:left="1320" w:hanging="538"/>
        <w:spacing w:after="0" w:line="236" w:lineRule="auto"/>
        <w:tabs>
          <w:tab w:leader="none" w:pos="130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3"/>
          <w:szCs w:val="13"/>
          <w:color w:val="auto"/>
        </w:rPr>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780"/>
        <w:spacing w:after="0"/>
        <w:tabs>
          <w:tab w:leader="none" w:pos="130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3"/>
          <w:szCs w:val="13"/>
          <w:color w:val="auto"/>
        </w:rPr>
        <w:t>MagnaChip Semiconductor LLC Profit Sharing Plan as adopted on December 31, 2009 and as amended on February 15, 2010(2)(3)</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780"/>
        <w:spacing w:after="0" w:line="236" w:lineRule="auto"/>
        <w:tabs>
          <w:tab w:leader="none" w:pos="1300" w:val="left"/>
        </w:tabs>
        <w:rPr>
          <w:sz w:val="20"/>
          <w:szCs w:val="20"/>
          <w:color w:val="auto"/>
        </w:rPr>
      </w:pPr>
      <w:r>
        <w:rPr>
          <w:rFonts w:ascii="Arial" w:cs="Arial" w:eastAsia="Arial" w:hAnsi="Arial"/>
          <w:sz w:val="13"/>
          <w:szCs w:val="13"/>
          <w:color w:val="auto"/>
        </w:rPr>
        <w:t>23.3</w:t>
      </w:r>
      <w:r>
        <w:rPr>
          <w:sz w:val="20"/>
          <w:szCs w:val="20"/>
          <w:color w:val="auto"/>
        </w:rPr>
        <w:tab/>
      </w:r>
      <w:r>
        <w:rPr>
          <w:rFonts w:ascii="Arial" w:cs="Arial" w:eastAsia="Arial" w:hAnsi="Arial"/>
          <w:sz w:val="13"/>
          <w:szCs w:val="13"/>
          <w:color w:val="auto"/>
        </w:rPr>
        <w:t>Consent of Herbert J. Lemmer (contained in Exhibit 5.2)*</w:t>
      </w:r>
    </w:p>
    <w:p>
      <w:pPr>
        <w:spacing w:after="0" w:line="1"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61595</wp:posOffset>
            </wp:positionV>
            <wp:extent cx="78041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80415" cy="6350"/>
                    </a:xfrm>
                    <a:prstGeom prst="rect">
                      <a:avLst/>
                    </a:prstGeom>
                    <a:noFill/>
                  </pic:spPr>
                </pic:pic>
              </a:graphicData>
            </a:graphic>
          </wp:anchor>
        </w:drawing>
      </w:r>
    </w:p>
    <w:p>
      <w:pPr>
        <w:spacing w:after="0" w:line="135" w:lineRule="exact"/>
        <w:rPr>
          <w:sz w:val="20"/>
          <w:szCs w:val="20"/>
          <w:color w:val="auto"/>
        </w:rPr>
      </w:pPr>
    </w:p>
    <w:p>
      <w:pPr>
        <w:ind w:left="780" w:hanging="208"/>
        <w:spacing w:after="0"/>
        <w:tabs>
          <w:tab w:leader="none" w:pos="78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40"/>
          </w:cols>
          <w:pgMar w:left="220" w:top="344" w:right="939" w:bottom="1440" w:gutter="0" w:footer="0" w:header="0"/>
        </w:sectPr>
      </w:pPr>
    </w:p>
    <w:bookmarkStart w:id="268" w:name="page269"/>
    <w:bookmarkEnd w:id="2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Footnotes:</w:t>
      </w:r>
    </w:p>
    <w:p>
      <w:pPr>
        <w:spacing w:after="0" w:line="102" w:lineRule="exact"/>
        <w:rPr>
          <w:sz w:val="20"/>
          <w:szCs w:val="20"/>
          <w:color w:val="auto"/>
        </w:rPr>
      </w:pPr>
    </w:p>
    <w:p>
      <w:pPr>
        <w:ind w:left="1000" w:hanging="313"/>
        <w:spacing w:after="0"/>
        <w:tabs>
          <w:tab w:leader="none" w:pos="10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6" w:lineRule="exact"/>
        <w:rPr>
          <w:rFonts w:ascii="Arial" w:cs="Arial" w:eastAsia="Arial" w:hAnsi="Arial"/>
          <w:sz w:val="13"/>
          <w:szCs w:val="13"/>
          <w:color w:val="auto"/>
        </w:rPr>
      </w:pPr>
    </w:p>
    <w:p>
      <w:pPr>
        <w:ind w:left="1000" w:hanging="313"/>
        <w:spacing w:after="0"/>
        <w:tabs>
          <w:tab w:leader="none" w:pos="10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6" w:lineRule="exact"/>
        <w:rPr>
          <w:rFonts w:ascii="Arial" w:cs="Arial" w:eastAsia="Arial" w:hAnsi="Arial"/>
          <w:sz w:val="13"/>
          <w:szCs w:val="13"/>
          <w:color w:val="auto"/>
        </w:rPr>
      </w:pPr>
    </w:p>
    <w:p>
      <w:pPr>
        <w:ind w:left="1000" w:hanging="313"/>
        <w:spacing w:after="0"/>
        <w:tabs>
          <w:tab w:leader="none" w:pos="10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Previously filed.</w:t>
      </w:r>
    </w:p>
    <w:p>
      <w:pPr>
        <w:sectPr>
          <w:pgSz w:w="11900" w:h="16838" w:orient="portrait"/>
          <w:cols w:equalWidth="0" w:num="1">
            <w:col w:w="10239"/>
          </w:cols>
          <w:pgMar w:left="220" w:top="343"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13"/>
          <w:szCs w:val="13"/>
          <w:b w:val="1"/>
          <w:bCs w:val="1"/>
          <w:color w:val="auto"/>
        </w:rPr>
        <w:t>Exhibit 23.1</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ind w:right="40" w:firstLine="499"/>
        <w:spacing w:after="0" w:line="239" w:lineRule="auto"/>
        <w:rPr>
          <w:sz w:val="20"/>
          <w:szCs w:val="20"/>
          <w:color w:val="auto"/>
        </w:rPr>
      </w:pPr>
      <w:r>
        <w:rPr>
          <w:rFonts w:ascii="Arial" w:cs="Arial" w:eastAsia="Arial" w:hAnsi="Arial"/>
          <w:sz w:val="13"/>
          <w:szCs w:val="13"/>
          <w:color w:val="auto"/>
        </w:rPr>
        <w:t>We hereby consent to the use in this Amendment No. 5 to Registration Statement on Form S-1 (as amended, the “Registration Statement”) of our report dated March 13, 2010 except for the effects of the conversion to a corporation as described in Note 27 (C) which is as of June 3, 2010 relating to the consolidated financial statements of MagnaChip Semiconductor Corporation, successor to MagnaChip Semiconductor LLC, and subsidiaries, and our report dated March 13, 2010 relating to the consolidated financial statements of MagnaChip Semiconductor LLC and subsidiaries, which appear in such Registration Statement. We also consent to the reference to us under the heading “Experts” in such Registration Statement.</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/s/ Samil PricewaterhouseCoopers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Seoul, Korea</w:t>
      </w:r>
    </w:p>
    <w:p>
      <w:pPr>
        <w:spacing w:after="0"/>
        <w:rPr>
          <w:sz w:val="20"/>
          <w:szCs w:val="20"/>
          <w:color w:val="auto"/>
        </w:rPr>
      </w:pPr>
      <w:r>
        <w:rPr>
          <w:rFonts w:ascii="Arial" w:cs="Arial" w:eastAsia="Arial" w:hAnsi="Arial"/>
          <w:sz w:val="13"/>
          <w:szCs w:val="13"/>
          <w:color w:val="auto"/>
        </w:rPr>
        <w:t>June 15, 2010</w:t>
      </w:r>
    </w:p>
    <w:p>
      <w:pPr>
        <w:sectPr>
          <w:pgSz w:w="11900" w:h="16838" w:orient="portrait"/>
          <w:cols w:equalWidth="0" w:num="1">
            <w:col w:w="9980"/>
          </w:cols>
          <w:pgMar w:left="900" w:top="124" w:right="1019" w:bottom="1440" w:gutter="0" w:footer="0" w:header="0"/>
        </w:sectPr>
      </w:pPr>
    </w:p>
    <w:bookmarkStart w:id="270" w:name="page271"/>
    <w:bookmarkEnd w:id="270"/>
    <w:p>
      <w:pPr>
        <w:ind w:left="8881"/>
        <w:spacing w:after="0"/>
        <w:rPr>
          <w:sz w:val="20"/>
          <w:szCs w:val="20"/>
          <w:color w:val="auto"/>
        </w:rPr>
      </w:pPr>
      <w:r>
        <w:rPr>
          <w:rFonts w:ascii="Arial" w:cs="Arial" w:eastAsia="Arial" w:hAnsi="Arial"/>
          <w:sz w:val="13"/>
          <w:szCs w:val="13"/>
          <w:b w:val="1"/>
          <w:bCs w:val="1"/>
          <w:color w:val="auto"/>
        </w:rPr>
        <w:t xml:space="preserve">DLA Piper </w:t>
      </w:r>
      <w:r>
        <w:rPr>
          <w:rFonts w:ascii="Arial" w:cs="Arial" w:eastAsia="Arial" w:hAnsi="Arial"/>
          <w:sz w:val="8"/>
          <w:szCs w:val="8"/>
          <w:b w:val="1"/>
          <w:bCs w:val="1"/>
          <w:color w:val="auto"/>
        </w:rPr>
        <w:t>LLP</w:t>
      </w:r>
      <w:r>
        <w:rPr>
          <w:rFonts w:ascii="Arial" w:cs="Arial" w:eastAsia="Arial" w:hAnsi="Arial"/>
          <w:sz w:val="13"/>
          <w:szCs w:val="13"/>
          <w:b w:val="1"/>
          <w:bCs w:val="1"/>
          <w:color w:val="auto"/>
        </w:rPr>
        <w:t xml:space="preser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55015" cy="4495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55015" cy="449580"/>
                    </a:xfrm>
                    <a:prstGeom prst="rect">
                      <a:avLst/>
                    </a:prstGeom>
                    <a:noFill/>
                  </pic:spPr>
                </pic:pic>
              </a:graphicData>
            </a:graphic>
          </wp:anchor>
        </w:drawing>
      </w:r>
    </w:p>
    <w:p>
      <w:pPr>
        <w:ind w:left="8881"/>
        <w:spacing w:after="0"/>
        <w:rPr>
          <w:sz w:val="20"/>
          <w:szCs w:val="20"/>
          <w:color w:val="auto"/>
        </w:rPr>
      </w:pPr>
      <w:r>
        <w:rPr>
          <w:rFonts w:ascii="Arial" w:cs="Arial" w:eastAsia="Arial" w:hAnsi="Arial"/>
          <w:sz w:val="13"/>
          <w:szCs w:val="13"/>
          <w:color w:val="auto"/>
        </w:rPr>
        <w:t>2000 University Avenue</w:t>
      </w:r>
    </w:p>
    <w:p>
      <w:pPr>
        <w:spacing w:after="0" w:line="8" w:lineRule="exact"/>
        <w:rPr>
          <w:sz w:val="20"/>
          <w:szCs w:val="20"/>
          <w:color w:val="auto"/>
        </w:rPr>
      </w:pPr>
    </w:p>
    <w:p>
      <w:pPr>
        <w:ind w:left="8881"/>
        <w:spacing w:after="0"/>
        <w:rPr>
          <w:sz w:val="20"/>
          <w:szCs w:val="20"/>
          <w:color w:val="auto"/>
        </w:rPr>
      </w:pPr>
      <w:r>
        <w:rPr>
          <w:rFonts w:ascii="Arial" w:cs="Arial" w:eastAsia="Arial" w:hAnsi="Arial"/>
          <w:sz w:val="12"/>
          <w:szCs w:val="12"/>
          <w:color w:val="auto"/>
        </w:rPr>
        <w:t>East Palo Alto, California 94303-2214</w:t>
      </w:r>
    </w:p>
    <w:p>
      <w:pPr>
        <w:spacing w:after="0" w:line="19" w:lineRule="exact"/>
        <w:rPr>
          <w:sz w:val="20"/>
          <w:szCs w:val="20"/>
          <w:color w:val="auto"/>
        </w:rPr>
      </w:pPr>
    </w:p>
    <w:p>
      <w:pPr>
        <w:ind w:left="8881"/>
        <w:spacing w:after="0"/>
        <w:rPr>
          <w:sz w:val="20"/>
          <w:szCs w:val="20"/>
          <w:color w:val="auto"/>
        </w:rPr>
      </w:pPr>
      <w:r>
        <w:rPr>
          <w:rFonts w:ascii="Arial" w:cs="Arial" w:eastAsia="Arial" w:hAnsi="Arial"/>
          <w:sz w:val="13"/>
          <w:szCs w:val="13"/>
          <w:color w:val="auto"/>
        </w:rPr>
        <w:t>www.dlapiper.com</w:t>
      </w:r>
    </w:p>
    <w:p>
      <w:pPr>
        <w:spacing w:after="0" w:line="236" w:lineRule="exact"/>
        <w:rPr>
          <w:sz w:val="20"/>
          <w:szCs w:val="20"/>
          <w:color w:val="auto"/>
        </w:rPr>
      </w:pPr>
    </w:p>
    <w:p>
      <w:pPr>
        <w:ind w:left="1"/>
        <w:spacing w:after="0"/>
        <w:tabs>
          <w:tab w:leader="none" w:pos="8861" w:val="left"/>
        </w:tabs>
        <w:rPr>
          <w:sz w:val="20"/>
          <w:szCs w:val="20"/>
          <w:color w:val="auto"/>
        </w:rPr>
      </w:pPr>
      <w:r>
        <w:rPr>
          <w:rFonts w:ascii="Arial" w:cs="Arial" w:eastAsia="Arial" w:hAnsi="Arial"/>
          <w:sz w:val="13"/>
          <w:szCs w:val="13"/>
          <w:color w:val="auto"/>
        </w:rPr>
        <w:t>June 16, 2010</w:t>
      </w:r>
      <w:r>
        <w:rPr>
          <w:sz w:val="20"/>
          <w:szCs w:val="20"/>
          <w:color w:val="auto"/>
        </w:rPr>
        <w:tab/>
      </w:r>
      <w:r>
        <w:rPr>
          <w:rFonts w:ascii="Arial" w:cs="Arial" w:eastAsia="Arial" w:hAnsi="Arial"/>
          <w:sz w:val="12"/>
          <w:szCs w:val="12"/>
          <w:color w:val="auto"/>
        </w:rPr>
        <w:t>OUR FILE NO. 366415-10</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VIA EDGAR AND OVERNIGHT DELIVERY</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Tim Buchmiller</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Senior Attorney</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United States Securities and Exchange Commission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100 F Street, N.E.</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Washington, DC 20549-6010</w:t>
      </w:r>
    </w:p>
    <w:p>
      <w:pPr>
        <w:sectPr>
          <w:pgSz w:w="11900" w:h="16838" w:orient="portrait"/>
          <w:cols w:equalWidth="0" w:num="1">
            <w:col w:w="11341"/>
          </w:cols>
          <w:pgMar w:left="219" w:top="284" w:right="339" w:bottom="1440" w:gutter="0" w:footer="0" w:header="0"/>
        </w:sectPr>
      </w:pPr>
    </w:p>
    <w:p>
      <w:pPr>
        <w:spacing w:after="0" w:line="154"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MagnaChip Semiconductor LLC</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Registration Statement on Form S-1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Filed March 15,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No. 333-165467</w:t>
      </w:r>
    </w:p>
    <w:p>
      <w:pPr>
        <w:spacing w:after="0" w:line="79" w:lineRule="exact"/>
        <w:rPr>
          <w:sz w:val="20"/>
          <w:szCs w:val="20"/>
          <w:color w:val="auto"/>
        </w:rPr>
      </w:pPr>
    </w:p>
    <w:p>
      <w:pPr>
        <w:sectPr>
          <w:pgSz w:w="11900" w:h="16838" w:orient="portrait"/>
          <w:cols w:equalWidth="0" w:num="2">
            <w:col w:w="201" w:space="260"/>
            <w:col w:w="10880"/>
          </w:cols>
          <w:pgMar w:left="219" w:top="284" w:right="33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Dear Mr. Buchmiller:</w:t>
      </w:r>
    </w:p>
    <w:p>
      <w:pPr>
        <w:spacing w:after="0" w:line="86" w:lineRule="exact"/>
        <w:rPr>
          <w:sz w:val="20"/>
          <w:szCs w:val="20"/>
          <w:color w:val="auto"/>
        </w:rPr>
      </w:pPr>
    </w:p>
    <w:p>
      <w:pPr>
        <w:ind w:left="1"/>
        <w:spacing w:after="0" w:line="285" w:lineRule="auto"/>
        <w:rPr>
          <w:sz w:val="20"/>
          <w:szCs w:val="20"/>
          <w:color w:val="auto"/>
        </w:rPr>
      </w:pPr>
      <w:r>
        <w:rPr>
          <w:rFonts w:ascii="Arial" w:cs="Arial" w:eastAsia="Arial" w:hAnsi="Arial"/>
          <w:sz w:val="12"/>
          <w:szCs w:val="12"/>
          <w:color w:val="auto"/>
        </w:rPr>
        <w:t>This letter is submitted on behalf of MagnaChip Semiconductor LLC (the “</w:t>
      </w:r>
      <w:r>
        <w:rPr>
          <w:rFonts w:ascii="Arial" w:cs="Arial" w:eastAsia="Arial" w:hAnsi="Arial"/>
          <w:sz w:val="12"/>
          <w:szCs w:val="12"/>
          <w:u w:val="single" w:color="auto"/>
          <w:color w:val="auto"/>
        </w:rPr>
        <w:t>Company</w:t>
      </w:r>
      <w:r>
        <w:rPr>
          <w:rFonts w:ascii="Arial" w:cs="Arial" w:eastAsia="Arial" w:hAnsi="Arial"/>
          <w:sz w:val="12"/>
          <w:szCs w:val="12"/>
          <w:color w:val="auto"/>
        </w:rPr>
        <w:t>”) in response to the comments that you provided on behalf of the staff of the Division of Corporation Finance (the “</w:t>
      </w:r>
      <w:r>
        <w:rPr>
          <w:rFonts w:ascii="Arial" w:cs="Arial" w:eastAsia="Arial" w:hAnsi="Arial"/>
          <w:sz w:val="12"/>
          <w:szCs w:val="12"/>
          <w:u w:val="single" w:color="auto"/>
          <w:color w:val="auto"/>
        </w:rPr>
        <w:t>Staff</w:t>
      </w:r>
      <w:r>
        <w:rPr>
          <w:rFonts w:ascii="Arial" w:cs="Arial" w:eastAsia="Arial" w:hAnsi="Arial"/>
          <w:sz w:val="12"/>
          <w:szCs w:val="12"/>
          <w:color w:val="auto"/>
        </w:rPr>
        <w:t>”) of the Securities and Exchange Commission (the “</w:t>
      </w:r>
      <w:r>
        <w:rPr>
          <w:rFonts w:ascii="Arial" w:cs="Arial" w:eastAsia="Arial" w:hAnsi="Arial"/>
          <w:sz w:val="12"/>
          <w:szCs w:val="12"/>
          <w:u w:val="single" w:color="auto"/>
          <w:color w:val="auto"/>
        </w:rPr>
        <w:t>SEC</w:t>
      </w:r>
      <w:r>
        <w:rPr>
          <w:rFonts w:ascii="Arial" w:cs="Arial" w:eastAsia="Arial" w:hAnsi="Arial"/>
          <w:sz w:val="12"/>
          <w:szCs w:val="12"/>
          <w:color w:val="auto"/>
        </w:rPr>
        <w:t>”) with respect to Amendment No. 4 to the Company’s Registration Statement on Form S-1 filed March 15, 2010 under Registration No. 333-165467 (the “</w:t>
      </w:r>
      <w:r>
        <w:rPr>
          <w:rFonts w:ascii="Arial" w:cs="Arial" w:eastAsia="Arial" w:hAnsi="Arial"/>
          <w:sz w:val="12"/>
          <w:szCs w:val="12"/>
          <w:u w:val="single" w:color="auto"/>
          <w:color w:val="auto"/>
        </w:rPr>
        <w:t>Registration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Statement</w:t>
      </w:r>
      <w:r>
        <w:rPr>
          <w:rFonts w:ascii="Arial" w:cs="Arial" w:eastAsia="Arial" w:hAnsi="Arial"/>
          <w:sz w:val="12"/>
          <w:szCs w:val="12"/>
          <w:color w:val="auto"/>
        </w:rPr>
        <w:t>”), as set forth in your letter to Mr. John McFarland dated June 4, 2010. The Company is filing via EDGAR Amendment No. 5 to the Registration Statement (“</w:t>
      </w:r>
      <w:r>
        <w:rPr>
          <w:rFonts w:ascii="Arial" w:cs="Arial" w:eastAsia="Arial" w:hAnsi="Arial"/>
          <w:sz w:val="12"/>
          <w:szCs w:val="12"/>
          <w:u w:val="single" w:color="auto"/>
          <w:color w:val="auto"/>
        </w:rPr>
        <w:t>Amendment No. 5</w:t>
      </w:r>
      <w:r>
        <w:rPr>
          <w:rFonts w:ascii="Arial" w:cs="Arial" w:eastAsia="Arial" w:hAnsi="Arial"/>
          <w:sz w:val="12"/>
          <w:szCs w:val="12"/>
          <w:color w:val="auto"/>
        </w:rPr>
        <w:t>”) in response to the Staff’s comments. For reference purposes, the text of your letter dated June 4, 2010 has been reproduced herein (in bold), with the Company’s response below each numbered comment. As appropriate, the Company’s responses include a reference to the section and page numbers of Amendment No. 5 that have been revised in response to the comment.</w:t>
      </w:r>
    </w:p>
    <w:p>
      <w:pPr>
        <w:spacing w:after="0" w:line="42" w:lineRule="exact"/>
        <w:rPr>
          <w:sz w:val="20"/>
          <w:szCs w:val="20"/>
          <w:color w:val="auto"/>
        </w:rPr>
      </w:pPr>
    </w:p>
    <w:p>
      <w:pPr>
        <w:ind w:left="461" w:right="60" w:hanging="461"/>
        <w:spacing w:after="0" w:line="300" w:lineRule="auto"/>
        <w:tabs>
          <w:tab w:leader="none" w:pos="461" w:val="left"/>
        </w:tabs>
        <w:numPr>
          <w:ilvl w:val="0"/>
          <w:numId w:val="196"/>
        </w:numPr>
        <w:rPr>
          <w:rFonts w:ascii="Arial" w:cs="Arial" w:eastAsia="Arial" w:hAnsi="Arial"/>
          <w:sz w:val="12"/>
          <w:szCs w:val="12"/>
          <w:color w:val="auto"/>
        </w:rPr>
      </w:pPr>
      <w:r>
        <w:rPr>
          <w:rFonts w:ascii="Arial" w:cs="Arial" w:eastAsia="Arial" w:hAnsi="Arial"/>
          <w:sz w:val="12"/>
          <w:szCs w:val="12"/>
          <w:b w:val="1"/>
          <w:bCs w:val="1"/>
          <w:color w:val="auto"/>
        </w:rPr>
        <w:t>We note from your response to our comments that the “Corporate Conversion” mentioned in your document will not be completed until the date this registration statement is declared effective. Please confirm that you intend to file a full amendment to this registration statement after completion of the corporate conversion and prior to effectiveness, which amendment will include on the facing page the name of the issuer of the securities to be sold and the signatures of the registrant and all appropriate officers and directors.</w:t>
      </w:r>
    </w:p>
    <w:p>
      <w:pPr>
        <w:spacing w:after="0" w:line="46" w:lineRule="exact"/>
        <w:rPr>
          <w:rFonts w:ascii="Arial" w:cs="Arial" w:eastAsia="Arial" w:hAnsi="Arial"/>
          <w:sz w:val="12"/>
          <w:szCs w:val="12"/>
          <w:color w:val="auto"/>
        </w:rPr>
      </w:pPr>
    </w:p>
    <w:p>
      <w:pPr>
        <w:ind w:left="461" w:right="220"/>
        <w:spacing w:after="0" w:line="371" w:lineRule="auto"/>
        <w:rPr>
          <w:rFonts w:ascii="Arial" w:cs="Arial" w:eastAsia="Arial" w:hAnsi="Arial"/>
          <w:sz w:val="12"/>
          <w:szCs w:val="12"/>
          <w:color w:val="auto"/>
        </w:rPr>
      </w:pPr>
      <w:r>
        <w:rPr>
          <w:rFonts w:ascii="Arial" w:cs="Arial" w:eastAsia="Arial" w:hAnsi="Arial"/>
          <w:sz w:val="11"/>
          <w:szCs w:val="11"/>
          <w:color w:val="auto"/>
        </w:rPr>
        <w:t>Response: In response to the Staff’s comment, we confirm that, following the completion of the corporate conversion and prior to effectiveness, the Company will file a full amendment to the Registration Statement, including a change to the facing page with the name of the corporate issuer and revised signature pages signed on behalf of the corporate issuer by all appropriate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90435" cy="190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1"/>
          </w:cols>
          <w:pgMar w:left="219" w:top="284" w:right="339" w:bottom="1440" w:gutter="0" w:footer="0" w:header="0"/>
          <w:type w:val="continuous"/>
        </w:sectPr>
      </w:pPr>
    </w:p>
    <w:bookmarkStart w:id="271" w:name="page272"/>
    <w:bookmarkEnd w:id="271"/>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755015" cy="4495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755015" cy="449580"/>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June 16,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Two</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Principal and Selling Stockholders, page 140</w:t>
      </w:r>
    </w:p>
    <w:p>
      <w:pPr>
        <w:spacing w:after="0" w:line="86" w:lineRule="exact"/>
        <w:rPr>
          <w:sz w:val="20"/>
          <w:szCs w:val="20"/>
          <w:color w:val="auto"/>
        </w:rPr>
      </w:pPr>
    </w:p>
    <w:p>
      <w:pPr>
        <w:ind w:left="461" w:right="220" w:hanging="461"/>
        <w:spacing w:after="0" w:line="267" w:lineRule="auto"/>
        <w:tabs>
          <w:tab w:leader="none" w:pos="461" w:val="left"/>
        </w:tabs>
        <w:numPr>
          <w:ilvl w:val="0"/>
          <w:numId w:val="197"/>
        </w:numPr>
        <w:rPr>
          <w:rFonts w:ascii="Arial" w:cs="Arial" w:eastAsia="Arial" w:hAnsi="Arial"/>
          <w:sz w:val="13"/>
          <w:szCs w:val="13"/>
          <w:color w:val="auto"/>
        </w:rPr>
      </w:pPr>
      <w:r>
        <w:rPr>
          <w:rFonts w:ascii="Arial" w:cs="Arial" w:eastAsia="Arial" w:hAnsi="Arial"/>
          <w:sz w:val="13"/>
          <w:szCs w:val="13"/>
          <w:b w:val="1"/>
          <w:bCs w:val="1"/>
          <w:color w:val="auto"/>
        </w:rPr>
        <w:t>We note your revisions in response to prior comment 2. Please revise to clearly identify the natural persons who have or share voting and/or dispositive powers with respect to the shares to be offered and sold by each entity in your table that is not a publicly traded entity. As examples, we note that no such natural persons appear to be identified for Caspian Capital, Mariner LDC and Deep Value Hedged Income.</w:t>
      </w:r>
    </w:p>
    <w:p>
      <w:pPr>
        <w:spacing w:after="0" w:line="65" w:lineRule="exact"/>
        <w:rPr>
          <w:rFonts w:ascii="Arial" w:cs="Arial" w:eastAsia="Arial" w:hAnsi="Arial"/>
          <w:sz w:val="13"/>
          <w:szCs w:val="13"/>
          <w:color w:val="auto"/>
        </w:rPr>
      </w:pPr>
    </w:p>
    <w:p>
      <w:pPr>
        <w:ind w:left="461"/>
        <w:spacing w:after="0" w:line="276" w:lineRule="auto"/>
        <w:rPr>
          <w:rFonts w:ascii="Arial" w:cs="Arial" w:eastAsia="Arial" w:hAnsi="Arial"/>
          <w:sz w:val="13"/>
          <w:szCs w:val="13"/>
          <w:color w:val="auto"/>
        </w:rPr>
      </w:pPr>
      <w:r>
        <w:rPr>
          <w:rFonts w:ascii="Arial" w:cs="Arial" w:eastAsia="Arial" w:hAnsi="Arial"/>
          <w:sz w:val="13"/>
          <w:szCs w:val="13"/>
          <w:color w:val="auto"/>
        </w:rPr>
        <w:t>Response: In response to the Staff’s comment, the Selling Stockholders table beginning on page 140 of the prospectus has been revised to identify the natural persons who have or share voting and/or dispositive power with respect to the shares offered by each entity that is not a publicly traded entity.</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Exhibit 1.1</w:t>
      </w:r>
    </w:p>
    <w:p>
      <w:pPr>
        <w:spacing w:after="0" w:line="86" w:lineRule="exact"/>
        <w:rPr>
          <w:sz w:val="20"/>
          <w:szCs w:val="20"/>
          <w:color w:val="auto"/>
        </w:rPr>
      </w:pPr>
    </w:p>
    <w:p>
      <w:pPr>
        <w:ind w:left="461" w:hanging="461"/>
        <w:spacing w:after="0"/>
        <w:tabs>
          <w:tab w:leader="none" w:pos="461" w:val="left"/>
        </w:tabs>
        <w:numPr>
          <w:ilvl w:val="0"/>
          <w:numId w:val="198"/>
        </w:numPr>
        <w:rPr>
          <w:rFonts w:ascii="Arial" w:cs="Arial" w:eastAsia="Arial" w:hAnsi="Arial"/>
          <w:sz w:val="13"/>
          <w:szCs w:val="13"/>
          <w:color w:val="auto"/>
        </w:rPr>
      </w:pPr>
      <w:r>
        <w:rPr>
          <w:rFonts w:ascii="Arial" w:cs="Arial" w:eastAsia="Arial" w:hAnsi="Arial"/>
          <w:sz w:val="13"/>
          <w:szCs w:val="13"/>
          <w:b w:val="1"/>
          <w:bCs w:val="1"/>
          <w:color w:val="auto"/>
        </w:rPr>
        <w:t>We will continue to evaluate your response to prior comment 5 after you file the updated version of Exhibit 1.1.</w:t>
      </w:r>
    </w:p>
    <w:p>
      <w:pPr>
        <w:spacing w:after="0" w:line="100" w:lineRule="exact"/>
        <w:rPr>
          <w:rFonts w:ascii="Arial" w:cs="Arial" w:eastAsia="Arial" w:hAnsi="Arial"/>
          <w:sz w:val="13"/>
          <w:szCs w:val="13"/>
          <w:color w:val="auto"/>
        </w:rPr>
      </w:pPr>
    </w:p>
    <w:p>
      <w:pPr>
        <w:ind w:left="461" w:right="100"/>
        <w:spacing w:after="0" w:line="276" w:lineRule="auto"/>
        <w:rPr>
          <w:rFonts w:ascii="Arial" w:cs="Arial" w:eastAsia="Arial" w:hAnsi="Arial"/>
          <w:sz w:val="13"/>
          <w:szCs w:val="13"/>
          <w:color w:val="auto"/>
        </w:rPr>
      </w:pPr>
      <w:r>
        <w:rPr>
          <w:rFonts w:ascii="Arial" w:cs="Arial" w:eastAsia="Arial" w:hAnsi="Arial"/>
          <w:sz w:val="13"/>
          <w:szCs w:val="13"/>
          <w:color w:val="auto"/>
        </w:rPr>
        <w:t>Response: The Company will be filing in a pre-effective amendment to the Registration Statement an updated version of Exhibit 1.1 to reflect changes in the Registration Statement and include all missing and blank attachments.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Exhibits 5.1 and 8.1</w:t>
      </w:r>
    </w:p>
    <w:p>
      <w:pPr>
        <w:spacing w:after="0" w:line="86" w:lineRule="exact"/>
        <w:rPr>
          <w:sz w:val="20"/>
          <w:szCs w:val="20"/>
          <w:color w:val="auto"/>
        </w:rPr>
      </w:pPr>
    </w:p>
    <w:p>
      <w:pPr>
        <w:ind w:left="461" w:hanging="461"/>
        <w:spacing w:after="0"/>
        <w:tabs>
          <w:tab w:leader="none" w:pos="461" w:val="left"/>
        </w:tabs>
        <w:numPr>
          <w:ilvl w:val="0"/>
          <w:numId w:val="199"/>
        </w:numPr>
        <w:rPr>
          <w:rFonts w:ascii="Arial" w:cs="Arial" w:eastAsia="Arial" w:hAnsi="Arial"/>
          <w:sz w:val="12"/>
          <w:szCs w:val="12"/>
          <w:color w:val="auto"/>
        </w:rPr>
      </w:pPr>
      <w:r>
        <w:rPr>
          <w:rFonts w:ascii="Arial" w:cs="Arial" w:eastAsia="Arial" w:hAnsi="Arial"/>
          <w:sz w:val="12"/>
          <w:szCs w:val="12"/>
          <w:b w:val="1"/>
          <w:bCs w:val="1"/>
          <w:color w:val="auto"/>
        </w:rPr>
        <w:t>We reissue prior comment 6 to the extent that the proposed Exhibit 5.1 you provided still references “charter documents. . .to be in effect upon completion of the Corporate Conversion.”</w:t>
      </w:r>
    </w:p>
    <w:p>
      <w:pPr>
        <w:spacing w:after="0" w:line="111" w:lineRule="exact"/>
        <w:rPr>
          <w:rFonts w:ascii="Arial" w:cs="Arial" w:eastAsia="Arial" w:hAnsi="Arial"/>
          <w:sz w:val="12"/>
          <w:szCs w:val="12"/>
          <w:color w:val="auto"/>
        </w:rPr>
      </w:pPr>
    </w:p>
    <w:p>
      <w:pPr>
        <w:ind w:left="461" w:right="120"/>
        <w:spacing w:after="0" w:line="276" w:lineRule="auto"/>
        <w:rPr>
          <w:rFonts w:ascii="Arial" w:cs="Arial" w:eastAsia="Arial" w:hAnsi="Arial"/>
          <w:sz w:val="12"/>
          <w:szCs w:val="12"/>
          <w:color w:val="auto"/>
        </w:rPr>
      </w:pPr>
      <w:r>
        <w:rPr>
          <w:rFonts w:ascii="Arial" w:cs="Arial" w:eastAsia="Arial" w:hAnsi="Arial"/>
          <w:sz w:val="13"/>
          <w:szCs w:val="13"/>
          <w:color w:val="auto"/>
        </w:rPr>
        <w:t xml:space="preserve">Response: The Company notes the Staff’s comment. A revised version of proposed Exhibit 5.1 is attached as </w:t>
      </w:r>
      <w:r>
        <w:rPr>
          <w:rFonts w:ascii="Arial" w:cs="Arial" w:eastAsia="Arial" w:hAnsi="Arial"/>
          <w:sz w:val="13"/>
          <w:szCs w:val="13"/>
          <w:u w:val="single" w:color="auto"/>
          <w:color w:val="auto"/>
        </w:rPr>
        <w:t>Attachment A</w:t>
      </w:r>
      <w:r>
        <w:rPr>
          <w:rFonts w:ascii="Arial" w:cs="Arial" w:eastAsia="Arial" w:hAnsi="Arial"/>
          <w:sz w:val="13"/>
          <w:szCs w:val="13"/>
          <w:color w:val="auto"/>
        </w:rPr>
        <w:t xml:space="preserve"> to this letter and will be filed by the Company in the amendment to the Registration Statement that the Company will file following the completion of the corporate conversion and prior to effectiveness.</w:t>
      </w:r>
    </w:p>
    <w:p>
      <w:pPr>
        <w:spacing w:after="0" w:line="55" w:lineRule="exact"/>
        <w:rPr>
          <w:rFonts w:ascii="Arial" w:cs="Arial" w:eastAsia="Arial" w:hAnsi="Arial"/>
          <w:sz w:val="12"/>
          <w:szCs w:val="12"/>
          <w:color w:val="auto"/>
        </w:rPr>
      </w:pPr>
    </w:p>
    <w:p>
      <w:pPr>
        <w:ind w:left="461" w:hanging="461"/>
        <w:spacing w:after="0"/>
        <w:tabs>
          <w:tab w:leader="none" w:pos="461" w:val="left"/>
        </w:tabs>
        <w:numPr>
          <w:ilvl w:val="0"/>
          <w:numId w:val="199"/>
        </w:numPr>
        <w:rPr>
          <w:rFonts w:ascii="Arial" w:cs="Arial" w:eastAsia="Arial" w:hAnsi="Arial"/>
          <w:sz w:val="13"/>
          <w:szCs w:val="13"/>
          <w:color w:val="auto"/>
        </w:rPr>
      </w:pPr>
      <w:r>
        <w:rPr>
          <w:rFonts w:ascii="Arial" w:cs="Arial" w:eastAsia="Arial" w:hAnsi="Arial"/>
          <w:sz w:val="13"/>
          <w:szCs w:val="13"/>
          <w:b w:val="1"/>
          <w:bCs w:val="1"/>
          <w:color w:val="auto"/>
        </w:rPr>
        <w:t>We will continue to evaluate your response to prior comment 8 after you file an opinion of counsel that the deposit agreement is a legal, binding obligation of the depositary.</w:t>
      </w:r>
    </w:p>
    <w:p>
      <w:pPr>
        <w:spacing w:after="0" w:line="100" w:lineRule="exact"/>
        <w:rPr>
          <w:rFonts w:ascii="Arial" w:cs="Arial" w:eastAsia="Arial" w:hAnsi="Arial"/>
          <w:sz w:val="13"/>
          <w:szCs w:val="13"/>
          <w:color w:val="auto"/>
        </w:rPr>
      </w:pPr>
    </w:p>
    <w:p>
      <w:pPr>
        <w:ind w:left="461" w:right="180"/>
        <w:spacing w:after="0" w:line="276" w:lineRule="auto"/>
        <w:rPr>
          <w:rFonts w:ascii="Arial" w:cs="Arial" w:eastAsia="Arial" w:hAnsi="Arial"/>
          <w:sz w:val="13"/>
          <w:szCs w:val="13"/>
          <w:color w:val="auto"/>
        </w:rPr>
      </w:pPr>
      <w:r>
        <w:rPr>
          <w:rFonts w:ascii="Arial" w:cs="Arial" w:eastAsia="Arial" w:hAnsi="Arial"/>
          <w:sz w:val="13"/>
          <w:szCs w:val="13"/>
          <w:color w:val="auto"/>
        </w:rPr>
        <w:t xml:space="preserve">Response: A draft of the proposed Exhibit 5.2 is attached as </w:t>
      </w:r>
      <w:r>
        <w:rPr>
          <w:rFonts w:ascii="Arial" w:cs="Arial" w:eastAsia="Arial" w:hAnsi="Arial"/>
          <w:sz w:val="13"/>
          <w:szCs w:val="13"/>
          <w:u w:val="single" w:color="auto"/>
          <w:color w:val="auto"/>
        </w:rPr>
        <w:t>Attachment B</w:t>
      </w:r>
      <w:r>
        <w:rPr>
          <w:rFonts w:ascii="Arial" w:cs="Arial" w:eastAsia="Arial" w:hAnsi="Arial"/>
          <w:sz w:val="13"/>
          <w:szCs w:val="13"/>
          <w:color w:val="auto"/>
        </w:rPr>
        <w:t xml:space="preserve"> to this letter and will be filed by the Company in the amendment to the Registration Statement that the Company will file following the completion of the corporate conversion and prior to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272" w:name="page273"/>
    <w:bookmarkEnd w:id="272"/>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755015" cy="4495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755015" cy="449580"/>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June 16,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Three</w:t>
      </w:r>
    </w:p>
    <w:p>
      <w:pPr>
        <w:spacing w:after="0" w:line="75" w:lineRule="exact"/>
        <w:rPr>
          <w:sz w:val="20"/>
          <w:szCs w:val="20"/>
          <w:color w:val="auto"/>
        </w:rPr>
      </w:pPr>
    </w:p>
    <w:p>
      <w:pPr>
        <w:ind w:left="461" w:right="80" w:hanging="461"/>
        <w:spacing w:after="0" w:line="327" w:lineRule="auto"/>
        <w:tabs>
          <w:tab w:leader="none" w:pos="461"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We note your response to prior comment 9. If the disclosures you note in your response to prior comment 9 represent counsel’s opinion, then please file an opinion that states so clearly and directly. For example, please revise to indicate that the statements of law or legal conclusions in the referenced sections constitute the opinion of DLA Piper LLP (US).</w:t>
      </w:r>
    </w:p>
    <w:p>
      <w:pPr>
        <w:spacing w:after="0" w:line="30" w:lineRule="exact"/>
        <w:rPr>
          <w:rFonts w:ascii="Arial" w:cs="Arial" w:eastAsia="Arial" w:hAnsi="Arial"/>
          <w:sz w:val="12"/>
          <w:szCs w:val="12"/>
          <w:color w:val="auto"/>
        </w:rPr>
      </w:pPr>
    </w:p>
    <w:p>
      <w:pPr>
        <w:ind w:left="461" w:right="120"/>
        <w:spacing w:after="0" w:line="276" w:lineRule="auto"/>
        <w:rPr>
          <w:rFonts w:ascii="Arial" w:cs="Arial" w:eastAsia="Arial" w:hAnsi="Arial"/>
          <w:sz w:val="12"/>
          <w:szCs w:val="12"/>
          <w:color w:val="auto"/>
        </w:rPr>
      </w:pPr>
      <w:r>
        <w:rPr>
          <w:rFonts w:ascii="Arial" w:cs="Arial" w:eastAsia="Arial" w:hAnsi="Arial"/>
          <w:sz w:val="13"/>
          <w:szCs w:val="13"/>
          <w:color w:val="auto"/>
        </w:rPr>
        <w:t xml:space="preserve">Response: The Company notes the Staff’s comment. Please see </w:t>
      </w:r>
      <w:r>
        <w:rPr>
          <w:rFonts w:ascii="Arial" w:cs="Arial" w:eastAsia="Arial" w:hAnsi="Arial"/>
          <w:sz w:val="13"/>
          <w:szCs w:val="13"/>
          <w:u w:val="single" w:color="auto"/>
          <w:color w:val="auto"/>
        </w:rPr>
        <w:t>Attachment A</w:t>
      </w:r>
      <w:r>
        <w:rPr>
          <w:rFonts w:ascii="Arial" w:cs="Arial" w:eastAsia="Arial" w:hAnsi="Arial"/>
          <w:sz w:val="13"/>
          <w:szCs w:val="13"/>
          <w:color w:val="auto"/>
        </w:rPr>
        <w:t xml:space="preserve"> for the revised version of proposed Exhibit 5.1 that will be filed by the Company in the amendment to the Registration Statement that the Company will file following the completion of the corporate conversion and prior to effectiveness.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 *</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If you have any questions, please feel free to contact the undersigned by telephone at 650-833-2263 (or by facsimile at 650-687-1240) or Peter M. Astiz at 650-833-2036 (or by facsimile at 650-687-1159). Thank you for your cooperation and attention to this matter.</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Very truly yours,</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DLA Piper LLP (US)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/s/ Micheal Reagan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Micheal Reagan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Partner</w:t>
      </w:r>
    </w:p>
    <w:p>
      <w:pPr>
        <w:spacing w:after="0" w:line="158" w:lineRule="exact"/>
        <w:rPr>
          <w:sz w:val="20"/>
          <w:szCs w:val="20"/>
          <w:color w:val="auto"/>
        </w:rPr>
      </w:pPr>
    </w:p>
    <w:p>
      <w:pPr>
        <w:ind w:left="461" w:right="9760" w:hanging="461"/>
        <w:spacing w:after="0" w:line="303" w:lineRule="auto"/>
        <w:tabs>
          <w:tab w:leader="none" w:pos="461" w:val="left"/>
        </w:tabs>
        <w:numPr>
          <w:ilvl w:val="0"/>
          <w:numId w:val="201"/>
        </w:numPr>
        <w:rPr>
          <w:rFonts w:ascii="Arial" w:cs="Arial" w:eastAsia="Arial" w:hAnsi="Arial"/>
          <w:sz w:val="11"/>
          <w:szCs w:val="11"/>
          <w:color w:val="auto"/>
        </w:rPr>
      </w:pPr>
      <w:r>
        <w:rPr>
          <w:rFonts w:ascii="Arial" w:cs="Arial" w:eastAsia="Arial" w:hAnsi="Arial"/>
          <w:sz w:val="11"/>
          <w:szCs w:val="11"/>
          <w:color w:val="auto"/>
        </w:rPr>
        <w:t>Julie Sherman, SEC Jay Webb, SEC Geoffrey Kruczek, SEC</w:t>
      </w:r>
    </w:p>
    <w:p>
      <w:pPr>
        <w:ind w:left="461" w:right="8640"/>
        <w:spacing w:after="0" w:line="298" w:lineRule="auto"/>
        <w:rPr>
          <w:rFonts w:ascii="Arial" w:cs="Arial" w:eastAsia="Arial" w:hAnsi="Arial"/>
          <w:sz w:val="11"/>
          <w:szCs w:val="11"/>
          <w:color w:val="auto"/>
        </w:rPr>
      </w:pPr>
      <w:r>
        <w:rPr>
          <w:rFonts w:ascii="Arial" w:cs="Arial" w:eastAsia="Arial" w:hAnsi="Arial"/>
          <w:sz w:val="11"/>
          <w:szCs w:val="11"/>
          <w:color w:val="auto"/>
        </w:rPr>
        <w:t>John McFarland, MagnaChip Semiconductor Peter M. Astiz, Esq., DLA Piper LLP (US) Khoa D. Do, Esq., DLA Piper LLP (US)</w:t>
      </w:r>
    </w:p>
    <w:p>
      <w:pPr>
        <w:ind w:left="461" w:right="8500"/>
        <w:spacing w:after="0" w:line="264" w:lineRule="auto"/>
        <w:rPr>
          <w:rFonts w:ascii="Arial" w:cs="Arial" w:eastAsia="Arial" w:hAnsi="Arial"/>
          <w:sz w:val="11"/>
          <w:szCs w:val="11"/>
          <w:color w:val="auto"/>
        </w:rPr>
      </w:pPr>
      <w:r>
        <w:rPr>
          <w:rFonts w:ascii="Arial" w:cs="Arial" w:eastAsia="Arial" w:hAnsi="Arial"/>
          <w:sz w:val="13"/>
          <w:szCs w:val="13"/>
          <w:color w:val="auto"/>
        </w:rPr>
        <w:t>Kirk A. Davenport, III, Latham &amp; Watkins LLP Keith Benson,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273" w:name="page274"/>
    <w:bookmarkEnd w:id="273"/>
    <w:p>
      <w:pPr>
        <w:ind w:left="8881"/>
        <w:spacing w:after="0"/>
        <w:rPr>
          <w:sz w:val="20"/>
          <w:szCs w:val="20"/>
          <w:color w:val="auto"/>
        </w:rPr>
      </w:pPr>
      <w:r>
        <w:rPr>
          <w:rFonts w:ascii="Arial" w:cs="Arial" w:eastAsia="Arial" w:hAnsi="Arial"/>
          <w:sz w:val="13"/>
          <w:szCs w:val="13"/>
          <w:b w:val="1"/>
          <w:bCs w:val="1"/>
          <w:color w:val="auto"/>
        </w:rPr>
        <w:t xml:space="preserve">DLA Piper </w:t>
      </w:r>
      <w:r>
        <w:rPr>
          <w:rFonts w:ascii="Arial" w:cs="Arial" w:eastAsia="Arial" w:hAnsi="Arial"/>
          <w:sz w:val="8"/>
          <w:szCs w:val="8"/>
          <w:b w:val="1"/>
          <w:bCs w:val="1"/>
          <w:color w:val="auto"/>
        </w:rPr>
        <w:t>LLP</w:t>
      </w:r>
      <w:r>
        <w:rPr>
          <w:rFonts w:ascii="Arial" w:cs="Arial" w:eastAsia="Arial" w:hAnsi="Arial"/>
          <w:sz w:val="13"/>
          <w:szCs w:val="13"/>
          <w:b w:val="1"/>
          <w:bCs w:val="1"/>
          <w:color w:val="auto"/>
        </w:rPr>
        <w:t xml:space="preser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55015" cy="4495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55015" cy="449580"/>
                    </a:xfrm>
                    <a:prstGeom prst="rect">
                      <a:avLst/>
                    </a:prstGeom>
                    <a:noFill/>
                  </pic:spPr>
                </pic:pic>
              </a:graphicData>
            </a:graphic>
          </wp:anchor>
        </w:drawing>
      </w:r>
    </w:p>
    <w:p>
      <w:pPr>
        <w:ind w:left="8881"/>
        <w:spacing w:after="0"/>
        <w:rPr>
          <w:sz w:val="20"/>
          <w:szCs w:val="20"/>
          <w:color w:val="auto"/>
        </w:rPr>
      </w:pPr>
      <w:r>
        <w:rPr>
          <w:rFonts w:ascii="Arial" w:cs="Arial" w:eastAsia="Arial" w:hAnsi="Arial"/>
          <w:sz w:val="13"/>
          <w:szCs w:val="13"/>
          <w:color w:val="auto"/>
        </w:rPr>
        <w:t>2000 University Avenue</w:t>
      </w:r>
    </w:p>
    <w:p>
      <w:pPr>
        <w:spacing w:after="0" w:line="8" w:lineRule="exact"/>
        <w:rPr>
          <w:sz w:val="20"/>
          <w:szCs w:val="20"/>
          <w:color w:val="auto"/>
        </w:rPr>
      </w:pPr>
    </w:p>
    <w:p>
      <w:pPr>
        <w:ind w:left="8881"/>
        <w:spacing w:after="0"/>
        <w:rPr>
          <w:sz w:val="20"/>
          <w:szCs w:val="20"/>
          <w:color w:val="auto"/>
        </w:rPr>
      </w:pPr>
      <w:r>
        <w:rPr>
          <w:rFonts w:ascii="Arial" w:cs="Arial" w:eastAsia="Arial" w:hAnsi="Arial"/>
          <w:sz w:val="13"/>
          <w:szCs w:val="13"/>
          <w:color w:val="auto"/>
        </w:rPr>
        <w:t>East Palo Alto, California 94303-2214</w:t>
      </w:r>
    </w:p>
    <w:p>
      <w:pPr>
        <w:spacing w:after="0" w:line="8" w:lineRule="exact"/>
        <w:rPr>
          <w:sz w:val="20"/>
          <w:szCs w:val="20"/>
          <w:color w:val="auto"/>
        </w:rPr>
      </w:pPr>
    </w:p>
    <w:p>
      <w:pPr>
        <w:ind w:left="8881"/>
        <w:spacing w:after="0"/>
        <w:rPr>
          <w:sz w:val="20"/>
          <w:szCs w:val="20"/>
          <w:color w:val="auto"/>
        </w:rPr>
      </w:pPr>
      <w:r>
        <w:rPr>
          <w:rFonts w:ascii="Arial" w:cs="Arial" w:eastAsia="Arial" w:hAnsi="Arial"/>
          <w:sz w:val="13"/>
          <w:szCs w:val="13"/>
          <w:color w:val="auto"/>
        </w:rPr>
        <w:t>www.dlapiper.com</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Attachment A</w:t>
      </w:r>
    </w:p>
    <w:p>
      <w:pPr>
        <w:spacing w:after="0" w:line="83" w:lineRule="exact"/>
        <w:rPr>
          <w:sz w:val="20"/>
          <w:szCs w:val="20"/>
          <w:color w:val="auto"/>
        </w:rPr>
      </w:pPr>
    </w:p>
    <w:p>
      <w:pPr>
        <w:ind w:left="861" w:hanging="861"/>
        <w:spacing w:after="0"/>
        <w:tabs>
          <w:tab w:leader="none" w:pos="861" w:val="left"/>
        </w:tabs>
        <w:numPr>
          <w:ilvl w:val="0"/>
          <w:numId w:val="202"/>
        </w:numPr>
        <w:rPr>
          <w:rFonts w:ascii="Arial" w:cs="Arial" w:eastAsia="Arial" w:hAnsi="Arial"/>
          <w:sz w:val="13"/>
          <w:szCs w:val="13"/>
          <w:color w:val="auto"/>
        </w:rPr>
      </w:pPr>
      <w:r>
        <w:rPr>
          <w:rFonts w:ascii="Arial" w:cs="Arial" w:eastAsia="Arial" w:hAnsi="Arial"/>
          <w:sz w:val="13"/>
          <w:szCs w:val="13"/>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-7620</wp:posOffset>
            </wp:positionV>
            <wp:extent cx="520065"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20065" cy="6350"/>
                    </a:xfrm>
                    <a:prstGeom prst="rect">
                      <a:avLst/>
                    </a:prstGeom>
                    <a:noFill/>
                  </pic:spPr>
                </pic:pic>
              </a:graphicData>
            </a:graphic>
          </wp:anchor>
        </w:drawing>
      </w:r>
    </w:p>
    <w:p>
      <w:pPr>
        <w:spacing w:after="0" w:line="66" w:lineRule="exact"/>
        <w:rPr>
          <w:sz w:val="20"/>
          <w:szCs w:val="20"/>
          <w:color w:val="auto"/>
        </w:rPr>
      </w:pPr>
    </w:p>
    <w:p>
      <w:pPr>
        <w:ind w:left="1"/>
        <w:spacing w:after="0"/>
        <w:rPr>
          <w:sz w:val="20"/>
          <w:szCs w:val="20"/>
          <w:color w:val="auto"/>
        </w:rPr>
      </w:pPr>
      <w:r>
        <w:rPr>
          <w:rFonts w:ascii="Arial" w:cs="Arial" w:eastAsia="Arial" w:hAnsi="Arial"/>
          <w:sz w:val="13"/>
          <w:szCs w:val="13"/>
          <w:color w:val="auto"/>
        </w:rPr>
        <w:t>MagnaChip Semiconductor Corporation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c/o MagnaChip Semiconductor S.A.</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74, rue de Merl, B.P. 709 L-2146 Luxembourg R.C.S.</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Luxembourg B97483</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ind w:left="1" w:right="40"/>
        <w:spacing w:after="0" w:line="258" w:lineRule="auto"/>
        <w:rPr>
          <w:sz w:val="20"/>
          <w:szCs w:val="20"/>
          <w:color w:val="auto"/>
        </w:rPr>
      </w:pPr>
      <w:r>
        <w:rPr>
          <w:rFonts w:ascii="Arial" w:cs="Arial" w:eastAsia="Arial" w:hAnsi="Arial"/>
          <w:sz w:val="13"/>
          <w:szCs w:val="13"/>
          <w:color w:val="auto"/>
        </w:rPr>
        <w:t>We have acted as counsel to MagnaChip Semiconductor Corporation (“</w:t>
      </w:r>
      <w:r>
        <w:rPr>
          <w:rFonts w:ascii="Arial" w:cs="Arial" w:eastAsia="Arial" w:hAnsi="Arial"/>
          <w:sz w:val="13"/>
          <w:szCs w:val="13"/>
          <w:b w:val="1"/>
          <w:bCs w:val="1"/>
          <w:color w:val="auto"/>
        </w:rPr>
        <w:t>MagnaChip</w:t>
      </w:r>
      <w:r>
        <w:rPr>
          <w:rFonts w:ascii="Arial" w:cs="Arial" w:eastAsia="Arial" w:hAnsi="Arial"/>
          <w:sz w:val="13"/>
          <w:szCs w:val="13"/>
          <w:color w:val="auto"/>
        </w:rPr>
        <w:t>”), a Delaware corporation, in connection with the proposed issuance and sale of those certain depositary shares, each of which represents a fractional ownership interest in certain of MagnaChip’s newly-issued Common Stock (the “</w:t>
      </w:r>
      <w:r>
        <w:rPr>
          <w:rFonts w:ascii="Arial" w:cs="Arial" w:eastAsia="Arial" w:hAnsi="Arial"/>
          <w:sz w:val="13"/>
          <w:szCs w:val="13"/>
          <w:b w:val="1"/>
          <w:bCs w:val="1"/>
          <w:color w:val="auto"/>
        </w:rPr>
        <w:t>Company Shares</w:t>
      </w:r>
      <w:r>
        <w:rPr>
          <w:rFonts w:ascii="Arial" w:cs="Arial" w:eastAsia="Arial" w:hAnsi="Arial"/>
          <w:sz w:val="13"/>
          <w:szCs w:val="13"/>
          <w:color w:val="auto"/>
        </w:rPr>
        <w:t>”) and a fractional ownership interest in certain additional shares of MagnaChip’s Common Stock held by certain stockholders of MagnaChip (the “</w:t>
      </w:r>
      <w:r>
        <w:rPr>
          <w:rFonts w:ascii="Arial" w:cs="Arial" w:eastAsia="Arial" w:hAnsi="Arial"/>
          <w:sz w:val="13"/>
          <w:szCs w:val="13"/>
          <w:b w:val="1"/>
          <w:bCs w:val="1"/>
          <w:color w:val="auto"/>
        </w:rPr>
        <w:t>Selling Stockholders Shares</w:t>
      </w:r>
      <w:r>
        <w:rPr>
          <w:rFonts w:ascii="Arial" w:cs="Arial" w:eastAsia="Arial" w:hAnsi="Arial"/>
          <w:sz w:val="13"/>
          <w:szCs w:val="13"/>
          <w:color w:val="auto"/>
        </w:rPr>
        <w:t>,” and collectively with the Company Shares, the “</w:t>
      </w:r>
      <w:r>
        <w:rPr>
          <w:rFonts w:ascii="Arial" w:cs="Arial" w:eastAsia="Arial" w:hAnsi="Arial"/>
          <w:sz w:val="13"/>
          <w:szCs w:val="13"/>
          <w:b w:val="1"/>
          <w:bCs w:val="1"/>
          <w:color w:val="auto"/>
        </w:rPr>
        <w:t>Shares</w:t>
      </w:r>
      <w:r>
        <w:rPr>
          <w:rFonts w:ascii="Arial" w:cs="Arial" w:eastAsia="Arial" w:hAnsi="Arial"/>
          <w:sz w:val="13"/>
          <w:szCs w:val="13"/>
          <w:color w:val="auto"/>
        </w:rPr>
        <w:t>”), including depositary shares representing a fractional ownership interest in Company Shares and a fractional ownership interest in Selling Stockholders Shares for which the underwriters have been granted an over-allotment option (the “</w:t>
      </w:r>
      <w:r>
        <w:rPr>
          <w:rFonts w:ascii="Arial" w:cs="Arial" w:eastAsia="Arial" w:hAnsi="Arial"/>
          <w:sz w:val="13"/>
          <w:szCs w:val="13"/>
          <w:b w:val="1"/>
          <w:bCs w:val="1"/>
          <w:color w:val="auto"/>
        </w:rPr>
        <w:t>Depositary Shares</w:t>
      </w:r>
      <w:r>
        <w:rPr>
          <w:rFonts w:ascii="Arial" w:cs="Arial" w:eastAsia="Arial" w:hAnsi="Arial"/>
          <w:sz w:val="13"/>
          <w:szCs w:val="13"/>
          <w:color w:val="auto"/>
        </w:rPr>
        <w:t>”), as set forth in MagnaChip’s registration statement (No. 333-165467) on Form S-1 filed with the Securities and Exchange Commission (the “</w:t>
      </w:r>
      <w:r>
        <w:rPr>
          <w:rFonts w:ascii="Arial" w:cs="Arial" w:eastAsia="Arial" w:hAnsi="Arial"/>
          <w:sz w:val="13"/>
          <w:szCs w:val="13"/>
          <w:b w:val="1"/>
          <w:bCs w:val="1"/>
          <w:color w:val="auto"/>
        </w:rPr>
        <w:t>SEC</w:t>
      </w:r>
      <w:r>
        <w:rPr>
          <w:rFonts w:ascii="Arial" w:cs="Arial" w:eastAsia="Arial" w:hAnsi="Arial"/>
          <w:sz w:val="13"/>
          <w:szCs w:val="13"/>
          <w:color w:val="auto"/>
        </w:rPr>
        <w:t>”) on March 15, 2010 (as it may be amended and supplemented,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under the Securities Act of 1933, as amended (the “</w:t>
      </w:r>
      <w:r>
        <w:rPr>
          <w:rFonts w:ascii="Arial" w:cs="Arial" w:eastAsia="Arial" w:hAnsi="Arial"/>
          <w:sz w:val="13"/>
          <w:szCs w:val="13"/>
          <w:b w:val="1"/>
          <w:bCs w:val="1"/>
          <w:color w:val="auto"/>
        </w:rPr>
        <w:t>Act</w:t>
      </w:r>
      <w:r>
        <w:rPr>
          <w:rFonts w:ascii="Arial" w:cs="Arial" w:eastAsia="Arial" w:hAnsi="Arial"/>
          <w:sz w:val="13"/>
          <w:szCs w:val="13"/>
          <w:color w:val="auto"/>
        </w:rPr>
        <w:t>”).</w:t>
      </w:r>
    </w:p>
    <w:p>
      <w:pPr>
        <w:spacing w:after="0" w:line="62" w:lineRule="exact"/>
        <w:rPr>
          <w:sz w:val="20"/>
          <w:szCs w:val="20"/>
          <w:color w:val="auto"/>
        </w:rPr>
      </w:pPr>
    </w:p>
    <w:p>
      <w:pPr>
        <w:ind w:left="1" w:right="40"/>
        <w:spacing w:after="0" w:line="257" w:lineRule="auto"/>
        <w:rPr>
          <w:sz w:val="20"/>
          <w:szCs w:val="20"/>
          <w:color w:val="auto"/>
        </w:rPr>
      </w:pPr>
      <w:r>
        <w:rPr>
          <w:rFonts w:ascii="Arial" w:cs="Arial" w:eastAsia="Arial" w:hAnsi="Arial"/>
          <w:sz w:val="13"/>
          <w:szCs w:val="13"/>
          <w:color w:val="auto"/>
        </w:rPr>
        <w:t>This opinion is being furnished in accordance with the requirements of Item 16(a) of Form S-1, Item 601(b)(5)(i) and Item 601(b)(8) of Regulation S-K, each as promulgated by the SEC under the Act. In connection with this opinion, we have reviewed and relied upon the Registration Statement and related prospectus, MagnaChip’s charter documents, the Underwriting Agreement (the “</w:t>
      </w:r>
      <w:r>
        <w:rPr>
          <w:rFonts w:ascii="Arial" w:cs="Arial" w:eastAsia="Arial" w:hAnsi="Arial"/>
          <w:sz w:val="13"/>
          <w:szCs w:val="13"/>
          <w:b w:val="1"/>
          <w:bCs w:val="1"/>
          <w:color w:val="auto"/>
        </w:rPr>
        <w:t>Underwriting Agreement</w:t>
      </w:r>
      <w:r>
        <w:rPr>
          <w:rFonts w:ascii="Arial" w:cs="Arial" w:eastAsia="Arial" w:hAnsi="Arial"/>
          <w:sz w:val="13"/>
          <w:szCs w:val="13"/>
          <w:color w:val="auto"/>
        </w:rPr>
        <w:t>”) in substantially the form included as Exhibit 1.1 to the Registration Statement; the deposit agreement among MagnaChip, the depositary named therein (the “</w:t>
      </w:r>
      <w:r>
        <w:rPr>
          <w:rFonts w:ascii="Arial" w:cs="Arial" w:eastAsia="Arial" w:hAnsi="Arial"/>
          <w:sz w:val="13"/>
          <w:szCs w:val="13"/>
          <w:b w:val="1"/>
          <w:bCs w:val="1"/>
          <w:color w:val="auto"/>
        </w:rPr>
        <w:t>Depositary</w:t>
      </w:r>
      <w:r>
        <w:rPr>
          <w:rFonts w:ascii="Arial" w:cs="Arial" w:eastAsia="Arial" w:hAnsi="Arial"/>
          <w:sz w:val="13"/>
          <w:szCs w:val="13"/>
          <w:color w:val="auto"/>
        </w:rPr>
        <w:t>”) and the other parties thereto pursuant to which the Depositary Shares will be issued (the “</w:t>
      </w:r>
      <w:r>
        <w:rPr>
          <w:rFonts w:ascii="Arial" w:cs="Arial" w:eastAsia="Arial" w:hAnsi="Arial"/>
          <w:sz w:val="13"/>
          <w:szCs w:val="13"/>
          <w:b w:val="1"/>
          <w:bCs w:val="1"/>
          <w:color w:val="auto"/>
        </w:rPr>
        <w:t>Deposit Agreement</w:t>
      </w:r>
      <w:r>
        <w:rPr>
          <w:rFonts w:ascii="Arial" w:cs="Arial" w:eastAsia="Arial" w:hAnsi="Arial"/>
          <w:sz w:val="13"/>
          <w:szCs w:val="13"/>
          <w:color w:val="auto"/>
        </w:rPr>
        <w:t>”) in substantially the form included as Exhibit 4.2 to the Registration Statement; and records of its corporate proceedings in connection with the issuance and sale of the Depositary Shares and the Shares. With your consent, we have relied upon certificates and other assurances of officers of MagnaChip and others as to factual matters without having independently verified such factual matters.</w:t>
      </w:r>
    </w:p>
    <w:p>
      <w:pPr>
        <w:spacing w:after="0" w:line="62" w:lineRule="exact"/>
        <w:rPr>
          <w:sz w:val="20"/>
          <w:szCs w:val="20"/>
          <w:color w:val="auto"/>
        </w:rPr>
      </w:pPr>
    </w:p>
    <w:p>
      <w:pPr>
        <w:ind w:left="1"/>
        <w:spacing w:after="0"/>
        <w:rPr>
          <w:sz w:val="20"/>
          <w:szCs w:val="20"/>
          <w:color w:val="auto"/>
        </w:rPr>
      </w:pPr>
      <w:r>
        <w:rPr>
          <w:rFonts w:ascii="Arial" w:cs="Arial" w:eastAsia="Arial" w:hAnsi="Arial"/>
          <w:sz w:val="12"/>
          <w:szCs w:val="12"/>
          <w:color w:val="auto"/>
        </w:rPr>
        <w:t>Based on such review and subject to all of the assumptions, limitations and qualifications set forth herein, we are of the opinion that (i) the Selling Stockholders Shares are validly issued, fully paid and nonassessable,</w:t>
      </w:r>
    </w:p>
    <w:p>
      <w:pPr>
        <w:spacing w:after="0" w:line="27" w:lineRule="exact"/>
        <w:rPr>
          <w:sz w:val="20"/>
          <w:szCs w:val="20"/>
          <w:color w:val="auto"/>
        </w:rPr>
      </w:pPr>
    </w:p>
    <w:p>
      <w:pPr>
        <w:ind w:left="1" w:hanging="1"/>
        <w:spacing w:after="0" w:line="284" w:lineRule="auto"/>
        <w:tabs>
          <w:tab w:leader="none" w:pos="194"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Company Shares, when issued, delivered and paid for as contemplated in the related prospectus (as amended and supplemented through the date of issuance) and in accordance with the terms of the Underwriting Agreement, will be validly issued, fully paid and nonassessable, (iii) the Depositary Shares, when issued in accordance with the related prospectus (as amended and supplemented through the date of issuance), in accordance with the terms of the Underwriting Agreement and in accordance with the terms of the Deposit Agreement, will constitute valid evidence of interests in the Shares and will entitle the holders thereof to the rights specified in the Depositary Shares and the Deposit Agreement and (iv) the Deposit Agreement is a legal and binding obligation of MagnaChip.</w:t>
      </w:r>
    </w:p>
    <w:p>
      <w:pPr>
        <w:spacing w:after="0" w:line="47" w:lineRule="exact"/>
        <w:rPr>
          <w:sz w:val="20"/>
          <w:szCs w:val="20"/>
          <w:color w:val="auto"/>
        </w:rPr>
      </w:pPr>
    </w:p>
    <w:p>
      <w:pPr>
        <w:ind w:left="1"/>
        <w:spacing w:after="0" w:line="264" w:lineRule="auto"/>
        <w:rPr>
          <w:sz w:val="20"/>
          <w:szCs w:val="20"/>
          <w:color w:val="auto"/>
        </w:rPr>
      </w:pPr>
      <w:r>
        <w:rPr>
          <w:rFonts w:ascii="Arial" w:cs="Arial" w:eastAsia="Arial" w:hAnsi="Arial"/>
          <w:sz w:val="13"/>
          <w:szCs w:val="13"/>
          <w:color w:val="auto"/>
        </w:rPr>
        <w:t>The discussion of United States federal income tax matters contained in the prospectus forming part of the Registration Statement under the heading “Material U.S. Federal Income Tax Consequences” and in the section entitled “Risks Related to Our Common Stock” under the heading “The U.S. federal income tax consequences of the cancellation of the depositary shares are not specifically addressed by applicable law”, to the extent such sections state matters of law or legal conclusions, and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874" w:right="239" w:bottom="1440" w:gutter="0" w:footer="0" w:header="0"/>
        </w:sectPr>
      </w:pPr>
    </w:p>
    <w:bookmarkStart w:id="274" w:name="page275"/>
    <w:bookmarkEnd w:id="274"/>
    <w:p>
      <w:pPr>
        <w:ind w:left="1" w:right="160"/>
        <w:spacing w:after="0" w:line="276" w:lineRule="auto"/>
        <w:rPr>
          <w:sz w:val="20"/>
          <w:szCs w:val="20"/>
          <w:color w:val="auto"/>
        </w:rPr>
      </w:pPr>
      <w:r>
        <w:rPr>
          <w:rFonts w:ascii="Arial" w:cs="Arial" w:eastAsia="Arial" w:hAnsi="Arial"/>
          <w:sz w:val="13"/>
          <w:szCs w:val="13"/>
          <w:color w:val="auto"/>
        </w:rPr>
        <w:t>qualifications and limitations set forth therein, represent our opinion of the material U.S. federal income tax consequences of the ownership and disposition of MagnaChip’s Depositary Shares and common stock to a U.S. holder and a non-U.S. holder, as defined in the “Material U.S. Federal Income Tax Consequences” section.</w:t>
      </w:r>
    </w:p>
    <w:p>
      <w:pPr>
        <w:spacing w:after="0" w:line="49" w:lineRule="exact"/>
        <w:rPr>
          <w:sz w:val="20"/>
          <w:szCs w:val="20"/>
          <w:color w:val="auto"/>
        </w:rPr>
      </w:pPr>
    </w:p>
    <w:p>
      <w:pPr>
        <w:ind w:left="1" w:right="240"/>
        <w:spacing w:after="0" w:line="264" w:lineRule="auto"/>
        <w:rPr>
          <w:sz w:val="20"/>
          <w:szCs w:val="20"/>
          <w:color w:val="auto"/>
        </w:rPr>
      </w:pPr>
      <w:r>
        <w:rPr>
          <w:rFonts w:ascii="Arial" w:cs="Arial" w:eastAsia="Arial" w:hAnsi="Arial"/>
          <w:sz w:val="13"/>
          <w:szCs w:val="13"/>
          <w:color w:val="auto"/>
        </w:rPr>
        <w:t>We consent to the filing of this opinion as an exhibit to the Registration Statement and to the reference to this firm under the caption “Legal Matters” in the prospectus which is part of the Registration Statement. In giving this consent, we do not admit that we are within the category of persons whose consent is required under Section 7 of the Act, the rules and regulations of the SEC promulgated thereunder or Item 509 of Regulation S-K.</w:t>
      </w:r>
    </w:p>
    <w:p>
      <w:pPr>
        <w:spacing w:after="0" w:line="57" w:lineRule="exact"/>
        <w:rPr>
          <w:sz w:val="20"/>
          <w:szCs w:val="20"/>
          <w:color w:val="auto"/>
        </w:rPr>
      </w:pPr>
    </w:p>
    <w:p>
      <w:pPr>
        <w:ind w:left="1"/>
        <w:spacing w:after="0" w:line="260" w:lineRule="auto"/>
        <w:rPr>
          <w:sz w:val="20"/>
          <w:szCs w:val="20"/>
          <w:color w:val="auto"/>
        </w:rPr>
      </w:pPr>
      <w:r>
        <w:rPr>
          <w:rFonts w:ascii="Arial" w:cs="Arial" w:eastAsia="Arial" w:hAnsi="Arial"/>
          <w:sz w:val="13"/>
          <w:szCs w:val="13"/>
          <w:color w:val="auto"/>
        </w:rPr>
        <w:t>This opinion is given to you solely for use in connection with the issuance and sale of the Depositary Shares and the Shares in accordance with the Registration Statement and the related prospectus and is not to be relied on for any other purpose. Our opinion is expressly limited to the matters set forth above, and we render no opinion, whether by implication or otherwise, as to any other matters relating to MagnaChip, the Depositary Shares, Shares or the Registration Statement. This opinion letter is rendered as of the date hereof and we make no undertaking, and expressly disclaim any duty, to supplement or update this opinion letter, if, after the date hereof, facts or circumstances come to our attention or changes in the law occur which could affect such opinion.</w:t>
      </w:r>
    </w:p>
    <w:p>
      <w:pPr>
        <w:spacing w:after="0" w:line="60" w:lineRule="exact"/>
        <w:rPr>
          <w:sz w:val="20"/>
          <w:szCs w:val="20"/>
          <w:color w:val="auto"/>
        </w:rPr>
      </w:pPr>
    </w:p>
    <w:p>
      <w:pPr>
        <w:ind w:left="1"/>
        <w:spacing w:after="0"/>
        <w:rPr>
          <w:sz w:val="20"/>
          <w:szCs w:val="20"/>
          <w:color w:val="auto"/>
        </w:rPr>
      </w:pPr>
      <w:r>
        <w:rPr>
          <w:rFonts w:ascii="Arial" w:cs="Arial" w:eastAsia="Arial" w:hAnsi="Arial"/>
          <w:sz w:val="13"/>
          <w:szCs w:val="13"/>
          <w:color w:val="auto"/>
        </w:rPr>
        <w:t>Very truly yours,</w:t>
      </w:r>
    </w:p>
    <w:p>
      <w:pPr>
        <w:spacing w:after="0" w:line="82" w:lineRule="exact"/>
        <w:rPr>
          <w:sz w:val="20"/>
          <w:szCs w:val="20"/>
          <w:color w:val="auto"/>
        </w:rPr>
      </w:pPr>
    </w:p>
    <w:p>
      <w:pPr>
        <w:ind w:left="1361" w:hanging="1361"/>
        <w:spacing w:after="0"/>
        <w:tabs>
          <w:tab w:leader="none" w:pos="1361" w:val="left"/>
        </w:tabs>
        <w:numPr>
          <w:ilvl w:val="0"/>
          <w:numId w:val="204"/>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86" w:lineRule="exact"/>
        <w:rPr>
          <w:rFonts w:ascii="Arial" w:cs="Arial" w:eastAsia="Arial" w:hAnsi="Arial"/>
          <w:sz w:val="13"/>
          <w:szCs w:val="13"/>
          <w:b w:val="1"/>
          <w:bCs w:val="1"/>
          <w:color w:val="auto"/>
        </w:rPr>
      </w:pPr>
    </w:p>
    <w:p>
      <w:pPr>
        <w:ind w:left="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-154940</wp:posOffset>
            </wp:positionV>
            <wp:extent cx="83185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275" w:name="page276"/>
    <w:bookmarkEnd w:id="275"/>
    <w:p>
      <w:pPr>
        <w:jc w:val="center"/>
        <w:ind w:right="-20"/>
        <w:spacing w:after="0"/>
        <w:rPr>
          <w:sz w:val="20"/>
          <w:szCs w:val="20"/>
          <w:color w:val="auto"/>
        </w:rPr>
      </w:pPr>
      <w:r>
        <w:rPr>
          <w:rFonts w:ascii="Arial" w:cs="Arial" w:eastAsia="Arial" w:hAnsi="Arial"/>
          <w:sz w:val="13"/>
          <w:szCs w:val="13"/>
          <w:b w:val="1"/>
          <w:bCs w:val="1"/>
          <w:u w:val="single" w:color="auto"/>
          <w:color w:val="auto"/>
        </w:rPr>
        <w:t>Attachment B</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[AST Letterhead]</w:t>
      </w:r>
    </w:p>
    <w:p>
      <w:pPr>
        <w:spacing w:after="0" w:line="86" w:lineRule="exact"/>
        <w:rPr>
          <w:sz w:val="20"/>
          <w:szCs w:val="20"/>
          <w:color w:val="auto"/>
        </w:rPr>
      </w:pPr>
    </w:p>
    <w:p>
      <w:pPr>
        <w:ind w:left="861" w:hanging="861"/>
        <w:spacing w:after="0"/>
        <w:tabs>
          <w:tab w:leader="none" w:pos="861" w:val="left"/>
        </w:tabs>
        <w:numPr>
          <w:ilvl w:val="0"/>
          <w:numId w:val="205"/>
        </w:numPr>
        <w:rPr>
          <w:rFonts w:ascii="Arial" w:cs="Arial" w:eastAsia="Arial" w:hAnsi="Arial"/>
          <w:sz w:val="13"/>
          <w:szCs w:val="13"/>
          <w:color w:val="auto"/>
        </w:rPr>
      </w:pPr>
      <w:r>
        <w:rPr>
          <w:rFonts w:ascii="Arial" w:cs="Arial" w:eastAsia="Arial" w:hAnsi="Arial"/>
          <w:sz w:val="13"/>
          <w:szCs w:val="13"/>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-7620</wp:posOffset>
            </wp:positionV>
            <wp:extent cx="520065"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0065" cy="6350"/>
                    </a:xfrm>
                    <a:prstGeom prst="rect">
                      <a:avLst/>
                    </a:prstGeom>
                    <a:noFill/>
                  </pic:spPr>
                </pic:pic>
              </a:graphicData>
            </a:graphic>
          </wp:anchor>
        </w:drawing>
      </w:r>
    </w:p>
    <w:p>
      <w:pPr>
        <w:spacing w:after="0" w:line="66" w:lineRule="exact"/>
        <w:rPr>
          <w:sz w:val="20"/>
          <w:szCs w:val="20"/>
          <w:color w:val="auto"/>
        </w:rPr>
      </w:pPr>
    </w:p>
    <w:p>
      <w:pPr>
        <w:ind w:left="1"/>
        <w:spacing w:after="0"/>
        <w:rPr>
          <w:sz w:val="20"/>
          <w:szCs w:val="20"/>
          <w:color w:val="auto"/>
        </w:rPr>
      </w:pPr>
      <w:r>
        <w:rPr>
          <w:rFonts w:ascii="Arial" w:cs="Arial" w:eastAsia="Arial" w:hAnsi="Arial"/>
          <w:sz w:val="13"/>
          <w:szCs w:val="13"/>
          <w:color w:val="auto"/>
        </w:rPr>
        <w:t>MagnaChip Semiconductor Corporation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c/o MagnaChip Semiconductor S.A.</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74, rue de Merl, B.P. 709 L-2146 Luxembourg R.C.S.</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Luxembourg B97483</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ind w:left="1"/>
        <w:spacing w:after="0" w:line="280" w:lineRule="auto"/>
        <w:rPr>
          <w:sz w:val="20"/>
          <w:szCs w:val="20"/>
          <w:color w:val="auto"/>
        </w:rPr>
      </w:pPr>
      <w:r>
        <w:rPr>
          <w:rFonts w:ascii="Arial" w:cs="Arial" w:eastAsia="Arial" w:hAnsi="Arial"/>
          <w:sz w:val="12"/>
          <w:szCs w:val="12"/>
          <w:color w:val="auto"/>
        </w:rPr>
        <w:t>This opinion is being furnished in accordance with the requirements of Item 16(a) of Form S-1, Item 601(b)(5)(i) of Regulation S-K, as promulgated by the Securities and Exchange Commission (the “</w:t>
      </w:r>
      <w:r>
        <w:rPr>
          <w:rFonts w:ascii="Arial" w:cs="Arial" w:eastAsia="Arial" w:hAnsi="Arial"/>
          <w:sz w:val="12"/>
          <w:szCs w:val="12"/>
          <w:b w:val="1"/>
          <w:bCs w:val="1"/>
          <w:color w:val="auto"/>
        </w:rPr>
        <w:t>SEC</w:t>
      </w:r>
      <w:r>
        <w:rPr>
          <w:rFonts w:ascii="Arial" w:cs="Arial" w:eastAsia="Arial" w:hAnsi="Arial"/>
          <w:sz w:val="12"/>
          <w:szCs w:val="12"/>
          <w:color w:val="auto"/>
        </w:rPr>
        <w:t>”)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 in connection with the registration statement on Form S-1 (No. 333-165467) of MagnaChip Semiconductor Corporation (“</w:t>
      </w:r>
      <w:r>
        <w:rPr>
          <w:rFonts w:ascii="Arial" w:cs="Arial" w:eastAsia="Arial" w:hAnsi="Arial"/>
          <w:sz w:val="12"/>
          <w:szCs w:val="12"/>
          <w:b w:val="1"/>
          <w:bCs w:val="1"/>
          <w:color w:val="auto"/>
        </w:rPr>
        <w:t>MagnaChip</w:t>
      </w:r>
      <w:r>
        <w:rPr>
          <w:rFonts w:ascii="Arial" w:cs="Arial" w:eastAsia="Arial" w:hAnsi="Arial"/>
          <w:sz w:val="12"/>
          <w:szCs w:val="12"/>
          <w:color w:val="auto"/>
        </w:rPr>
        <w:t>”) filed with the SEC on March 15, 2010 (as it may be amended and supplemented, the “</w:t>
      </w:r>
      <w:r>
        <w:rPr>
          <w:rFonts w:ascii="Arial" w:cs="Arial" w:eastAsia="Arial" w:hAnsi="Arial"/>
          <w:sz w:val="12"/>
          <w:szCs w:val="12"/>
          <w:b w:val="1"/>
          <w:bCs w:val="1"/>
          <w:color w:val="auto"/>
        </w:rPr>
        <w:t>Registration Statement</w:t>
      </w:r>
      <w:r>
        <w:rPr>
          <w:rFonts w:ascii="Arial" w:cs="Arial" w:eastAsia="Arial" w:hAnsi="Arial"/>
          <w:sz w:val="12"/>
          <w:szCs w:val="12"/>
          <w:color w:val="auto"/>
        </w:rPr>
        <w:t>”) under the Act and the proposed issuance and sale of those certain depositary shares, each of which represents a fractional ownership interest in certain of MagnaChip’s newly-issued Common Stock (the “</w:t>
      </w:r>
      <w:r>
        <w:rPr>
          <w:rFonts w:ascii="Arial" w:cs="Arial" w:eastAsia="Arial" w:hAnsi="Arial"/>
          <w:sz w:val="12"/>
          <w:szCs w:val="12"/>
          <w:b w:val="1"/>
          <w:bCs w:val="1"/>
          <w:color w:val="auto"/>
        </w:rPr>
        <w:t>Company Shares</w:t>
      </w:r>
      <w:r>
        <w:rPr>
          <w:rFonts w:ascii="Arial" w:cs="Arial" w:eastAsia="Arial" w:hAnsi="Arial"/>
          <w:sz w:val="12"/>
          <w:szCs w:val="12"/>
          <w:color w:val="auto"/>
        </w:rPr>
        <w:t>”) and a fractional ownership interest in certain additional shares of MagnaChip’s Common Stock held by certain stockholders of MagnaChip (the “</w:t>
      </w:r>
      <w:r>
        <w:rPr>
          <w:rFonts w:ascii="Arial" w:cs="Arial" w:eastAsia="Arial" w:hAnsi="Arial"/>
          <w:sz w:val="12"/>
          <w:szCs w:val="12"/>
          <w:b w:val="1"/>
          <w:bCs w:val="1"/>
          <w:color w:val="auto"/>
        </w:rPr>
        <w:t>Selling Stockholders Shares</w:t>
      </w:r>
      <w:r>
        <w:rPr>
          <w:rFonts w:ascii="Arial" w:cs="Arial" w:eastAsia="Arial" w:hAnsi="Arial"/>
          <w:sz w:val="12"/>
          <w:szCs w:val="12"/>
          <w:color w:val="auto"/>
        </w:rPr>
        <w:t>”), including depositary shares representing a fractional ownership interest in Company Shares and a fractional ownership interest in Selling Stockholders Shares for which the underwriters have been granted an over-allotment option (the “</w:t>
      </w:r>
      <w:r>
        <w:rPr>
          <w:rFonts w:ascii="Arial" w:cs="Arial" w:eastAsia="Arial" w:hAnsi="Arial"/>
          <w:sz w:val="12"/>
          <w:szCs w:val="12"/>
          <w:b w:val="1"/>
          <w:bCs w:val="1"/>
          <w:color w:val="auto"/>
        </w:rPr>
        <w:t>Depositary Shares</w:t>
      </w:r>
      <w:r>
        <w:rPr>
          <w:rFonts w:ascii="Arial" w:cs="Arial" w:eastAsia="Arial" w:hAnsi="Arial"/>
          <w:sz w:val="12"/>
          <w:szCs w:val="12"/>
          <w:color w:val="auto"/>
        </w:rPr>
        <w:t>”). I am rendering this opinion to you, in my capacity as the General Counsel of American Stock Transfer &amp; Trust Company, LLC, a New York limited liability trust company under the New York Banking Law (the “</w:t>
      </w:r>
      <w:r>
        <w:rPr>
          <w:rFonts w:ascii="Arial" w:cs="Arial" w:eastAsia="Arial" w:hAnsi="Arial"/>
          <w:sz w:val="12"/>
          <w:szCs w:val="12"/>
          <w:b w:val="1"/>
          <w:bCs w:val="1"/>
          <w:color w:val="auto"/>
        </w:rPr>
        <w:t>Depositary</w:t>
      </w:r>
      <w:r>
        <w:rPr>
          <w:rFonts w:ascii="Arial" w:cs="Arial" w:eastAsia="Arial" w:hAnsi="Arial"/>
          <w:sz w:val="12"/>
          <w:szCs w:val="12"/>
          <w:color w:val="auto"/>
        </w:rPr>
        <w:t>”) the depositary under that certain deposit agreement among MagnaChip, the Depositary (in its capacity as Depositary, Custodian and Registrar thereunder) and the Holders and Beneficial Owners of Depositary Shares pursuant to which the Depositary Shares will be issued (the “</w:t>
      </w:r>
      <w:r>
        <w:rPr>
          <w:rFonts w:ascii="Arial" w:cs="Arial" w:eastAsia="Arial" w:hAnsi="Arial"/>
          <w:sz w:val="12"/>
          <w:szCs w:val="12"/>
          <w:b w:val="1"/>
          <w:bCs w:val="1"/>
          <w:color w:val="auto"/>
        </w:rPr>
        <w:t>Deposit Agreement</w:t>
      </w:r>
      <w:r>
        <w:rPr>
          <w:rFonts w:ascii="Arial" w:cs="Arial" w:eastAsia="Arial" w:hAnsi="Arial"/>
          <w:sz w:val="12"/>
          <w:szCs w:val="12"/>
          <w:color w:val="auto"/>
        </w:rPr>
        <w:t>”) in substantially the form included as Exhibit 4.2 to the Registration Statement. Capitalized terms not otherwise defined herein have the meanings set forth in the Deposit Agreement.</w:t>
      </w:r>
    </w:p>
    <w:p>
      <w:pPr>
        <w:spacing w:after="0" w:line="49" w:lineRule="exact"/>
        <w:rPr>
          <w:sz w:val="20"/>
          <w:szCs w:val="20"/>
          <w:color w:val="auto"/>
        </w:rPr>
      </w:pPr>
    </w:p>
    <w:p>
      <w:pPr>
        <w:ind w:left="1" w:right="80"/>
        <w:spacing w:after="0" w:line="276" w:lineRule="auto"/>
        <w:rPr>
          <w:sz w:val="20"/>
          <w:szCs w:val="20"/>
          <w:color w:val="auto"/>
        </w:rPr>
      </w:pPr>
      <w:r>
        <w:rPr>
          <w:rFonts w:ascii="Arial" w:cs="Arial" w:eastAsia="Arial" w:hAnsi="Arial"/>
          <w:sz w:val="13"/>
          <w:szCs w:val="13"/>
          <w:color w:val="auto"/>
        </w:rPr>
        <w:t>For purposes of this opinion, I have relied upon my general familiarity with the activities of the Depositary and such factual inquiries as I have determined necessary or appropriate for the purposes hereof. I advise you that I am not admitted to practice in any jurisdiction other than New York and New Jersey and express no opinion on the laws of any other jurisdiction.</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Based on such review and subject to all of the limitations and qualifications set forth herein, I am of the opinion that the Deposit Agreement is a legal and binding obligation of the Depositary.</w:t>
      </w:r>
    </w:p>
    <w:p>
      <w:pPr>
        <w:spacing w:after="0" w:line="86" w:lineRule="exact"/>
        <w:rPr>
          <w:sz w:val="20"/>
          <w:szCs w:val="20"/>
          <w:color w:val="auto"/>
        </w:rPr>
      </w:pPr>
    </w:p>
    <w:p>
      <w:pPr>
        <w:ind w:left="1" w:right="120"/>
        <w:spacing w:after="0" w:line="276" w:lineRule="auto"/>
        <w:rPr>
          <w:sz w:val="20"/>
          <w:szCs w:val="20"/>
          <w:color w:val="auto"/>
        </w:rPr>
      </w:pPr>
      <w:r>
        <w:rPr>
          <w:rFonts w:ascii="Arial" w:cs="Arial" w:eastAsia="Arial" w:hAnsi="Arial"/>
          <w:sz w:val="13"/>
          <w:szCs w:val="13"/>
          <w:color w:val="auto"/>
        </w:rPr>
        <w:t>I consent to the filing of this opinion as an exhibit to the Registration Statement. In giving this consent, I do not admit that I am within the category of persons whose consent is required under Section 7 of the Act, the rules and regulations of the SEC promulgated thereunder or Item 509 of Regulation S-K.</w:t>
      </w:r>
    </w:p>
    <w:p>
      <w:pPr>
        <w:spacing w:after="0" w:line="49" w:lineRule="exact"/>
        <w:rPr>
          <w:sz w:val="20"/>
          <w:szCs w:val="20"/>
          <w:color w:val="auto"/>
        </w:rPr>
      </w:pPr>
    </w:p>
    <w:p>
      <w:pPr>
        <w:ind w:left="1" w:right="180"/>
        <w:spacing w:after="0" w:line="264" w:lineRule="auto"/>
        <w:rPr>
          <w:sz w:val="20"/>
          <w:szCs w:val="20"/>
          <w:color w:val="auto"/>
        </w:rPr>
      </w:pPr>
      <w:r>
        <w:rPr>
          <w:rFonts w:ascii="Arial" w:cs="Arial" w:eastAsia="Arial" w:hAnsi="Arial"/>
          <w:sz w:val="13"/>
          <w:szCs w:val="13"/>
          <w:color w:val="auto"/>
        </w:rPr>
        <w:t>My opinion is expressly limited to the matters set forth above, and I render no opinion, whether by implication or otherwise, as to any other matters. This opinion letter is rendered as of the date hereof and I make no undertaking, and expressly disclaim any duty, to supplement or update this opinion letter, if, after the date hereof, facts or circumstances come to my attention or changes in the law occur which could affect such opinion.</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color w:val="auto"/>
        </w:rPr>
        <w:t>Very truly yours,</w:t>
      </w:r>
    </w:p>
    <w:p>
      <w:pPr>
        <w:spacing w:after="0" w:line="82" w:lineRule="exact"/>
        <w:rPr>
          <w:sz w:val="20"/>
          <w:szCs w:val="20"/>
          <w:color w:val="auto"/>
        </w:rPr>
      </w:pPr>
    </w:p>
    <w:p>
      <w:pPr>
        <w:ind w:left="861" w:hanging="861"/>
        <w:spacing w:after="0"/>
        <w:tabs>
          <w:tab w:leader="none" w:pos="861" w:val="left"/>
        </w:tabs>
        <w:numPr>
          <w:ilvl w:val="0"/>
          <w:numId w:val="206"/>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-5080</wp:posOffset>
            </wp:positionV>
            <wp:extent cx="52006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0065" cy="6350"/>
                    </a:xfrm>
                    <a:prstGeom prst="rect">
                      <a:avLst/>
                    </a:prstGeom>
                    <a:noFill/>
                  </pic:spPr>
                </pic:pic>
              </a:graphicData>
            </a:graphic>
          </wp:anchor>
        </w:drawing>
      </w:r>
    </w:p>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Herbert J. Lemmer</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General Counsel, American Stock Transfer &amp; Trust Company, LLC</w:t>
      </w:r>
    </w:p>
    <w:sectPr>
      <w:pgSz w:w="11900" w:h="16838" w:orient="portrait"/>
      <w:cols w:equalWidth="0" w:num="1">
        <w:col w:w="11441"/>
      </w:cols>
      <w:pgMar w:left="219" w:top="7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1)"/>
      <w:numFmt w:val="decimal"/>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1)"/>
      <w:numFmt w:val="decimal"/>
      <w:start w:val="1"/>
    </w:lvl>
  </w:abstractNum>
  <w:abstractNum w:abstractNumId="11">
    <w:nsid w:val="1D9F6E5F"/>
    <w:multiLevelType w:val="hybridMultilevel"/>
    <w:lvl w:ilvl="0">
      <w:lvlJc w:val="left"/>
      <w:lvlText w:val="(%1)"/>
      <w:numFmt w:val="lowerRoman"/>
      <w:start w:val="6"/>
    </w:lvl>
    <w:lvl w:ilvl="1">
      <w:lvlJc w:val="left"/>
      <w:lvlText w:val="•"/>
      <w:numFmt w:val="bullet"/>
      <w:start w:val="1"/>
    </w:lvl>
  </w:abstractNum>
  <w:abstractNum w:abstractNumId="12">
    <w:nsid w:val="97E1B4E"/>
    <w:multiLevelType w:val="hybridMultilevel"/>
    <w:lvl w:ilvl="0">
      <w:lvlJc w:val="left"/>
      <w:lvlText w:val="(%1)"/>
      <w:numFmt w:val="lowerRoman"/>
      <w:start w:val="9"/>
    </w:lvl>
    <w:lvl w:ilvl="1">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1)"/>
      <w:numFmt w:val="lowerLetter"/>
      <w:start w:val="1"/>
    </w:lvl>
  </w:abstractNum>
  <w:abstractNum w:abstractNumId="15">
    <w:nsid w:val="53584BCB"/>
    <w:multiLevelType w:val="hybridMultilevel"/>
    <w:lvl w:ilvl="0">
      <w:lvlJc w:val="left"/>
      <w:lvlText w:val="(%1)"/>
      <w:numFmt w:val="lowerLetter"/>
      <w:start w:val="6"/>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1)"/>
      <w:numFmt w:val="decimal"/>
      <w:start w:val="6"/>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1)"/>
      <w:numFmt w:val="lowerLetter"/>
      <w:start w:val="1"/>
    </w:lvl>
  </w:abstractNum>
  <w:abstractNum w:abstractNumId="20">
    <w:nsid w:val="5C10FE21"/>
    <w:multiLevelType w:val="hybridMultilevel"/>
    <w:lvl w:ilvl="0">
      <w:lvlJc w:val="left"/>
      <w:lvlText w:val="(%1)"/>
      <w:numFmt w:val="lowerLetter"/>
      <w:start w:val="3"/>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
      <w:numFmt w:val="bullet"/>
      <w:start w:val="1"/>
    </w:lvl>
  </w:abstractNum>
  <w:abstractNum w:abstractNumId="32">
    <w:nsid w:val="6AA7B75C"/>
    <w:multiLevelType w:val="hybridMultilevel"/>
    <w:lvl w:ilvl="0">
      <w:lvlJc w:val="left"/>
      <w:lvlText w:val="(%1)"/>
      <w:numFmt w:val="decimal"/>
      <w:start w:val="1"/>
    </w:lvl>
  </w:abstractNum>
  <w:abstractNum w:abstractNumId="33">
    <w:nsid w:val="1DF029D3"/>
    <w:multiLevelType w:val="hybridMultilevel"/>
    <w:lvl w:ilvl="0">
      <w:lvlJc w:val="left"/>
      <w:lvlText w:val="(%1)"/>
      <w:numFmt w:val="decimal"/>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1)"/>
      <w:numFmt w:val="decimal"/>
      <w:start w:val="1"/>
    </w:lvl>
  </w:abstractNum>
  <w:abstractNum w:abstractNumId="36">
    <w:nsid w:val="3DB012B3"/>
    <w:multiLevelType w:val="hybridMultilevel"/>
    <w:lvl w:ilvl="0">
      <w:lvlJc w:val="left"/>
      <w:lvlText w:val="(%1)"/>
      <w:numFmt w:val="lowerRoman"/>
      <w:start w:val="6"/>
    </w:lvl>
    <w:lvl w:ilvl="1">
      <w:lvlJc w:val="left"/>
      <w:lvlText w:val="•"/>
      <w:numFmt w:val="bullet"/>
      <w:start w:val="1"/>
    </w:lvl>
  </w:abstractNum>
  <w:abstractNum w:abstractNumId="37">
    <w:nsid w:val="2708C9AF"/>
    <w:multiLevelType w:val="hybridMultilevel"/>
    <w:lvl w:ilvl="0">
      <w:lvlJc w:val="left"/>
      <w:lvlText w:val="(%1)"/>
      <w:numFmt w:val="lowerRoman"/>
      <w:start w:val="9"/>
    </w:lvl>
    <w:lvl w:ilvl="1">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1)"/>
      <w:numFmt w:val="lowerLetter"/>
      <w:start w:val="1"/>
    </w:lvl>
  </w:abstractNum>
  <w:abstractNum w:abstractNumId="40">
    <w:nsid w:val="4F97E3E4"/>
    <w:multiLevelType w:val="hybridMultilevel"/>
    <w:lvl w:ilvl="0">
      <w:lvlJc w:val="left"/>
      <w:lvlText w:val="(%1)"/>
      <w:numFmt w:val="lowerLetter"/>
      <w:start w:val="3"/>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1)"/>
      <w:numFmt w:val="decimal"/>
      <w:start w:val="6"/>
    </w:lvl>
    <w:lvl w:ilvl="1">
      <w:lvlJc w:val="left"/>
      <w:lvlText w:val="•"/>
      <w:numFmt w:val="bullet"/>
      <w:start w:val="1"/>
    </w:lvl>
  </w:abstractNum>
  <w:abstractNum w:abstractNumId="43">
    <w:nsid w:val="5915FF32"/>
    <w:multiLevelType w:val="hybridMultilevel"/>
    <w:lvl w:ilvl="0">
      <w:lvlJc w:val="left"/>
      <w:lvlText w:val="(%1)"/>
      <w:numFmt w:val="lowerRoman"/>
      <w:start w:val="2"/>
    </w:lvl>
  </w:abstractNum>
  <w:abstractNum w:abstractNumId="44">
    <w:nsid w:val="56438D15"/>
    <w:multiLevelType w:val="hybridMultilevel"/>
    <w:lvl w:ilvl="0">
      <w:lvlJc w:val="left"/>
      <w:lvlText w:val="(%1)"/>
      <w:numFmt w:val="lowerLetter"/>
      <w:start w:val="1"/>
    </w:lvl>
  </w:abstractNum>
  <w:abstractNum w:abstractNumId="45">
    <w:nsid w:val="519E3149"/>
    <w:multiLevelType w:val="hybridMultilevel"/>
    <w:lvl w:ilvl="0">
      <w:lvlJc w:val="left"/>
      <w:lvlText w:val="(%1)"/>
      <w:numFmt w:val="lowerLetter"/>
      <w:start w:val="4"/>
    </w:lvl>
  </w:abstractNum>
  <w:abstractNum w:abstractNumId="46">
    <w:nsid w:val="2C6E4AFD"/>
    <w:multiLevelType w:val="hybridMultilevel"/>
    <w:lvl w:ilvl="0">
      <w:lvlJc w:val="left"/>
      <w:lvlText w:val="•"/>
      <w:numFmt w:val="bullet"/>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
      <w:numFmt w:val="bullet"/>
      <w:start w:val="1"/>
    </w:lvl>
  </w:abstractNum>
  <w:abstractNum w:abstractNumId="49">
    <w:nsid w:val="5046B5A9"/>
    <w:multiLevelType w:val="hybridMultilevel"/>
    <w:lvl w:ilvl="0">
      <w:lvlJc w:val="left"/>
      <w:lvlText w:val="(%1)"/>
      <w:numFmt w:val="decimal"/>
      <w:start w:val="1"/>
    </w:lvl>
  </w:abstractNum>
  <w:abstractNum w:abstractNumId="50">
    <w:nsid w:val="5D888A08"/>
    <w:multiLevelType w:val="hybridMultilevel"/>
    <w:lvl w:ilvl="0">
      <w:lvlJc w:val="left"/>
      <w:lvlText w:val="(%1)"/>
      <w:numFmt w:val="decimal"/>
      <w:start w:val="2"/>
    </w:lvl>
  </w:abstractNum>
  <w:abstractNum w:abstractNumId="51">
    <w:nsid w:val="2A082C70"/>
    <w:multiLevelType w:val="hybridMultilevel"/>
    <w:lvl w:ilvl="0">
      <w:lvlJc w:val="left"/>
      <w:lvlText w:val="(%1)"/>
      <w:numFmt w:val="decimal"/>
      <w:start w:val="1"/>
    </w:lvl>
  </w:abstractNum>
  <w:abstractNum w:abstractNumId="52">
    <w:nsid w:val="5EC6AFD4"/>
    <w:multiLevelType w:val="hybridMultilevel"/>
    <w:lvl w:ilvl="0">
      <w:lvlJc w:val="left"/>
      <w:lvlText w:val="(%1)"/>
      <w:numFmt w:val="decimal"/>
      <w:start w:val="2"/>
    </w:lvl>
  </w:abstractNum>
  <w:abstractNum w:abstractNumId="53">
    <w:nsid w:val="19E21BB2"/>
    <w:multiLevelType w:val="hybridMultilevel"/>
    <w:lvl w:ilvl="0">
      <w:lvlJc w:val="left"/>
      <w:lvlText w:val="(%1)"/>
      <w:numFmt w:val="decimal"/>
      <w:start w:val="6"/>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
      <w:numFmt w:val="bullet"/>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1)"/>
      <w:numFmt w:val="decimal"/>
      <w:start w:val="1"/>
    </w:lvl>
  </w:abstractNum>
  <w:abstractNum w:abstractNumId="59">
    <w:nsid w:val="B37E80A"/>
    <w:multiLevelType w:val="hybridMultilevel"/>
    <w:lvl w:ilvl="0">
      <w:lvlJc w:val="left"/>
      <w:lvlText w:val="(%1)"/>
      <w:numFmt w:val="lowerLetter"/>
      <w:start w:val="1"/>
    </w:lvl>
  </w:abstractNum>
  <w:abstractNum w:abstractNumId="60">
    <w:nsid w:val="2157F6BC"/>
    <w:multiLevelType w:val="hybridMultilevel"/>
    <w:lvl w:ilvl="0">
      <w:lvlJc w:val="left"/>
      <w:lvlText w:val="(%1)"/>
      <w:numFmt w:val="lowerLetter"/>
      <w:start w:val="3"/>
    </w:lvl>
    <w:lvl w:ilvl="1">
      <w:lvlJc w:val="left"/>
      <w:lvlText w:val="(%2)"/>
      <w:numFmt w:val="decimal"/>
      <w:start w:val="3"/>
    </w:lvl>
  </w:abstractNum>
  <w:abstractNum w:abstractNumId="61">
    <w:nsid w:val="704E1DD5"/>
    <w:multiLevelType w:val="hybridMultilevel"/>
    <w:lvl w:ilvl="0">
      <w:lvlJc w:val="left"/>
      <w:lvlText w:val="(%1)"/>
      <w:numFmt w:val="lowerLetter"/>
      <w:start w:val="1"/>
    </w:lvl>
  </w:abstractNum>
  <w:abstractNum w:abstractNumId="62">
    <w:nsid w:val="57D2F10E"/>
    <w:multiLevelType w:val="hybridMultilevel"/>
    <w:lvl w:ilvl="0">
      <w:lvlJc w:val="left"/>
      <w:lvlText w:val="(%1)"/>
      <w:numFmt w:val="decimal"/>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
      <w:numFmt w:val="bullet"/>
      <w:start w:val="1"/>
    </w:lvl>
  </w:abstractNum>
  <w:abstractNum w:abstractNumId="65">
    <w:nsid w:val="2E48F044"/>
    <w:multiLevelType w:val="hybridMultilevel"/>
    <w:lvl w:ilvl="0">
      <w:lvlJc w:val="left"/>
      <w:lvlText w:val="•"/>
      <w:numFmt w:val="bullet"/>
      <w:start w:val="1"/>
    </w:lvl>
  </w:abstractNum>
  <w:abstractNum w:abstractNumId="66">
    <w:nsid w:val="49D0FEAC"/>
    <w:multiLevelType w:val="hybridMultilevel"/>
    <w:lvl w:ilvl="0">
      <w:lvlJc w:val="left"/>
      <w:lvlText w:val="•"/>
      <w:numFmt w:val="bullet"/>
      <w:start w:val="1"/>
    </w:lvl>
  </w:abstractNum>
  <w:abstractNum w:abstractNumId="67">
    <w:nsid w:val="4BEE5A5B"/>
    <w:multiLevelType w:val="hybridMultilevel"/>
    <w:lvl w:ilvl="0">
      <w:lvlJc w:val="left"/>
      <w:lvlText w:val="•"/>
      <w:numFmt w:val="bullet"/>
      <w:start w:val="1"/>
    </w:lvl>
  </w:abstractNum>
  <w:abstractNum w:abstractNumId="68">
    <w:nsid w:val="5551B9F3"/>
    <w:multiLevelType w:val="hybridMultilevel"/>
    <w:lvl w:ilvl="0">
      <w:lvlJc w:val="left"/>
      <w:lvlText w:val="•"/>
      <w:numFmt w:val="bullet"/>
      <w:start w:val="1"/>
    </w:lvl>
  </w:abstractNum>
  <w:abstractNum w:abstractNumId="69">
    <w:nsid w:val="24F6AB8E"/>
    <w:multiLevelType w:val="hybridMultilevel"/>
    <w:lvl w:ilvl="0">
      <w:lvlJc w:val="left"/>
      <w:lvlText w:val="•"/>
      <w:numFmt w:val="bullet"/>
      <w:start w:val="1"/>
    </w:lvl>
  </w:abstractNum>
  <w:abstractNum w:abstractNumId="70">
    <w:nsid w:val="634C574C"/>
    <w:multiLevelType w:val="hybridMultilevel"/>
    <w:lvl w:ilvl="0">
      <w:lvlJc w:val="left"/>
      <w:lvlText w:val="•"/>
      <w:numFmt w:val="bullet"/>
      <w:start w:val="1"/>
    </w:lvl>
  </w:abstractNum>
  <w:abstractNum w:abstractNumId="71">
    <w:nsid w:val="24E99DD7"/>
    <w:multiLevelType w:val="hybridMultilevel"/>
    <w:lvl w:ilvl="0">
      <w:lvlJc w:val="left"/>
      <w:lvlText w:val="•"/>
      <w:numFmt w:val="bullet"/>
      <w:start w:val="1"/>
    </w:lvl>
  </w:abstractNum>
  <w:abstractNum w:abstractNumId="72">
    <w:nsid w:val="2A31B62D"/>
    <w:multiLevelType w:val="hybridMultilevel"/>
    <w:lvl w:ilvl="0">
      <w:lvlJc w:val="left"/>
      <w:lvlText w:val="•"/>
      <w:numFmt w:val="bullet"/>
      <w:start w:val="1"/>
    </w:lvl>
  </w:abstractNum>
  <w:abstractNum w:abstractNumId="73">
    <w:nsid w:val="1849C29B"/>
    <w:multiLevelType w:val="hybridMultilevel"/>
    <w:lvl w:ilvl="0">
      <w:lvlJc w:val="left"/>
      <w:lvlText w:val="*"/>
      <w:numFmt w:val="bullet"/>
      <w:start w:val="1"/>
    </w:lvl>
  </w:abstractNum>
  <w:abstractNum w:abstractNumId="74">
    <w:nsid w:val="7DFF9D09"/>
    <w:multiLevelType w:val="hybridMultilevel"/>
    <w:lvl w:ilvl="0">
      <w:lvlJc w:val="left"/>
      <w:lvlText w:val="•"/>
      <w:numFmt w:val="bullet"/>
      <w:start w:val="1"/>
    </w:lvl>
  </w:abstractNum>
  <w:abstractNum w:abstractNumId="75">
    <w:nsid w:val="754342"/>
    <w:multiLevelType w:val="hybridMultilevel"/>
    <w:lvl w:ilvl="0">
      <w:lvlJc w:val="left"/>
      <w:lvlText w:val="•"/>
      <w:numFmt w:val="bullet"/>
      <w:start w:val="1"/>
    </w:lvl>
  </w:abstractNum>
  <w:abstractNum w:abstractNumId="76">
    <w:nsid w:val="69E7F3E5"/>
    <w:multiLevelType w:val="hybridMultilevel"/>
    <w:lvl w:ilvl="0">
      <w:lvlJc w:val="left"/>
      <w:lvlText w:val="•"/>
      <w:numFmt w:val="bullet"/>
      <w:start w:val="1"/>
    </w:lvl>
  </w:abstractNum>
  <w:abstractNum w:abstractNumId="77">
    <w:nsid w:val="2A6DE806"/>
    <w:multiLevelType w:val="hybridMultilevel"/>
    <w:lvl w:ilvl="0">
      <w:lvlJc w:val="left"/>
      <w:lvlText w:val="•"/>
      <w:numFmt w:val="bullet"/>
      <w:start w:val="1"/>
    </w:lvl>
  </w:abstractNum>
  <w:abstractNum w:abstractNumId="78">
    <w:nsid w:val="1816F8C4"/>
    <w:multiLevelType w:val="hybridMultilevel"/>
    <w:lvl w:ilvl="0">
      <w:lvlJc w:val="left"/>
      <w:lvlText w:val="•"/>
      <w:numFmt w:val="bullet"/>
      <w:start w:val="1"/>
    </w:lvl>
  </w:abstractNum>
  <w:abstractNum w:abstractNumId="79">
    <w:nsid w:val="37DF2233"/>
    <w:multiLevelType w:val="hybridMultilevel"/>
    <w:lvl w:ilvl="0">
      <w:lvlJc w:val="left"/>
      <w:lvlText w:val="(%1)"/>
      <w:numFmt w:val="decimal"/>
      <w:start w:val="1"/>
    </w:lvl>
  </w:abstractNum>
  <w:abstractNum w:abstractNumId="80">
    <w:nsid w:val="7AB49DAF"/>
    <w:multiLevelType w:val="hybridMultilevel"/>
    <w:lvl w:ilvl="0">
      <w:lvlJc w:val="left"/>
      <w:lvlText w:val="(%1)"/>
      <w:numFmt w:val="decimal"/>
      <w:start w:val="4"/>
    </w:lvl>
    <w:lvl w:ilvl="1">
      <w:lvlJc w:val="left"/>
      <w:lvlText w:val="(%2)"/>
      <w:numFmt w:val="lowerLetter"/>
      <w:start w:val="3"/>
    </w:lvl>
  </w:abstractNum>
  <w:abstractNum w:abstractNumId="81">
    <w:nsid w:val="759F82CD"/>
    <w:multiLevelType w:val="hybridMultilevel"/>
    <w:lvl w:ilvl="0">
      <w:lvlJc w:val="left"/>
      <w:lvlText w:val="%1"/>
      <w:numFmt w:val="decimal"/>
      <w:start w:val="1"/>
    </w:lvl>
    <w:lvl w:ilvl="1">
      <w:lvlJc w:val="left"/>
      <w:lvlText w:val="(%2)"/>
      <w:numFmt w:val="lowerLetter"/>
      <w:start w:val="5"/>
    </w:lvl>
  </w:abstractNum>
  <w:abstractNum w:abstractNumId="82">
    <w:nsid w:val="61E74EA3"/>
    <w:multiLevelType w:val="hybridMultilevel"/>
    <w:lvl w:ilvl="0">
      <w:lvlJc w:val="left"/>
      <w:lvlText w:val="(%1)"/>
      <w:numFmt w:val="decimal"/>
      <w:start w:val="18"/>
    </w:lvl>
    <w:lvl w:ilvl="1">
      <w:lvlJc w:val="left"/>
      <w:lvlText w:val="(%2)"/>
      <w:numFmt w:val="lowerLetter"/>
      <w:start w:val="5"/>
    </w:lvl>
  </w:abstractNum>
  <w:abstractNum w:abstractNumId="83">
    <w:nsid w:val="597B4D84"/>
    <w:multiLevelType w:val="hybridMultilevel"/>
    <w:lvl w:ilvl="0">
      <w:lvlJc w:val="left"/>
      <w:lvlText w:val="(%1)"/>
      <w:numFmt w:val="decimal"/>
      <w:start w:val="23"/>
    </w:lvl>
  </w:abstractNum>
  <w:abstractNum w:abstractNumId="84">
    <w:nsid w:val="F819E7F"/>
    <w:multiLevelType w:val="hybridMultilevel"/>
    <w:lvl w:ilvl="0">
      <w:lvlJc w:val="left"/>
      <w:lvlText w:val="(%1)"/>
      <w:numFmt w:val="decimal"/>
      <w:start w:val="1"/>
    </w:lvl>
  </w:abstractNum>
  <w:abstractNum w:abstractNumId="85">
    <w:nsid w:val="57C7D42D"/>
    <w:multiLevelType w:val="hybridMultilevel"/>
    <w:lvl w:ilvl="0">
      <w:lvlJc w:val="left"/>
      <w:lvlText w:val="(%1)"/>
      <w:numFmt w:val="decimal"/>
      <w:start w:val="1"/>
    </w:lvl>
  </w:abstractNum>
  <w:abstractNum w:abstractNumId="86">
    <w:nsid w:val="312167AD"/>
    <w:multiLevelType w:val="hybridMultilevel"/>
    <w:lvl w:ilvl="0">
      <w:lvlJc w:val="left"/>
      <w:lvlText w:val="(%1)"/>
      <w:numFmt w:val="decimal"/>
      <w:start w:val="1"/>
    </w:lvl>
  </w:abstractNum>
  <w:abstractNum w:abstractNumId="87">
    <w:nsid w:val="631B64D4"/>
    <w:multiLevelType w:val="hybridMultilevel"/>
    <w:lvl w:ilvl="0">
      <w:lvlJc w:val="left"/>
      <w:lvlText w:val="(%1)"/>
      <w:numFmt w:val="decimal"/>
      <w:start w:val="3"/>
    </w:lvl>
  </w:abstractNum>
  <w:abstractNum w:abstractNumId="88">
    <w:nsid w:val="78B5E776"/>
    <w:multiLevelType w:val="hybridMultilevel"/>
    <w:lvl w:ilvl="0">
      <w:lvlJc w:val="left"/>
      <w:lvlText w:val="(%1)"/>
      <w:numFmt w:val="lowerRoman"/>
      <w:start w:val="1"/>
    </w:lvl>
  </w:abstractNum>
  <w:abstractNum w:abstractNumId="89">
    <w:nsid w:val="75486E47"/>
    <w:multiLevelType w:val="hybridMultilevel"/>
    <w:lvl w:ilvl="0">
      <w:lvlJc w:val="left"/>
      <w:lvlText w:val="(%1)"/>
      <w:numFmt w:val="lowerRoman"/>
      <w:start w:val="4"/>
    </w:lvl>
  </w:abstractNum>
  <w:abstractNum w:abstractNumId="90">
    <w:nsid w:val="6E534CDE"/>
    <w:multiLevelType w:val="hybridMultilevel"/>
    <w:lvl w:ilvl="0">
      <w:lvlJc w:val="left"/>
      <w:lvlText w:val="(%1)"/>
      <w:numFmt w:val="lowerRoman"/>
      <w:start w:val="3"/>
    </w:lvl>
  </w:abstractNum>
  <w:abstractNum w:abstractNumId="91">
    <w:nsid w:val="1A0DDE32"/>
    <w:multiLevelType w:val="hybridMultilevel"/>
    <w:lvl w:ilvl="0">
      <w:lvlJc w:val="left"/>
      <w:lvlText w:val="(%1)"/>
      <w:numFmt w:val="lowerRoman"/>
      <w:start w:val="3"/>
    </w:lvl>
  </w:abstractNum>
  <w:abstractNum w:abstractNumId="92">
    <w:nsid w:val="65968C1C"/>
    <w:multiLevelType w:val="hybridMultilevel"/>
    <w:lvl w:ilvl="0">
      <w:lvlJc w:val="left"/>
      <w:lvlText w:val="•"/>
      <w:numFmt w:val="bullet"/>
      <w:start w:val="1"/>
    </w:lvl>
  </w:abstractNum>
  <w:abstractNum w:abstractNumId="93">
    <w:nsid w:val="46263DEC"/>
    <w:multiLevelType w:val="hybridMultilevel"/>
    <w:lvl w:ilvl="0">
      <w:lvlJc w:val="left"/>
      <w:lvlText w:val="(%1)"/>
      <w:numFmt w:val="lowerLetter"/>
      <w:start w:val="1"/>
    </w:lvl>
  </w:abstractNum>
  <w:abstractNum w:abstractNumId="94">
    <w:nsid w:val="260D8C4A"/>
    <w:multiLevelType w:val="hybridMultilevel"/>
    <w:lvl w:ilvl="0">
      <w:lvlJc w:val="left"/>
      <w:lvlText w:val="(%1)"/>
      <w:numFmt w:val="decimal"/>
      <w:start w:val="1"/>
    </w:lvl>
  </w:abstractNum>
  <w:abstractNum w:abstractNumId="95">
    <w:nsid w:val="73D4D3C4"/>
    <w:multiLevelType w:val="hybridMultilevel"/>
    <w:lvl w:ilvl="0">
      <w:lvlJc w:val="left"/>
      <w:lvlText w:val="(%1)"/>
      <w:numFmt w:val="decimal"/>
      <w:start w:val="2"/>
    </w:lvl>
  </w:abstractNum>
  <w:abstractNum w:abstractNumId="96">
    <w:nsid w:val="746F2E30"/>
    <w:multiLevelType w:val="hybridMultilevel"/>
    <w:lvl w:ilvl="0">
      <w:lvlJc w:val="left"/>
      <w:lvlText w:val="(%1)"/>
      <w:numFmt w:val="decimal"/>
      <w:start w:val="1"/>
    </w:lvl>
  </w:abstractNum>
  <w:abstractNum w:abstractNumId="97">
    <w:nsid w:val="6FDE8AF6"/>
    <w:multiLevelType w:val="hybridMultilevel"/>
    <w:lvl w:ilvl="0">
      <w:lvlJc w:val="left"/>
      <w:lvlText w:val="(%1)"/>
      <w:numFmt w:val="decimal"/>
      <w:start w:val="1"/>
    </w:lvl>
  </w:abstractNum>
  <w:abstractNum w:abstractNumId="98">
    <w:nsid w:val="3FC32E20"/>
    <w:multiLevelType w:val="hybridMultilevel"/>
    <w:lvl w:ilvl="0">
      <w:lvlJc w:val="left"/>
      <w:lvlText w:val="*"/>
      <w:numFmt w:val="bullet"/>
      <w:start w:val="1"/>
    </w:lvl>
  </w:abstractNum>
  <w:abstractNum w:abstractNumId="99">
    <w:nsid w:val="49C0E823"/>
    <w:multiLevelType w:val="hybridMultilevel"/>
    <w:lvl w:ilvl="0">
      <w:lvlJc w:val="left"/>
      <w:lvlText w:val="†"/>
      <w:numFmt w:val="bullet"/>
      <w:start w:val="1"/>
    </w:lvl>
  </w:abstractNum>
  <w:abstractNum w:abstractNumId="100">
    <w:nsid w:val="14D53685"/>
    <w:multiLevelType w:val="hybridMultilevel"/>
    <w:lvl w:ilvl="0">
      <w:lvlJc w:val="left"/>
      <w:lvlText w:val="‡"/>
      <w:numFmt w:val="bullet"/>
      <w:start w:val="1"/>
    </w:lvl>
  </w:abstractNum>
  <w:abstractNum w:abstractNumId="101">
    <w:nsid w:val="230F856C"/>
    <w:multiLevelType w:val="hybridMultilevel"/>
    <w:lvl w:ilvl="0">
      <w:lvlJc w:val="left"/>
      <w:lvlText w:val="(%1)"/>
      <w:numFmt w:val="decimal"/>
      <w:start w:val="1"/>
    </w:lvl>
    <w:lvl w:ilvl="1">
      <w:lvlJc w:val="left"/>
      <w:lvlText w:val="(%2)"/>
      <w:numFmt w:val="lowerRoman"/>
      <w:start w:val="2"/>
    </w:lvl>
  </w:abstractNum>
  <w:abstractNum w:abstractNumId="102">
    <w:nsid w:val="6EAA85FB"/>
    <w:multiLevelType w:val="hybridMultilevel"/>
    <w:lvl w:ilvl="0">
      <w:lvlJc w:val="left"/>
      <w:lvlText w:val="%1"/>
      <w:numFmt w:val="decimal"/>
      <w:start w:val="1"/>
    </w:lvl>
    <w:lvl w:ilvl="1">
      <w:lvlJc w:val="left"/>
      <w:lvlText w:val="(%2)"/>
      <w:numFmt w:val="lowerRoman"/>
      <w:start w:val="8"/>
    </w:lvl>
  </w:abstractNum>
  <w:abstractNum w:abstractNumId="103">
    <w:nsid w:val="3F06ECB2"/>
    <w:multiLevelType w:val="hybridMultilevel"/>
    <w:lvl w:ilvl="0">
      <w:lvlJc w:val="left"/>
      <w:lvlText w:val="%1"/>
      <w:numFmt w:val="decimal"/>
      <w:start w:val="1"/>
    </w:lvl>
    <w:lvl w:ilvl="1">
      <w:lvlJc w:val="left"/>
      <w:lvlText w:val="(%2)"/>
      <w:numFmt w:val="lowerRoman"/>
      <w:start w:val="10"/>
    </w:lvl>
  </w:abstractNum>
  <w:abstractNum w:abstractNumId="104">
    <w:nsid w:val="3B594807"/>
    <w:multiLevelType w:val="hybridMultilevel"/>
    <w:lvl w:ilvl="0">
      <w:lvlJc w:val="left"/>
      <w:lvlText w:val="%1"/>
      <w:numFmt w:val="decimal"/>
      <w:start w:val="1"/>
    </w:lvl>
    <w:lvl w:ilvl="1">
      <w:lvlJc w:val="left"/>
      <w:lvlText w:val="(%2)"/>
      <w:numFmt w:val="lowerRoman"/>
      <w:start w:val="14"/>
    </w:lvl>
  </w:abstractNum>
  <w:abstractNum w:abstractNumId="105">
    <w:nsid w:val="6CAA2304"/>
    <w:multiLevelType w:val="hybridMultilevel"/>
    <w:lvl w:ilvl="0">
      <w:lvlJc w:val="left"/>
      <w:lvlText w:val="(%1)"/>
      <w:numFmt w:val="lowerRoman"/>
      <w:start w:val="15"/>
    </w:lvl>
  </w:abstractNum>
  <w:abstractNum w:abstractNumId="106">
    <w:nsid w:val="3F7C2FF4"/>
    <w:multiLevelType w:val="hybridMultilevel"/>
    <w:lvl w:ilvl="0">
      <w:lvlJc w:val="left"/>
      <w:lvlText w:val="(%1)"/>
      <w:numFmt w:val="decimal"/>
      <w:start w:val="4"/>
    </w:lvl>
  </w:abstractNum>
  <w:abstractNum w:abstractNumId="107">
    <w:nsid w:val="25413BEC"/>
    <w:multiLevelType w:val="hybridMultilevel"/>
    <w:lvl w:ilvl="0">
      <w:lvlJc w:val="left"/>
      <w:lvlText w:val="(%1)"/>
      <w:numFmt w:val="decimal"/>
      <w:start w:val="9"/>
    </w:lvl>
  </w:abstractNum>
  <w:abstractNum w:abstractNumId="108">
    <w:nsid w:val="17180B0B"/>
    <w:multiLevelType w:val="hybridMultilevel"/>
    <w:lvl w:ilvl="0">
      <w:lvlJc w:val="left"/>
      <w:lvlText w:val="(%1)"/>
      <w:numFmt w:val="decimal"/>
      <w:start w:val="14"/>
    </w:lvl>
  </w:abstractNum>
  <w:abstractNum w:abstractNumId="109">
    <w:nsid w:val="579328B9"/>
    <w:multiLevelType w:val="hybridMultilevel"/>
    <w:lvl w:ilvl="0">
      <w:lvlJc w:val="left"/>
      <w:lvlText w:val="(%1)"/>
      <w:numFmt w:val="decimal"/>
      <w:start w:val="21"/>
    </w:lvl>
  </w:abstractNum>
  <w:abstractNum w:abstractNumId="110">
    <w:nsid w:val="5D205E20"/>
    <w:multiLevelType w:val="hybridMultilevel"/>
    <w:lvl w:ilvl="0">
      <w:lvlJc w:val="left"/>
      <w:lvlText w:val="(%1)"/>
      <w:numFmt w:val="decimal"/>
      <w:start w:val="1"/>
    </w:lvl>
  </w:abstractNum>
  <w:abstractNum w:abstractNumId="111">
    <w:nsid w:val="11CCA8BA"/>
    <w:multiLevelType w:val="hybridMultilevel"/>
    <w:lvl w:ilvl="0">
      <w:lvlJc w:val="left"/>
      <w:lvlText w:val="(%1)"/>
      <w:numFmt w:val="decimal"/>
      <w:start w:val="1"/>
    </w:lvl>
    <w:lvl w:ilvl="1">
      <w:lvlJc w:val="left"/>
      <w:lvlText w:val="(%2)"/>
      <w:numFmt w:val="lowerRoman"/>
      <w:start w:val="2"/>
    </w:lvl>
  </w:abstractNum>
  <w:abstractNum w:abstractNumId="112">
    <w:nsid w:val="4D32AB86"/>
    <w:multiLevelType w:val="hybridMultilevel"/>
    <w:lvl w:ilvl="0">
      <w:lvlJc w:val="left"/>
      <w:lvlText w:val="%1"/>
      <w:numFmt w:val="decimal"/>
      <w:start w:val="1"/>
    </w:lvl>
    <w:lvl w:ilvl="1">
      <w:lvlJc w:val="left"/>
      <w:lvlText w:val="(%2)"/>
      <w:numFmt w:val="lowerRoman"/>
      <w:start w:val="8"/>
    </w:lvl>
  </w:abstractNum>
  <w:abstractNum w:abstractNumId="113">
    <w:nsid w:val="3F07ACC3"/>
    <w:multiLevelType w:val="hybridMultilevel"/>
    <w:lvl w:ilvl="0">
      <w:lvlJc w:val="left"/>
      <w:lvlText w:val="%1"/>
      <w:numFmt w:val="decimal"/>
      <w:start w:val="1"/>
    </w:lvl>
    <w:lvl w:ilvl="1">
      <w:lvlJc w:val="left"/>
      <w:lvlText w:val="(%2)"/>
      <w:numFmt w:val="lowerRoman"/>
      <w:start w:val="10"/>
    </w:lvl>
  </w:abstractNum>
  <w:abstractNum w:abstractNumId="114">
    <w:nsid w:val="6B47F63E"/>
    <w:multiLevelType w:val="hybridMultilevel"/>
    <w:lvl w:ilvl="0">
      <w:lvlJc w:val="left"/>
      <w:lvlText w:val="%1"/>
      <w:numFmt w:val="decimal"/>
      <w:start w:val="1"/>
    </w:lvl>
    <w:lvl w:ilvl="1">
      <w:lvlJc w:val="left"/>
      <w:lvlText w:val="(%2)"/>
      <w:numFmt w:val="lowerRoman"/>
      <w:start w:val="14"/>
    </w:lvl>
  </w:abstractNum>
  <w:abstractNum w:abstractNumId="115">
    <w:nsid w:val="5CB44A05"/>
    <w:multiLevelType w:val="hybridMultilevel"/>
    <w:lvl w:ilvl="0">
      <w:lvlJc w:val="left"/>
      <w:lvlText w:val="(%1)"/>
      <w:numFmt w:val="decimal"/>
      <w:start w:val="3"/>
    </w:lvl>
  </w:abstractNum>
  <w:abstractNum w:abstractNumId="116">
    <w:nsid w:val="16CF80F1"/>
    <w:multiLevelType w:val="hybridMultilevel"/>
    <w:lvl w:ilvl="0">
      <w:lvlJc w:val="left"/>
      <w:lvlText w:val="(%1)"/>
      <w:numFmt w:val="decimal"/>
      <w:start w:val="5"/>
    </w:lvl>
  </w:abstractNum>
  <w:abstractNum w:abstractNumId="117">
    <w:nsid w:val="1C695DEC"/>
    <w:multiLevelType w:val="hybridMultilevel"/>
    <w:lvl w:ilvl="0">
      <w:lvlJc w:val="left"/>
      <w:lvlText w:val="•"/>
      <w:numFmt w:val="bullet"/>
      <w:start w:val="1"/>
    </w:lvl>
  </w:abstractNum>
  <w:abstractNum w:abstractNumId="118">
    <w:nsid w:val="3FCFAED9"/>
    <w:multiLevelType w:val="hybridMultilevel"/>
    <w:lvl w:ilvl="0">
      <w:lvlJc w:val="left"/>
      <w:lvlText w:val="•"/>
      <w:numFmt w:val="bullet"/>
      <w:start w:val="1"/>
    </w:lvl>
  </w:abstractNum>
  <w:abstractNum w:abstractNumId="119">
    <w:nsid w:val="F856867"/>
    <w:multiLevelType w:val="hybridMultilevel"/>
    <w:lvl w:ilvl="0">
      <w:lvlJc w:val="left"/>
      <w:lvlText w:val="•"/>
      <w:numFmt w:val="bullet"/>
      <w:start w:val="1"/>
    </w:lvl>
  </w:abstractNum>
  <w:abstractNum w:abstractNumId="120">
    <w:nsid w:val="11B1CC33"/>
    <w:multiLevelType w:val="hybridMultilevel"/>
    <w:lvl w:ilvl="0">
      <w:lvlJc w:val="left"/>
      <w:lvlText w:val="•"/>
      <w:numFmt w:val="bullet"/>
      <w:start w:val="1"/>
    </w:lvl>
  </w:abstractNum>
  <w:abstractNum w:abstractNumId="121">
    <w:nsid w:val="2E22FBB7"/>
    <w:multiLevelType w:val="hybridMultilevel"/>
    <w:lvl w:ilvl="0">
      <w:lvlJc w:val="left"/>
      <w:lvlText w:val="•"/>
      <w:numFmt w:val="bullet"/>
      <w:start w:val="1"/>
    </w:lvl>
  </w:abstractNum>
  <w:abstractNum w:abstractNumId="122">
    <w:nsid w:val="29934699"/>
    <w:multiLevelType w:val="hybridMultilevel"/>
    <w:lvl w:ilvl="0">
      <w:lvlJc w:val="left"/>
      <w:lvlText w:val="•"/>
      <w:numFmt w:val="bullet"/>
      <w:start w:val="1"/>
    </w:lvl>
    <w:lvl w:ilvl="1">
      <w:lvlJc w:val="left"/>
      <w:lvlText w:val="•"/>
      <w:numFmt w:val="bullet"/>
      <w:start w:val="1"/>
    </w:lvl>
  </w:abstractNum>
  <w:abstractNum w:abstractNumId="123">
    <w:nsid w:val="77485850"/>
    <w:multiLevelType w:val="hybridMultilevel"/>
    <w:lvl w:ilvl="0">
      <w:lvlJc w:val="left"/>
      <w:lvlText w:val="•"/>
      <w:numFmt w:val="bullet"/>
      <w:start w:val="1"/>
    </w:lvl>
  </w:abstractNum>
  <w:abstractNum w:abstractNumId="124">
    <w:nsid w:val="744939A3"/>
    <w:multiLevelType w:val="hybridMultilevel"/>
    <w:lvl w:ilvl="0">
      <w:lvlJc w:val="left"/>
      <w:lvlText w:val="•"/>
      <w:numFmt w:val="bullet"/>
      <w:start w:val="1"/>
    </w:lvl>
  </w:abstractNum>
  <w:abstractNum w:abstractNumId="125">
    <w:nsid w:val="4FA0D2E3"/>
    <w:multiLevelType w:val="hybridMultilevel"/>
    <w:lvl w:ilvl="0">
      <w:lvlJc w:val="left"/>
      <w:lvlText w:val="•"/>
      <w:numFmt w:val="bullet"/>
      <w:start w:val="1"/>
    </w:lvl>
  </w:abstractNum>
  <w:abstractNum w:abstractNumId="126">
    <w:nsid w:val="6B1D2C14"/>
    <w:multiLevelType w:val="hybridMultilevel"/>
    <w:lvl w:ilvl="0">
      <w:lvlJc w:val="left"/>
      <w:lvlText w:val="•"/>
      <w:numFmt w:val="bullet"/>
      <w:start w:val="1"/>
    </w:lvl>
  </w:abstractNum>
  <w:abstractNum w:abstractNumId="127">
    <w:nsid w:val="68B867D3"/>
    <w:multiLevelType w:val="hybridMultilevel"/>
    <w:lvl w:ilvl="0">
      <w:lvlJc w:val="left"/>
      <w:lvlText w:val="•"/>
      <w:numFmt w:val="bullet"/>
      <w:start w:val="1"/>
    </w:lvl>
  </w:abstractNum>
  <w:abstractNum w:abstractNumId="128">
    <w:nsid w:val="3F7F5DD9"/>
    <w:multiLevelType w:val="hybridMultilevel"/>
    <w:lvl w:ilvl="0">
      <w:lvlJc w:val="left"/>
      <w:lvlText w:val="•"/>
      <w:numFmt w:val="bullet"/>
      <w:start w:val="1"/>
    </w:lvl>
  </w:abstractNum>
  <w:abstractNum w:abstractNumId="129">
    <w:nsid w:val="2AE05A34"/>
    <w:multiLevelType w:val="hybridMultilevel"/>
    <w:lvl w:ilvl="0">
      <w:lvlJc w:val="left"/>
      <w:lvlText w:val="•"/>
      <w:numFmt w:val="bullet"/>
      <w:start w:val="1"/>
    </w:lvl>
  </w:abstractNum>
  <w:abstractNum w:abstractNumId="130">
    <w:nsid w:val="32794FF7"/>
    <w:multiLevelType w:val="hybridMultilevel"/>
    <w:lvl w:ilvl="0">
      <w:lvlJc w:val="left"/>
      <w:lvlText w:val="(%1)"/>
      <w:numFmt w:val="lowerLetter"/>
      <w:start w:val="1"/>
    </w:lvl>
  </w:abstractNum>
  <w:abstractNum w:abstractNumId="131">
    <w:nsid w:val="5454945E"/>
    <w:multiLevelType w:val="hybridMultilevel"/>
    <w:lvl w:ilvl="0">
      <w:lvlJc w:val="left"/>
      <w:lvlText w:val="(%1)"/>
      <w:numFmt w:val="lowerLetter"/>
      <w:start w:val="1"/>
    </w:lvl>
  </w:abstractNum>
  <w:abstractNum w:abstractNumId="132">
    <w:nsid w:val="4DEFDFA0"/>
    <w:multiLevelType w:val="hybridMultilevel"/>
    <w:lvl w:ilvl="0">
      <w:lvlJc w:val="left"/>
      <w:lvlText w:val="%1."/>
      <w:numFmt w:val="decimal"/>
      <w:start w:val="1"/>
    </w:lvl>
  </w:abstractNum>
  <w:abstractNum w:abstractNumId="133">
    <w:nsid w:val="2123D5F2"/>
    <w:multiLevelType w:val="hybridMultilevel"/>
    <w:lvl w:ilvl="0">
      <w:lvlJc w:val="left"/>
      <w:lvlText w:val="%1."/>
      <w:numFmt w:val="decimal"/>
      <w:start w:val="2"/>
    </w:lvl>
  </w:abstractNum>
  <w:abstractNum w:abstractNumId="134">
    <w:nsid w:val="135B8110"/>
    <w:multiLevelType w:val="hybridMultilevel"/>
    <w:lvl w:ilvl="0">
      <w:lvlJc w:val="left"/>
      <w:lvlText w:val="%1."/>
      <w:numFmt w:val="decimal"/>
      <w:start w:val="3"/>
    </w:lvl>
  </w:abstractNum>
  <w:abstractNum w:abstractNumId="135">
    <w:nsid w:val="94927A8"/>
    <w:multiLevelType w:val="hybridMultilevel"/>
    <w:lvl w:ilvl="0">
      <w:lvlJc w:val="left"/>
      <w:lvlText w:val="%1."/>
      <w:numFmt w:val="decimal"/>
      <w:start w:val="4"/>
    </w:lvl>
  </w:abstractNum>
  <w:abstractNum w:abstractNumId="136">
    <w:nsid w:val="DCDF8F6"/>
    <w:multiLevelType w:val="hybridMultilevel"/>
    <w:lvl w:ilvl="0">
      <w:lvlJc w:val="left"/>
      <w:lvlText w:val="%1."/>
      <w:numFmt w:val="decimal"/>
      <w:start w:val="7"/>
    </w:lvl>
  </w:abstractNum>
  <w:abstractNum w:abstractNumId="137">
    <w:nsid w:val="52D7B105"/>
    <w:multiLevelType w:val="hybridMultilevel"/>
    <w:lvl w:ilvl="0">
      <w:lvlJc w:val="left"/>
      <w:lvlText w:val="(%1)"/>
      <w:numFmt w:val="lowerRoman"/>
      <w:start w:val="1"/>
    </w:lvl>
  </w:abstractNum>
  <w:abstractNum w:abstractNumId="138">
    <w:nsid w:val="2E8A6394"/>
    <w:multiLevelType w:val="hybridMultilevel"/>
    <w:lvl w:ilvl="0">
      <w:lvlJc w:val="left"/>
      <w:lvlText w:val="(%1)"/>
      <w:numFmt w:val="lowerRoman"/>
      <w:start w:val="2"/>
    </w:lvl>
  </w:abstractNum>
  <w:abstractNum w:abstractNumId="139">
    <w:nsid w:val="24E60401"/>
    <w:multiLevelType w:val="hybridMultilevel"/>
    <w:lvl w:ilvl="0">
      <w:lvlJc w:val="left"/>
      <w:lvlText w:val="%1."/>
      <w:numFmt w:val="decimal"/>
      <w:start w:val="8"/>
    </w:lvl>
  </w:abstractNum>
  <w:abstractNum w:abstractNumId="140">
    <w:nsid w:val="2A6AD9BE"/>
    <w:multiLevelType w:val="hybridMultilevel"/>
    <w:lvl w:ilvl="0">
      <w:lvlJc w:val="left"/>
      <w:lvlText w:val="%1."/>
      <w:numFmt w:val="decimal"/>
      <w:start w:val="9"/>
    </w:lvl>
  </w:abstractNum>
  <w:abstractNum w:abstractNumId="141">
    <w:nsid w:val="BAAC1B4"/>
    <w:multiLevelType w:val="hybridMultilevel"/>
    <w:lvl w:ilvl="0">
      <w:lvlJc w:val="left"/>
      <w:lvlText w:val="%1."/>
      <w:numFmt w:val="decimal"/>
      <w:start w:val="10"/>
    </w:lvl>
  </w:abstractNum>
  <w:abstractNum w:abstractNumId="142">
    <w:nsid w:val="36B2ACBC"/>
    <w:multiLevelType w:val="hybridMultilevel"/>
    <w:lvl w:ilvl="0">
      <w:lvlJc w:val="left"/>
      <w:lvlText w:val="%1."/>
      <w:numFmt w:val="decimal"/>
      <w:start w:val="11"/>
    </w:lvl>
  </w:abstractNum>
  <w:abstractNum w:abstractNumId="143">
    <w:nsid w:val="779D8544"/>
    <w:multiLevelType w:val="hybridMultilevel"/>
    <w:lvl w:ilvl="0">
      <w:lvlJc w:val="left"/>
      <w:lvlText w:val="%1."/>
      <w:numFmt w:val="decimal"/>
      <w:start w:val="13"/>
    </w:lvl>
  </w:abstractNum>
  <w:abstractNum w:abstractNumId="144">
    <w:nsid w:val="4AB26E78"/>
    <w:multiLevelType w:val="hybridMultilevel"/>
    <w:lvl w:ilvl="0">
      <w:lvlJc w:val="left"/>
      <w:lvlText w:val="%1."/>
      <w:numFmt w:val="decimal"/>
      <w:start w:val="14"/>
    </w:lvl>
  </w:abstractNum>
  <w:abstractNum w:abstractNumId="145">
    <w:nsid w:val="21FAA2FA"/>
    <w:multiLevelType w:val="hybridMultilevel"/>
    <w:lvl w:ilvl="0">
      <w:lvlJc w:val="left"/>
      <w:lvlText w:val="%1."/>
      <w:numFmt w:val="decimal"/>
      <w:start w:val="15"/>
    </w:lvl>
  </w:abstractNum>
  <w:abstractNum w:abstractNumId="146">
    <w:nsid w:val="5451CF49"/>
    <w:multiLevelType w:val="hybridMultilevel"/>
    <w:lvl w:ilvl="0">
      <w:lvlJc w:val="left"/>
      <w:lvlText w:val="%1."/>
      <w:numFmt w:val="decimal"/>
      <w:start w:val="17"/>
    </w:lvl>
  </w:abstractNum>
  <w:abstractNum w:abstractNumId="147">
    <w:nsid w:val="6181EF69"/>
    <w:multiLevelType w:val="hybridMultilevel"/>
    <w:lvl w:ilvl="0">
      <w:lvlJc w:val="left"/>
      <w:lvlText w:val="%1."/>
      <w:numFmt w:val="decimal"/>
      <w:start w:val="18"/>
    </w:lvl>
  </w:abstractNum>
  <w:abstractNum w:abstractNumId="148">
    <w:nsid w:val="3E6400E6"/>
    <w:multiLevelType w:val="hybridMultilevel"/>
    <w:lvl w:ilvl="0">
      <w:lvlJc w:val="left"/>
      <w:lvlText w:val="%1."/>
      <w:numFmt w:val="decimal"/>
      <w:start w:val="19"/>
    </w:lvl>
  </w:abstractNum>
  <w:abstractNum w:abstractNumId="149">
    <w:nsid w:val="14217E23"/>
    <w:multiLevelType w:val="hybridMultilevel"/>
    <w:lvl w:ilvl="0">
      <w:lvlJc w:val="left"/>
      <w:lvlText w:val="%1."/>
      <w:numFmt w:val="decimal"/>
      <w:start w:val="20"/>
    </w:lvl>
  </w:abstractNum>
  <w:abstractNum w:abstractNumId="150">
    <w:nsid w:val="710757D0"/>
    <w:multiLevelType w:val="hybridMultilevel"/>
    <w:lvl w:ilvl="0">
      <w:lvlJc w:val="left"/>
      <w:lvlText w:val="%1."/>
      <w:numFmt w:val="decimal"/>
      <w:start w:val="1"/>
    </w:lvl>
  </w:abstractNum>
  <w:abstractNum w:abstractNumId="151">
    <w:nsid w:val="5015CD1A"/>
    <w:multiLevelType w:val="hybridMultilevel"/>
    <w:lvl w:ilvl="0">
      <w:lvlJc w:val="left"/>
      <w:lvlText w:val="%1."/>
      <w:numFmt w:val="decimal"/>
      <w:start w:val="2"/>
    </w:lvl>
  </w:abstractNum>
  <w:abstractNum w:abstractNumId="152">
    <w:nsid w:val="424479DA"/>
    <w:multiLevelType w:val="hybridMultilevel"/>
    <w:lvl w:ilvl="0">
      <w:lvlJc w:val="left"/>
      <w:lvlText w:val="%1."/>
      <w:numFmt w:val="decimal"/>
      <w:start w:val="3"/>
    </w:lvl>
  </w:abstractNum>
  <w:abstractNum w:abstractNumId="153">
    <w:nsid w:val="1A9A9E69"/>
    <w:multiLevelType w:val="hybridMultilevel"/>
    <w:lvl w:ilvl="0">
      <w:lvlJc w:val="left"/>
      <w:lvlText w:val="•"/>
      <w:numFmt w:val="bullet"/>
      <w:start w:val="1"/>
    </w:lvl>
  </w:abstractNum>
  <w:abstractNum w:abstractNumId="154">
    <w:nsid w:val="475E256A"/>
    <w:multiLevelType w:val="hybridMultilevel"/>
    <w:lvl w:ilvl="0">
      <w:lvlJc w:val="left"/>
      <w:lvlText w:val="(%1)"/>
      <w:numFmt w:val="lowerLetter"/>
      <w:start w:val="1"/>
    </w:lvl>
  </w:abstractNum>
  <w:abstractNum w:abstractNumId="155">
    <w:nsid w:val="368DB37E"/>
    <w:multiLevelType w:val="hybridMultilevel"/>
    <w:lvl w:ilvl="0">
      <w:lvlJc w:val="left"/>
      <w:lvlText w:val="(%1)"/>
      <w:numFmt w:val="lowerLetter"/>
      <w:start w:val="6"/>
    </w:lvl>
  </w:abstractNum>
  <w:abstractNum w:abstractNumId="156">
    <w:nsid w:val="6A3B714C"/>
    <w:multiLevelType w:val="hybridMultilevel"/>
    <w:lvl w:ilvl="0">
      <w:lvlJc w:val="left"/>
      <w:lvlText w:val="%1"/>
      <w:numFmt w:val="lowerLetter"/>
      <w:start w:val="1"/>
    </w:lvl>
    <w:lvl w:ilvl="1">
      <w:lvlJc w:val="left"/>
      <w:lvlText w:val="(%2)"/>
      <w:numFmt w:val="decimal"/>
      <w:start w:val="1"/>
    </w:lvl>
  </w:abstractNum>
  <w:abstractNum w:abstractNumId="157">
    <w:nsid w:val="327B517E"/>
    <w:multiLevelType w:val="hybridMultilevel"/>
    <w:lvl w:ilvl="0">
      <w:lvlJc w:val="left"/>
      <w:lvlText w:val="(%1)"/>
      <w:numFmt w:val="lowerLetter"/>
      <w:start w:val="14"/>
    </w:lvl>
    <w:lvl w:ilvl="1">
      <w:lvlJc w:val="left"/>
      <w:lvlText w:val="%2"/>
      <w:numFmt w:val="decimal"/>
      <w:start w:val="1"/>
    </w:lvl>
  </w:abstractNum>
  <w:abstractNum w:abstractNumId="158">
    <w:nsid w:val="1F461B51"/>
    <w:multiLevelType w:val="hybridMultilevel"/>
    <w:lvl w:ilvl="0">
      <w:lvlJc w:val="left"/>
      <w:lvlText w:val="(%1)"/>
      <w:numFmt w:val="lowerLetter"/>
      <w:start w:val="15"/>
    </w:lvl>
  </w:abstractNum>
  <w:abstractNum w:abstractNumId="159">
    <w:nsid w:val="29BACF25"/>
    <w:multiLevelType w:val="hybridMultilevel"/>
    <w:lvl w:ilvl="0">
      <w:lvlJc w:val="left"/>
      <w:lvlText w:val="(*)"/>
      <w:numFmt w:val="bullet"/>
      <w:start w:val="1"/>
    </w:lvl>
  </w:abstractNum>
  <w:abstractNum w:abstractNumId="160">
    <w:nsid w:val="5D5BABB3"/>
    <w:multiLevelType w:val="hybridMultilevel"/>
    <w:lvl w:ilvl="0">
      <w:lvlJc w:val="left"/>
      <w:lvlText w:val="%1."/>
      <w:numFmt w:val="decimal"/>
      <w:start w:val="4"/>
    </w:lvl>
  </w:abstractNum>
  <w:abstractNum w:abstractNumId="161">
    <w:nsid w:val="51BF6B48"/>
    <w:multiLevelType w:val="hybridMultilevel"/>
    <w:lvl w:ilvl="0">
      <w:lvlJc w:val="left"/>
      <w:lvlText w:val="(%1)"/>
      <w:numFmt w:val="lowerRoman"/>
      <w:start w:val="1"/>
    </w:lvl>
  </w:abstractNum>
  <w:abstractNum w:abstractNumId="162">
    <w:nsid w:val="7E0F6384"/>
    <w:multiLevelType w:val="hybridMultilevel"/>
    <w:lvl w:ilvl="0">
      <w:lvlJc w:val="left"/>
      <w:lvlText w:val="%1."/>
      <w:numFmt w:val="decimal"/>
      <w:start w:val="5"/>
    </w:lvl>
  </w:abstractNum>
  <w:abstractNum w:abstractNumId="163">
    <w:nsid w:val="2B4B8B53"/>
    <w:multiLevelType w:val="hybridMultilevel"/>
    <w:lvl w:ilvl="0">
      <w:lvlJc w:val="left"/>
      <w:lvlText w:val="%1."/>
      <w:numFmt w:val="decimal"/>
      <w:start w:val="6"/>
    </w:lvl>
  </w:abstractNum>
  <w:abstractNum w:abstractNumId="164">
    <w:nsid w:val="72E3413A"/>
    <w:multiLevelType w:val="hybridMultilevel"/>
    <w:lvl w:ilvl="0">
      <w:lvlJc w:val="left"/>
      <w:lvlText w:val="(%1)"/>
      <w:numFmt w:val="upperLetter"/>
      <w:start w:val="1"/>
    </w:lvl>
    <w:lvl w:ilvl="1">
      <w:lvlJc w:val="left"/>
      <w:lvlText w:val="%2."/>
      <w:numFmt w:val="upperLetter"/>
      <w:start w:val="9"/>
    </w:lvl>
  </w:abstractNum>
  <w:abstractNum w:abstractNumId="165">
    <w:nsid w:val="116AE494"/>
    <w:multiLevelType w:val="hybridMultilevel"/>
    <w:lvl w:ilvl="0">
      <w:lvlJc w:val="left"/>
      <w:lvlText w:val="%1."/>
      <w:numFmt w:val="upperLetter"/>
      <w:start w:val="61"/>
    </w:lvl>
  </w:abstractNum>
  <w:abstractNum w:abstractNumId="166">
    <w:nsid w:val="3494B2FB"/>
    <w:multiLevelType w:val="hybridMultilevel"/>
    <w:lvl w:ilvl="0">
      <w:lvlJc w:val="left"/>
      <w:lvlText w:val="%1."/>
      <w:numFmt w:val="decimal"/>
      <w:start w:val="7"/>
    </w:lvl>
  </w:abstractNum>
  <w:abstractNum w:abstractNumId="167">
    <w:nsid w:val="B13A31"/>
    <w:multiLevelType w:val="hybridMultilevel"/>
    <w:lvl w:ilvl="0">
      <w:lvlJc w:val="left"/>
      <w:lvlText w:val="%1."/>
      <w:numFmt w:val="decimal"/>
      <w:start w:val="8"/>
    </w:lvl>
  </w:abstractNum>
  <w:abstractNum w:abstractNumId="168">
    <w:nsid w:val="64429599"/>
    <w:multiLevelType w:val="hybridMultilevel"/>
    <w:lvl w:ilvl="0">
      <w:lvlJc w:val="left"/>
      <w:lvlText w:val="%1."/>
      <w:numFmt w:val="decimal"/>
      <w:start w:val="10"/>
    </w:lvl>
  </w:abstractNum>
  <w:abstractNum w:abstractNumId="169">
    <w:nsid w:val="631F1690"/>
    <w:multiLevelType w:val="hybridMultilevel"/>
    <w:lvl w:ilvl="0">
      <w:lvlJc w:val="left"/>
      <w:lvlText w:val="%1."/>
      <w:numFmt w:val="decimal"/>
      <w:start w:val="11"/>
    </w:lvl>
  </w:abstractNum>
  <w:abstractNum w:abstractNumId="170">
    <w:nsid w:val="25973E32"/>
    <w:multiLevelType w:val="hybridMultilevel"/>
    <w:lvl w:ilvl="0">
      <w:lvlJc w:val="left"/>
      <w:lvlText w:val="%1."/>
      <w:numFmt w:val="decimal"/>
      <w:start w:val="12"/>
    </w:lvl>
  </w:abstractNum>
  <w:abstractNum w:abstractNumId="171">
    <w:nsid w:val="EAD6F57"/>
    <w:multiLevelType w:val="hybridMultilevel"/>
    <w:lvl w:ilvl="0">
      <w:lvlJc w:val="left"/>
      <w:lvlText w:val="%1."/>
      <w:numFmt w:val="decimal"/>
      <w:start w:val="13"/>
    </w:lvl>
  </w:abstractNum>
  <w:abstractNum w:abstractNumId="172">
    <w:nsid w:val="6EC9D844"/>
    <w:multiLevelType w:val="hybridMultilevel"/>
    <w:lvl w:ilvl="0">
      <w:lvlJc w:val="left"/>
      <w:lvlText w:val="%1."/>
      <w:numFmt w:val="decimal"/>
      <w:start w:val="14"/>
    </w:lvl>
  </w:abstractNum>
  <w:abstractNum w:abstractNumId="173">
    <w:nsid w:val="5C49EAEE"/>
    <w:multiLevelType w:val="hybridMultilevel"/>
    <w:lvl w:ilvl="0">
      <w:lvlJc w:val="left"/>
      <w:lvlText w:val="%1."/>
      <w:numFmt w:val="decimal"/>
      <w:start w:val="15"/>
    </w:lvl>
  </w:abstractNum>
  <w:abstractNum w:abstractNumId="174">
    <w:nsid w:val="64AF49B"/>
    <w:multiLevelType w:val="hybridMultilevel"/>
    <w:lvl w:ilvl="0">
      <w:lvlJc w:val="left"/>
      <w:lvlText w:val="%1."/>
      <w:numFmt w:val="decimal"/>
      <w:start w:val="16"/>
    </w:lvl>
  </w:abstractNum>
  <w:abstractNum w:abstractNumId="175">
    <w:nsid w:val="397C46BC"/>
    <w:multiLevelType w:val="hybridMultilevel"/>
    <w:lvl w:ilvl="0">
      <w:lvlJc w:val="left"/>
      <w:lvlText w:val="%1."/>
      <w:numFmt w:val="decimal"/>
      <w:start w:val="17"/>
    </w:lvl>
  </w:abstractNum>
  <w:abstractNum w:abstractNumId="176">
    <w:nsid w:val="7E448DE9"/>
    <w:multiLevelType w:val="hybridMultilevel"/>
    <w:lvl w:ilvl="0">
      <w:lvlJc w:val="left"/>
      <w:lvlText w:val="%1."/>
      <w:numFmt w:val="decimal"/>
      <w:start w:val="18"/>
    </w:lvl>
  </w:abstractNum>
  <w:abstractNum w:abstractNumId="177">
    <w:nsid w:val="5A9CC3E5"/>
    <w:multiLevelType w:val="hybridMultilevel"/>
    <w:lvl w:ilvl="0">
      <w:lvlJc w:val="left"/>
      <w:lvlText w:val="%1."/>
      <w:numFmt w:val="decimal"/>
      <w:start w:val="19"/>
    </w:lvl>
  </w:abstractNum>
  <w:abstractNum w:abstractNumId="178">
    <w:nsid w:val="1AFE3625"/>
    <w:multiLevelType w:val="hybridMultilevel"/>
    <w:lvl w:ilvl="0">
      <w:lvlJc w:val="left"/>
      <w:lvlText w:val="%1."/>
      <w:numFmt w:val="decimal"/>
      <w:start w:val="20"/>
    </w:lvl>
  </w:abstractNum>
  <w:abstractNum w:abstractNumId="179">
    <w:nsid w:val="3CA88ECF"/>
    <w:multiLevelType w:val="hybridMultilevel"/>
    <w:lvl w:ilvl="0">
      <w:lvlJc w:val="left"/>
      <w:lvlText w:val="%1."/>
      <w:numFmt w:val="decimal"/>
      <w:start w:val="21"/>
    </w:lvl>
  </w:abstractNum>
  <w:abstractNum w:abstractNumId="180">
    <w:nsid w:val="6EBE4208"/>
    <w:multiLevelType w:val="hybridMultilevel"/>
    <w:lvl w:ilvl="0">
      <w:lvlJc w:val="left"/>
      <w:lvlText w:val="%1."/>
      <w:numFmt w:val="decimal"/>
      <w:start w:val="22"/>
    </w:lvl>
  </w:abstractNum>
  <w:abstractNum w:abstractNumId="181">
    <w:nsid w:val="C058DF5"/>
    <w:multiLevelType w:val="hybridMultilevel"/>
    <w:lvl w:ilvl="0">
      <w:lvlJc w:val="left"/>
      <w:lvlText w:val="%1."/>
      <w:numFmt w:val="decimal"/>
      <w:start w:val="23"/>
    </w:lvl>
  </w:abstractNum>
  <w:abstractNum w:abstractNumId="182">
    <w:nsid w:val="CBE5BE9"/>
    <w:multiLevelType w:val="hybridMultilevel"/>
    <w:lvl w:ilvl="0">
      <w:lvlJc w:val="left"/>
      <w:lvlText w:val="%1."/>
      <w:numFmt w:val="decimal"/>
      <w:start w:val="24"/>
    </w:lvl>
  </w:abstractNum>
  <w:abstractNum w:abstractNumId="183">
    <w:nsid w:val="3102BBE2"/>
    <w:multiLevelType w:val="hybridMultilevel"/>
    <w:lvl w:ilvl="0">
      <w:lvlJc w:val="left"/>
      <w:lvlText w:val="%1."/>
      <w:numFmt w:val="decimal"/>
      <w:start w:val="25"/>
    </w:lvl>
  </w:abstractNum>
  <w:abstractNum w:abstractNumId="184">
    <w:nsid w:val="26A02C5E"/>
    <w:multiLevelType w:val="hybridMultilevel"/>
    <w:lvl w:ilvl="0">
      <w:lvlJc w:val="left"/>
      <w:lvlText w:val="%1."/>
      <w:numFmt w:val="decimal"/>
      <w:start w:val="26"/>
    </w:lvl>
  </w:abstractNum>
  <w:abstractNum w:abstractNumId="185">
    <w:nsid w:val="541C8153"/>
    <w:multiLevelType w:val="hybridMultilevel"/>
    <w:lvl w:ilvl="0">
      <w:lvlJc w:val="left"/>
      <w:lvlText w:val="%1."/>
      <w:numFmt w:val="decimal"/>
      <w:start w:val="27"/>
    </w:lvl>
  </w:abstractNum>
  <w:abstractNum w:abstractNumId="186">
    <w:nsid w:val="67906F60"/>
    <w:multiLevelType w:val="hybridMultilevel"/>
    <w:lvl w:ilvl="0">
      <w:lvlJc w:val="left"/>
      <w:lvlText w:val="%1."/>
      <w:numFmt w:val="upperLetter"/>
      <w:start w:val="1"/>
    </w:lvl>
  </w:abstractNum>
  <w:abstractNum w:abstractNumId="187">
    <w:nsid w:val="10DB9DAA"/>
    <w:multiLevelType w:val="hybridMultilevel"/>
    <w:lvl w:ilvl="0">
      <w:lvlJc w:val="left"/>
      <w:lvlText w:val="%1."/>
      <w:numFmt w:val="upperLetter"/>
      <w:start w:val="2"/>
    </w:lvl>
  </w:abstractNum>
  <w:abstractNum w:abstractNumId="188">
    <w:nsid w:val="697D2D2"/>
    <w:multiLevelType w:val="hybridMultilevel"/>
    <w:lvl w:ilvl="0">
      <w:lvlJc w:val="left"/>
      <w:lvlText w:val="%1."/>
      <w:numFmt w:val="upperLetter"/>
      <w:start w:val="3"/>
    </w:lvl>
  </w:abstractNum>
  <w:abstractNum w:abstractNumId="189">
    <w:nsid w:val="6D68AB2"/>
    <w:multiLevelType w:val="hybridMultilevel"/>
    <w:lvl w:ilvl="0">
      <w:lvlJc w:val="left"/>
      <w:lvlText w:val="%1."/>
      <w:numFmt w:val="upperLetter"/>
      <w:start w:val="4"/>
    </w:lvl>
  </w:abstractNum>
  <w:abstractNum w:abstractNumId="190">
    <w:nsid w:val="3A966CD0"/>
    <w:multiLevelType w:val="hybridMultilevel"/>
    <w:lvl w:ilvl="0">
      <w:lvlJc w:val="left"/>
      <w:lvlText w:val="*"/>
      <w:numFmt w:val="bullet"/>
      <w:start w:val="1"/>
    </w:lvl>
  </w:abstractNum>
  <w:abstractNum w:abstractNumId="191">
    <w:nsid w:val="63F37E85"/>
    <w:multiLevelType w:val="hybridMultilevel"/>
    <w:lvl w:ilvl="0">
      <w:lvlJc w:val="left"/>
      <w:lvlText w:val="(%1)"/>
      <w:numFmt w:val="decimal"/>
      <w:start w:val="1"/>
    </w:lvl>
  </w:abstractNum>
  <w:abstractNum w:abstractNumId="192">
    <w:nsid w:val="5895F5FA"/>
    <w:multiLevelType w:val="hybridMultilevel"/>
    <w:lvl w:ilvl="0">
      <w:lvlJc w:val="left"/>
      <w:lvlText w:val="(%1)"/>
      <w:numFmt w:val="decimal"/>
      <w:start w:val="1"/>
    </w:lvl>
  </w:abstractNum>
  <w:abstractNum w:abstractNumId="193">
    <w:nsid w:val="38A5D054"/>
    <w:multiLevelType w:val="hybridMultilevel"/>
    <w:lvl w:ilvl="0">
      <w:lvlJc w:val="left"/>
      <w:lvlText w:val="*"/>
      <w:numFmt w:val="bullet"/>
      <w:start w:val="1"/>
    </w:lvl>
  </w:abstractNum>
  <w:abstractNum w:abstractNumId="194">
    <w:nsid w:val="F3F09D8"/>
    <w:multiLevelType w:val="hybridMultilevel"/>
    <w:lvl w:ilvl="0">
      <w:lvlJc w:val="left"/>
      <w:lvlText w:val="(%1)"/>
      <w:numFmt w:val="decimal"/>
      <w:start w:val="1"/>
    </w:lvl>
  </w:abstractNum>
  <w:abstractNum w:abstractNumId="195">
    <w:nsid w:val="4B793735"/>
    <w:multiLevelType w:val="hybridMultilevel"/>
    <w:lvl w:ilvl="0">
      <w:lvlJc w:val="left"/>
      <w:lvlText w:val="%1."/>
      <w:numFmt w:val="decimal"/>
      <w:start w:val="1"/>
    </w:lvl>
  </w:abstractNum>
  <w:abstractNum w:abstractNumId="196">
    <w:nsid w:val="4A10B4E8"/>
    <w:multiLevelType w:val="hybridMultilevel"/>
    <w:lvl w:ilvl="0">
      <w:lvlJc w:val="left"/>
      <w:lvlText w:val="%1."/>
      <w:numFmt w:val="decimal"/>
      <w:start w:val="2"/>
    </w:lvl>
  </w:abstractNum>
  <w:abstractNum w:abstractNumId="197">
    <w:nsid w:val="43D3BCD4"/>
    <w:multiLevelType w:val="hybridMultilevel"/>
    <w:lvl w:ilvl="0">
      <w:lvlJc w:val="left"/>
      <w:lvlText w:val="%1."/>
      <w:numFmt w:val="decimal"/>
      <w:start w:val="3"/>
    </w:lvl>
  </w:abstractNum>
  <w:abstractNum w:abstractNumId="198">
    <w:nsid w:val="4C2A7166"/>
    <w:multiLevelType w:val="hybridMultilevel"/>
    <w:lvl w:ilvl="0">
      <w:lvlJc w:val="left"/>
      <w:lvlText w:val="%1."/>
      <w:numFmt w:val="decimal"/>
      <w:start w:val="4"/>
    </w:lvl>
  </w:abstractNum>
  <w:abstractNum w:abstractNumId="199">
    <w:nsid w:val="2E534A82"/>
    <w:multiLevelType w:val="hybridMultilevel"/>
    <w:lvl w:ilvl="0">
      <w:lvlJc w:val="left"/>
      <w:lvlText w:val="%1."/>
      <w:numFmt w:val="decimal"/>
      <w:start w:val="6"/>
    </w:lvl>
  </w:abstractNum>
  <w:abstractNum w:abstractNumId="200">
    <w:nsid w:val="26F2D364"/>
    <w:multiLevelType w:val="hybridMultilevel"/>
    <w:lvl w:ilvl="0">
      <w:lvlJc w:val="left"/>
      <w:lvlText w:val="%1:"/>
      <w:numFmt w:val="lowerLetter"/>
      <w:start w:val="29"/>
    </w:lvl>
  </w:abstractNum>
  <w:abstractNum w:abstractNumId="201">
    <w:nsid w:val="71C1AF98"/>
    <w:multiLevelType w:val="hybridMultilevel"/>
    <w:lvl w:ilvl="0">
      <w:lvlJc w:val="left"/>
      <w:lvlText w:val="["/>
      <w:numFmt w:val="bullet"/>
      <w:start w:val="1"/>
    </w:lvl>
  </w:abstractNum>
  <w:abstractNum w:abstractNumId="202">
    <w:nsid w:val="3D00B9D9"/>
    <w:multiLevelType w:val="hybridMultilevel"/>
    <w:lvl w:ilvl="0">
      <w:lvlJc w:val="left"/>
      <w:lvlText w:val="(%1)"/>
      <w:numFmt w:val="lowerRoman"/>
      <w:start w:val="2"/>
    </w:lvl>
  </w:abstractNum>
  <w:abstractNum w:abstractNumId="203">
    <w:nsid w:val="15BCABA8"/>
    <w:multiLevelType w:val="hybridMultilevel"/>
    <w:lvl w:ilvl="0">
      <w:lvlJc w:val="left"/>
      <w:lvlText w:val="["/>
      <w:numFmt w:val="bullet"/>
      <w:start w:val="1"/>
    </w:lvl>
  </w:abstractNum>
  <w:abstractNum w:abstractNumId="204">
    <w:nsid w:val="4E0B9A87"/>
    <w:multiLevelType w:val="hybridMultilevel"/>
    <w:lvl w:ilvl="0">
      <w:lvlJc w:val="left"/>
      <w:lvlText w:val="["/>
      <w:numFmt w:val="bullet"/>
      <w:start w:val="1"/>
    </w:lvl>
  </w:abstractNum>
  <w:abstractNum w:abstractNumId="205">
    <w:nsid w:val="434BAE7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2019-12-11T00:58:00Z</dcterms:created>
  <dcterms:modified xsi:type="dcterms:W3CDTF">2019-12-11T00:58:00Z</dcterms:modified>
</cp:coreProperties>
</file>