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On June 30, 2021, based on an application filed by the Company and Parent on May 7, 2021, the State Administration for Market Regulation (“SAMR”) announced that the Merger was cleared pursuant to the Anti-monopoly Law (China) on June 21, 2021. Under the terms of the Merger Agreement, the parties’ receipt of the clearance from SAMR satisfies one of the conditions to the closing of the Merger. The closing of the Merger remains subject to certain other conditions, including the receipt of authorization from the U.S. Committee on Foreign Investment in the United States (“CFIUS”) and the Korean Ministry of Trade, Industry and Energy, in each case without the imposition of a burdensome condition as defined in the Merger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an “Order Establishing Interim Mitigation Measures” (the “Interim Order”) from the U.S. Department of Treasury on behalf of the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2021-07-01T05:35:57Z</dcterms:created>
  <dcterms:modified xsi:type="dcterms:W3CDTF">2021-07-01T05:35:57Z</dcterms:modified>
</cp:coreProperties>
</file>