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41443d8k.htm"/>
      <w:bookmarkStart w:id="1" w:name="ksd84144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23,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Magnachip Semiconductor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001-34791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83-0406195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6245"/>
        <w:gridCol w:w="60"/>
        <w:gridCol w:w="1565"/>
      </w:tblGrid>
      <w:tr>
        <w:trPr/>
        <w:tc>
          <w:tcPr>
            <w:tcW w:w="6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center"/>
              <w:rPr>
                <w:b/>
              </w:rPr>
            </w:pPr>
            <w:bookmarkStart w:id="2" w:name="Fact_2"/>
            <w:bookmarkEnd w:id="2"/>
            <w:r>
              <w:rPr>
                <w:b/>
              </w:rPr>
              <w:t>c/o Magnachip Semiconductor, Ltd.</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center"/>
              <w:rPr>
                <w:b/>
              </w:rPr>
            </w:pPr>
            <w:r>
              <w:rPr>
                <w:b/>
              </w:rPr>
              <w:t>15F, 76 Jikji-daero 436beon-gil, Heungdeok-gu</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center"/>
              <w:rPr>
                <w:b/>
              </w:rPr>
            </w:pPr>
            <w:r>
              <w:rPr>
                <w:b/>
              </w:rPr>
              <w:t>Cheongju-si, Chungcheongbuk-do, 28581, Republic of Korea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Not Applicable</w:t>
            </w:r>
          </w:p>
        </w:tc>
      </w:tr>
      <w:tr>
        <w:trPr/>
        <w:tc>
          <w:tcPr>
            <w:tcW w:w="624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+82 (2) 6903-3000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10" w:type="dxa"/>
        <w:jc w:val="left"/>
        <w:tblInd w:w="0" w:type="dxa"/>
        <w:tblLayout w:type="fixed"/>
        <w:tblCellMar>
          <w:top w:w="0" w:type="dxa"/>
          <w:left w:w="0" w:type="dxa"/>
          <w:bottom w:w="0" w:type="dxa"/>
          <w:right w:w="0" w:type="dxa"/>
        </w:tblCellMar>
      </w:tblPr>
      <w:tblGrid>
        <w:gridCol w:w="4025"/>
        <w:gridCol w:w="60"/>
        <w:gridCol w:w="605"/>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MX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455" w:type="dxa"/>
        <w:jc w:val="left"/>
        <w:tblInd w:w="0" w:type="dxa"/>
        <w:tblLayout w:type="fixed"/>
        <w:tblCellMar>
          <w:top w:w="0" w:type="dxa"/>
          <w:left w:w="0" w:type="dxa"/>
          <w:bottom w:w="0" w:type="dxa"/>
          <w:right w:w="0" w:type="dxa"/>
        </w:tblCellMar>
      </w:tblPr>
      <w:tblGrid>
        <w:gridCol w:w="1025"/>
        <w:gridCol w:w="4430"/>
      </w:tblGrid>
      <w:tr>
        <w:trPr/>
        <w:tc>
          <w:tcPr>
            <w:tcW w:w="1025" w:type="dxa"/>
            <w:tcBorders/>
            <w:vAlign w:val="center"/>
          </w:tcPr>
          <w:p>
            <w:pPr>
              <w:pStyle w:val="TableContents"/>
              <w:bidi w:val="0"/>
              <w:spacing w:before="0" w:after="283"/>
              <w:jc w:val="left"/>
              <w:rPr>
                <w:b/>
              </w:rPr>
            </w:pPr>
            <w:r>
              <w:rPr>
                <w:b/>
              </w:rPr>
              <w:t>Item 5.07.</w:t>
            </w:r>
          </w:p>
        </w:tc>
        <w:tc>
          <w:tcPr>
            <w:tcW w:w="4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Submission of Matters to a Vote of Security Holders.</w:t>
            </w:r>
          </w:p>
        </w:tc>
      </w:tr>
    </w:tbl>
    <w:p>
      <w:pPr>
        <w:pStyle w:val="TextBody"/>
        <w:bidi w:val="0"/>
        <w:spacing w:before="120" w:after="0"/>
        <w:jc w:val="left"/>
        <w:rPr>
          <w:rFonts w:ascii="Times New Roman" w:hAnsi="Times New Roman"/>
          <w:sz w:val="20"/>
        </w:rPr>
      </w:pPr>
      <w:r>
        <w:rPr>
          <w:rFonts w:ascii="Times New Roman" w:hAnsi="Times New Roman"/>
          <w:sz w:val="20"/>
        </w:rPr>
        <w:t>The Company held its 2025 Annual Meeting of Stockholders (“Annual Meeting”) on June 23, 2025. As of the close of business on the record date of April 24, 2025, there were 36,063,605 shares of the Company’s common stock outstanding and entitled to vote at the Annual Meeting. The number of shares of the Company’s common stock present at the meeting, in person or by proxy, was 28,567,579, or 79.21% of the outstanding shares entitled to vote.</w:t>
      </w:r>
    </w:p>
    <w:p>
      <w:pPr>
        <w:pStyle w:val="TextBody"/>
        <w:bidi w:val="0"/>
        <w:spacing w:before="240" w:after="0"/>
        <w:jc w:val="left"/>
        <w:rPr>
          <w:rFonts w:ascii="Times New Roman" w:hAnsi="Times New Roman"/>
          <w:sz w:val="20"/>
        </w:rPr>
      </w:pPr>
      <w:r>
        <w:rPr>
          <w:rFonts w:ascii="Times New Roman" w:hAnsi="Times New Roman"/>
          <w:sz w:val="20"/>
        </w:rPr>
        <w:t>At the meeting, the following proposals were submitted to a vote of the Company’s stockholders, with the final voting results indicated below:</w:t>
      </w:r>
    </w:p>
    <w:p>
      <w:pPr>
        <w:pStyle w:val="TextBody"/>
        <w:bidi w:val="0"/>
        <w:spacing w:before="240" w:after="0"/>
        <w:jc w:val="left"/>
        <w:rPr>
          <w:rFonts w:ascii="Times New Roman" w:hAnsi="Times New Roman"/>
          <w:sz w:val="20"/>
        </w:rPr>
      </w:pPr>
      <w:r>
        <w:rPr>
          <w:rFonts w:ascii="Times New Roman" w:hAnsi="Times New Roman"/>
          <w:sz w:val="20"/>
          <w:u w:val="single"/>
        </w:rPr>
        <w:t>Proposal 1 - Election of Directors</w:t>
      </w:r>
      <w:r>
        <w:rPr>
          <w:rFonts w:ascii="Times New Roman" w:hAnsi="Times New Roman"/>
          <w:sz w:val="20"/>
        </w:rPr>
        <w:t>. The Company’s stockholders elected the following five directors to serve until the 2026 Annual Meetings of Stockholders and until their respective successors are elected and qualified.</w:t>
      </w:r>
    </w:p>
    <w:p>
      <w:pPr>
        <w:pStyle w:val="TextBody"/>
        <w:bidi w:val="0"/>
        <w:spacing w:before="0" w:after="0"/>
        <w:jc w:val="left"/>
        <w:rPr/>
      </w:pPr>
      <w:r>
        <w:rPr/>
        <w:t> </w:t>
      </w:r>
    </w:p>
    <w:tbl>
      <w:tblPr>
        <w:tblW w:w="6185" w:type="dxa"/>
        <w:jc w:val="left"/>
        <w:tblInd w:w="0" w:type="dxa"/>
        <w:tblLayout w:type="fixed"/>
        <w:tblCellMar>
          <w:top w:w="0" w:type="dxa"/>
          <w:left w:w="0" w:type="dxa"/>
          <w:bottom w:w="0" w:type="dxa"/>
          <w:right w:w="0" w:type="dxa"/>
        </w:tblCellMar>
      </w:tblPr>
      <w:tblGrid>
        <w:gridCol w:w="1835"/>
        <w:gridCol w:w="120"/>
        <w:gridCol w:w="1100"/>
        <w:gridCol w:w="120"/>
        <w:gridCol w:w="980"/>
        <w:gridCol w:w="120"/>
        <w:gridCol w:w="1910"/>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b/>
              </w:rPr>
            </w:pPr>
            <w:r>
              <w:rPr>
                <w:b/>
              </w:rPr>
              <w:t>Withheld</w:t>
            </w:r>
          </w:p>
        </w:tc>
        <w:tc>
          <w:tcPr>
            <w:tcW w:w="12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Kyo-Hwa (Liz) Chung</w:t>
            </w:r>
          </w:p>
        </w:tc>
        <w:tc>
          <w:tcPr>
            <w:tcW w:w="12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15,201,703</w:t>
            </w:r>
          </w:p>
        </w:tc>
        <w:tc>
          <w:tcPr>
            <w:tcW w:w="12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5,652,550</w:t>
            </w:r>
          </w:p>
        </w:tc>
        <w:tc>
          <w:tcPr>
            <w:tcW w:w="12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7,713,326</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Young-Joon (YJ) Kim</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14,836,314</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6,017,939</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7,713,326</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Ilbok Lee</w:t>
            </w:r>
          </w:p>
        </w:tc>
        <w:tc>
          <w:tcPr>
            <w:tcW w:w="12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13,153,251</w:t>
            </w:r>
          </w:p>
        </w:tc>
        <w:tc>
          <w:tcPr>
            <w:tcW w:w="12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7,701,002</w:t>
            </w:r>
          </w:p>
        </w:tc>
        <w:tc>
          <w:tcPr>
            <w:tcW w:w="12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7,713,326</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Gilbert Nathan</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16,346,400</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4,507,853</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7,713,326</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Camillo Martino</w:t>
            </w:r>
          </w:p>
        </w:tc>
        <w:tc>
          <w:tcPr>
            <w:tcW w:w="12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16,699,733</w:t>
            </w:r>
          </w:p>
        </w:tc>
        <w:tc>
          <w:tcPr>
            <w:tcW w:w="12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4,154,520</w:t>
            </w:r>
          </w:p>
        </w:tc>
        <w:tc>
          <w:tcPr>
            <w:tcW w:w="12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7,713,326</w:t>
            </w:r>
          </w:p>
        </w:tc>
      </w:tr>
    </w:tbl>
    <w:p>
      <w:pPr>
        <w:pStyle w:val="TextBody"/>
        <w:bidi w:val="0"/>
        <w:spacing w:before="240" w:after="0"/>
        <w:jc w:val="left"/>
        <w:rPr>
          <w:rFonts w:ascii="Times New Roman" w:hAnsi="Times New Roman"/>
          <w:sz w:val="20"/>
        </w:rPr>
      </w:pPr>
      <w:r>
        <w:rPr>
          <w:rFonts w:ascii="Times New Roman" w:hAnsi="Times New Roman"/>
          <w:sz w:val="20"/>
          <w:u w:val="single"/>
        </w:rPr>
        <w:t>Proposal 2 - Advisory Vote on the Compensation of the Named Executive Officers</w:t>
      </w:r>
      <w:r>
        <w:rPr>
          <w:rFonts w:ascii="Times New Roman" w:hAnsi="Times New Roman"/>
          <w:sz w:val="20"/>
        </w:rPr>
        <w:t>. The Company’s stockholders approved, on an advisory basis, the compensation of the Company’s named executive officers as disclosed in the Company’s 2025 proxy materials.</w:t>
      </w:r>
    </w:p>
    <w:p>
      <w:pPr>
        <w:pStyle w:val="TextBody"/>
        <w:bidi w:val="0"/>
        <w:spacing w:before="0" w:after="0"/>
        <w:jc w:val="left"/>
        <w:rPr/>
      </w:pPr>
      <w:r>
        <w:rPr/>
        <w:t> </w:t>
      </w:r>
    </w:p>
    <w:tbl>
      <w:tblPr>
        <w:tblW w:w="4370" w:type="dxa"/>
        <w:jc w:val="left"/>
        <w:tblInd w:w="0" w:type="dxa"/>
        <w:tblLayout w:type="fixed"/>
        <w:tblCellMar>
          <w:top w:w="0" w:type="dxa"/>
          <w:left w:w="0" w:type="dxa"/>
          <w:bottom w:w="0" w:type="dxa"/>
          <w:right w:w="0" w:type="dxa"/>
        </w:tblCellMar>
      </w:tblPr>
      <w:tblGrid>
        <w:gridCol w:w="1115"/>
        <w:gridCol w:w="60"/>
        <w:gridCol w:w="980"/>
        <w:gridCol w:w="60"/>
        <w:gridCol w:w="74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Abstained</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16,144,661</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4,689,370</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20,222</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7,713,326</w:t>
            </w:r>
          </w:p>
        </w:tc>
      </w:tr>
    </w:tbl>
    <w:p>
      <w:pPr>
        <w:pStyle w:val="TextBody"/>
        <w:bidi w:val="0"/>
        <w:spacing w:before="240" w:after="0"/>
        <w:jc w:val="left"/>
        <w:rPr>
          <w:rFonts w:ascii="Times New Roman" w:hAnsi="Times New Roman"/>
          <w:sz w:val="20"/>
        </w:rPr>
      </w:pPr>
      <w:r>
        <w:rPr>
          <w:rFonts w:ascii="Times New Roman" w:hAnsi="Times New Roman"/>
          <w:sz w:val="20"/>
          <w:u w:val="single"/>
        </w:rPr>
        <w:t>Proposal 3 - Ratification of the Appointment of Ernst &amp; Young Han Young</w:t>
      </w:r>
      <w:r>
        <w:rPr>
          <w:rFonts w:ascii="Times New Roman" w:hAnsi="Times New Roman"/>
          <w:sz w:val="20"/>
        </w:rPr>
        <w:t>. The Company’s stockholders ratified the appointment of Ernst &amp; Young Han Young as the Company’s independent registered public accounting firm for the fiscal year ending December 31, 2025.</w:t>
      </w:r>
    </w:p>
    <w:p>
      <w:pPr>
        <w:pStyle w:val="TextBody"/>
        <w:bidi w:val="0"/>
        <w:spacing w:before="0" w:after="0"/>
        <w:jc w:val="left"/>
        <w:rPr/>
      </w:pPr>
      <w:r>
        <w:rPr/>
        <w:t> </w:t>
      </w:r>
    </w:p>
    <w:tbl>
      <w:tblPr>
        <w:tblW w:w="2790" w:type="dxa"/>
        <w:jc w:val="left"/>
        <w:tblInd w:w="0" w:type="dxa"/>
        <w:tblLayout w:type="fixed"/>
        <w:tblCellMar>
          <w:top w:w="0" w:type="dxa"/>
          <w:left w:w="0" w:type="dxa"/>
          <w:bottom w:w="0" w:type="dxa"/>
          <w:right w:w="0" w:type="dxa"/>
        </w:tblCellMar>
      </w:tblPr>
      <w:tblGrid>
        <w:gridCol w:w="1115"/>
        <w:gridCol w:w="60"/>
        <w:gridCol w:w="800"/>
        <w:gridCol w:w="60"/>
        <w:gridCol w:w="7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Abstained</w:t>
            </w:r>
          </w:p>
        </w:tc>
      </w:tr>
      <w:tr>
        <w:trPr/>
        <w:tc>
          <w:tcPr>
            <w:tcW w:w="1115" w:type="dxa"/>
            <w:tcBorders/>
            <w:shd w:fill="CCEEFF" w:val="clear"/>
            <w:vAlign w:val="center"/>
          </w:tcPr>
          <w:p>
            <w:pPr>
              <w:pStyle w:val="TableContents"/>
              <w:bidi w:val="0"/>
              <w:spacing w:before="0" w:after="283"/>
              <w:jc w:val="center"/>
              <w:rPr/>
            </w:pPr>
            <w:r>
              <w:rPr/>
              <w:t>28,109,077</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449,314</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9,188</w:t>
            </w:r>
          </w:p>
        </w:tc>
      </w:tr>
    </w:tbl>
    <w:p>
      <w:pPr>
        <w:pStyle w:val="TextBody"/>
        <w:bidi w:val="0"/>
        <w:spacing w:before="240" w:after="0"/>
        <w:jc w:val="left"/>
        <w:rPr>
          <w:rFonts w:ascii="Times New Roman" w:hAnsi="Times New Roman"/>
          <w:sz w:val="20"/>
        </w:rPr>
      </w:pPr>
      <w:r>
        <w:rPr>
          <w:rFonts w:ascii="Times New Roman" w:hAnsi="Times New Roman"/>
          <w:sz w:val="20"/>
        </w:rPr>
        <w:t>There were no broker non-votes with respect to Proposal 3.</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7200" w:type="dxa"/>
        <w:jc w:val="left"/>
        <w:tblInd w:w="0" w:type="dxa"/>
        <w:tblLayout w:type="fixed"/>
        <w:tblCellMar>
          <w:top w:w="0" w:type="dxa"/>
          <w:left w:w="0" w:type="dxa"/>
          <w:bottom w:w="0" w:type="dxa"/>
          <w:right w:w="0" w:type="dxa"/>
        </w:tblCellMar>
      </w:tblPr>
      <w:tblGrid>
        <w:gridCol w:w="2060"/>
        <w:gridCol w:w="60"/>
        <w:gridCol w:w="320"/>
        <w:gridCol w:w="60"/>
        <w:gridCol w:w="470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8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MAGNACHIP SEMICONDUCTOR CORPORATION</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4760"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Dated: June 26, 2025</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Theodore Kim</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Compliance Officer, General Counsel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629</Words>
  <Characters>3556</Characters>
  <CharactersWithSpaces>4177</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