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35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255270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219710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Effective May 25, 2020, in connection with the appointment described below in Item 5.02(c), Theodore Kim will no longer serve as principal financial officer of MagnaChip Semiconductor Corporation (the “Company”), but will continue to serve as the Company’s Chief Compliance Officer, Executive Vice President, General Counsel and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 and (e)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Board of Directors (the “Board”) of the Company appointed Mr. Young Soo Woo to serve as Chief Financial Officer of the Company, effective May 25, 2020.</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Prior to joining the Company, Mr. Woo, age 55, served as the Chief Executive Officer of CoreeGroup, which owns and manages companies engaged in infant care service, pharmaceuticals and related research and technology businesses, from January 2020 to May 2020. Before CoreeGroup, from April 2017 to August 2019, Mr. Woo served as the Group Chief Financial Officer of Chong Kun Dang Holdings Corporation (“CKDH”), a public company and leading Korean pharmaceutical conglomerate, and also served as its Chief Executive Officer from March 2018 to August 2019. Before joining CKDH, Mr. Woo served as the General Secretary of the Kochon Foundation, a non-profit organization founded by the founder of CKDH, from March 2016 to April 2017. Prior to the Kochon Foundation, Mr. Woo served as the acting President of Dong-A One from June 2015 to October 2015, having been appointed to implement an internal restructuring plan. Prior to Dong-A One, from 2012 to 2014 Mr. Woo served in various positions at KT Corporation, one of the largest telecom companies in Korea, including as Head of Strategic Planning Office and Deputy Head of Finance Office. From 1997 to 2012, Mr. Woo served various management positions at technology and manufacturing companies, including as Chief Operating Officer and Chief Strategy Officer of Hankook Tire, and as Managing Director, Corporate Strategy of Hanaro Telecom. While at Hanaro Telecom, Mr. Woo played a key role in its initial listing on NASDAQ in 2000. Mr. Woo has extensive experience in financial planning and analysis, cost control, strategy, mergers and acquisitions, initial public offerings and risk management. Mr. Woo earned a B.A. degree in Economics from Seoul National University and received his M.A. and Ph.D. degrees in Economics from Cornell University.</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Woo entered into an Executive Services Agreement (the “Executive Services Agreement”) with the Company and its Korean subsidiary, MagnaChip Semiconductor, Ltd. (“MSK”), effective as of May 25, 2020, pursuant to which Mr. Woo will serve as the Chief Financial Officer of the Company and MSK. In exchange for his services as Chief Financial Officer of the Company and MSK, Mr. Woo will be entitled under the Executive Services Agreement to an annual base salary of KRW 340,000,000 (approximately $276,918 based on current exchange rates) per annum and shall be eligible to receive and annual cash bonus under the terms of the Company’s cash bonus plan then in effect, with an initial anticipated targeted annual bonus of 50% of Mr. Woo’s annual base salary, subject to increase at the discretion of the Board. In addition, pursuant to the Executive Services Agreement, under the Company’s 2011 Equity Incentive Plan or any successor equity incentive plan of the Company (the “Plan”), Mr. Woo will be granted time-based Restricted Stock Units (as such term is defined under the Plan) for 18,000 shares of the Company’s common stock, which shall vest over three years at a rate of one-third of the total number of shares of common stock of the Company subject to the award on each of the first, second and third anniversaries of the grant date. It is currently anticipated that Mr. Woo will receive additional equity awards under the Plan in each of 2021 and 2022, with the target dollar value of such awards to be in line with the target value of equity awards received by similarly situated executives in such year and subject to Mr. Woo’s continued service with the Company. Mr. Woo will be entitled to participate in the Company’s standard benefit plans, programs and arrangements in the same manner as the Company’s similarly situated executives. For a description of the Company’s executive compensation programs, see the Company’s Proxy Statement for the 2020 Annual Meeting of Stockholders filed with the Securities and Exchange Commission on April 29, 2020.</w:t>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Executive Services Agreement, Mr. Woo’s engagement may be terminated with or without cause, with or without good reason, or upon Mr. Woo’s death or disability. To the extent that Mr. Woo is terminated without cause or Mr. Woo resigns for good reason, the Company is obligated under the Executive Services Agreement to (i) pay Mr. Woo’s base salary and prorated bonus for a period of up to six months after the date of termination or for a period of up to 12 months to the extent that such termination without cause or resignation for good reason takes place while the Company is party to a definitive corporate transaction, the consummation of which would result in a change of control, or within 18 months following a change of control, and (ii) provide for vesting of any outstanding unvested equity awards as set forth in the Plan and the applicable award agreements. The amounts payable pursuant to the immediately preceding sentence are contingent on Mr. Woo’s execution and non-revocation of a general waiver and release of claims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also expected to enter into the Company’s standard form of indemnification agreement with Mr. Woo on his employment start date.</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arrangements or understandings between Mr. Woo and any other person pursuant to which he was appointed, nor are there are any family relationships between Mr. Woo and any of the Company’s directors or other executive officers. Mr. Woo does not have any material interest in any transactions, relationships or arrangements with the Company that would require disclosure under Item 404(a) of Regulation S-K promulgated under the Securities Exchange Act of 1934, as amended.</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ind w:left="4" w:right="60"/>
        <w:spacing w:after="0" w:line="279" w:lineRule="auto"/>
        <w:rPr>
          <w:sz w:val="20"/>
          <w:szCs w:val="20"/>
          <w:color w:val="auto"/>
        </w:rPr>
      </w:pPr>
      <w:r>
        <w:rPr>
          <w:rFonts w:ascii="Arial" w:cs="Arial" w:eastAsia="Arial" w:hAnsi="Arial"/>
          <w:sz w:val="17"/>
          <w:szCs w:val="17"/>
          <w:color w:val="auto"/>
        </w:rPr>
        <w:t>On May 21, 2020, the Company issued a press release announcing the appointment described in Item 5.02 of this Form 8-K. A copy of the Company’s press release is furnished with this Form 8-K and attached hereto as Exhibit 99.1. The information in this Item 7.01 or Exhibit 99.1 shall not be deemed “filed” for purposes of Section 18 of the Securities Exchange Act of 1934, as amended, or otherwise subject to the liabilities of that section, nor shall it be incorporated by reference into any registration document or other document filed by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MagnaChip Semiconductor Corporation, dated May 21, 2020.</w:t>
        </w:r>
      </w:hyperlink>
    </w:p>
    <w:p>
      <w:pPr>
        <w:sectPr>
          <w:pgSz w:w="11900" w:h="16838" w:orient="portrait"/>
          <w:cols w:equalWidth="0" w:num="1">
            <w:col w:w="10964"/>
          </w:cols>
          <w:pgMar w:left="436" w:top="274"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440" w:type="dxa"/>
            <w:vAlign w:val="bottom"/>
            <w:gridSpan w:val="2"/>
          </w:tcPr>
          <w:p>
            <w:pPr>
              <w:ind w:left="2040"/>
              <w:spacing w:after="0"/>
              <w:rPr>
                <w:sz w:val="20"/>
                <w:szCs w:val="20"/>
                <w:color w:val="auto"/>
              </w:rPr>
            </w:pPr>
            <w:r>
              <w:rPr>
                <w:rFonts w:ascii="Arial" w:cs="Arial" w:eastAsia="Arial" w:hAnsi="Arial"/>
                <w:sz w:val="18"/>
                <w:szCs w:val="18"/>
                <w:color w:val="auto"/>
              </w:rPr>
              <w:t>MAGNACHIP SEMICONDUCTOR CORPORATION</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May 21, 2020</w:t>
            </w:r>
          </w:p>
        </w:tc>
        <w:tc>
          <w:tcPr>
            <w:tcW w:w="7440" w:type="dxa"/>
            <w:vAlign w:val="bottom"/>
            <w:gridSpan w:val="2"/>
          </w:tcPr>
          <w:p>
            <w:pPr>
              <w:ind w:left="2040"/>
              <w:spacing w:after="0"/>
              <w:rPr>
                <w:sz w:val="20"/>
                <w:szCs w:val="20"/>
                <w:color w:val="auto"/>
              </w:rPr>
            </w:pPr>
            <w:r>
              <w:rPr>
                <w:rFonts w:ascii="Arial" w:cs="Arial" w:eastAsia="Arial" w:hAnsi="Arial"/>
                <w:sz w:val="18"/>
                <w:szCs w:val="18"/>
                <w:color w:val="auto"/>
              </w:rPr>
              <w:t>By:  /s/ Theodore Kim</w:t>
            </w:r>
          </w:p>
        </w:tc>
      </w:tr>
      <w:tr>
        <w:trPr>
          <w:trHeight w:val="195"/>
        </w:trPr>
        <w:tc>
          <w:tcPr>
            <w:tcW w:w="3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Theodore Kim</w:t>
            </w:r>
          </w:p>
        </w:tc>
      </w:tr>
      <w:tr>
        <w:trPr>
          <w:trHeight w:val="216"/>
        </w:trPr>
        <w:tc>
          <w:tcPr>
            <w:tcW w:w="3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Compliance Officer, Executive Vice President, General</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Counsel and Secretary</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Names Young Soo Woo as Chief Financial Officer</w:t>
      </w:r>
    </w:p>
    <w:p>
      <w:pPr>
        <w:spacing w:after="0" w:line="229"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SEOUL, South Korea and SAN JOSE, Calif., May 21, 2020 /PRNewswire/ — MagnaChip Semiconductor Corporation (“MagnaChip” or the “Company”) (NYSE: MX) today announced that it has appointed Mr. Young Soo Woo as Chief Financial Officer of the Company, effective as of May 25, 2020. Mr. Woo joins MagnaChip from CoreeGroup, where he was the Chief Executive Officer.</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Mr. Woo is a seasoned financial executive with more than 15 years of senior leadership experience. Before CoreeGroup, from April 2017 to August 2019, Mr. Woo served as the Group Chief Financial Officer of Chong Kun Dang Holdings Corporation (“CKDH”), a public company and leading Korean pharmaceutical conglomerate, and also served as its Chief Executive Officer from March 2018 to August 2019. Mr. Woo has also served in various management positions at technology and manufacturing companies, including as Head of Strategic Planning Office and Deputy Head of Finance Office of Korea Telecom, one of the largest telecom companies in Korea, and as Chief Strategy Officer and Chief Operating Officer of Hankook Tire. Mr. Woo also worked at Hanaro Telecom, one of the largest broadband Internet access providers in South Korea, as Managing Director, Corporate Strategy. While at Hanaro Telecom, Mr. Woo played a key role in its initial listing on NASDAQ in 2000. Mr. Woo has extensive experience in financial planning and analysis, cost control, strategy, mergers and acquisitions, initial public offerings and risk management. Mr. Woo will report to YJ Kim, MagnaChip’s Chief Executive Officer.</w:t>
      </w:r>
    </w:p>
    <w:p>
      <w:pPr>
        <w:spacing w:after="0" w:line="18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“Young Soo’s demonstrated skills in driving operational excellence and broad experience in strategic planning and financial analysis will be a significant asset for MagnaChip as we continue to execute our plan for sustainable and profitable growth,” said YJ Kim. “I’m very pleased to welcome him to our leadership team as we transition to a streamlined company focused exclusively on products in the Display and Power semiconductor segments.”</w:t>
      </w:r>
    </w:p>
    <w:p>
      <w:pPr>
        <w:spacing w:after="0" w:line="14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“I’m honored and excited to join the MagnaChip team,” said Mr. Woo. “The company has highly differentiated product portfolios and a solid business pipeline, and I look forward to leveraging my operational experience to help enhance profitability and increase shareholder value.”</w:t>
      </w:r>
    </w:p>
    <w:p>
      <w:pPr>
        <w:spacing w:after="0" w:line="14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Mr. Woo earned a B.A. degree in Economics from the Seoul National University and received his M.A. and Ph.D. in Economics from Cornell University.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more than 40 years of operating history, owns a portfolio of approximately 2,950 registered patents and pending applications, and has extensive engineering, design and manufacturing process expertise.</w:t>
      </w:r>
    </w:p>
    <w:p>
      <w:pPr>
        <w:spacing w:after="0" w:line="1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For more information, please visit www.magnachip.com. Information on or accessible through MagnaChip’s website is not a part of, and is not incorporated into, this release.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ectPr>
          <w:pgSz w:w="11900" w:h="16838" w:orient="portrait"/>
          <w:cols w:equalWidth="0" w:num="1">
            <w:col w:w="11020"/>
          </w:cols>
          <w:pgMar w:left="440" w:top="12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Bruce Entin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+1.408.625.1262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Investor.relations@magnachip.com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Chankeun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+82.2.6903.3195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chankeun.park@magnachip.com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2020-05-21T15:17:15Z</dcterms:created>
  <dcterms:modified xsi:type="dcterms:W3CDTF">2020-05-21T15:17:15Z</dcterms:modified>
</cp:coreProperties>
</file>