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and Plan of Merger</w:t>
      </w:r>
    </w:p>
    <w:p>
      <w:pPr>
        <w:spacing w:after="0" w:line="12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On August 23, 2021, the Company, Parent and Merger Sub entered into a letter agreement (the “Letter Agreement”) pursuant to which the parties agreed to make certain technical amendments to the Merger Agreement to: (1) add Section 6.1(a) of the Merger Agreement (the condition that the Merger Agreement shall have been duly adopted by the Requisite Company Vote (as defined in the Merger Agreement) at a duly called Company Stockholders Meeting (as defined in the Merger Agreement)) as an exception to the requirement that all conditions set forth in Section 6.1 of the Merger Agreement be satisfied or waived as of 11:59 p.m. (New York time) on the applicable Termination Date (as defined in the Merger Agreement) in order for such Termination Date to be extended pursuant to Sections 7.2(a)(ii), (iii), (iv) and (v) of the Merger Agreement, and (2) replace the words “initial Termination Date” in two places in Section 1.2 of the Merger Agreement with “the date that would have been the Termination Date absent the extension referred to in this sentence”. The foregoing amendments were made to ensure that the Termination Date may be extended pursuant to Section 7.2(a) of the Merger Agreement, notwithstanding that the condition regarding the Requisite Company Vote may not be satisfied prior to the Termination Date, and to clarify that the “initial Termination Date” referenced in Section 1.2 of the Merger Agreement means the Termination Date as may be extended pursuant to Section 7.2(a) of the Merger Agreement (which may be further extended pursuant to Section 1.2 of the Merger Agreement). Other than the foregoing amendments, the terms and conditions of the Merger Agreement remain unchanged, including that the adoption of the Merger Agreement by the Requisite Company Vote is a condition to the consummation of the Merger.</w:t>
      </w:r>
    </w:p>
    <w:p>
      <w:pPr>
        <w:spacing w:after="0" w:line="174"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The foregoing description of the Letter Agreement is qualified in its entirety by the full text of the Letter Agreement, which is attached hereto as Exhibit 2.1 and is incorporated by reference herein. The Letter Agreement has been included to provide investors with information regarding its terms. It is not intended to provide any other factual information about the Company, Wise Road, Parent, Merger Sub or their respective subsidiaries or affiliates.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the Interim Order from the U.S. Department of Treasury on behalf of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w:t>
      </w:r>
    </w:p>
    <w:p>
      <w:pPr>
        <w:sectPr>
          <w:pgSz w:w="11900" w:h="16838" w:orient="portrait"/>
          <w:cols w:equalWidth="0" w:num="1">
            <w:col w:w="11020"/>
          </w:cols>
          <w:pgMar w:left="440" w:top="270" w:right="439" w:bottom="1440" w:gutter="0" w:footer="0" w:header="0"/>
        </w:sectPr>
      </w:pPr>
    </w:p>
    <w:bookmarkStart w:id="2" w:name="page3"/>
    <w:bookmarkEnd w:id="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74"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 Financial Statements and Exhibits.</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exhibit is furnished as part of this report:</w:t>
      </w:r>
    </w:p>
    <w:p>
      <w:pPr>
        <w:sectPr>
          <w:pgSz w:w="11900" w:h="16838" w:orient="portrait"/>
          <w:cols w:equalWidth="0" w:num="1">
            <w:col w:w="10304"/>
          </w:cols>
          <w:pgMar w:left="436" w:top="270" w:right="1159" w:bottom="1440" w:gutter="0" w:footer="0" w:header="0"/>
        </w:sectPr>
      </w:pPr>
    </w:p>
    <w:p>
      <w:pPr>
        <w:spacing w:after="0" w:line="267"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126" w:lineRule="exact"/>
        <w:rPr>
          <w:sz w:val="20"/>
          <w:szCs w:val="20"/>
          <w:color w:val="auto"/>
        </w:rPr>
      </w:pPr>
    </w:p>
    <w:p>
      <w:pPr>
        <w:sectPr>
          <w:pgSz w:w="11900" w:h="16838" w:orient="portrait"/>
          <w:cols w:equalWidth="0" w:num="2">
            <w:col w:w="4824" w:space="720"/>
            <w:col w:w="4760"/>
          </w:cols>
          <w:pgMar w:left="436" w:top="270" w:right="1159" w:bottom="1440" w:gutter="0" w:footer="0" w:header="0"/>
          <w:type w:val="continuous"/>
        </w:sectPr>
      </w:pPr>
    </w:p>
    <w:p>
      <w:pPr>
        <w:ind w:left="764" w:hanging="768"/>
        <w:spacing w:after="0" w:line="277" w:lineRule="auto"/>
        <w:tabs>
          <w:tab w:leader="none" w:pos="74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Letter Agreement, dated as of August 23, 2021, by and among South Dearborn Limited, Michigan Merger Sub, Inc., and Magnachip Semiconductor Corporation</w:t>
      </w:r>
    </w:p>
    <w:p>
      <w:pPr>
        <w:sectPr>
          <w:pgSz w:w="11900" w:h="16838" w:orient="portrait"/>
          <w:cols w:equalWidth="0" w:num="1">
            <w:col w:w="10304"/>
          </w:cols>
          <w:pgMar w:left="436" w:top="270" w:right="11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2021</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Theodore Kim</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300" w:type="dxa"/>
            <w:vAlign w:val="bottom"/>
          </w:tcPr>
          <w:p>
            <w:pPr>
              <w:ind w:left="80"/>
              <w:spacing w:after="0"/>
              <w:rPr>
                <w:sz w:val="20"/>
                <w:szCs w:val="20"/>
                <w:color w:val="auto"/>
              </w:rPr>
            </w:pPr>
            <w:r>
              <w:rPr>
                <w:rFonts w:ascii="Arial" w:cs="Arial" w:eastAsia="Arial" w:hAnsi="Arial"/>
                <w:sz w:val="18"/>
                <w:szCs w:val="18"/>
                <w:color w:val="auto"/>
              </w:rPr>
              <w:t>Theodore Kim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80"/>
              <w:spacing w:after="0"/>
              <w:rPr>
                <w:sz w:val="20"/>
                <w:szCs w:val="20"/>
                <w:color w:val="auto"/>
              </w:rPr>
            </w:pPr>
            <w:r>
              <w:rPr>
                <w:rFonts w:ascii="Arial" w:cs="Arial" w:eastAsia="Arial" w:hAnsi="Arial"/>
                <w:sz w:val="18"/>
                <w:szCs w:val="18"/>
                <w:color w:val="auto"/>
                <w:w w:val="90"/>
              </w:rPr>
              <w:t>Chief Compliance Officer, General Counsel and Secretary</w:t>
            </w: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LETTER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23, 2021</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EMAIL</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VPLEX Bldg., 15F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Theodore S. Kim, General Counsel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theodore.kim@magnachip.com</w:t>
      </w:r>
    </w:p>
    <w:p>
      <w:pPr>
        <w:spacing w:after="0" w:line="238" w:lineRule="exact"/>
        <w:rPr>
          <w:sz w:val="20"/>
          <w:szCs w:val="20"/>
          <w:color w:val="auto"/>
        </w:rPr>
      </w:pPr>
    </w:p>
    <w:p>
      <w:pPr>
        <w:ind w:left="444" w:right="7180" w:hanging="444"/>
        <w:spacing w:after="0" w:line="258"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color w:val="auto"/>
        </w:rPr>
        <w:t>Paul, Weiss, Rifkind, Wharton &amp; Garrison LLP 1285 Avenue of the Americas</w:t>
      </w:r>
    </w:p>
    <w:p>
      <w:pPr>
        <w:spacing w:after="0" w:line="1" w:lineRule="exact"/>
        <w:rPr>
          <w:rFonts w:ascii="Arial" w:cs="Arial" w:eastAsia="Arial" w:hAnsi="Arial"/>
          <w:sz w:val="18"/>
          <w:szCs w:val="18"/>
          <w:color w:val="auto"/>
        </w:rPr>
      </w:pPr>
    </w:p>
    <w:p>
      <w:pPr>
        <w:ind w:left="444" w:right="81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10019-6064 Attention: Ross A. Fieldston</w:t>
      </w:r>
    </w:p>
    <w:p>
      <w:pPr>
        <w:spacing w:after="0" w:line="1" w:lineRule="exact"/>
        <w:rPr>
          <w:rFonts w:ascii="Arial" w:cs="Arial" w:eastAsia="Arial" w:hAnsi="Arial"/>
          <w:sz w:val="18"/>
          <w:szCs w:val="18"/>
          <w:color w:val="auto"/>
        </w:rPr>
      </w:pPr>
    </w:p>
    <w:p>
      <w:pPr>
        <w:ind w:left="1264"/>
        <w:spacing w:after="0"/>
        <w:rPr>
          <w:rFonts w:ascii="Arial" w:cs="Arial" w:eastAsia="Arial" w:hAnsi="Arial"/>
          <w:sz w:val="18"/>
          <w:szCs w:val="18"/>
          <w:color w:val="auto"/>
        </w:rPr>
      </w:pPr>
      <w:r>
        <w:rPr>
          <w:rFonts w:ascii="Arial" w:cs="Arial" w:eastAsia="Arial" w:hAnsi="Arial"/>
          <w:sz w:val="18"/>
          <w:szCs w:val="18"/>
          <w:color w:val="auto"/>
        </w:rPr>
        <w:t>Jeffrey D. Marell</w:t>
      </w:r>
    </w:p>
    <w:p>
      <w:pPr>
        <w:spacing w:after="0" w:line="9" w:lineRule="exact"/>
        <w:rPr>
          <w:rFonts w:ascii="Arial" w:cs="Arial" w:eastAsia="Arial" w:hAnsi="Arial"/>
          <w:sz w:val="18"/>
          <w:szCs w:val="18"/>
          <w:color w:val="auto"/>
        </w:rPr>
      </w:pPr>
    </w:p>
    <w:p>
      <w:pPr>
        <w:ind w:left="984" w:right="8140" w:hanging="549"/>
        <w:spacing w:after="0" w:line="323" w:lineRule="auto"/>
        <w:rPr>
          <w:rFonts w:ascii="Arial" w:cs="Arial" w:eastAsia="Arial" w:hAnsi="Arial"/>
          <w:sz w:val="18"/>
          <w:szCs w:val="18"/>
          <w:color w:val="auto"/>
        </w:rPr>
      </w:pPr>
      <w:r>
        <w:rPr>
          <w:rFonts w:ascii="Arial" w:cs="Arial" w:eastAsia="Arial" w:hAnsi="Arial"/>
          <w:sz w:val="16"/>
          <w:szCs w:val="16"/>
          <w:color w:val="auto"/>
        </w:rPr>
        <w:t>Email: rfieldston@paulweiss.com jmarell@paulweiss.com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Extension of Termination Date; Company Stockholders Meeting</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ind w:left="4" w:right="40" w:firstLine="991"/>
        <w:spacing w:after="0" w:line="275" w:lineRule="auto"/>
        <w:rPr>
          <w:sz w:val="20"/>
          <w:szCs w:val="20"/>
          <w:color w:val="auto"/>
        </w:rPr>
      </w:pPr>
      <w:r>
        <w:rPr>
          <w:rFonts w:ascii="Arial" w:cs="Arial" w:eastAsia="Arial" w:hAnsi="Arial"/>
          <w:sz w:val="17"/>
          <w:szCs w:val="17"/>
          <w:color w:val="auto"/>
        </w:rPr>
        <w:t xml:space="preserve">This Letter Agreement (this </w:t>
      </w:r>
      <w:r>
        <w:rPr>
          <w:rFonts w:ascii="Arial" w:cs="Arial" w:eastAsia="Arial" w:hAnsi="Arial"/>
          <w:sz w:val="17"/>
          <w:szCs w:val="17"/>
          <w:u w:val="single" w:color="auto"/>
          <w:color w:val="auto"/>
        </w:rPr>
        <w:t>“Letter Agreement”)</w:t>
      </w:r>
      <w:r>
        <w:rPr>
          <w:rFonts w:ascii="Arial" w:cs="Arial" w:eastAsia="Arial" w:hAnsi="Arial"/>
          <w:sz w:val="17"/>
          <w:szCs w:val="17"/>
          <w:color w:val="auto"/>
        </w:rPr>
        <w:t xml:space="preserve"> is made in reference to that certain Agreement and Plan of Merger, dated as of March 25, 2021 (as it may be amended, supplemented or modified from time to time,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xml:space="preserve"> by and among South Dearborn Limited, an exempted company incorporated in the Cayman Islands with limited liability (“Parent”), Michigan Merger Sub, Inc., a Delaware corporation and a wholly 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xml:space="preserve">”), and Magnachip Semiconductor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Capitalized terms used but not defined herein shall have the meanings ascribed to such terms in the Merger Agreement.</w:t>
      </w:r>
    </w:p>
    <w:p>
      <w:pPr>
        <w:spacing w:after="0" w:line="176"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WHEREAS, the Company and Parent desire to ensure that the Termination Date may be extended pursuant to Section 7.2(a) of the Merger Agreement notwithstanding that the Company Stockholders Meeting has not yet occurred and accordingly the condition regarding the Requisite Company Vote may not be satisfied prior to the initial Termination Date;</w:t>
      </w:r>
    </w:p>
    <w:p>
      <w:pPr>
        <w:spacing w:after="0" w:line="184"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NOW, THEREFORE, in consideration of the rights and obligations contained herein, and for other good and valuable consideration, the adequacy of which is hereby acknowledged, the parties agree as follows: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The words “(other than with respect to the Specified Circumstance)” in clauses “(ii),” “(iii),” “(iv)” and “(v)”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7.2(a) of the Merger Agreement shall be replaced with “(other than: (A) Section 6.1(a); and (B) with respect to the Specified Circumstance)”.</w:t>
      </w:r>
    </w:p>
    <w:p>
      <w:pPr>
        <w:spacing w:after="0" w:line="234" w:lineRule="exact"/>
        <w:rPr>
          <w:sz w:val="20"/>
          <w:szCs w:val="20"/>
          <w:color w:val="auto"/>
        </w:rPr>
      </w:pPr>
    </w:p>
    <w:p>
      <w:pPr>
        <w:ind w:firstLine="436"/>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The words “initial Termination Date” in two places in Section 1.2 of the Merger Agreement shall be replaced with “the date that would have been the Termination Date absent the extension referred to in this sentence”.</w:t>
      </w:r>
    </w:p>
    <w:p>
      <w:pPr>
        <w:spacing w:after="0" w:line="170" w:lineRule="exact"/>
        <w:rPr>
          <w:rFonts w:ascii="Arial" w:cs="Arial" w:eastAsia="Arial" w:hAnsi="Arial"/>
          <w:sz w:val="18"/>
          <w:szCs w:val="18"/>
          <w:color w:val="auto"/>
        </w:rPr>
      </w:pPr>
    </w:p>
    <w:p>
      <w:pPr>
        <w:ind w:right="60" w:firstLine="436"/>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Ratification of the Merger Agreement.</w:t>
      </w:r>
      <w:r>
        <w:rPr>
          <w:rFonts w:ascii="Arial" w:cs="Arial" w:eastAsia="Arial" w:hAnsi="Arial"/>
          <w:sz w:val="18"/>
          <w:szCs w:val="18"/>
          <w:color w:val="auto"/>
        </w:rPr>
        <w:t xml:space="preserve"> Except as otherwise expressly provided herein, all of the terms and conditions of the Merger Agreement are ratified and shall remain unchanged and continue in full force and effect.</w:t>
      </w:r>
    </w:p>
    <w:p>
      <w:pPr>
        <w:spacing w:after="0" w:line="170" w:lineRule="exact"/>
        <w:rPr>
          <w:rFonts w:ascii="Arial" w:cs="Arial" w:eastAsia="Arial" w:hAnsi="Arial"/>
          <w:sz w:val="18"/>
          <w:szCs w:val="18"/>
          <w:color w:val="auto"/>
        </w:rPr>
      </w:pPr>
    </w:p>
    <w:p>
      <w:pPr>
        <w:ind w:right="160" w:firstLine="436"/>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Letter Agreement may be executed in counterparts, each of which shall constitute an original and all of which, when taken together, shall constitute one and the same agreement.</w:t>
      </w:r>
    </w:p>
    <w:p>
      <w:pPr>
        <w:spacing w:after="0" w:line="170" w:lineRule="exact"/>
        <w:rPr>
          <w:rFonts w:ascii="Arial" w:cs="Arial" w:eastAsia="Arial" w:hAnsi="Arial"/>
          <w:sz w:val="18"/>
          <w:szCs w:val="18"/>
          <w:color w:val="auto"/>
        </w:rPr>
      </w:pPr>
    </w:p>
    <w:p>
      <w:pPr>
        <w:jc w:val="both"/>
        <w:ind w:right="220" w:firstLine="436"/>
        <w:spacing w:after="0" w:line="311"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Letter Agreement,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Letter Agreement has been executed as of the date first above written.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PARENT: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DEARBORN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Zhang Yuanjie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23495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Zhang Yuanjie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MERGER SUB:</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MICHIGAN MERGER SUB,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Zhang Yuanjie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Zhang Yuanjie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39"/>
          </w:cols>
          <w:pgMar w:left="1420" w:top="274"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7260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Title: Chief Compliance Officer, General Counsel and Secretary</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29"/>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2021-08-23T16:04:42Z</dcterms:created>
  <dcterms:modified xsi:type="dcterms:W3CDTF">2021-08-23T16:04:42Z</dcterms:modified>
</cp:coreProperties>
</file>