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30667ds3.htm"/>
        <w:bookmarkStart w:id="1" w:name="ksd130667ds3"/>
        <w:bookmarkEnd w:id="0"/>
        <w:bookmarkEnd w:id="1"/>
        <w:r>
          <w:rPr>
            <w:rStyle w:val="InternetLink"/>
            <w:b/>
            <w:sz w:val="20"/>
          </w:rPr>
          <w:t>Table of Contents</w:t>
        </w:r>
      </w:hyperlink>
    </w:p>
    <w:p>
      <w:pPr>
        <w:pStyle w:val="TextBody"/>
        <w:bidi w:val="0"/>
        <w:spacing w:before="0" w:after="0"/>
        <w:jc w:val="center"/>
        <w:rPr>
          <w:rFonts w:ascii="Times New Roman" w:hAnsi="Times New Roman"/>
          <w:b/>
          <w:sz w:val="18"/>
        </w:rPr>
      </w:pPr>
      <w:r>
        <w:rPr>
          <w:rFonts w:ascii="Times New Roman" w:hAnsi="Times New Roman"/>
          <w:b/>
          <w:sz w:val="18"/>
        </w:rPr>
        <w:t xml:space="preserve">As filed with the Securities and Exchange Commission on October 5, 2026. </w:t>
      </w:r>
    </w:p>
    <w:p>
      <w:pPr>
        <w:pStyle w:val="TextBody"/>
        <w:bidi w:val="0"/>
        <w:spacing w:before="0" w:after="0"/>
        <w:jc w:val="right"/>
        <w:rPr>
          <w:rFonts w:ascii="Times New Roman" w:hAnsi="Times New Roman"/>
          <w:b/>
          <w:sz w:val="18"/>
        </w:rPr>
      </w:pPr>
      <w:r>
        <w:rPr>
          <w:rFonts w:ascii="Times New Roman" w:hAnsi="Times New Roman"/>
          <w:b/>
          <w:sz w:val="18"/>
        </w:rPr>
        <w:t>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0" w:after="0"/>
        <w:jc w:val="center"/>
        <w:rPr>
          <w:rFonts w:ascii="Times New Roman" w:hAnsi="Times New Roman"/>
          <w:b/>
          <w:sz w:val="30"/>
        </w:rPr>
      </w:pPr>
      <w:r>
        <w:rPr>
          <w:rFonts w:ascii="Times New Roman" w:hAnsi="Times New Roman"/>
          <w:b/>
          <w:sz w:val="30"/>
        </w:rPr>
        <w:t xml:space="preserve">UNITED STATES </w:t>
      </w:r>
    </w:p>
    <w:p>
      <w:pPr>
        <w:pStyle w:val="TextBody"/>
        <w:bidi w:val="0"/>
        <w:spacing w:before="0" w:after="0"/>
        <w:jc w:val="center"/>
        <w:rPr>
          <w:rFonts w:ascii="Times New Roman" w:hAnsi="Times New Roman"/>
          <w:b/>
          <w:sz w:val="30"/>
        </w:rPr>
      </w:pPr>
      <w:r>
        <w:rPr>
          <w:rFonts w:ascii="Times New Roman" w:hAnsi="Times New Roman"/>
          <w:b/>
          <w:sz w:val="30"/>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0"/>
        </w:rPr>
      </w:pPr>
      <w:r>
        <w:rPr>
          <w:rFonts w:ascii="Times New Roman" w:hAnsi="Times New Roman"/>
          <w:b/>
          <w:sz w:val="30"/>
        </w:rPr>
        <w:t>FORM S-3</w:t>
      </w:r>
    </w:p>
    <w:p>
      <w:pPr>
        <w:pStyle w:val="TextBody"/>
        <w:bidi w:val="0"/>
        <w:spacing w:before="0" w:after="0"/>
        <w:jc w:val="center"/>
        <w:rPr>
          <w:rFonts w:ascii="Times New Roman" w:hAnsi="Times New Roman"/>
          <w:b/>
          <w:sz w:val="30"/>
        </w:rPr>
      </w:pPr>
      <w:r>
        <w:rPr>
          <w:rFonts w:ascii="Times New Roman" w:hAnsi="Times New Roman"/>
          <w:b/>
          <w:sz w:val="30"/>
        </w:rPr>
        <w:t xml:space="preserve">REGISTRATION STATEMENT </w:t>
      </w:r>
    </w:p>
    <w:p>
      <w:pPr>
        <w:pStyle w:val="TextBody"/>
        <w:bidi w:val="0"/>
        <w:spacing w:before="0" w:after="0"/>
        <w:jc w:val="center"/>
        <w:rPr>
          <w:rFonts w:ascii="Times New Roman" w:hAnsi="Times New Roman"/>
          <w:b/>
          <w:i/>
          <w:sz w:val="20"/>
        </w:rPr>
      </w:pPr>
      <w:r>
        <w:rPr>
          <w:rFonts w:ascii="Times New Roman" w:hAnsi="Times New Roman"/>
          <w:b/>
          <w:i/>
          <w:sz w:val="20"/>
        </w:rPr>
        <w:t xml:space="preserve">UNDER </w:t>
      </w:r>
    </w:p>
    <w:p>
      <w:pPr>
        <w:pStyle w:val="TextBody"/>
        <w:bidi w:val="0"/>
        <w:spacing w:before="0" w:after="0"/>
        <w:jc w:val="center"/>
        <w:rPr>
          <w:rFonts w:ascii="Times New Roman" w:hAnsi="Times New Roman"/>
          <w:b/>
          <w:i/>
          <w:sz w:val="20"/>
        </w:rPr>
      </w:pPr>
      <w:r>
        <w:rPr>
          <w:rFonts w:ascii="Times New Roman" w:hAnsi="Times New Roman"/>
          <w:b/>
          <w:i/>
          <w:sz w:val="20"/>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0"/>
        </w:rPr>
      </w:pPr>
      <w:r>
        <w:rPr>
          <w:rFonts w:ascii="Times New Roman" w:hAnsi="Times New Roman"/>
          <w:b/>
          <w:sz w:val="40"/>
        </w:rPr>
        <w:t xml:space="preserve">Magnachip Semiconductor Corporation </w:t>
      </w:r>
    </w:p>
    <w:p>
      <w:pPr>
        <w:pStyle w:val="TextBody"/>
        <w:bidi w:val="0"/>
        <w:spacing w:before="0" w:after="0"/>
        <w:jc w:val="center"/>
        <w:rPr>
          <w:rFonts w:ascii="Times New Roman" w:hAnsi="Times New Roman"/>
          <w:b/>
          <w:sz w:val="18"/>
        </w:rPr>
      </w:pPr>
      <w:r>
        <w:rPr>
          <w:rFonts w:ascii="Times New Roman" w:hAnsi="Times New Roman"/>
          <w:b/>
          <w:sz w:val="18"/>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1"/>
        <w:gridCol w:w="4950"/>
      </w:tblGrid>
      <w:tr>
        <w:trPr/>
        <w:tc>
          <w:tcPr>
            <w:tcW w:w="515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950"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4950" w:type="dxa"/>
            <w:tcBorders/>
          </w:tcPr>
          <w:p>
            <w:pPr>
              <w:pStyle w:val="TableContents"/>
              <w:bidi w:val="0"/>
              <w:spacing w:before="0" w:after="283"/>
              <w:jc w:val="center"/>
              <w:rPr>
                <w:b/>
              </w:rPr>
            </w:pPr>
            <w:r>
              <w:rPr>
                <w:b/>
              </w:rPr>
              <w:t>83-0406195</w:t>
            </w:r>
          </w:p>
        </w:tc>
      </w:tr>
      <w:tr>
        <w:trPr/>
        <w:tc>
          <w:tcPr>
            <w:tcW w:w="5154" w:type="dxa"/>
            <w:tcBorders/>
          </w:tcPr>
          <w:p>
            <w:pPr>
              <w:pStyle w:val="TableContents"/>
              <w:bidi w:val="0"/>
              <w:spacing w:before="0" w:after="0"/>
              <w:jc w:val="center"/>
              <w:rPr>
                <w:rFonts w:ascii="Times New Roman" w:hAnsi="Times New Roman"/>
                <w:b/>
                <w:sz w:val="14"/>
              </w:rPr>
            </w:pPr>
            <w:r>
              <w:rPr>
                <w:rFonts w:ascii="Times New Roman" w:hAnsi="Times New Roman"/>
                <w:b/>
                <w:sz w:val="14"/>
              </w:rPr>
              <w:t>(State or other jurisdiction of</w:t>
            </w:r>
          </w:p>
          <w:p>
            <w:pPr>
              <w:pStyle w:val="TableContents"/>
              <w:bidi w:val="0"/>
              <w:spacing w:before="0" w:after="20"/>
              <w:jc w:val="center"/>
              <w:rPr>
                <w:rFonts w:ascii="Times New Roman" w:hAnsi="Times New Roman"/>
                <w:b/>
                <w:sz w:val="14"/>
              </w:rPr>
            </w:pPr>
            <w:r>
              <w:rPr>
                <w:rFonts w:ascii="Times New Roman" w:hAnsi="Times New Roman"/>
                <w:b/>
                <w:sz w:val="14"/>
              </w:rPr>
              <w:t>incorporation or organization)</w:t>
            </w:r>
          </w:p>
        </w:tc>
        <w:tc>
          <w:tcPr>
            <w:tcW w:w="101" w:type="dxa"/>
            <w:tcBorders/>
            <w:vAlign w:val="bottom"/>
          </w:tcPr>
          <w:p>
            <w:pPr>
              <w:pStyle w:val="TableContents"/>
              <w:bidi w:val="0"/>
              <w:spacing w:before="0" w:after="283"/>
              <w:jc w:val="left"/>
              <w:rPr/>
            </w:pPr>
            <w:r>
              <w:rPr/>
              <w:t> </w:t>
            </w:r>
          </w:p>
        </w:tc>
        <w:tc>
          <w:tcPr>
            <w:tcW w:w="4950" w:type="dxa"/>
            <w:tcBorders/>
          </w:tcPr>
          <w:p>
            <w:pPr>
              <w:pStyle w:val="TableContents"/>
              <w:bidi w:val="0"/>
              <w:spacing w:before="0" w:after="0"/>
              <w:jc w:val="center"/>
              <w:rPr>
                <w:rFonts w:ascii="Times New Roman" w:hAnsi="Times New Roman"/>
                <w:b/>
                <w:sz w:val="14"/>
              </w:rPr>
            </w:pPr>
            <w:r>
              <w:rPr>
                <w:rFonts w:ascii="Times New Roman" w:hAnsi="Times New Roman"/>
                <w:b/>
                <w:sz w:val="14"/>
              </w:rPr>
              <w:t>(I.R.S. Employer</w:t>
            </w:r>
          </w:p>
          <w:p>
            <w:pPr>
              <w:pStyle w:val="TableContents"/>
              <w:bidi w:val="0"/>
              <w:spacing w:before="0" w:after="20"/>
              <w:jc w:val="center"/>
              <w:rPr>
                <w:rFonts w:ascii="Times New Roman" w:hAnsi="Times New Roman"/>
                <w:b/>
                <w:sz w:val="14"/>
              </w:rPr>
            </w:pPr>
            <w:r>
              <w:rPr>
                <w:rFonts w:ascii="Times New Roman" w:hAnsi="Times New Roman"/>
                <w:b/>
                <w:sz w:val="14"/>
              </w:rPr>
              <w:t>Identification Number)</w:t>
            </w:r>
          </w:p>
        </w:tc>
      </w:tr>
    </w:tbl>
    <w:p>
      <w:pPr>
        <w:pStyle w:val="TextBody"/>
        <w:bidi w:val="0"/>
        <w:spacing w:before="120" w:after="0"/>
        <w:jc w:val="center"/>
        <w:rPr>
          <w:rFonts w:ascii="Times New Roman" w:hAnsi="Times New Roman"/>
          <w:b/>
          <w:sz w:val="18"/>
        </w:rPr>
      </w:pPr>
      <w:r>
        <w:rPr>
          <w:rFonts w:ascii="Times New Roman" w:hAnsi="Times New Roman"/>
          <w:b/>
          <w:sz w:val="18"/>
        </w:rPr>
        <w:t xml:space="preserve">c/o Magnachip Semiconductor, Ltd. </w:t>
      </w:r>
    </w:p>
    <w:p>
      <w:pPr>
        <w:pStyle w:val="TextBody"/>
        <w:bidi w:val="0"/>
        <w:spacing w:before="0" w:after="0"/>
        <w:jc w:val="center"/>
        <w:rPr>
          <w:rFonts w:ascii="Times New Roman" w:hAnsi="Times New Roman"/>
          <w:b/>
          <w:sz w:val="18"/>
        </w:rPr>
      </w:pPr>
      <w:r>
        <w:rPr>
          <w:rFonts w:ascii="Times New Roman" w:hAnsi="Times New Roman"/>
          <w:b/>
          <w:sz w:val="18"/>
        </w:rPr>
        <w:t>15F, 76 Jikji-daero 436beon-gil, Heungdeok-gu</w:t>
      </w:r>
    </w:p>
    <w:p>
      <w:pPr>
        <w:pStyle w:val="TextBody"/>
        <w:bidi w:val="0"/>
        <w:spacing w:before="0" w:after="0"/>
        <w:jc w:val="center"/>
        <w:rPr>
          <w:rFonts w:ascii="Times New Roman" w:hAnsi="Times New Roman"/>
          <w:b/>
          <w:sz w:val="18"/>
        </w:rPr>
      </w:pPr>
      <w:r>
        <w:rPr>
          <w:rFonts w:ascii="Times New Roman" w:hAnsi="Times New Roman"/>
          <w:b/>
          <w:sz w:val="18"/>
        </w:rPr>
        <w:t xml:space="preserve">Cheongju-si, Chungcheongbuk-do, Republic of Korea 28581 </w:t>
      </w:r>
    </w:p>
    <w:p>
      <w:pPr>
        <w:pStyle w:val="TextBody"/>
        <w:bidi w:val="0"/>
        <w:spacing w:before="0" w:after="0"/>
        <w:jc w:val="center"/>
        <w:rPr>
          <w:rFonts w:ascii="Times New Roman" w:hAnsi="Times New Roman"/>
          <w:b/>
          <w:sz w:val="18"/>
        </w:rPr>
      </w:pPr>
      <w:r>
        <w:rPr>
          <w:rFonts w:ascii="Times New Roman" w:hAnsi="Times New Roman"/>
          <w:b/>
          <w:sz w:val="18"/>
        </w:rPr>
        <w:t xml:space="preserve">+82 (2) 6903-3000 </w:t>
      </w:r>
    </w:p>
    <w:p>
      <w:pPr>
        <w:pStyle w:val="TextBody"/>
        <w:bidi w:val="0"/>
        <w:spacing w:before="0" w:after="0"/>
        <w:jc w:val="center"/>
        <w:rPr>
          <w:rFonts w:ascii="Times New Roman" w:hAnsi="Times New Roman"/>
          <w:b/>
          <w:sz w:val="14"/>
        </w:rPr>
      </w:pPr>
      <w:r>
        <w:rPr>
          <w:rFonts w:ascii="Times New Roman" w:hAnsi="Times New Roman"/>
          <w:b/>
          <w:sz w:val="14"/>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18"/>
        </w:rPr>
      </w:pPr>
      <w:r>
        <w:rPr>
          <w:rFonts w:ascii="Times New Roman" w:hAnsi="Times New Roman"/>
          <w:b/>
          <w:sz w:val="18"/>
        </w:rPr>
        <w:t xml:space="preserve">Chae Lee </w:t>
      </w:r>
    </w:p>
    <w:p>
      <w:pPr>
        <w:pStyle w:val="TextBody"/>
        <w:bidi w:val="0"/>
        <w:spacing w:before="0" w:after="0"/>
        <w:jc w:val="center"/>
        <w:rPr>
          <w:rFonts w:ascii="Times New Roman" w:hAnsi="Times New Roman"/>
          <w:b/>
          <w:sz w:val="18"/>
        </w:rPr>
      </w:pPr>
      <w:r>
        <w:rPr>
          <w:rFonts w:ascii="Times New Roman" w:hAnsi="Times New Roman"/>
          <w:b/>
          <w:sz w:val="18"/>
        </w:rPr>
        <w:t xml:space="preserve">Chief Executive Officer </w:t>
      </w:r>
    </w:p>
    <w:p>
      <w:pPr>
        <w:pStyle w:val="TextBody"/>
        <w:bidi w:val="0"/>
        <w:spacing w:before="0" w:after="0"/>
        <w:jc w:val="center"/>
        <w:rPr>
          <w:rFonts w:ascii="Times New Roman" w:hAnsi="Times New Roman"/>
          <w:b/>
          <w:sz w:val="18"/>
        </w:rPr>
      </w:pPr>
      <w:r>
        <w:rPr>
          <w:rFonts w:ascii="Times New Roman" w:hAnsi="Times New Roman"/>
          <w:b/>
          <w:sz w:val="18"/>
        </w:rPr>
        <w:t xml:space="preserve">Magnachip Semiconductor Corporation </w:t>
      </w:r>
    </w:p>
    <w:p>
      <w:pPr>
        <w:pStyle w:val="TextBody"/>
        <w:bidi w:val="0"/>
        <w:spacing w:before="0" w:after="0"/>
        <w:jc w:val="center"/>
        <w:rPr>
          <w:rFonts w:ascii="Times New Roman" w:hAnsi="Times New Roman"/>
          <w:b/>
          <w:sz w:val="18"/>
        </w:rPr>
      </w:pPr>
      <w:r>
        <w:rPr>
          <w:rFonts w:ascii="Times New Roman" w:hAnsi="Times New Roman"/>
          <w:b/>
          <w:sz w:val="18"/>
        </w:rPr>
        <w:t>15F, 76 Jikji-daero 436beon-gil, Heungdeok-gu</w:t>
      </w:r>
    </w:p>
    <w:p>
      <w:pPr>
        <w:pStyle w:val="TextBody"/>
        <w:bidi w:val="0"/>
        <w:spacing w:before="0" w:after="0"/>
        <w:jc w:val="center"/>
        <w:rPr>
          <w:rFonts w:ascii="Times New Roman" w:hAnsi="Times New Roman"/>
          <w:b/>
          <w:sz w:val="18"/>
        </w:rPr>
      </w:pPr>
      <w:r>
        <w:rPr>
          <w:rFonts w:ascii="Times New Roman" w:hAnsi="Times New Roman"/>
          <w:b/>
          <w:sz w:val="18"/>
        </w:rPr>
        <w:t xml:space="preserve">Cheongju-si, Chungcheongbuk-do, Republic of Korea 28581 </w:t>
      </w:r>
    </w:p>
    <w:p>
      <w:pPr>
        <w:pStyle w:val="TextBody"/>
        <w:bidi w:val="0"/>
        <w:spacing w:before="0" w:after="0"/>
        <w:jc w:val="center"/>
        <w:rPr>
          <w:rFonts w:ascii="Times New Roman" w:hAnsi="Times New Roman"/>
          <w:b/>
          <w:sz w:val="18"/>
        </w:rPr>
      </w:pPr>
      <w:r>
        <w:rPr>
          <w:rFonts w:ascii="Times New Roman" w:hAnsi="Times New Roman"/>
          <w:b/>
          <w:sz w:val="18"/>
        </w:rPr>
        <w:t xml:space="preserve">+82 (2) 6903-3000 </w:t>
      </w:r>
    </w:p>
    <w:p>
      <w:pPr>
        <w:pStyle w:val="TextBody"/>
        <w:bidi w:val="0"/>
        <w:spacing w:before="0" w:after="0"/>
        <w:jc w:val="center"/>
        <w:rPr>
          <w:rFonts w:ascii="Times New Roman" w:hAnsi="Times New Roman"/>
          <w:b/>
          <w:sz w:val="14"/>
        </w:rPr>
      </w:pPr>
      <w:r>
        <w:rPr>
          <w:rFonts w:ascii="Times New Roman" w:hAnsi="Times New Roman"/>
          <w:b/>
          <w:sz w:val="14"/>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i/>
          <w:sz w:val="18"/>
        </w:rPr>
      </w:pPr>
      <w:r>
        <w:rPr>
          <w:rFonts w:ascii="Times New Roman" w:hAnsi="Times New Roman"/>
          <w:b/>
          <w:i/>
          <w:sz w:val="18"/>
        </w:rPr>
        <w:t xml:space="preserve">Copy to: </w:t>
      </w:r>
    </w:p>
    <w:p>
      <w:pPr>
        <w:pStyle w:val="TextBody"/>
        <w:bidi w:val="0"/>
        <w:spacing w:before="80" w:after="0"/>
        <w:jc w:val="center"/>
        <w:rPr>
          <w:rFonts w:ascii="Times New Roman" w:hAnsi="Times New Roman"/>
          <w:b/>
          <w:sz w:val="18"/>
        </w:rPr>
      </w:pPr>
      <w:r>
        <w:rPr>
          <w:rFonts w:ascii="Times New Roman" w:hAnsi="Times New Roman"/>
          <w:b/>
          <w:sz w:val="18"/>
        </w:rPr>
        <w:t xml:space="preserve">W. Stuart Ogg </w:t>
      </w:r>
    </w:p>
    <w:p>
      <w:pPr>
        <w:pStyle w:val="TextBody"/>
        <w:bidi w:val="0"/>
        <w:spacing w:before="0" w:after="0"/>
        <w:jc w:val="center"/>
        <w:rPr>
          <w:rFonts w:ascii="Times New Roman" w:hAnsi="Times New Roman"/>
          <w:b/>
          <w:sz w:val="18"/>
        </w:rPr>
      </w:pPr>
      <w:r>
        <w:rPr>
          <w:rFonts w:ascii="Times New Roman" w:hAnsi="Times New Roman"/>
          <w:b/>
          <w:sz w:val="18"/>
        </w:rPr>
        <w:t xml:space="preserve">Griffin Drake </w:t>
      </w:r>
    </w:p>
    <w:p>
      <w:pPr>
        <w:pStyle w:val="TextBody"/>
        <w:bidi w:val="0"/>
        <w:spacing w:before="0" w:after="0"/>
        <w:jc w:val="center"/>
        <w:rPr>
          <w:rFonts w:ascii="Times New Roman" w:hAnsi="Times New Roman"/>
          <w:b/>
          <w:sz w:val="18"/>
        </w:rPr>
      </w:pPr>
      <w:r>
        <w:rPr>
          <w:rFonts w:ascii="Times New Roman" w:hAnsi="Times New Roman"/>
          <w:b/>
          <w:sz w:val="18"/>
        </w:rPr>
        <w:t xml:space="preserve">Goodwin Procter LLP </w:t>
      </w:r>
    </w:p>
    <w:p>
      <w:pPr>
        <w:pStyle w:val="TextBody"/>
        <w:bidi w:val="0"/>
        <w:spacing w:before="0" w:after="0"/>
        <w:jc w:val="center"/>
        <w:rPr>
          <w:rFonts w:ascii="Times New Roman" w:hAnsi="Times New Roman"/>
          <w:b/>
          <w:sz w:val="18"/>
        </w:rPr>
      </w:pPr>
      <w:r>
        <w:rPr>
          <w:rFonts w:ascii="Times New Roman" w:hAnsi="Times New Roman"/>
          <w:b/>
          <w:sz w:val="18"/>
        </w:rPr>
        <w:t xml:space="preserve">601 Marshall Street </w:t>
      </w:r>
    </w:p>
    <w:p>
      <w:pPr>
        <w:pStyle w:val="TextBody"/>
        <w:bidi w:val="0"/>
        <w:spacing w:before="0" w:after="0"/>
        <w:jc w:val="center"/>
        <w:rPr>
          <w:rFonts w:ascii="Times New Roman" w:hAnsi="Times New Roman"/>
          <w:b/>
          <w:sz w:val="18"/>
        </w:rPr>
      </w:pPr>
      <w:r>
        <w:rPr>
          <w:rFonts w:ascii="Times New Roman" w:hAnsi="Times New Roman"/>
          <w:b/>
          <w:sz w:val="18"/>
        </w:rPr>
        <w:t xml:space="preserve">Redwood City, CA 94063 </w:t>
      </w:r>
    </w:p>
    <w:p>
      <w:pPr>
        <w:pStyle w:val="TextBody"/>
        <w:bidi w:val="0"/>
        <w:spacing w:before="0" w:after="0"/>
        <w:jc w:val="center"/>
        <w:rPr>
          <w:rFonts w:ascii="Times New Roman" w:hAnsi="Times New Roman"/>
          <w:b/>
          <w:sz w:val="18"/>
        </w:rPr>
      </w:pPr>
      <w:r>
        <w:rPr>
          <w:rFonts w:ascii="Times New Roman" w:hAnsi="Times New Roman"/>
          <w:b/>
          <w:sz w:val="18"/>
        </w:rPr>
        <w:t>(650) 752-3100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8"/>
        </w:rPr>
      </w:pPr>
      <w:r>
        <w:rPr>
          <w:rFonts w:ascii="Times New Roman" w:hAnsi="Times New Roman"/>
          <w:b/>
          <w:sz w:val="18"/>
        </w:rPr>
        <w:t>Approximate date of commencement of proposed sale to the public</w:t>
      </w:r>
      <w:r>
        <w:rPr>
          <w:rFonts w:ascii="Times New Roman" w:hAnsi="Times New Roman"/>
          <w:sz w:val="18"/>
        </w:rPr>
        <w:t xml:space="preserve">: From time to time after the effective date of this registration statement. </w:t>
      </w:r>
    </w:p>
    <w:p>
      <w:pPr>
        <w:pStyle w:val="TextBody"/>
        <w:bidi w:val="0"/>
        <w:spacing w:before="120" w:after="0"/>
        <w:jc w:val="left"/>
        <w:rPr>
          <w:rFonts w:ascii="Times New Roman" w:hAnsi="Times New Roman"/>
          <w:sz w:val="18"/>
        </w:rPr>
      </w:pPr>
      <w:r>
        <w:rPr>
          <w:rFonts w:ascii="Times New Roman" w:hAnsi="Times New Roman"/>
          <w:sz w:val="18"/>
        </w:rPr>
        <w:t xml:space="preserve">If the only securities being registered on this Form are being offered pursuant to dividend or interest reinvestment plans, please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49"/>
        <w:gridCol w:w="103"/>
        <w:gridCol w:w="4863"/>
        <w:gridCol w:w="120"/>
        <w:gridCol w:w="2626"/>
        <w:gridCol w:w="103"/>
        <w:gridCol w:w="241"/>
      </w:tblGrid>
      <w:tr>
        <w:trPr/>
        <w:tc>
          <w:tcPr>
            <w:tcW w:w="2149"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6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149"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63" w:type="dxa"/>
            <w:tcBorders/>
            <w:vAlign w:val="bottom"/>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262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r>
      <w:tr>
        <w:trPr>
          <w:trHeight w:val="60" w:hRule="atLeast"/>
        </w:trPr>
        <w:tc>
          <w:tcPr>
            <w:tcW w:w="2149" w:type="dxa"/>
            <w:tcBorders/>
            <w:vAlign w:val="center"/>
          </w:tcPr>
          <w:p>
            <w:pPr>
              <w:pStyle w:val="TableContents"/>
              <w:bidi w:val="0"/>
              <w:spacing w:before="0" w:after="283"/>
              <w:jc w:val="left"/>
              <w:rPr>
                <w:sz w:val="4"/>
                <w:szCs w:val="4"/>
              </w:rPr>
            </w:pPr>
            <w:r>
              <w:rPr>
                <w:sz w:val="4"/>
                <w:szCs w:val="4"/>
              </w:rPr>
            </w:r>
          </w:p>
        </w:tc>
        <w:tc>
          <w:tcPr>
            <w:tcW w:w="4966" w:type="dxa"/>
            <w:gridSpan w:val="2"/>
            <w:tcBorders/>
            <w:vAlign w:val="center"/>
          </w:tcPr>
          <w:p>
            <w:pPr>
              <w:pStyle w:val="TableContents"/>
              <w:bidi w:val="0"/>
              <w:spacing w:before="0" w:after="283"/>
              <w:jc w:val="left"/>
              <w:rPr>
                <w:sz w:val="4"/>
                <w:szCs w:val="4"/>
              </w:rPr>
            </w:pPr>
            <w:r>
              <w:rPr>
                <w:sz w:val="4"/>
                <w:szCs w:val="4"/>
              </w:rPr>
            </w:r>
          </w:p>
        </w:tc>
        <w:tc>
          <w:tcPr>
            <w:tcW w:w="2746" w:type="dxa"/>
            <w:gridSpan w:val="2"/>
            <w:tcBorders/>
            <w:vAlign w:val="center"/>
          </w:tcPr>
          <w:p>
            <w:pPr>
              <w:pStyle w:val="TableContents"/>
              <w:bidi w:val="0"/>
              <w:spacing w:before="0" w:after="283"/>
              <w:jc w:val="left"/>
              <w:rPr>
                <w:sz w:val="4"/>
                <w:szCs w:val="4"/>
              </w:rPr>
            </w:pPr>
            <w:r>
              <w:rPr>
                <w:sz w:val="4"/>
                <w:szCs w:val="4"/>
              </w:rPr>
            </w:r>
          </w:p>
        </w:tc>
        <w:tc>
          <w:tcPr>
            <w:tcW w:w="344" w:type="dxa"/>
            <w:gridSpan w:val="2"/>
            <w:tcBorders/>
            <w:vAlign w:val="center"/>
          </w:tcPr>
          <w:p>
            <w:pPr>
              <w:pStyle w:val="TableContents"/>
              <w:bidi w:val="0"/>
              <w:spacing w:before="0" w:after="283"/>
              <w:jc w:val="left"/>
              <w:rPr>
                <w:sz w:val="4"/>
                <w:szCs w:val="4"/>
              </w:rPr>
            </w:pPr>
            <w:r>
              <w:rPr>
                <w:sz w:val="4"/>
                <w:szCs w:val="4"/>
              </w:rPr>
            </w:r>
          </w:p>
        </w:tc>
      </w:tr>
      <w:tr>
        <w:trPr/>
        <w:tc>
          <w:tcPr>
            <w:tcW w:w="2149"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63" w:type="dxa"/>
            <w:tcBorders/>
            <w:vAlign w:val="bottom"/>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262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r>
      <w:tr>
        <w:trPr>
          <w:trHeight w:val="60" w:hRule="atLeast"/>
        </w:trPr>
        <w:tc>
          <w:tcPr>
            <w:tcW w:w="2149" w:type="dxa"/>
            <w:tcBorders/>
            <w:vAlign w:val="center"/>
          </w:tcPr>
          <w:p>
            <w:pPr>
              <w:pStyle w:val="TableContents"/>
              <w:bidi w:val="0"/>
              <w:spacing w:before="0" w:after="283"/>
              <w:jc w:val="left"/>
              <w:rPr>
                <w:sz w:val="4"/>
                <w:szCs w:val="4"/>
              </w:rPr>
            </w:pPr>
            <w:r>
              <w:rPr>
                <w:sz w:val="4"/>
                <w:szCs w:val="4"/>
              </w:rPr>
            </w:r>
          </w:p>
        </w:tc>
        <w:tc>
          <w:tcPr>
            <w:tcW w:w="4966" w:type="dxa"/>
            <w:gridSpan w:val="2"/>
            <w:tcBorders/>
            <w:vAlign w:val="center"/>
          </w:tcPr>
          <w:p>
            <w:pPr>
              <w:pStyle w:val="TableContents"/>
              <w:bidi w:val="0"/>
              <w:spacing w:before="0" w:after="283"/>
              <w:jc w:val="left"/>
              <w:rPr>
                <w:sz w:val="4"/>
                <w:szCs w:val="4"/>
              </w:rPr>
            </w:pPr>
            <w:r>
              <w:rPr>
                <w:sz w:val="4"/>
                <w:szCs w:val="4"/>
              </w:rPr>
            </w:r>
          </w:p>
        </w:tc>
        <w:tc>
          <w:tcPr>
            <w:tcW w:w="2746" w:type="dxa"/>
            <w:gridSpan w:val="2"/>
            <w:tcBorders/>
            <w:vAlign w:val="center"/>
          </w:tcPr>
          <w:p>
            <w:pPr>
              <w:pStyle w:val="TableContents"/>
              <w:bidi w:val="0"/>
              <w:spacing w:before="0" w:after="283"/>
              <w:jc w:val="left"/>
              <w:rPr>
                <w:sz w:val="4"/>
                <w:szCs w:val="4"/>
              </w:rPr>
            </w:pPr>
            <w:r>
              <w:rPr>
                <w:sz w:val="4"/>
                <w:szCs w:val="4"/>
              </w:rPr>
            </w:r>
          </w:p>
        </w:tc>
        <w:tc>
          <w:tcPr>
            <w:tcW w:w="344" w:type="dxa"/>
            <w:gridSpan w:val="2"/>
            <w:tcBorders/>
            <w:vAlign w:val="center"/>
          </w:tcPr>
          <w:p>
            <w:pPr>
              <w:pStyle w:val="TableContents"/>
              <w:bidi w:val="0"/>
              <w:spacing w:before="0" w:after="283"/>
              <w:jc w:val="left"/>
              <w:rPr>
                <w:sz w:val="4"/>
                <w:szCs w:val="4"/>
              </w:rPr>
            </w:pPr>
            <w:r>
              <w:rPr>
                <w:sz w:val="4"/>
                <w:szCs w:val="4"/>
              </w:rPr>
            </w:r>
          </w:p>
        </w:tc>
      </w:tr>
      <w:tr>
        <w:trPr/>
        <w:tc>
          <w:tcPr>
            <w:tcW w:w="2149"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63"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2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r>
    </w:tbl>
    <w:p>
      <w:pPr>
        <w:pStyle w:val="TextBody"/>
        <w:bidi w:val="0"/>
        <w:spacing w:before="120" w:after="0"/>
        <w:jc w:val="left"/>
        <w:rPr>
          <w:rFonts w:ascii="Times New Roman" w:hAnsi="Times New Roman"/>
          <w:sz w:val="18"/>
        </w:rPr>
      </w:pPr>
      <w:r>
        <w:rPr>
          <w:rFonts w:ascii="Times New Roman" w:hAnsi="Times New Roman"/>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b/>
          <w:sz w:val="18"/>
        </w:rPr>
      </w:pPr>
      <w:r>
        <w:rPr>
          <w:rFonts w:ascii="Times New Roman" w:hAnsi="Times New Roman"/>
          <w:b/>
          <w:sz w:val="18"/>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OCTOBER 5, 2026 </w:t>
      </w:r>
    </w:p>
    <w:p>
      <w:pPr>
        <w:pStyle w:val="TextBody"/>
        <w:bidi w:val="0"/>
        <w:spacing w:before="120" w:after="0"/>
        <w:ind w:left="960" w:right="960" w:hanging="0"/>
        <w:jc w:val="left"/>
        <w:rPr>
          <w:rFonts w:ascii="Times New Roman" w:hAnsi="Times New Roman"/>
          <w:b/>
          <w:sz w:val="20"/>
        </w:rPr>
      </w:pPr>
      <w:r>
        <w:rPr>
          <w:rFonts w:ascii="Times New Roman" w:hAnsi="Times New Roman"/>
          <w:b/>
          <w:sz w:val="20"/>
        </w:rPr>
        <w:t xml:space="preserve">PRELIMINARY PROSPECTUS </w:t>
      </w:r>
    </w:p>
    <w:p>
      <w:pPr>
        <w:pStyle w:val="TextBody"/>
        <w:bidi w:val="0"/>
        <w:spacing w:before="240" w:after="0"/>
        <w:ind w:left="960" w:right="960" w:hanging="0"/>
        <w:jc w:val="center"/>
        <w:rPr>
          <w:rFonts w:ascii="Times New Roman" w:hAnsi="Times New Roman"/>
          <w:b/>
          <w:sz w:val="48"/>
        </w:rPr>
      </w:pPr>
      <w:r>
        <w:rPr>
          <w:rFonts w:ascii="Times New Roman" w:hAnsi="Times New Roman"/>
          <w:b/>
          <w:sz w:val="48"/>
        </w:rPr>
        <w:t xml:space="preserve">Magnachip Semiconductor Corporation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2376805" cy="61468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76805" cy="614680"/>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Up to 1,461,988 Shares of Common Stock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This prospectus relates to the proposed offer and resale or other disposition from time to time of up to 1,461,988 shares of our common stock, par value $0.01 per share, by the selling stockholder identified in this prospectus (the “Selling Stockholder”). The shares of common stock being offered were issued and sold to the Selling Stockholder in a private placement, pursuant to a share purchase agreement, dated September 18, 2026, by and between us and the Selling Stockholder. See “Selling Stockholder” for additional information regarding the Selling Stockholder.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We are registering the resale of the shares of common stock pursuant to the Selling Stockholder’s registration rights under the share purchase agreement between us and the Selling Stockholder. Our registration of the resale of the shares of common stock covered by this prospectus does not mean that the Selling Stockholder will offer or sell all or any of the shares of common stock. The Selling Stockholder may offer, sell or distribute all or a portion of its shares of common stock from time to time directly or indirectly through one or more broker-dealers or agents, and in one or more public or private transactions.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 See the section entitled “</w:t>
      </w:r>
      <w:r>
        <w:rPr>
          <w:rFonts w:ascii="Times New Roman" w:hAnsi="Times New Roman"/>
          <w:i/>
          <w:sz w:val="20"/>
        </w:rPr>
        <w:t>Plan of Distribution</w:t>
      </w:r>
      <w:r>
        <w:rPr>
          <w:rFonts w:ascii="Times New Roman" w:hAnsi="Times New Roman"/>
          <w:sz w:val="20"/>
        </w:rPr>
        <w:t xml:space="preserve">” for more information.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will not sell any shares of common stock under this prospectus and will not receive any of the proceeds from the sale or other disposition of the shares of common stock by the Selling Stockholder. The Selling Stockholder will bear all commissions and discounts, if any, attributable to the sales of shares of common stock. We will bear all other costs, expenses and fees in connection with the registration of the shares of common stock.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Our common stock is listed on the New York Stock Exchange under the symbol “MX.” On October 1, 2026, the closing price for our common stock, as reported on the New York Stock Exchange, was $3.64 per share.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pPr>
      <w:r>
        <w:rPr>
          <w:rFonts w:ascii="Times New Roman" w:hAnsi="Times New Roman"/>
          <w:b/>
          <w:sz w:val="24"/>
        </w:rPr>
        <w:t>Investing in our securities involves a high degree of risk. You should review carefully the risks and uncertainties described under the heading “</w:t>
      </w:r>
      <w:hyperlink w:anchor="tx130667_5">
        <w:r>
          <w:rPr>
            <w:rStyle w:val="InternetLink"/>
            <w:rFonts w:ascii="Times New Roman" w:hAnsi="Times New Roman"/>
            <w:b/>
            <w:i/>
            <w:sz w:val="24"/>
          </w:rPr>
          <w:t>Risk Factors</w:t>
        </w:r>
      </w:hyperlink>
      <w:r>
        <w:rPr>
          <w:rFonts w:ascii="Times New Roman" w:hAnsi="Times New Roman"/>
          <w:sz w:val="24"/>
        </w:rPr>
        <w:t xml:space="preserve">” </w:t>
      </w:r>
      <w:r>
        <w:rPr>
          <w:rFonts w:ascii="Times New Roman" w:hAnsi="Times New Roman"/>
          <w:b/>
          <w:sz w:val="24"/>
        </w:rPr>
        <w:t>on page 7 of this prospectus (and any applicable prospectus supplement or free writing prospectus) and under any similar heading in the documents that are incorporated by reference into this prospectus, as well as “</w:t>
      </w:r>
      <w:hyperlink w:anchor="tx130667_2">
        <w:r>
          <w:rPr>
            <w:rStyle w:val="InternetLink"/>
            <w:rFonts w:ascii="Times New Roman" w:hAnsi="Times New Roman"/>
            <w:b/>
            <w:i/>
            <w:sz w:val="24"/>
          </w:rPr>
          <w:t>Special Note Regarding Forward-Looking Statements</w:t>
        </w:r>
      </w:hyperlink>
      <w:r>
        <w:rPr>
          <w:rFonts w:ascii="Times New Roman" w:hAnsi="Times New Roman"/>
          <w:sz w:val="24"/>
        </w:rPr>
        <w:t xml:space="preserve">” </w:t>
      </w:r>
      <w:r>
        <w:rPr>
          <w:rFonts w:ascii="Times New Roman" w:hAnsi="Times New Roman"/>
          <w:b/>
          <w:sz w:val="24"/>
        </w:rPr>
        <w:t xml:space="preserve">on page 3 of this prospectus. You should read the entire prospectus carefully before you make your investment decision.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We are a smaller reporting company as defined under federal securities laws and, as such, may elect to comply with certain reduced public company reporting requirements for future filings.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Neither the U.S.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The date of this prospectus is    ,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bookmarkStart w:id="2" w:name="toc"/>
      <w:bookmarkEnd w:id="2"/>
      <w:r>
        <w:rPr>
          <w:rFonts w:ascii="Times New Roman" w:hAnsi="Times New Roman"/>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30667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30667_2">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30667_3">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30667_4">
              <w:r>
                <w:rPr>
                  <w:rStyle w:val="InternetLink"/>
                  <w:rFonts w:ascii="Times New Roman" w:hAnsi="Times New Roman"/>
                  <w:sz w:val="20"/>
                </w:rPr>
                <w:t>OFFERING</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30667_5">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30667_6">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30667_7">
              <w:r>
                <w:rPr>
                  <w:rStyle w:val="InternetLink"/>
                  <w:rFonts w:ascii="Times New Roman" w:hAnsi="Times New Roman"/>
                  <w:sz w:val="20"/>
                </w:rPr>
                <w:t>SELLING STOCKHOLDER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30667_8">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30667_9">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30667_10">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30667_11">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30667_12">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30667_13">
              <w:r>
                <w:rPr>
                  <w:rStyle w:val="InternetLink"/>
                  <w:rFonts w:ascii="Times New Roman" w:hAnsi="Times New Roman"/>
                  <w:sz w:val="20"/>
                </w:rPr>
                <w:t>INCORPORATION OF CERTAIN INFORMATION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130667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shelf registration statement that we have filed with the Securities and Exchange Commission, or the SEC, under the Securities Act of 1933, as amended, or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Under the shelf registration process, the Selling Stockholder identified in this prospectus under the caption “Selling Stockholder” may, from time to time, sell up to an aggregate of 1,461,988 shares of common stock described in this prospectus in one or more offerings.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the Selling Stockholder may offer. When the Selling Stockholder sells shares of our common stock using this prospectus, we or the Selling Stockholder may, if required, provide a prospectus supplement that will contain specific information about the offering and the securities offered, and may also add, update or change information contained in this prospectus. If there is any inconsistency between information in this prospectus and any accompanying prospectus supplement, you should rely on the information in the most recent applicable prospectus supplement and documents incorporated by reference herein and therein.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or incorporated by reference in this prospectus or a prospectus supplement. Neither we nor the Selling Stockholder have authorized anyone else to provide you with information that is in addition to or different from that contained or incorporated by reference in this prospectus or a prospectus supplement. Neither we nor the Selling Stockholder takes responsibility for, and can provide no assurance as to the reliability of, any other information that others may give you.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is not offering to sell these securities in any jurisdiction where such offer and sale is not permitted. The distribution of this prospectus and the offering of the common stock in certain jurisdictions may be restricted by law. Persons outside the United States who come into possession of this prospectus must inform themselves about, and observe any restrictions relating to, the offering of the common stock and the distribution of this prospectus outside the United States. Neither this prospectus nor any accompanying prospectus supplement constitutes, and may not be used in connection with, an offer to sell, or a solicitation of an offer to buy, any securities offered by this prospectus or such accompanying prospectus supplement by any person in any jurisdiction in which it is unlawful for such person to make such an offer or solicitation. </w:t>
      </w:r>
    </w:p>
    <w:p>
      <w:pPr>
        <w:pStyle w:val="TextBody"/>
        <w:bidi w:val="0"/>
        <w:spacing w:before="240" w:after="0"/>
        <w:jc w:val="left"/>
        <w:rPr>
          <w:rFonts w:ascii="Times New Roman" w:hAnsi="Times New Roman"/>
          <w:sz w:val="20"/>
        </w:rPr>
      </w:pPr>
      <w:r>
        <w:rPr>
          <w:rFonts w:ascii="Times New Roman" w:hAnsi="Times New Roman"/>
          <w:sz w:val="20"/>
        </w:rPr>
        <w:t>The information contained in this prospectus or in an applicable prospectus supplement is accurate only as of their respective dates, and the information in the documents incorporated by reference in this prospectus or any applicable prospectus supplement is accurate only as of the date of those documents, regardless of the time of delivery of this prospectus or of any sale of our common stock. Our business, financial condition, results of operations and prospects may have changed since that date. It is important for you to read and consider all information contained or incorporated by reference in this prospectus or any applicable prospectus supplement in making your investment decision. You should read both this prospectus and any applicable prospectus supplement, as well as the documents incorporated by reference into this prospectus and the additional information described under “</w:t>
      </w:r>
      <w:r>
        <w:rPr>
          <w:rFonts w:ascii="Times New Roman" w:hAnsi="Times New Roman"/>
          <w:i/>
          <w:sz w:val="20"/>
        </w:rPr>
        <w:t>Where You Can Find More Information</w:t>
      </w:r>
      <w:r>
        <w:rPr>
          <w:rFonts w:ascii="Times New Roman" w:hAnsi="Times New Roman"/>
          <w:sz w:val="20"/>
        </w:rPr>
        <w:t xml:space="preserve">” in this prospectus, before investing in our common stock. </w:t>
      </w:r>
    </w:p>
    <w:p>
      <w:pPr>
        <w:pStyle w:val="TextBody"/>
        <w:bidi w:val="0"/>
        <w:spacing w:before="240" w:after="0"/>
        <w:jc w:val="left"/>
        <w:rPr>
          <w:rFonts w:ascii="Times New Roman" w:hAnsi="Times New Roman"/>
          <w:sz w:val="20"/>
        </w:rPr>
      </w:pPr>
      <w:r>
        <w:rPr>
          <w:rFonts w:ascii="Times New Roman" w:hAnsi="Times New Roman"/>
          <w:sz w:val="20"/>
        </w:rPr>
        <w:t>This prospectus, any applicable prospectus supplement, any applicable free writing prospectus and the information incorporated herein or therein by reference contains market data, industry statistics and other data that have been obtained or compiled from information made available by independent third parties. We have not independently verified the accuracy and completeness of such data. This prospectus, any applicable prospectus supplement, any applicable free writing prospectus and the information incorporated herein or therein by reference include trademarks, service marks and trade names owned by us or other companies. Solely for convenience, we may refer to our trademarks included or incorporated by reference in this</w:t>
        <w:br/>
        <w:t xml:space="preserve">prospectus, any applicable prospectus supplement or any free writing prospectus without the TM or ® symbols, but any such references are not intended to indicate that we will not assert, to the fullest extent permitted under applicable law, our rights to our trademarks or other intellectual property. All trademarks, service marks and trade names included or incorporated by reference in this prospectus, any applicable prospectus supplement or any related free writing prospectus are the property of their respective owners.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When used in this prospectus, the terms “Company,” “Magnachip,” “we,” “us” and “our” refer to Magnachip Semiconductor Corporation and its consolidated subsidiaries unless otherwise specified or the context otherwise requires.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130667_2"/>
      <w:bookmarkEnd w:id="4"/>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prospectus and any accompanying prospectus supplement or free writing prospectus that address activities, events or developments that we expect, believe or anticipate will or may occur in the future are forward-looking statements. </w:t>
      </w:r>
    </w:p>
    <w:p>
      <w:pPr>
        <w:pStyle w:val="TextBody"/>
        <w:bidi w:val="0"/>
        <w:spacing w:before="240" w:after="0"/>
        <w:jc w:val="left"/>
        <w:rPr>
          <w:rFonts w:ascii="Times New Roman" w:hAnsi="Times New Roman"/>
          <w:sz w:val="20"/>
        </w:rPr>
      </w:pPr>
      <w:r>
        <w:rPr>
          <w:rFonts w:ascii="Times New Roman" w:hAnsi="Times New Roman"/>
          <w:sz w:val="20"/>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Actual results or events could differ materially from the plans, intentions and expectations disclosed in the forward-looking statements we make. Management cautions all readers that the forward-looking statements contained in this prospectus, or any accompanying prospectus supplement, are not guarantees of future performance, and we cannot assure any reader that those statements will be realized or the forward-looking events and circumstances will occur. Our future financial condition and results of operations, as well as any forward-looking statements, are subject to inherent risks and uncertainties, including, but not limited to, those described under “</w:t>
      </w:r>
      <w:r>
        <w:rPr>
          <w:rFonts w:ascii="Times New Roman" w:hAnsi="Times New Roman"/>
          <w:i/>
          <w:sz w:val="20"/>
        </w:rPr>
        <w:t>Risk Factors</w:t>
      </w:r>
      <w:r>
        <w:rPr>
          <w:rFonts w:ascii="Times New Roman" w:hAnsi="Times New Roman"/>
          <w:sz w:val="20"/>
        </w:rPr>
        <w:t xml:space="preserve">” in this prospectus, any applicable prospectus supplement and any related free writing prospectus, and in any other documents incorporated herein or therein (including in our most recent annual report on Form 10-K, subsequent quarterly reports on Form 10-Q and other filings we make with the SEC pursuant to Section 13(a), 13(c), 14 or 15(d)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All forward-looking statements and reasons why results may differ included in this prospectus or incorporated by reference herein are made as of the date hereof and we do not intend to update any forward-looking statements except as required by law or applicable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tx130667_3"/>
      <w:bookmarkEnd w:id="5"/>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highlights information about us and our business contained elsewhere or incorporated by reference in this prospectus. It is not complete and does not contain all of the information that you should consider before investing in any of our securities. You should carefully read this prospectus together with the more detailed information incorporated by reference in this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designer and manufacturer of analog and mixed-signal power semiconductor platform solutions for various applications, including industrial, automotive, communication, consumer and computing. We provide a broad range of standard products to customers worldwide. We, with about 45 years of operating history, own a substantial number of registered patents and pending applications, and have extensive engineering, design and manufacturing process expertise.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develop and manufacture Power Analog Solutions, products and develop Power integrated circuit (“IC”) products. Power Analog Solutions products include metal oxide semiconductor field effect transistors and insulated-gate bipolar transistors for a range of devices, including televisions, smartphones, mobile phones, wearable devices, desktop PCs, notebook PCs, tablet PCs, home appliance, other consumer electronics, automotive and industrial applications such as power suppliers, e-bikes, photovoltaic inverters, LED lighting and motor drives.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Power IC products provide Power IC solutions to major television suppliers and large panel display suppliers. These products include AC-DC/DC-DC converters, LED drivers, regulators, power management integrated circuits and level shifter for a range of devices, including televisions, wearable devices, notebooks, tablet PCs and other consumer electronics, as well as automotive applications.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wide variety of analog and mixed-signal power semiconductor products combined with our mature technology platform allow us to address multiple high-growth end markets and rapidly develop and introduce new products and services in response to market demands. Our design center and substantial manufacturing operations in Korea place us at the core of the global electronics device supply chain. We believe this enables us to quickly and efficiently respond to our customers’ needs, and allows us to better serve and capture additional demand from existing and new customers. Substantially all of our Power IC products are produced using an external foundry. Through strategic cooperation with an external foundry, we seek to ensure we outsource wafers at competitive prices and produce quality products.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September 2026 Private Placement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September 18, 2026, we entered into a share purchase agreement by and between us and the Selling Stockholder, pursuant to which we agreed to issue and sell to the Selling Stockholder 1,461,988 shares of our common stock at a purchase price of $3.42 per share, for an aggregate purchase price of $5,000,000. The transaction closed and the shares were issued and sold on September 23, 2026.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History and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business was named “MagnaChip Semiconductor” when it was acquired from SK hynix Inc., formerly known as Hynix Semiconductor, Inc., in October 2004. On March 10, 2011, we completed our initial public offering. In connection with our initial public offering, we converted from a Delaware limited liability company to a Delaware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 is located at: 15F, 76, Jikji-daero 436beon-gil, Heungdeok-gu, Cheongju-si, Chungcheongbuk-do, 28581, Republic of Korea, our email address is </w:t>
      </w:r>
      <w:r>
        <w:rPr>
          <w:rFonts w:ascii="Times New Roman" w:hAnsi="Times New Roman"/>
          <w:i/>
          <w:sz w:val="20"/>
          <w:bdr w:val="single" w:sz="8" w:space="1" w:color="000000"/>
        </w:rPr>
        <w:t>investors@magnachip.com</w:t>
      </w:r>
      <w:r>
        <w:rPr>
          <w:rFonts w:ascii="Times New Roman" w:hAnsi="Times New Roman"/>
          <w:sz w:val="20"/>
          <w:bdr w:val="single" w:sz="8" w:space="1" w:color="000000"/>
        </w:rPr>
        <w:t xml:space="preserve">, and our telephone number is +82 (2) 6903-3000. Our website address is </w:t>
      </w:r>
      <w:r>
        <w:rPr>
          <w:rFonts w:ascii="Times New Roman" w:hAnsi="Times New Roman"/>
          <w:i/>
          <w:sz w:val="20"/>
          <w:bdr w:val="single" w:sz="8" w:space="1" w:color="000000"/>
        </w:rPr>
        <w:t>www.magnachip.com</w:t>
      </w:r>
      <w:r>
        <w:rPr>
          <w:rFonts w:ascii="Times New Roman" w:hAnsi="Times New Roman"/>
          <w:sz w:val="20"/>
          <w:bdr w:val="single" w:sz="8" w:space="1" w:color="000000"/>
        </w:rPr>
        <w:t>. We do not incorporate the information on or accessible through our website into this prospectus, and you should not consider any information on, or that can be accessed through, our website a part of this prospectus or incorporated by reference herein. For further information regarding us and our financial information, you should refer to our recent filings with the SEC. See “</w:t>
      </w:r>
      <w:r>
        <w:rPr>
          <w:rFonts w:ascii="Times New Roman" w:hAnsi="Times New Roman"/>
          <w:i/>
          <w:sz w:val="20"/>
          <w:bdr w:val="single" w:sz="8" w:space="1" w:color="000000"/>
        </w:rPr>
        <w:t>Where You Can Find More Information</w:t>
      </w:r>
      <w:r>
        <w:rPr>
          <w:rFonts w:ascii="Times New Roman" w:hAnsi="Times New Roman"/>
          <w:sz w:val="20"/>
          <w:bdr w:val="single" w:sz="8" w:space="1" w:color="000000"/>
        </w:rPr>
        <w:t>” and “</w:t>
      </w:r>
      <w:r>
        <w:rPr>
          <w:rFonts w:ascii="Times New Roman" w:hAnsi="Times New Roman"/>
          <w:i/>
          <w:sz w:val="20"/>
          <w:bdr w:val="single" w:sz="8" w:space="1" w:color="000000"/>
        </w:rPr>
        <w:t>Incorporation of Certain Information by Reference</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New York Stock Exchange Listing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common stock is listed on the New York Stock Exchange under the symbol “MX.”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“smaller reporting company” as defined in the Securities Exchange Act of 1934, as amended (the “Exchange Act”). We may take advantage of certain of the scaled disclosures available to smaller reporting companies until the fiscal year following the determination that our voting and non-voting common stock held by non-affiliates is more than $250 million measured on the last business day of our second fiscal quarter, or our annual revenues are less than $100 million during the most recently completed fiscal year and our voting and non-voting common stock held by non-affiliates is more than $700 million measured on the last business day of our second fiscal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tx130667_4"/>
      <w:bookmarkEnd w:id="6"/>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Shares of common stock offered by the Selling Stockholder</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1,461,988 shares of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tc>
        <w:tc>
          <w:tcPr>
            <w:tcW w:w="6326" w:type="dxa"/>
            <w:tcBorders/>
          </w:tcPr>
          <w:p>
            <w:pPr>
              <w:pStyle w:val="TableContents"/>
              <w:bidi w:val="0"/>
              <w:spacing w:before="0" w:after="283"/>
              <w:jc w:val="left"/>
              <w:rPr/>
            </w:pPr>
            <w:r>
              <w:rPr/>
              <w:t>We will not receive any proceeds from the sale of the shares of common stock by the Selling Stockholder pursuant to this prospectus, as described in “</w:t>
            </w:r>
            <w:r>
              <w:rPr>
                <w:i/>
              </w:rPr>
              <w:t>Use of Proceeds</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Terms of the offering</w:t>
            </w:r>
            <w:r>
              <w:rPr>
                <w:rFonts w:ascii="Times New Roman" w:hAnsi="Times New Roman"/>
                <w:sz w:val="20"/>
              </w:rPr>
              <w:t xml:space="preserve"> </w:t>
            </w:r>
          </w:p>
        </w:tc>
        <w:tc>
          <w:tcPr>
            <w:tcW w:w="6328" w:type="dxa"/>
            <w:tcBorders/>
          </w:tcPr>
          <w:p>
            <w:pPr>
              <w:pStyle w:val="TableContents"/>
              <w:bidi w:val="0"/>
              <w:spacing w:before="0" w:after="283"/>
              <w:jc w:val="left"/>
              <w:rPr/>
            </w:pPr>
            <w:r>
              <w:rPr/>
              <w:t>The Selling Stockholder will determine when and how they will sell the shares of common stock offered pursuant to this prospectus, as described in “</w:t>
            </w:r>
            <w:r>
              <w:rPr>
                <w:i/>
              </w:rPr>
              <w:t>Plan of Distribution</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Offering price</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The Selling Stockholder will offer the shares of common stock offered by this prospectus at fixed prices, at prevailing market prices at the time of the sale, at varying prices determined at the time of sale or at negotiated prices.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Investing in our securities involves a high degree of risk. You should read the “Risk Factors” section of this prospectus beginning on page 7 and in the documents incorporated by reference herein or therein, for a discussion of factors to consider carefully before deciding to invest in our securities.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b/>
                <w:sz w:val="20"/>
              </w:rPr>
              <w:t>NYSE ticker symbol for the common stock</w:t>
            </w:r>
            <w:r>
              <w:rPr>
                <w:rFonts w:ascii="Times New Roman" w:hAnsi="Times New Roman"/>
                <w:sz w:val="20"/>
              </w:rPr>
              <w:t xml:space="preserve"> </w:t>
            </w:r>
          </w:p>
        </w:tc>
        <w:tc>
          <w:tcPr>
            <w:tcW w:w="6326" w:type="dxa"/>
            <w:tcBorders/>
          </w:tcPr>
          <w:p>
            <w:pPr>
              <w:pStyle w:val="TableContents"/>
              <w:bidi w:val="0"/>
              <w:spacing w:before="0" w:after="283"/>
              <w:jc w:val="left"/>
              <w:rPr/>
            </w:pPr>
            <w:r>
              <w:rPr/>
              <w:t>“</w:t>
            </w:r>
            <w:r>
              <w:rPr/>
              <w:t xml:space="preserve">MX”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130667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Investing in our securities involves a high degree of risk. You should carefully consider the risks and uncertainties described under “Risk Factors” in our most recent annual report on Form 10-K as supplemented or updated in our most recent quarterly reports on Form 10-Q, any current report on Form 8-K, as well as any accompanying prospectus supplement or related free writing prospectus, together with all of the other information included or incorporated by reference in this prospectus and in any accompanying prospectus supplement or related free writing prospectus, as updated by our annual or quarterly reports for subsequent fiscal years or fiscal quarters that we file with the SEC and that are so incorporated. See “</w:t>
      </w:r>
      <w:r>
        <w:rPr>
          <w:rFonts w:ascii="Times New Roman" w:hAnsi="Times New Roman"/>
          <w:i/>
          <w:sz w:val="20"/>
        </w:rPr>
        <w:t>Where You Can Find More Information</w:t>
      </w:r>
      <w:r>
        <w:rPr>
          <w:rFonts w:ascii="Times New Roman" w:hAnsi="Times New Roman"/>
          <w:sz w:val="20"/>
        </w:rPr>
        <w:t>” and “</w:t>
      </w:r>
      <w:r>
        <w:rPr>
          <w:rFonts w:ascii="Times New Roman" w:hAnsi="Times New Roman"/>
          <w:i/>
          <w:sz w:val="20"/>
        </w:rPr>
        <w:t>Incorporation of Certain Information by Reference</w:t>
      </w:r>
      <w:r>
        <w:rPr>
          <w:rFonts w:ascii="Times New Roman" w:hAnsi="Times New Roman"/>
          <w:sz w:val="20"/>
        </w:rPr>
        <w:t xml:space="preserve">” for information about how to obtain a copy of these documents. You should also carefully consider the risks and other information that may be contained in, or incorporated by reference into, any prospectus supplement or free writing prospectus relating to specific offerings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If any of these risks actually occurs, our business, results of operations and financial condition could suffer. In that case, the trading price of our securities could decline, and you could lose all or part of your investment. Additional risks and uncertainties not currently known to us, or that we currently believe are immaterial, may also adversely affect our business, operating results and financial condition and the value of an investment in our securities. In addition, past financial performance may not be a reliable indicator of future performance, and historical trends should not be used to anticipate results or trends in future periods.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130667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may make offers and sales pursuant to this prospectus. We will not receive any of the proceeds of such offerings. </w:t>
      </w:r>
    </w:p>
    <w:p>
      <w:pPr>
        <w:pStyle w:val="TextBody"/>
        <w:bidi w:val="0"/>
        <w:spacing w:before="240" w:after="0"/>
        <w:jc w:val="left"/>
        <w:rPr>
          <w:rFonts w:ascii="Times New Roman" w:hAnsi="Times New Roman"/>
          <w:sz w:val="20"/>
        </w:rPr>
      </w:pPr>
      <w:r>
        <w:rPr>
          <w:rFonts w:ascii="Times New Roman" w:hAnsi="Times New Roman"/>
          <w:sz w:val="20"/>
        </w:rPr>
        <w:t>The Selling Stockholder will pay any underwriting discounts and commissions and expenses incurred by the Selling Stockholder for brokerage, accounting, tax or legal services or any other expenses incurred by the Selling Stockholder in disposing of the shares. We will incur certain expenses in connection with the registration with the SEC of the shares of our common stock to be sold by the Selling Stockholder.</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130667_7"/>
      <w:bookmarkEnd w:id="9"/>
      <w:r>
        <w:rPr>
          <w:rFonts w:ascii="Times New Roman" w:hAnsi="Times New Roman"/>
          <w:b/>
          <w:sz w:val="20"/>
        </w:rPr>
        <w:t xml:space="preserve">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being offered by the Selling Stockholder are those previously issued to the Selling Stockholder. The Selling Stockholder acquired these shares from us in a private placement pursuant to an exemption from registration under Section 4(a)(2) of the Securities Act and/or Regulation D promulgated thereunder. Pursuant to the share purchase agreement by and between us and the Selling Stockholder, we agreed to file a registration statement with the SEC for the purposes of registering for resale from time to time the shares of common stock. </w:t>
      </w:r>
    </w:p>
    <w:p>
      <w:pPr>
        <w:pStyle w:val="TextBody"/>
        <w:bidi w:val="0"/>
        <w:spacing w:before="240" w:after="0"/>
        <w:jc w:val="left"/>
        <w:rPr>
          <w:rFonts w:ascii="Times New Roman" w:hAnsi="Times New Roman"/>
          <w:sz w:val="20"/>
        </w:rPr>
      </w:pPr>
      <w:r>
        <w:rPr>
          <w:rFonts w:ascii="Times New Roman" w:hAnsi="Times New Roman"/>
          <w:sz w:val="20"/>
        </w:rPr>
        <w:t>Throughout this prospectus, when we refer to the Selling Stockholder, we are referring to the purchaser under the share purchase agreement by and between us and the Selling Stockholder. We will not receive any proceeds from the resale of the shares of common stock by the Selling Stockholder. We are registering the above-referenced shares to permit the Selling Stockholder and its pledgees, assignees, transferees, or other successors in-interest that receive its shares after the date of this prospectus to resell or otherwise dispose of the shares in the manner contemplated under “</w:t>
      </w:r>
      <w:r>
        <w:rPr>
          <w:rFonts w:ascii="Times New Roman" w:hAnsi="Times New Roman"/>
          <w:i/>
          <w:sz w:val="20"/>
        </w:rPr>
        <w:t>Plan of Distribution</w:t>
      </w:r>
      <w:r>
        <w:rPr>
          <w:rFonts w:ascii="Times New Roman" w:hAnsi="Times New Roman"/>
          <w:sz w:val="20"/>
        </w:rPr>
        <w:t xml:space="preserve">” herein. </w:t>
      </w:r>
    </w:p>
    <w:p>
      <w:pPr>
        <w:pStyle w:val="TextBody"/>
        <w:bidi w:val="0"/>
        <w:spacing w:before="240" w:after="0"/>
        <w:jc w:val="left"/>
        <w:rPr>
          <w:rFonts w:ascii="Times New Roman" w:hAnsi="Times New Roman"/>
          <w:sz w:val="20"/>
        </w:rPr>
      </w:pPr>
      <w:r>
        <w:rPr>
          <w:rFonts w:ascii="Times New Roman" w:hAnsi="Times New Roman"/>
          <w:sz w:val="20"/>
        </w:rPr>
        <w:t>The table below lists the Selling Stockholder and other information regarding the beneficial ownership of our common stock by the Selling Stockholder. Beneficial ownership is determined in accordance with the rules and regulations of the SEC and includes voting or investment power with respect to the securities. These rules generally provide that a person is the beneficial owner of securities if such person has or shares the power to vote or direct the voting thereof, or to dispose or direct the disposition thereof or has the right to acquire such powers within 60 days. Except as otherwise indicated, the Selling Stockholder has sole voting and investment power with respect to all shares of common stock held by it. The column titled “Number of shares of Common Stock Beneficially Owned Prior to the Offering” lists the number of common stock beneficially owned by the Selling Stockholder as of September 30, 2026. The column titled “Maximum Number of Shares of Common Stock to be Sold Pursuant to this Prospectus” lists the common stock being offered by this prospectus by the Selling Stockholder. Percentage of beneficial ownership is based on 38,041,317 shares of common stock outstanding as of September 30, 2026. The column titled “Number of shares of Common Stock Beneficially Owned After the Offering” assumes the sale of all of the shares of common stock offered by the Selling Stockholder pursuant to this prospectus. The Selling Stockholder may sell all, some or none of its shares of common stock in this offering. See “</w:t>
      </w:r>
      <w:r>
        <w:rPr>
          <w:rFonts w:ascii="Times New Roman" w:hAnsi="Times New Roman"/>
          <w:i/>
          <w:sz w:val="20"/>
        </w:rPr>
        <w:t>Plan of Distribution</w:t>
      </w:r>
      <w:r>
        <w:rPr>
          <w:rFonts w:ascii="Times New Roman" w:hAnsi="Times New Roman"/>
          <w:sz w:val="20"/>
        </w:rPr>
        <w:t xml:space="preserve">.” The Selling Stockholder may have sold or transferred some or all of the common stock indicated below and may in the future sell or transfer some or all of the common stock indicated below in transactions exempt from the registration requirements of the Securities Act rather than under this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06"/>
        <w:gridCol w:w="144"/>
        <w:gridCol w:w="73"/>
        <w:gridCol w:w="1314"/>
        <w:gridCol w:w="73"/>
        <w:gridCol w:w="166"/>
        <w:gridCol w:w="73"/>
        <w:gridCol w:w="586"/>
        <w:gridCol w:w="275"/>
        <w:gridCol w:w="93"/>
        <w:gridCol w:w="70"/>
        <w:gridCol w:w="1272"/>
        <w:gridCol w:w="60"/>
        <w:gridCol w:w="143"/>
        <w:gridCol w:w="66"/>
        <w:gridCol w:w="716"/>
        <w:gridCol w:w="180"/>
        <w:gridCol w:w="96"/>
        <w:gridCol w:w="63"/>
        <w:gridCol w:w="968"/>
        <w:gridCol w:w="68"/>
      </w:tblGrid>
      <w:tr>
        <w:trPr/>
        <w:tc>
          <w:tcPr>
            <w:tcW w:w="3706"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370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28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Number of shares of</w:t>
              <w:br/>
              <w:t>Common Stock</w:t>
              <w:br/>
              <w:t>Beneficially Owned</w:t>
              <w:br/>
              <w:t>Prior to the Offering</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3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Maximum</w:t>
              <w:br/>
              <w:t>Number of</w:t>
              <w:br/>
              <w:t>shares of</w:t>
              <w:br/>
              <w:t>Common</w:t>
              <w:br/>
              <w:t>Stock to be</w:t>
              <w:br/>
              <w:t>Sold</w:t>
              <w:br/>
              <w:t>Pursuant to</w:t>
              <w:br/>
              <w:t>this</w:t>
              <w:br/>
              <w:t>Prospectus</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8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Number of shares</w:t>
              <w:br/>
              <w:t>of Common Stock</w:t>
              <w:br/>
              <w:t>Beneficially</w:t>
              <w:br/>
              <w:t>Owned After the</w:t>
              <w:br/>
              <w:t>Offering</w:t>
            </w:r>
          </w:p>
        </w:tc>
        <w:tc>
          <w:tcPr>
            <w:tcW w:w="68" w:type="dxa"/>
            <w:tcBorders/>
            <w:vAlign w:val="bottom"/>
          </w:tcPr>
          <w:p>
            <w:pPr>
              <w:pStyle w:val="TableContents"/>
              <w:bidi w:val="0"/>
              <w:spacing w:before="0" w:after="283"/>
              <w:jc w:val="left"/>
              <w:rPr/>
            </w:pPr>
            <w:r>
              <w:rPr/>
              <w:t> </w:t>
            </w:r>
          </w:p>
        </w:tc>
      </w:tr>
      <w:tr>
        <w:trPr/>
        <w:tc>
          <w:tcPr>
            <w:tcW w:w="3706" w:type="dxa"/>
            <w:tcBorders/>
            <w:vAlign w:val="bottom"/>
          </w:tcPr>
          <w:p>
            <w:pPr>
              <w:pStyle w:val="TableContents"/>
              <w:bidi w:val="0"/>
              <w:spacing w:before="0" w:after="283"/>
              <w:jc w:val="left"/>
              <w:rPr>
                <w:b/>
              </w:rPr>
            </w:pPr>
            <w:r>
              <w:rPr>
                <w:b/>
              </w:rPr>
              <w:t>Name of Selling Stockholder</w:t>
            </w:r>
          </w:p>
        </w:tc>
        <w:tc>
          <w:tcPr>
            <w:tcW w:w="144" w:type="dxa"/>
            <w:tcBorders/>
            <w:vAlign w:val="bottom"/>
          </w:tcPr>
          <w:p>
            <w:pPr>
              <w:pStyle w:val="TableContents"/>
              <w:bidi w:val="0"/>
              <w:spacing w:before="0" w:after="283"/>
              <w:jc w:val="left"/>
              <w:rPr/>
            </w:pPr>
            <w:r>
              <w:rPr/>
              <w:t>  </w:t>
            </w:r>
          </w:p>
        </w:tc>
        <w:tc>
          <w:tcPr>
            <w:tcW w:w="1387" w:type="dxa"/>
            <w:gridSpan w:val="2"/>
            <w:tcBorders/>
            <w:vAlign w:val="bottom"/>
          </w:tcPr>
          <w:p>
            <w:pPr>
              <w:pStyle w:val="TableContents"/>
              <w:bidi w:val="0"/>
              <w:spacing w:before="0" w:after="283"/>
              <w:jc w:val="center"/>
              <w:rPr>
                <w:b/>
              </w:rPr>
            </w:pPr>
            <w:r>
              <w:rPr>
                <w:b/>
              </w:rPr>
              <w:t>Shares</w:t>
            </w:r>
          </w:p>
        </w:tc>
        <w:tc>
          <w:tcPr>
            <w:tcW w:w="7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59" w:type="dxa"/>
            <w:gridSpan w:val="2"/>
            <w:tcBorders/>
            <w:vAlign w:val="bottom"/>
          </w:tcPr>
          <w:p>
            <w:pPr>
              <w:pStyle w:val="TableContents"/>
              <w:bidi w:val="0"/>
              <w:spacing w:before="0" w:after="283"/>
              <w:jc w:val="center"/>
              <w:rPr>
                <w:b/>
              </w:rPr>
            </w:pPr>
            <w:r>
              <w:rPr>
                <w:b/>
              </w:rPr>
              <w:t>%</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34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82" w:type="dxa"/>
            <w:gridSpan w:val="2"/>
            <w:tcBorders/>
            <w:vAlign w:val="bottom"/>
          </w:tcPr>
          <w:p>
            <w:pPr>
              <w:pStyle w:val="TableContents"/>
              <w:bidi w:val="0"/>
              <w:spacing w:before="0" w:after="283"/>
              <w:jc w:val="center"/>
              <w:rPr>
                <w:b/>
              </w:rPr>
            </w:pPr>
            <w:r>
              <w:rPr>
                <w:b/>
              </w:rPr>
              <w:t>Shares</w:t>
            </w:r>
          </w:p>
        </w:tc>
        <w:tc>
          <w:tcPr>
            <w:tcW w:w="18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31" w:type="dxa"/>
            <w:gridSpan w:val="2"/>
            <w:tcBorders/>
            <w:vAlign w:val="bottom"/>
          </w:tcPr>
          <w:p>
            <w:pPr>
              <w:pStyle w:val="TableContents"/>
              <w:bidi w:val="0"/>
              <w:spacing w:before="0" w:after="283"/>
              <w:jc w:val="center"/>
              <w:rPr>
                <w:b/>
              </w:rPr>
            </w:pPr>
            <w:r>
              <w:rPr>
                <w:b/>
              </w:rPr>
              <w:t>%</w:t>
            </w:r>
          </w:p>
        </w:tc>
        <w:tc>
          <w:tcPr>
            <w:tcW w:w="68" w:type="dxa"/>
            <w:tcBorders/>
            <w:vAlign w:val="bottom"/>
          </w:tcPr>
          <w:p>
            <w:pPr>
              <w:pStyle w:val="TableContents"/>
              <w:bidi w:val="0"/>
              <w:spacing w:before="0" w:after="283"/>
              <w:jc w:val="left"/>
              <w:rPr/>
            </w:pPr>
            <w:r>
              <w:rPr/>
              <w:t> </w:t>
            </w:r>
          </w:p>
        </w:tc>
      </w:tr>
      <w:tr>
        <w:trPr/>
        <w:tc>
          <w:tcPr>
            <w:tcW w:w="37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Navitas Semiconductor Corporation (1)</w:t>
            </w:r>
          </w:p>
        </w:tc>
        <w:tc>
          <w:tcPr>
            <w:tcW w:w="144"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1,461,988</w:t>
            </w:r>
          </w:p>
        </w:tc>
        <w:tc>
          <w:tcPr>
            <w:tcW w:w="7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3.84</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1,461,988</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— </w:t>
            </w:r>
            <w:r>
              <w:rPr/>
              <w:t>(0</w:t>
            </w:r>
          </w:p>
        </w:tc>
        <w:tc>
          <w:tcPr>
            <w:tcW w:w="18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968" w:type="dxa"/>
            <w:tcBorders/>
            <w:shd w:fill="CCEEFF" w:val="clear"/>
            <w:vAlign w:val="bottom"/>
          </w:tcPr>
          <w:p>
            <w:pPr>
              <w:pStyle w:val="TableContents"/>
              <w:bidi w:val="0"/>
              <w:spacing w:before="0" w:after="283"/>
              <w:jc w:val="right"/>
              <w:rPr/>
            </w:pPr>
            <w:r>
              <w:rPr/>
              <w:t>— </w:t>
            </w:r>
            <w:r>
              <w:rPr/>
              <w:t>(0%)</w:t>
            </w:r>
          </w:p>
        </w:tc>
        <w:tc>
          <w:tcPr>
            <w:tcW w:w="6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Navitas Semiconductor Corporation is a publicly traded company. The address of the entity listed above is 3520 Challenger Street, Torrance, CA 90503.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share purchase agreement by and between us and the Selling Stockholder, we agreed to prepare and file with the SEC a registration statement that permits the resale or other disposition of the Selling Stockholder’s common stock issued pursuant to the share purchase agreement and to use commercially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reasonable efforts to keep the registration statement of which this prospectus forms a part effective under the Securities Act until the earlier of (i) the date on which all of the shares have been sold pursuant to and in accordance with the registration statement and (ii) the date on which all of the shares may be sold by the Selling Stockholder without restriction pursuant to Rule 144 under the Securities Act. We have also agreed, among other things, to indemnify the Selling Stockholder and its affiliates from certain liabilities and to pay all fees and expenses incident to our obligations under the share purchase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Material Relationships with the Selling Stockholder </w:t>
      </w:r>
    </w:p>
    <w:p>
      <w:pPr>
        <w:pStyle w:val="TextBody"/>
        <w:bidi w:val="0"/>
        <w:spacing w:before="120" w:after="0"/>
        <w:jc w:val="left"/>
        <w:rPr>
          <w:rFonts w:ascii="Times New Roman" w:hAnsi="Times New Roman"/>
          <w:sz w:val="20"/>
        </w:rPr>
      </w:pPr>
      <w:r>
        <w:rPr>
          <w:rFonts w:ascii="Times New Roman" w:hAnsi="Times New Roman"/>
          <w:sz w:val="20"/>
        </w:rPr>
        <w:t xml:space="preserve">Cristiano Amoruso is an independent member of our board of directors and an independent member of the board of directors of the Selling Stockholder. Mr. Amoruso is also the Managing Partner of Byreforge LLC, an entity beneficially owning greater than 5% of our outstanding stock. </w:t>
      </w:r>
    </w:p>
    <w:p>
      <w:pPr>
        <w:pStyle w:val="TextBody"/>
        <w:bidi w:val="0"/>
        <w:spacing w:before="240" w:after="0"/>
        <w:jc w:val="left"/>
        <w:rPr>
          <w:rFonts w:ascii="Times New Roman" w:hAnsi="Times New Roman"/>
          <w:sz w:val="20"/>
        </w:rPr>
      </w:pPr>
      <w:r>
        <w:rPr>
          <w:rFonts w:ascii="Times New Roman" w:hAnsi="Times New Roman"/>
          <w:sz w:val="20"/>
        </w:rPr>
        <w:t xml:space="preserve">Additionally, in July 2026, we entered into a strategic partnership with the Selling Stockholder to accelerate adoption of SiC technologies in high-voltage and ultra-high-voltage power markets.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above, the Selling Stockholder has not held any position or office with us or our affiliates within the last three years or had a material relationship with us or any of our predecessors or affiliates within the past three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130667_8"/>
      <w:bookmarkEnd w:id="10"/>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description of our common stock and preferred stock, together with the additional information we include in any applicable prospectus supplements, summarizes the material terms and provisions of our common stock and preferred stock that may be offered under this prospectus. The following description of our common stock and preferred stock does not purport to be complete and is subject to, and qualified in its entirety by, our Certificate of Incorporation and our Bylaws, which are exhibits to the registration statement of which this prospectus forms a part, and by applicable law. The terms of our common stock and preferred stock may also be affected by Delaware law.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that the Company may issue 155,000,000 shares of capital stock, of which 150,000,000 shares are designated as common stock, par value $0.01 per share, and 5,000,000 shares are designated as preferred stock, par value $0.01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i/>
          <w:sz w:val="20"/>
        </w:rPr>
      </w:pPr>
      <w:r>
        <w:rPr>
          <w:rFonts w:ascii="Times New Roman" w:hAnsi="Times New Roman"/>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are entitled to one vote for each share held of record on all matters submitted to a vote of the stockholders. Our stockholders do not have cumulative voting rights in the election of directors. Except as required by law or our Certificate of Incorporation and Bylaws, the vote of a majority of the shares represented in person or by proxy at any meeting at which a quorum is present will be sufficient for the transaction of any business at a meeting. </w:t>
      </w:r>
    </w:p>
    <w:p>
      <w:pPr>
        <w:pStyle w:val="TextBody"/>
        <w:bidi w:val="0"/>
        <w:spacing w:before="360" w:after="0"/>
        <w:jc w:val="left"/>
        <w:rPr>
          <w:rFonts w:ascii="Times New Roman" w:hAnsi="Times New Roman"/>
          <w:i/>
          <w:sz w:val="20"/>
        </w:rPr>
      </w:pPr>
      <w:r>
        <w:rPr>
          <w:rFonts w:ascii="Times New Roman" w:hAnsi="Times New Roman"/>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Subject to preferences held by, or that may be granted to, any outstanding shares of preferred stock, holders of our common stock will be entitled to receive ratably those dividends as may be declared by our board of directors out of funds legally available for such distributions, as well as any other distributions made to our stockholders. </w:t>
      </w:r>
    </w:p>
    <w:p>
      <w:pPr>
        <w:pStyle w:val="TextBody"/>
        <w:bidi w:val="0"/>
        <w:spacing w:before="360" w:after="0"/>
        <w:jc w:val="left"/>
        <w:rPr>
          <w:rFonts w:ascii="Times New Roman" w:hAnsi="Times New Roman"/>
          <w:i/>
          <w:sz w:val="20"/>
        </w:rPr>
      </w:pPr>
      <w:r>
        <w:rPr>
          <w:rFonts w:ascii="Times New Roman" w:hAnsi="Times New Roman"/>
          <w:i/>
          <w:sz w:val="20"/>
        </w:rPr>
        <w:t xml:space="preserve">Other Rights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liquidation, dissolution or winding up, holders of our common stock are entitled to share ratably in all of our assets remaining after we pay our liabilities and any liquidation preferences granted to the holders of outstanding shares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Holders of our common stock have no preemptive or other subscription or conversion rights. </w:t>
      </w:r>
    </w:p>
    <w:p>
      <w:pPr>
        <w:pStyle w:val="TextBody"/>
        <w:bidi w:val="0"/>
        <w:spacing w:before="240" w:after="0"/>
        <w:jc w:val="left"/>
        <w:rPr>
          <w:rFonts w:ascii="Times New Roman" w:hAnsi="Times New Roman"/>
          <w:sz w:val="20"/>
        </w:rPr>
      </w:pPr>
      <w:r>
        <w:rPr>
          <w:rFonts w:ascii="Times New Roman" w:hAnsi="Times New Roman"/>
          <w:sz w:val="20"/>
        </w:rPr>
        <w:t xml:space="preserve">There are no redemption or sinking fund provisions applicable to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New York Stock Exchange under the symbol “MX.” On October 1, 2026, the closing price for our common stock, as reported on the New York Stock Exchange, was $3.64 per share.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Equiniti Trust Company, LLC.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authorizes the issuance of 5,000,000 shares of blank check preferred stock with such designation, rights and preferences as may be determined from time to time by our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Accordingly, our board of directors is empowered, without stockholder approval, to issue preferred stock with dividend, liquidation, conversion, voting or other rights which could adversely affect the voting power or other rights of the holders of common stock. The preferred stock could be utilized as a method of discouraging, delaying or preventing a change in control of us.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may authorize the issuance of preferred stock with voting or conversion rights that could adversely affect the voting power or other rights of the holders of common stock. The issuance of preferred stock, while providing flexibility in connection with possible acquisitions and other corporate purposes, could, among other things, have the effect of delaying, deferring or preventing a change in our control that may otherwise benefit holders of our common stock and may adversely affect the market price of our common stock and the voting and other rights of the holders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Certain Anti-Takeover Effects of Delaware Law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provisions of Section 203 of the Delaware General Corporation Law, or the DGCL, regulating corporate takeovers and which has an anti-takeover effect with respect to transactions not approved in advance by our board of directors, including discouraging takeover attempts that might result in a premium over the market price for shares of our common stock. In general, those provisions prohibit a Delaware corporation from engaging in any business combination with any interested stockholder for a period of three years following the date that the stockholder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 is approved by our board of directors before the date the interested stockholder attained that status;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which resulted in the stockholder becoming an interested stockholder, the interested stockholder owned at least 85% of the voting stock of the corporation outstanding at the time the transaction commenced;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after such date, the business combination is approved by our board of directors and authorized at a meeting of stockholders, and not by written consent, by at least two-thirds of the outstanding voting stock that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DGCL Section 203 defines a business combination to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or consolidation involving the corporation and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 transfer, pledge or other disposition of 10% or more of the assets of the corporation involving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exceptions, any transaction that results in the issuance or transfer by the corporation of any stock of the corporation to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involving the corporation that has the effect of increasing the proportionate share of the stock of any class or series of the corporation beneficially owned by the interested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interested stockholder of the benefit of any loans, advances, guarantees, pledges or other financial benefits provided by or through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DGCL Section 203 defines an interested stockholder as any entity or person beneficially owning 15% or more of the outstanding voting stock of the corporation and any entity or person affiliated with or controlling or controlled by any such entity or person. </w:t>
      </w:r>
    </w:p>
    <w:p>
      <w:pPr>
        <w:pStyle w:val="TextBody"/>
        <w:bidi w:val="0"/>
        <w:spacing w:before="240" w:after="0"/>
        <w:jc w:val="left"/>
        <w:rPr>
          <w:rFonts w:ascii="Times New Roman" w:hAnsi="Times New Roman"/>
          <w:sz w:val="20"/>
        </w:rPr>
      </w:pPr>
      <w:r>
        <w:rPr>
          <w:rFonts w:ascii="Times New Roman" w:hAnsi="Times New Roman"/>
          <w:sz w:val="20"/>
        </w:rPr>
        <w:t xml:space="preserve">A Delaware corporation may opt out of this provision by express provision in its original certificate of incorporation or by amendment to its certificate of incorporation or bylaws approved by its stockholders. However, we have not opted out of this provision.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Certain Provisions of Our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Provisions in our Certificate of Incorporation and Bylaws may have the effect of delaying or preventing a change of control or changes in our management. Among other things, our Certificate of Incorporation and Bylaws: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our board of directors to issue, without stockholder approval, preferred stock with such terms as our board of directors may determine;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prohibit action by written consent of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prohibit any person other than our board of directors, the chairman of our board of directors, our Chief Executive Officer or holders of at least 25% of the voting power of all then outstanding shares of capital stock of the corporation entitled to vote generally in the election of directors to call a special meeting of our stockholders;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specify advance notice requirements for stockholder proposals and director nominations.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x130667_9"/>
      <w:bookmarkEnd w:id="11"/>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of the securities and any of its pledgees, assignees, transferees and successors-in-interest may, from time to time, sell any or all of its securities covered hereby on the principal trading market or any other stock exchange, market or trading facility on which the securities are traded or in private transactions. These sales may be at fixed prices, at prevailing market prices at the time of the sale, at varying prices determined at the time of sale or at negotiated prices. The Selling Stockholder may use any one or more of the following methods when selling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settlement of short sales entered into after the effective date of the registration statement of which this prospectus is a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transactions through broker-dealers that agree with the Selling Stockholder to sell a specified number of such shares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such options are listed on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may also resell all or a portion of the shares in open market transactions in reliance upon an exemption from registration under the Securities Act, including upon Rule 144 under the Securities Act, as permitted by that rule, or Section 4(a)(1) under the Securities Act, if available, rather than under this prospectus (as supplemented or amended to reflect such transactions); provided that they meet the criteria and conform to the requirements of such exemptions and provisions. </w:t>
      </w:r>
    </w:p>
    <w:p>
      <w:pPr>
        <w:pStyle w:val="TextBody"/>
        <w:bidi w:val="0"/>
        <w:spacing w:before="240" w:after="0"/>
        <w:jc w:val="left"/>
        <w:rPr>
          <w:rFonts w:ascii="Times New Roman" w:hAnsi="Times New Roman"/>
          <w:sz w:val="20"/>
        </w:rPr>
      </w:pPr>
      <w:r>
        <w:rPr>
          <w:rFonts w:ascii="Times New Roman" w:hAnsi="Times New Roman"/>
          <w:sz w:val="20"/>
        </w:rPr>
        <w:t xml:space="preserve">Broker-dealers engaged by the Selling Stockholder may arrange for other broker-dealers to participate in sales. Broker-dealers may receive commissions in the form of discounts, concessions or commissions from the Selling Stockholder or commissions from purchasers of the shares of common stock for whom it may act as agent or to whom it may sell as principal. Such commissions will be in amounts to be negotiated, but, except as set forth in a further prospectus supplement or an amendment to this prospectus, in the case of an agency transaction not in excess of a customary brokerage commission in compliance with FINRA Rule 2121; and in the case of a principal transaction, a markup or markdown in compliance with FINRA Rule 2121.01.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may, from time to time, pledge or grant a security interest in some or all of the securities owned by it and, if it defaults in the performance of its secured obligations, the pledgees or secured parties may offer and sell the securities, from time to time, under this prospectus, or under any amendment to this prospectus under Rule 424(b)(3) or other applicable provision of the Securities Act, amending, if necessary, the Selling Stockholder table to include the pledgee, transferee or other successors-in-interest as Selling Stockholder under this prospectus. The Selling Stockholder also may transfer the securities in other circumstances, in which case the transferees, pledgees, donees or other successors-in-interest will be the selling beneficial owners for purposes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sales of the shares of common stock or otherwise, the Selling Stockholder may enter into hedging transactions with broker-dealers or other financial institutions, which may in turn engage in short sales of the shares of common stock in the course of hedging in positions they assume. The Selling Stockholder may also sell shares of common stock short and if such short sale shall take place after the date of this prospectus, the Selling Stockholder may deliver shares of common stock covered by this prospectus to close out short positions and to return borrowed shares in connection with such short sales. The Selling Stockholder may also loan or pledge shares of common stock to broker-dealers that in turn may sell such shares, to the extent permitted by applicable law. The Selling Stockholder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proceeds to the Selling Stockholder from the sale of the securities offered by it will be the purchase price of the securities less discounts or commissions, if any. The Selling Stockholder reserves the right to accept and, together with its agents from time to time, to reject, in whole or in part, any proposed purchase of securities to be made directly or through agents. We will not receive any of the proceeds from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it may be deemed to be underwriting commissions or discounts under the Securities Act. The Selling Stockholder has informed us that it does not have any written or oral agreement or understanding, directly or indirectly, with any person to distribute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are required to pay certain fees and expenses incurred by us incident to the registration of the securities. We have agreed to indemnify each Selling Stockholder against certain losses, claims, damages and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share purchase agreement by and between us and the Selling Stockholder, we agreed to use commercially reasonable efforts to keep the registration statement of which this prospectus forms a part effective under the Securities Act until the earlier of (i) the date on which all of the shares have been sold pursuant to and in accordance with the registration statement and (ii) the date on which all of the shares may be sold by the Selling Stockholder without restriction pursuant to Rule 144 under the Securities Act.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 will be subject to applicable provisions of the Exchange Act and the rules and regulations thereunder, including Regulation M, which may limit the timing of purchases and sales of the common stock by the Selling Stockholder or any other person. We will make copies of this prospectus available to the Selling Stockholder and have informed it of the need to deliver a copy of this prospectus to each purchaser at or prior to the time of the sale (including by compliance with Rule 172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130667_10"/>
      <w:bookmarkEnd w:id="1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offered by this prospectus will be passed upon for us by Goodwin Procter LLP, Redwood City, California. Any dealers and agents will also be advised about legal matters related to any offering by their own counsel, which will be named in the prospectus supplement. </w:t>
      </w:r>
    </w:p>
    <w:p>
      <w:pPr>
        <w:pStyle w:val="TextBody"/>
        <w:bidi w:val="0"/>
        <w:spacing w:before="480" w:after="0"/>
        <w:jc w:val="center"/>
        <w:rPr>
          <w:rFonts w:ascii="Times New Roman" w:hAnsi="Times New Roman"/>
          <w:b/>
          <w:sz w:val="20"/>
        </w:rPr>
      </w:pPr>
      <w:bookmarkStart w:id="13" w:name="tx130667_11"/>
      <w:bookmarkEnd w:id="1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EY Han Young, independent registered public accounting firm, has audited our consolidated financial statements included in our Annual Report on Form 10-K for the year ended December 31, 2025, and the effectiveness of our internal control over financial reporting as of December 31, 2025, as set forth in their reports, which are incorporated by reference in this prospectus and elsewhere in the registration statement. Our financial statements are incorporated by reference in reliance on EY Han Young’s reports, given on their authority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as of December 31, 2024 and for the year ended December 31, 2024 incorporated in this prospectus by reference to the Annual Report on Form 10-K for the year ended December 31, 2025 have been so incorporated in reliance on the report of Samil PricewaterhouseCoopers, an independent registered public accounting firm, given on the authority of said firm as experts in auditing and accounting. </w:t>
      </w:r>
    </w:p>
    <w:p>
      <w:pPr>
        <w:pStyle w:val="TextBody"/>
        <w:bidi w:val="0"/>
        <w:spacing w:before="480" w:after="0"/>
        <w:jc w:val="center"/>
        <w:rPr>
          <w:rFonts w:ascii="Times New Roman" w:hAnsi="Times New Roman"/>
          <w:b/>
          <w:sz w:val="20"/>
        </w:rPr>
      </w:pPr>
      <w:bookmarkStart w:id="14" w:name="tx130667_12"/>
      <w:bookmarkEnd w:id="14"/>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shelf registration statement that we have filed with the SEC. This prospectus and any applicable prospectus supplement do not contain all of the information set forth in the registration statement and its exhibits and schedules in accordance with SEC rules and regulations. For further information with respect to us and the securities being offered by this prospectus and any applicable prospectus supplement, you should read the registration statement, including its exhibits and schedules. Statements contained in this prospectus and any applicable prospectus supplement,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EDGAR database or our website.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documents with the SEC under the U.S. Securities Exchange Act of 1934, as amended, or the Exchange Act. The SEC maintains a website that contains reports, proxy and information statements and other information regarding issuers, including us, that file electronically with the SEC. You may obtain documents that we file with the SEC at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also make these documents available on our website at </w:t>
      </w:r>
      <w:r>
        <w:rPr>
          <w:rFonts w:ascii="Times New Roman" w:hAnsi="Times New Roman"/>
          <w:i/>
          <w:sz w:val="20"/>
        </w:rPr>
        <w:t>www.investors.magnachip.com</w:t>
      </w:r>
      <w:r>
        <w:rPr>
          <w:rFonts w:ascii="Times New Roman" w:hAnsi="Times New Roman"/>
          <w:sz w:val="20"/>
        </w:rPr>
        <w:t xml:space="preserve">. Our website and the information contained or connected to our website is not incorporated by reference in this prospectus or any prospectus supplement, and you should not consider it part of this prospectus or any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130667_13"/>
      <w:bookmarkEnd w:id="15"/>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SEC rules permit us to incorporate information by reference in this prospectus and the applicable prospectus supplement. This means that we can disclose important information to you by referring you to another document filed separately with the SEC. The information incorporated by reference is considered to be part of this prospectus and any applicable prospectus supplement, except for information superseded by information contained in this prospectus or any applicable prospectus supplement itself or in any subsequently filed incorporated document. This prospectus and any applicable prospectus supplement incorporate by reference the documents set forth below that we have previously filed with the SEC, other than information in such documents that is deemed to be furnished and not filed. These documents contain important information about us and our business and financial condition.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hyperlink r:id="rId3">
              <w:r>
                <w:rPr>
                  <w:rStyle w:val="InternetLink"/>
                  <w:rFonts w:ascii="Times New Roman" w:hAnsi="Times New Roman"/>
                  <w:sz w:val="20"/>
                </w:rPr>
                <w:t>Annual Report on Form 10-K</w:t>
              </w:r>
            </w:hyperlink>
            <w:r>
              <w:rPr>
                <w:rFonts w:ascii="Times New Roman" w:hAnsi="Times New Roman"/>
                <w:sz w:val="20"/>
              </w:rPr>
              <w:t xml:space="preserve"> for the year ended December 31, 2025, filed with the SEC on March 16,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Reports on Form 10-Q for the quarters ended </w:t>
            </w:r>
            <w:hyperlink r:id="rId4">
              <w:r>
                <w:rPr>
                  <w:rStyle w:val="InternetLink"/>
                  <w:rFonts w:ascii="Times New Roman" w:hAnsi="Times New Roman"/>
                  <w:sz w:val="20"/>
                </w:rPr>
                <w:t>March 31, 2026</w:t>
              </w:r>
            </w:hyperlink>
            <w:r>
              <w:rPr>
                <w:rFonts w:ascii="Times New Roman" w:hAnsi="Times New Roman"/>
                <w:sz w:val="20"/>
              </w:rPr>
              <w:t xml:space="preserve"> and </w:t>
            </w:r>
            <w:hyperlink r:id="rId5">
              <w:r>
                <w:rPr>
                  <w:rStyle w:val="InternetLink"/>
                  <w:rFonts w:ascii="Times New Roman" w:hAnsi="Times New Roman"/>
                  <w:sz w:val="20"/>
                </w:rPr>
                <w:t>June 30, 2026</w:t>
              </w:r>
            </w:hyperlink>
            <w:r>
              <w:rPr>
                <w:rFonts w:ascii="Times New Roman" w:hAnsi="Times New Roman"/>
                <w:sz w:val="20"/>
              </w:rPr>
              <w:t xml:space="preserve">, filed with the SEC on May 8, 2026 and August 10, 2026,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w:t>
            </w:r>
            <w:hyperlink r:id="rId6">
              <w:r>
                <w:rPr>
                  <w:rStyle w:val="InternetLink"/>
                  <w:rFonts w:ascii="Times New Roman" w:hAnsi="Times New Roman"/>
                  <w:sz w:val="20"/>
                </w:rPr>
                <w:t>Annual Report on Form 10-K</w:t>
              </w:r>
            </w:hyperlink>
            <w:r>
              <w:rPr>
                <w:rFonts w:ascii="Times New Roman" w:hAnsi="Times New Roman"/>
                <w:sz w:val="20"/>
              </w:rPr>
              <w:t xml:space="preserve"> for the fiscal year ended December  31, 2025 from our </w:t>
            </w:r>
            <w:hyperlink r:id="rId7">
              <w:r>
                <w:rPr>
                  <w:rStyle w:val="InternetLink"/>
                  <w:rFonts w:ascii="Times New Roman" w:hAnsi="Times New Roman"/>
                  <w:sz w:val="20"/>
                </w:rPr>
                <w:t>definitive proxy statement on Schedule 14A</w:t>
              </w:r>
            </w:hyperlink>
            <w:r>
              <w:rPr>
                <w:rFonts w:ascii="Times New Roman" w:hAnsi="Times New Roman"/>
                <w:sz w:val="20"/>
              </w:rPr>
              <w:t xml:space="preserve"> (other than information furnished rather than filed) filed with the SEC on April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Current Reports on Form 8-K, filed with the SEC on </w:t>
            </w:r>
            <w:hyperlink r:id="rId8">
              <w:r>
                <w:rPr>
                  <w:rStyle w:val="InternetLink"/>
                  <w:rFonts w:ascii="Times New Roman" w:hAnsi="Times New Roman"/>
                  <w:sz w:val="20"/>
                </w:rPr>
                <w:t>January 14, 2026</w:t>
              </w:r>
            </w:hyperlink>
            <w:r>
              <w:rPr>
                <w:rFonts w:ascii="Times New Roman" w:hAnsi="Times New Roman"/>
                <w:sz w:val="20"/>
              </w:rPr>
              <w:t xml:space="preserve">, </w:t>
            </w:r>
            <w:hyperlink r:id="rId9">
              <w:r>
                <w:rPr>
                  <w:rStyle w:val="InternetLink"/>
                  <w:rFonts w:ascii="Times New Roman" w:hAnsi="Times New Roman"/>
                  <w:sz w:val="20"/>
                </w:rPr>
                <w:t>January  20, 2026</w:t>
              </w:r>
            </w:hyperlink>
            <w:r>
              <w:rPr>
                <w:rFonts w:ascii="Times New Roman" w:hAnsi="Times New Roman"/>
                <w:sz w:val="20"/>
              </w:rPr>
              <w:t xml:space="preserve">, </w:t>
            </w:r>
            <w:hyperlink r:id="rId10">
              <w:r>
                <w:rPr>
                  <w:rStyle w:val="InternetLink"/>
                  <w:rFonts w:ascii="Times New Roman" w:hAnsi="Times New Roman"/>
                  <w:sz w:val="20"/>
                </w:rPr>
                <w:t>June  17, 2026</w:t>
              </w:r>
            </w:hyperlink>
            <w:r>
              <w:rPr>
                <w:rFonts w:ascii="Times New Roman" w:hAnsi="Times New Roman"/>
                <w:sz w:val="20"/>
              </w:rPr>
              <w:t xml:space="preserve">, </w:t>
            </w:r>
            <w:hyperlink r:id="rId11">
              <w:r>
                <w:rPr>
                  <w:rStyle w:val="InternetLink"/>
                  <w:rFonts w:ascii="Times New Roman" w:hAnsi="Times New Roman"/>
                  <w:sz w:val="20"/>
                </w:rPr>
                <w:t>June  30, 2026</w:t>
              </w:r>
            </w:hyperlink>
            <w:r>
              <w:rPr>
                <w:rFonts w:ascii="Times New Roman" w:hAnsi="Times New Roman"/>
                <w:sz w:val="20"/>
              </w:rPr>
              <w:t xml:space="preserve"> and </w:t>
            </w:r>
            <w:hyperlink r:id="rId12">
              <w:r>
                <w:rPr>
                  <w:rStyle w:val="InternetLink"/>
                  <w:rFonts w:ascii="Times New Roman" w:hAnsi="Times New Roman"/>
                  <w:sz w:val="20"/>
                </w:rPr>
                <w:t>September 21,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which is registered under Section  12 of the Exchange Act, contained in </w:t>
            </w:r>
            <w:hyperlink r:id="rId13">
              <w:r>
                <w:rPr>
                  <w:rStyle w:val="InternetLink"/>
                  <w:rFonts w:ascii="Times New Roman" w:hAnsi="Times New Roman"/>
                  <w:sz w:val="20"/>
                </w:rPr>
                <w:t>Exhibit 4.1 to our Annual Report on Form 10-K</w:t>
              </w:r>
            </w:hyperlink>
            <w:r>
              <w:rPr>
                <w:rFonts w:ascii="Times New Roman" w:hAnsi="Times New Roman"/>
                <w:sz w:val="20"/>
              </w:rPr>
              <w:t xml:space="preserve"> for the fiscal year ended December 31, 2025, filed with the SEC on March 16, 2026, including any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that we file (but not those that we furnish) pursuant to Section 13(a), 13(c), 14 or 15(d) of the Exchange Act, after the date of the initial registration statement of which this prospectus is a part and prior to the effectiveness of the registration statement and following the effectiveness of the registration statement until the offering of the securities under the registration statement is terminated or completed shall be deemed to be incorporated by reference into this prospectus and will automatically update and supersede the information in this prospectus, and any previously filed documents. </w:t>
      </w:r>
    </w:p>
    <w:p>
      <w:pPr>
        <w:pStyle w:val="TextBody"/>
        <w:bidi w:val="0"/>
        <w:spacing w:before="240" w:after="0"/>
        <w:jc w:val="left"/>
        <w:rPr>
          <w:rFonts w:ascii="Times New Roman" w:hAnsi="Times New Roman"/>
          <w:sz w:val="20"/>
        </w:rPr>
      </w:pPr>
      <w:r>
        <w:rPr>
          <w:rFonts w:ascii="Times New Roman" w:hAnsi="Times New Roman"/>
          <w:sz w:val="20"/>
        </w:rPr>
        <w:t>Any statement contained herein or in a document incorporated or deemed to be incorporated by reference in this prospectus or any applicable prospectus supplement shall be deemed to be modified or superseded for purposes of this prospectus and any such applicable prospectus supplement to the extent that a statement contained in this prospectus or any such applicable prospectus supplement, or in any other subsequently filed document which also is or is deemed to be incorporated by reference in this prospectus and any such applicable prospectus supplement, modifies or supersedes such earlier statement. Any statement so modified or superseded shall not be deemed, except as so modified or superseded, to constitute a part of this prospectus or any such applicable prospectus supplement. Nothing in this prospectus shall be deemed to incorporate information furnished but not filed with the SEC pursuant to Item 2.02 or Item 7.01 of Form 8-K.</w:t>
      </w:r>
    </w:p>
    <w:p>
      <w:pPr>
        <w:pStyle w:val="TextBody"/>
        <w:bidi w:val="0"/>
        <w:spacing w:before="240" w:after="0"/>
        <w:jc w:val="left"/>
        <w:rPr>
          <w:rFonts w:ascii="Times New Roman" w:hAnsi="Times New Roman"/>
          <w:sz w:val="20"/>
        </w:rPr>
      </w:pPr>
      <w:r>
        <w:rPr>
          <w:rFonts w:ascii="Times New Roman" w:hAnsi="Times New Roman"/>
          <w:sz w:val="20"/>
        </w:rPr>
        <w:t xml:space="preserve">Upon request, we will provide, without charge, to each person, including any beneficial owner, to whom a copy of this prospectus or an applicable prospectus supplement is delivered, a copy of the documents incorporated by reference into this prospectus or any such prospectus supplement but not delivered with this prospectus or such prospectus supplement. You may request a copy of these filings, and any exhibits we have specifically incorporated by reference as an exhibit in this prospectus or such prospectus supplement, at no cost by writing us at the following address: c/o Magnachip Semiconductor, Ltd., 15F, 76 Jikji-daero 436beon-gil, Heungdeok-gu, Cheongju-si, Chungcheongbuk-do, 28581, Republic of Korea; Attention: Investor Relations; email address: </w:t>
      </w:r>
      <w:r>
        <w:rPr>
          <w:rFonts w:ascii="Times New Roman" w:hAnsi="Times New Roman"/>
          <w:i/>
          <w:sz w:val="20"/>
        </w:rPr>
        <w:t>investors@magnachip.com</w:t>
      </w:r>
      <w:r>
        <w:rPr>
          <w:rFonts w:ascii="Times New Roman" w:hAnsi="Times New Roman"/>
          <w:sz w:val="20"/>
        </w:rPr>
        <w:t xml:space="preserve"> or by telephone at: +82 (2) 6903-3000.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376805" cy="61468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4"/>
                    <a:stretch>
                      <a:fillRect/>
                    </a:stretch>
                  </pic:blipFill>
                  <pic:spPr bwMode="auto">
                    <a:xfrm>
                      <a:off x="0" y="0"/>
                      <a:ext cx="2376805" cy="61468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32"/>
        </w:rPr>
      </w:pPr>
      <w:r>
        <w:rPr>
          <w:rFonts w:ascii="Times New Roman" w:hAnsi="Times New Roman"/>
          <w:b/>
          <w:sz w:val="32"/>
        </w:rPr>
        <w:t xml:space="preserve">Up to 1,461,988 Shares of Common Stock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2400" w:after="0"/>
        <w:jc w:val="center"/>
        <w:rPr/>
      </w:pPr>
      <w:r>
        <w:rPr/>
        <w:t>    </w:t>
      </w:r>
      <w:r>
        <w:rPr>
          <w:rFonts w:ascii="Times New Roman" w:hAnsi="Times New Roman"/>
          <w:b/>
          <w:sz w:val="20"/>
        </w:rPr>
        <w:t xml:space="preserve">,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sz w:val="20"/>
        </w:rPr>
      </w:pPr>
      <w:r>
        <w:rPr>
          <w:rFonts w:ascii="Times New Roman" w:hAnsi="Times New Roman"/>
          <w:b/>
          <w:sz w:val="20"/>
        </w:rPr>
        <w:t xml:space="preserve">Item 14. </w:t>
      </w:r>
      <w:r>
        <w:rPr>
          <w:rFonts w:ascii="Times New Roman" w:hAnsi="Times New Roman"/>
          <w:b/>
          <w:i/>
          <w:sz w:val="20"/>
        </w:rPr>
        <w:t>Other Expenses of Issuance and Distribution</w:t>
      </w:r>
    </w:p>
    <w:p>
      <w:pPr>
        <w:pStyle w:val="TextBody"/>
        <w:bidi w:val="0"/>
        <w:spacing w:before="120" w:after="0"/>
        <w:jc w:val="left"/>
        <w:rPr>
          <w:rFonts w:ascii="Times New Roman" w:hAnsi="Times New Roman"/>
          <w:sz w:val="20"/>
        </w:rPr>
      </w:pPr>
      <w:r>
        <w:rPr>
          <w:rFonts w:ascii="Times New Roman" w:hAnsi="Times New Roman"/>
          <w:sz w:val="20"/>
        </w:rPr>
        <w:t xml:space="preserve">Set forth below is an estimate (except in the case of the SEC registration fee) of the amount of fees and expenses to be incurred in connection with the issuance and distribution of the offered securities, other than underwriting discounts and commissions.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01"/>
        <w:gridCol w:w="399"/>
        <w:gridCol w:w="141"/>
        <w:gridCol w:w="1336"/>
        <w:gridCol w:w="62"/>
      </w:tblGrid>
      <w:tr>
        <w:trPr/>
        <w:tc>
          <w:tcPr>
            <w:tcW w:w="5001" w:type="dxa"/>
            <w:tcBorders/>
            <w:vAlign w:val="center"/>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001"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4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br/>
              <w:t>to be Paid</w:t>
            </w:r>
          </w:p>
        </w:tc>
        <w:tc>
          <w:tcPr>
            <w:tcW w:w="62" w:type="dxa"/>
            <w:tcBorders/>
            <w:vAlign w:val="bottom"/>
          </w:tcPr>
          <w:p>
            <w:pPr>
              <w:pStyle w:val="TableContents"/>
              <w:bidi w:val="0"/>
              <w:spacing w:before="0" w:after="283"/>
              <w:jc w:val="left"/>
              <w:rPr/>
            </w:pPr>
            <w:r>
              <w:rPr/>
              <w:t> </w:t>
            </w:r>
          </w:p>
        </w:tc>
      </w:tr>
      <w:tr>
        <w:trPr/>
        <w:tc>
          <w:tcPr>
            <w:tcW w:w="5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39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336" w:type="dxa"/>
            <w:tcBorders/>
            <w:shd w:fill="CCEEFF" w:val="clear"/>
            <w:vAlign w:val="bottom"/>
          </w:tcPr>
          <w:p>
            <w:pPr>
              <w:pStyle w:val="TableContents"/>
              <w:bidi w:val="0"/>
              <w:spacing w:before="0" w:after="283"/>
              <w:jc w:val="right"/>
              <w:rPr/>
            </w:pPr>
            <w:r>
              <w:rPr/>
              <w:t>468.24</w:t>
            </w:r>
          </w:p>
        </w:tc>
        <w:tc>
          <w:tcPr>
            <w:tcW w:w="62" w:type="dxa"/>
            <w:tcBorders/>
            <w:shd w:fill="CCEEFF" w:val="clear"/>
            <w:vAlign w:val="bottom"/>
          </w:tcPr>
          <w:p>
            <w:pPr>
              <w:pStyle w:val="TableContents"/>
              <w:bidi w:val="0"/>
              <w:spacing w:before="0" w:after="283"/>
              <w:jc w:val="left"/>
              <w:rPr/>
            </w:pPr>
            <w:r>
              <w:rPr/>
              <w:t> </w:t>
            </w:r>
          </w:p>
        </w:tc>
      </w:tr>
      <w:tr>
        <w:trPr/>
        <w:tc>
          <w:tcPr>
            <w:tcW w:w="5001" w:type="dxa"/>
            <w:tcBorders/>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39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336" w:type="dxa"/>
            <w:tcBorders/>
            <w:vAlign w:val="bottom"/>
          </w:tcPr>
          <w:p>
            <w:pPr>
              <w:pStyle w:val="TableContents"/>
              <w:bidi w:val="0"/>
              <w:spacing w:before="0" w:after="283"/>
              <w:jc w:val="right"/>
              <w:rPr/>
            </w:pPr>
            <w:r>
              <w:rPr/>
              <w:t>75,000.00</w:t>
            </w:r>
          </w:p>
        </w:tc>
        <w:tc>
          <w:tcPr>
            <w:tcW w:w="62" w:type="dxa"/>
            <w:tcBorders/>
            <w:vAlign w:val="bottom"/>
          </w:tcPr>
          <w:p>
            <w:pPr>
              <w:pStyle w:val="TableContents"/>
              <w:bidi w:val="0"/>
              <w:spacing w:before="0" w:after="283"/>
              <w:jc w:val="left"/>
              <w:rPr/>
            </w:pPr>
            <w:r>
              <w:rPr/>
              <w:t> </w:t>
            </w:r>
          </w:p>
        </w:tc>
      </w:tr>
      <w:tr>
        <w:trPr/>
        <w:tc>
          <w:tcPr>
            <w:tcW w:w="5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39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336" w:type="dxa"/>
            <w:tcBorders/>
            <w:shd w:fill="CCEEFF" w:val="clear"/>
            <w:vAlign w:val="bottom"/>
          </w:tcPr>
          <w:p>
            <w:pPr>
              <w:pStyle w:val="TableContents"/>
              <w:bidi w:val="0"/>
              <w:spacing w:before="0" w:after="283"/>
              <w:jc w:val="right"/>
              <w:rPr/>
            </w:pPr>
            <w:r>
              <w:rPr/>
              <w:t>20,000.00</w:t>
            </w:r>
          </w:p>
        </w:tc>
        <w:tc>
          <w:tcPr>
            <w:tcW w:w="62" w:type="dxa"/>
            <w:tcBorders/>
            <w:shd w:fill="CCEEFF" w:val="clear"/>
            <w:vAlign w:val="bottom"/>
          </w:tcPr>
          <w:p>
            <w:pPr>
              <w:pStyle w:val="TableContents"/>
              <w:bidi w:val="0"/>
              <w:spacing w:before="0" w:after="283"/>
              <w:jc w:val="left"/>
              <w:rPr/>
            </w:pPr>
            <w:r>
              <w:rPr/>
              <w:t> </w:t>
            </w:r>
          </w:p>
        </w:tc>
      </w:tr>
      <w:tr>
        <w:trPr/>
        <w:tc>
          <w:tcPr>
            <w:tcW w:w="5001" w:type="dxa"/>
            <w:tcBorders/>
          </w:tcPr>
          <w:p>
            <w:pPr>
              <w:pStyle w:val="TableContents"/>
              <w:bidi w:val="0"/>
              <w:spacing w:before="0" w:after="0"/>
              <w:jc w:val="left"/>
              <w:rPr>
                <w:rFonts w:ascii="Times New Roman" w:hAnsi="Times New Roman"/>
                <w:sz w:val="20"/>
              </w:rPr>
            </w:pPr>
            <w:r>
              <w:rPr>
                <w:rFonts w:ascii="Times New Roman" w:hAnsi="Times New Roman"/>
                <w:sz w:val="20"/>
              </w:rPr>
              <w:t>Printing expense and miscellaneous</w:t>
            </w:r>
          </w:p>
        </w:tc>
        <w:tc>
          <w:tcPr>
            <w:tcW w:w="39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336" w:type="dxa"/>
            <w:tcBorders/>
            <w:vAlign w:val="bottom"/>
          </w:tcPr>
          <w:p>
            <w:pPr>
              <w:pStyle w:val="TableContents"/>
              <w:bidi w:val="0"/>
              <w:spacing w:before="0" w:after="283"/>
              <w:jc w:val="right"/>
              <w:rPr/>
            </w:pPr>
            <w:r>
              <w:rPr/>
              <w:t>15,000.00</w:t>
            </w:r>
          </w:p>
        </w:tc>
        <w:tc>
          <w:tcPr>
            <w:tcW w:w="62" w:type="dxa"/>
            <w:tcBorders/>
            <w:vAlign w:val="bottom"/>
          </w:tcPr>
          <w:p>
            <w:pPr>
              <w:pStyle w:val="TableContents"/>
              <w:bidi w:val="0"/>
              <w:spacing w:before="0" w:after="283"/>
              <w:jc w:val="left"/>
              <w:rPr/>
            </w:pPr>
            <w:r>
              <w:rPr/>
              <w:t> </w:t>
            </w:r>
          </w:p>
        </w:tc>
      </w:tr>
      <w:tr>
        <w:trPr/>
        <w:tc>
          <w:tcPr>
            <w:tcW w:w="5001" w:type="dxa"/>
            <w:tcBorders/>
            <w:vAlign w:val="bottom"/>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336"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9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336" w:type="dxa"/>
            <w:tcBorders/>
            <w:shd w:fill="CCEEFF" w:val="clear"/>
            <w:vAlign w:val="bottom"/>
          </w:tcPr>
          <w:p>
            <w:pPr>
              <w:pStyle w:val="TableContents"/>
              <w:bidi w:val="0"/>
              <w:spacing w:before="0" w:after="283"/>
              <w:jc w:val="right"/>
              <w:rPr/>
            </w:pPr>
            <w:r>
              <w:rPr/>
              <w:t>110,468.24</w:t>
            </w:r>
          </w:p>
        </w:tc>
        <w:tc>
          <w:tcPr>
            <w:tcW w:w="62" w:type="dxa"/>
            <w:tcBorders/>
            <w:shd w:fill="CCEEFF" w:val="clear"/>
            <w:vAlign w:val="bottom"/>
          </w:tcPr>
          <w:p>
            <w:pPr>
              <w:pStyle w:val="TableContents"/>
              <w:bidi w:val="0"/>
              <w:spacing w:before="0" w:after="283"/>
              <w:jc w:val="left"/>
              <w:rPr/>
            </w:pPr>
            <w:r>
              <w:rPr/>
              <w:t> </w:t>
            </w:r>
          </w:p>
        </w:tc>
      </w:tr>
      <w:tr>
        <w:trPr/>
        <w:tc>
          <w:tcPr>
            <w:tcW w:w="5001" w:type="dxa"/>
            <w:tcBorders/>
            <w:vAlign w:val="bottom"/>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336"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b/>
          <w:sz w:val="20"/>
        </w:rPr>
        <w:t xml:space="preserve">Item 15. </w:t>
      </w:r>
      <w:r>
        <w:rPr>
          <w:rFonts w:ascii="Times New Roman" w:hAnsi="Times New Roman"/>
          <w:b/>
          <w:i/>
          <w:sz w:val="20"/>
        </w:rPr>
        <w:t>Indemnification of Directors and Officers</w:t>
      </w:r>
    </w:p>
    <w:p>
      <w:pPr>
        <w:pStyle w:val="TextBody"/>
        <w:bidi w:val="0"/>
        <w:spacing w:before="120" w:after="0"/>
        <w:jc w:val="left"/>
        <w:rPr>
          <w:rFonts w:ascii="Times New Roman" w:hAnsi="Times New Roman"/>
          <w:sz w:val="20"/>
        </w:rPr>
      </w:pPr>
      <w:r>
        <w:rPr>
          <w:rFonts w:ascii="Times New Roman" w:hAnsi="Times New Roman"/>
          <w:sz w:val="20"/>
        </w:rPr>
        <w:t xml:space="preserve">We are incorporated under the laws of the State of Delaware. Section 102 of the Delaware General Corporation Law, or the DGCL, permits a corporation to eliminate the personal liability of directors of a corporation to the corporation or its stockholders for monetary damages for a breach of fiduciary duty as a director, except where the director breached such director’s duty of loyalty, failed to act in good faith, engaged in intentional misconduct or knowingly violated a law, authorized the payment of a dividend or approved a stock repurchase in violation of Delaware corporate law or obtained an improper personal benefit. </w:t>
      </w:r>
    </w:p>
    <w:p>
      <w:pPr>
        <w:pStyle w:val="TextBody"/>
        <w:bidi w:val="0"/>
        <w:spacing w:before="240" w:after="0"/>
        <w:jc w:val="left"/>
        <w:rPr>
          <w:rFonts w:ascii="Times New Roman" w:hAnsi="Times New Roman"/>
          <w:sz w:val="20"/>
        </w:rPr>
      </w:pPr>
      <w:r>
        <w:rPr>
          <w:rFonts w:ascii="Times New Roman" w:hAnsi="Times New Roman"/>
          <w:sz w:val="20"/>
        </w:rPr>
        <w:t xml:space="preserve">Section 145 of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and amended and restated bylaws contain provisions that limit or eliminate the personal liability of our directors to the fullest extent permitted by the DGCL, as it now exists or may in the future be amended. Consequently, a director will not be personally liable to us or our stockholders for monetary damages or breach of fiduciary duty as a director, except for liability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breach of the director’s duty of loyalty to us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 or omission not in good faith or that involves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unlawful payments related to dividends or unlawful stock purchases, redemptions or other distributions as provided in Section 174 of the DGCL;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from which the director derived an improper personal benefit.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limitations of liability do not alter director liability under the federal securities laws and do not affect the availability of equitable remedies such as an injunction or rescission. In addition, our amended and restated bylaws provide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indemnify our directors, officers and, in the discretion of our board of directors, certain employees to the fullest extent permitted by the DGCL, as it now exists or may in the future be amended;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advance reasonable expenses, including attorneys’ fees, to our directors and, in the discretion of our board of directors, to our officers and certain employees, in connection with legal proceedings relating to their service for or on behalf of us, subject to limited exceptions.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each of our directors and certain of our executive officers. These agreements provide that we will indemnify each of our directors, certain of our executive officers and, at times, their affiliates, to the fullest extent permitted by the DGCL. We will advance expenses, including attorneys’ fees (but excluding judgments, fines and settlement amounts), to each indemnified director, executive officer or affiliate in connection with any proceeding in which indemnification is available and we will indemnify our directors and executive officers for any action or proceeding arising out of that person’s services as a director or officer brought on behalf of us or in furtherance of our rights. We intend to enter into indemnification agreements with any new directors and executive officers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Additionally, certain of our directors may have certain rights to indemnification, advancement of expenses or insurance provided by their affiliates, which indemnification relates to and might apply to the same proceedings arising out of such director’s services as a director referenced herein. Nonetheless, we have agreed in our indemnification agreements that our obligations to those directors are primary and any obligation of the affiliates of those directors to advance expenses or to provide indemnification for the expenses or liabilities incurred by those directors are secondary. </w:t>
      </w:r>
    </w:p>
    <w:p>
      <w:pPr>
        <w:pStyle w:val="TextBody"/>
        <w:bidi w:val="0"/>
        <w:spacing w:before="240" w:after="0"/>
        <w:jc w:val="left"/>
        <w:rPr>
          <w:rFonts w:ascii="Times New Roman" w:hAnsi="Times New Roman"/>
          <w:sz w:val="20"/>
        </w:rPr>
      </w:pPr>
      <w:r>
        <w:rPr>
          <w:rFonts w:ascii="Times New Roman" w:hAnsi="Times New Roman"/>
          <w:sz w:val="20"/>
        </w:rPr>
        <w:t xml:space="preserve">We also maintain a general liability insurance policy which covers certain liabilities of our directors and officers arising out of claims based on acts or omissions in their capacities as directors or officers,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 </w:t>
      </w:r>
    </w:p>
    <w:p>
      <w:pPr>
        <w:pStyle w:val="TextBody"/>
        <w:bidi w:val="0"/>
        <w:spacing w:before="360" w:after="0"/>
        <w:jc w:val="left"/>
        <w:rPr>
          <w:rFonts w:ascii="Times New Roman" w:hAnsi="Times New Roman"/>
          <w:sz w:val="20"/>
        </w:rPr>
      </w:pPr>
      <w:r>
        <w:rPr>
          <w:rFonts w:ascii="Times New Roman" w:hAnsi="Times New Roman"/>
          <w:b/>
          <w:sz w:val="20"/>
        </w:rPr>
        <w:t xml:space="preserve">Item 16. </w:t>
      </w:r>
      <w:r>
        <w:rPr>
          <w:rFonts w:ascii="Times New Roman" w:hAnsi="Times New Roman"/>
          <w:b/>
          <w:i/>
          <w:sz w:val="20"/>
        </w:rPr>
        <w:t>Exhibits</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00"/>
        <w:gridCol w:w="320"/>
        <w:gridCol w:w="3917"/>
        <w:gridCol w:w="196"/>
        <w:gridCol w:w="605"/>
        <w:gridCol w:w="196"/>
        <w:gridCol w:w="944"/>
        <w:gridCol w:w="196"/>
        <w:gridCol w:w="775"/>
        <w:gridCol w:w="196"/>
        <w:gridCol w:w="1960"/>
      </w:tblGrid>
      <w:tr>
        <w:trPr/>
        <w:tc>
          <w:tcPr>
            <w:tcW w:w="900"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3917"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r>
      <w:tr>
        <w:trPr/>
        <w:tc>
          <w:tcPr>
            <w:tcW w:w="900" w:type="dxa"/>
            <w:tcBorders/>
            <w:vAlign w:val="bottom"/>
          </w:tcPr>
          <w:p>
            <w:pPr>
              <w:pStyle w:val="TableContents"/>
              <w:bidi w:val="0"/>
              <w:spacing w:before="0" w:after="283"/>
              <w:jc w:val="center"/>
              <w:rPr>
                <w:b/>
              </w:rPr>
            </w:pPr>
            <w:r>
              <w:rPr>
                <w:b/>
              </w:rPr>
              <w:t xml:space="preserve">Exhibit </w:t>
              <w:br/>
              <w:t>Number</w:t>
            </w:r>
          </w:p>
        </w:tc>
        <w:tc>
          <w:tcPr>
            <w:tcW w:w="320" w:type="dxa"/>
            <w:tcBorders/>
            <w:vAlign w:val="bottom"/>
          </w:tcPr>
          <w:p>
            <w:pPr>
              <w:pStyle w:val="TableContents"/>
              <w:bidi w:val="0"/>
              <w:spacing w:before="0" w:after="283"/>
              <w:jc w:val="left"/>
              <w:rPr/>
            </w:pPr>
            <w:r>
              <w:rPr/>
              <w:t>  </w:t>
            </w:r>
          </w:p>
        </w:tc>
        <w:tc>
          <w:tcPr>
            <w:tcW w:w="391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Exhibit Title</w:t>
            </w:r>
          </w:p>
        </w:tc>
        <w:tc>
          <w:tcPr>
            <w:tcW w:w="196" w:type="dxa"/>
            <w:tcBorders/>
            <w:vAlign w:val="bottom"/>
          </w:tcPr>
          <w:p>
            <w:pPr>
              <w:pStyle w:val="TableContents"/>
              <w:bidi w:val="0"/>
              <w:spacing w:before="0" w:after="283"/>
              <w:jc w:val="left"/>
              <w:rPr/>
            </w:pPr>
            <w:r>
              <w:rPr/>
              <w:t>  </w:t>
            </w:r>
          </w:p>
        </w:tc>
        <w:tc>
          <w:tcPr>
            <w:tcW w:w="605" w:type="dxa"/>
            <w:tcBorders>
              <w:bottom w:val="single" w:sz="8" w:space="0" w:color="000000"/>
            </w:tcBorders>
            <w:tcMar>
              <w:bottom w:w="28" w:type="dxa"/>
            </w:tcMar>
            <w:vAlign w:val="bottom"/>
          </w:tcPr>
          <w:p>
            <w:pPr>
              <w:pStyle w:val="TableContents"/>
              <w:bidi w:val="0"/>
              <w:spacing w:before="0" w:after="283"/>
              <w:jc w:val="center"/>
              <w:rPr>
                <w:b/>
              </w:rPr>
            </w:pPr>
            <w:r>
              <w:rPr>
                <w:b/>
              </w:rPr>
              <w:t>Form</w:t>
            </w:r>
          </w:p>
        </w:tc>
        <w:tc>
          <w:tcPr>
            <w:tcW w:w="196" w:type="dxa"/>
            <w:tcBorders/>
            <w:vAlign w:val="bottom"/>
          </w:tcPr>
          <w:p>
            <w:pPr>
              <w:pStyle w:val="TableContents"/>
              <w:bidi w:val="0"/>
              <w:spacing w:before="0" w:after="283"/>
              <w:jc w:val="left"/>
              <w:rPr/>
            </w:pPr>
            <w:r>
              <w:rPr/>
              <w:t>  </w:t>
            </w:r>
          </w:p>
        </w:tc>
        <w:tc>
          <w:tcPr>
            <w:tcW w:w="944" w:type="dxa"/>
            <w:tcBorders>
              <w:bottom w:val="single" w:sz="8" w:space="0" w:color="000000"/>
            </w:tcBorders>
            <w:tcMar>
              <w:bottom w:w="28" w:type="dxa"/>
            </w:tcMar>
            <w:vAlign w:val="bottom"/>
          </w:tcPr>
          <w:p>
            <w:pPr>
              <w:pStyle w:val="TableContents"/>
              <w:bidi w:val="0"/>
              <w:spacing w:before="0" w:after="283"/>
              <w:jc w:val="center"/>
              <w:rPr>
                <w:b/>
              </w:rPr>
            </w:pPr>
            <w:r>
              <w:rPr>
                <w:b/>
              </w:rPr>
              <w:t>File No.</w:t>
            </w:r>
          </w:p>
        </w:tc>
        <w:tc>
          <w:tcPr>
            <w:tcW w:w="196" w:type="dxa"/>
            <w:tcBorders/>
            <w:vAlign w:val="bottom"/>
          </w:tcPr>
          <w:p>
            <w:pPr>
              <w:pStyle w:val="TableContents"/>
              <w:bidi w:val="0"/>
              <w:spacing w:before="0" w:after="283"/>
              <w:jc w:val="left"/>
              <w:rPr/>
            </w:pPr>
            <w:r>
              <w:rPr/>
              <w:t>  </w:t>
            </w:r>
          </w:p>
        </w:tc>
        <w:tc>
          <w:tcPr>
            <w:tcW w:w="775" w:type="dxa"/>
            <w:tcBorders>
              <w:bottom w:val="single" w:sz="8" w:space="0" w:color="000000"/>
            </w:tcBorders>
            <w:tcMar>
              <w:bottom w:w="28" w:type="dxa"/>
            </w:tcMar>
            <w:vAlign w:val="bottom"/>
          </w:tcPr>
          <w:p>
            <w:pPr>
              <w:pStyle w:val="TableContents"/>
              <w:bidi w:val="0"/>
              <w:spacing w:before="0" w:after="283"/>
              <w:jc w:val="center"/>
              <w:rPr>
                <w:b/>
              </w:rPr>
            </w:pPr>
            <w:r>
              <w:rPr>
                <w:b/>
              </w:rPr>
              <w:t>Exhibit</w:t>
            </w:r>
          </w:p>
        </w:tc>
        <w:tc>
          <w:tcPr>
            <w:tcW w:w="196" w:type="dxa"/>
            <w:tcBorders/>
            <w:vAlign w:val="bottom"/>
          </w:tcPr>
          <w:p>
            <w:pPr>
              <w:pStyle w:val="TableContents"/>
              <w:bidi w:val="0"/>
              <w:spacing w:before="0" w:after="283"/>
              <w:jc w:val="left"/>
              <w:rPr/>
            </w:pPr>
            <w:r>
              <w:rPr/>
              <w:t>  </w:t>
            </w:r>
          </w:p>
        </w:tc>
        <w:tc>
          <w:tcPr>
            <w:tcW w:w="1960" w:type="dxa"/>
            <w:tcBorders>
              <w:bottom w:val="single" w:sz="8" w:space="0" w:color="000000"/>
            </w:tcBorders>
            <w:tcMar>
              <w:bottom w:w="28" w:type="dxa"/>
            </w:tcMar>
            <w:vAlign w:val="bottom"/>
          </w:tcPr>
          <w:p>
            <w:pPr>
              <w:pStyle w:val="TableContents"/>
              <w:bidi w:val="0"/>
              <w:spacing w:before="0" w:after="283"/>
              <w:jc w:val="center"/>
              <w:rPr>
                <w:b/>
              </w:rPr>
            </w:pPr>
            <w:r>
              <w:rPr>
                <w:b/>
              </w:rPr>
              <w:t>Filing Date</w:t>
            </w:r>
          </w:p>
        </w:tc>
      </w:tr>
      <w:tr>
        <w:trPr>
          <w:trHeight w:val="120" w:hRule="atLeast"/>
        </w:trPr>
        <w:tc>
          <w:tcPr>
            <w:tcW w:w="900" w:type="dxa"/>
            <w:tcBorders/>
            <w:vAlign w:val="center"/>
          </w:tcPr>
          <w:p>
            <w:pPr>
              <w:pStyle w:val="TableContents"/>
              <w:bidi w:val="0"/>
              <w:spacing w:before="0" w:after="283"/>
              <w:jc w:val="left"/>
              <w:rPr>
                <w:sz w:val="4"/>
                <w:szCs w:val="4"/>
              </w:rPr>
            </w:pPr>
            <w:r>
              <w:rPr>
                <w:sz w:val="4"/>
                <w:szCs w:val="4"/>
              </w:rPr>
            </w:r>
          </w:p>
        </w:tc>
        <w:tc>
          <w:tcPr>
            <w:tcW w:w="4237" w:type="dxa"/>
            <w:gridSpan w:val="2"/>
            <w:tcBorders/>
            <w:vAlign w:val="center"/>
          </w:tcPr>
          <w:p>
            <w:pPr>
              <w:pStyle w:val="TableContents"/>
              <w:bidi w:val="0"/>
              <w:spacing w:before="0" w:after="283"/>
              <w:jc w:val="left"/>
              <w:rPr>
                <w:sz w:val="4"/>
                <w:szCs w:val="4"/>
              </w:rPr>
            </w:pPr>
            <w:r>
              <w:rPr>
                <w:sz w:val="4"/>
                <w:szCs w:val="4"/>
              </w:rPr>
            </w:r>
          </w:p>
        </w:tc>
        <w:tc>
          <w:tcPr>
            <w:tcW w:w="801" w:type="dxa"/>
            <w:gridSpan w:val="2"/>
            <w:tcBorders/>
            <w:vAlign w:val="center"/>
          </w:tcPr>
          <w:p>
            <w:pPr>
              <w:pStyle w:val="TableContents"/>
              <w:bidi w:val="0"/>
              <w:spacing w:before="0" w:after="283"/>
              <w:jc w:val="left"/>
              <w:rPr>
                <w:sz w:val="4"/>
                <w:szCs w:val="4"/>
              </w:rPr>
            </w:pPr>
            <w:r>
              <w:rPr>
                <w:sz w:val="4"/>
                <w:szCs w:val="4"/>
              </w:rPr>
            </w:r>
          </w:p>
        </w:tc>
        <w:tc>
          <w:tcPr>
            <w:tcW w:w="1140" w:type="dxa"/>
            <w:gridSpan w:val="2"/>
            <w:tcBorders/>
            <w:vAlign w:val="center"/>
          </w:tcPr>
          <w:p>
            <w:pPr>
              <w:pStyle w:val="TableContents"/>
              <w:bidi w:val="0"/>
              <w:spacing w:before="0" w:after="283"/>
              <w:jc w:val="left"/>
              <w:rPr>
                <w:sz w:val="4"/>
                <w:szCs w:val="4"/>
              </w:rPr>
            </w:pPr>
            <w:r>
              <w:rPr>
                <w:sz w:val="4"/>
                <w:szCs w:val="4"/>
              </w:rPr>
            </w:r>
          </w:p>
        </w:tc>
        <w:tc>
          <w:tcPr>
            <w:tcW w:w="971" w:type="dxa"/>
            <w:gridSpan w:val="2"/>
            <w:tcBorders/>
            <w:vAlign w:val="center"/>
          </w:tcPr>
          <w:p>
            <w:pPr>
              <w:pStyle w:val="TableContents"/>
              <w:bidi w:val="0"/>
              <w:spacing w:before="0" w:after="283"/>
              <w:jc w:val="left"/>
              <w:rPr>
                <w:sz w:val="4"/>
                <w:szCs w:val="4"/>
              </w:rPr>
            </w:pPr>
            <w:r>
              <w:rPr>
                <w:sz w:val="4"/>
                <w:szCs w:val="4"/>
              </w:rPr>
            </w:r>
          </w:p>
        </w:tc>
        <w:tc>
          <w:tcPr>
            <w:tcW w:w="2156"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tcPr>
          <w:p>
            <w:pPr>
              <w:pStyle w:val="TableContents"/>
              <w:bidi w:val="0"/>
              <w:spacing w:before="0" w:after="283"/>
              <w:jc w:val="left"/>
              <w:rPr/>
            </w:pPr>
            <w:r>
              <w:rPr/>
              <w:t>  </w:t>
            </w:r>
            <w:r>
              <w:rPr/>
              <w:t>3.1</w:t>
            </w:r>
          </w:p>
        </w:tc>
        <w:tc>
          <w:tcPr>
            <w:tcW w:w="320" w:type="dxa"/>
            <w:tcBorders/>
            <w:vAlign w:val="bottom"/>
          </w:tcPr>
          <w:p>
            <w:pPr>
              <w:pStyle w:val="TableContents"/>
              <w:bidi w:val="0"/>
              <w:spacing w:before="0" w:after="283"/>
              <w:jc w:val="left"/>
              <w:rPr/>
            </w:pPr>
            <w:r>
              <w:rPr/>
              <w:t>  </w:t>
            </w:r>
          </w:p>
        </w:tc>
        <w:tc>
          <w:tcPr>
            <w:tcW w:w="3917" w:type="dxa"/>
            <w:tcBorders/>
          </w:tcPr>
          <w:p>
            <w:pPr>
              <w:pStyle w:val="TableContents"/>
              <w:bidi w:val="0"/>
              <w:spacing w:before="0" w:after="283"/>
              <w:jc w:val="left"/>
              <w:rPr/>
            </w:pPr>
            <w:hyperlink r:id="rId15">
              <w:r>
                <w:rPr>
                  <w:rStyle w:val="InternetLink"/>
                </w:rPr>
                <w:t xml:space="preserve">Certificate of Conversion of MagnaChip Semiconductor LLC. </w:t>
              </w:r>
            </w:hyperlink>
          </w:p>
        </w:tc>
        <w:tc>
          <w:tcPr>
            <w:tcW w:w="196"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center"/>
              <w:rPr/>
            </w:pPr>
            <w:r>
              <w:rPr/>
              <w:t>8-K</w:t>
            </w:r>
          </w:p>
        </w:tc>
        <w:tc>
          <w:tcPr>
            <w:tcW w:w="196"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center"/>
              <w:rPr/>
            </w:pPr>
            <w:r>
              <w:rPr/>
              <w:t>001-34791</w:t>
            </w:r>
          </w:p>
        </w:tc>
        <w:tc>
          <w:tcPr>
            <w:tcW w:w="196"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center"/>
              <w:rPr/>
            </w:pPr>
            <w:r>
              <w:rPr/>
              <w:t>3.1</w:t>
            </w:r>
          </w:p>
        </w:tc>
        <w:tc>
          <w:tcPr>
            <w:tcW w:w="196" w:type="dxa"/>
            <w:tcBorders/>
            <w:vAlign w:val="bottom"/>
          </w:tcPr>
          <w:p>
            <w:pPr>
              <w:pStyle w:val="TableContents"/>
              <w:bidi w:val="0"/>
              <w:spacing w:before="0" w:after="283"/>
              <w:jc w:val="left"/>
              <w:rPr/>
            </w:pPr>
            <w:r>
              <w:rPr/>
              <w:t>  </w:t>
            </w:r>
          </w:p>
        </w:tc>
        <w:tc>
          <w:tcPr>
            <w:tcW w:w="1960" w:type="dxa"/>
            <w:tcBorders/>
            <w:vAlign w:val="bottom"/>
          </w:tcPr>
          <w:p>
            <w:pPr>
              <w:pStyle w:val="TableContents"/>
              <w:bidi w:val="0"/>
              <w:spacing w:before="0" w:after="283"/>
              <w:jc w:val="center"/>
              <w:rPr/>
            </w:pPr>
            <w:r>
              <w:rPr/>
              <w:t>March 11, 2011</w:t>
            </w:r>
          </w:p>
        </w:tc>
      </w:tr>
      <w:tr>
        <w:trPr>
          <w:trHeight w:val="120" w:hRule="atLeast"/>
        </w:trPr>
        <w:tc>
          <w:tcPr>
            <w:tcW w:w="900" w:type="dxa"/>
            <w:tcBorders/>
            <w:vAlign w:val="center"/>
          </w:tcPr>
          <w:p>
            <w:pPr>
              <w:pStyle w:val="TableContents"/>
              <w:bidi w:val="0"/>
              <w:spacing w:before="0" w:after="283"/>
              <w:jc w:val="left"/>
              <w:rPr>
                <w:sz w:val="4"/>
                <w:szCs w:val="4"/>
              </w:rPr>
            </w:pPr>
            <w:r>
              <w:rPr>
                <w:sz w:val="4"/>
                <w:szCs w:val="4"/>
              </w:rPr>
            </w:r>
          </w:p>
        </w:tc>
        <w:tc>
          <w:tcPr>
            <w:tcW w:w="4237" w:type="dxa"/>
            <w:gridSpan w:val="2"/>
            <w:tcBorders/>
            <w:vAlign w:val="center"/>
          </w:tcPr>
          <w:p>
            <w:pPr>
              <w:pStyle w:val="TableContents"/>
              <w:bidi w:val="0"/>
              <w:spacing w:before="0" w:after="283"/>
              <w:jc w:val="left"/>
              <w:rPr>
                <w:sz w:val="4"/>
                <w:szCs w:val="4"/>
              </w:rPr>
            </w:pPr>
            <w:r>
              <w:rPr>
                <w:sz w:val="4"/>
                <w:szCs w:val="4"/>
              </w:rPr>
            </w:r>
          </w:p>
        </w:tc>
        <w:tc>
          <w:tcPr>
            <w:tcW w:w="801" w:type="dxa"/>
            <w:gridSpan w:val="2"/>
            <w:tcBorders/>
            <w:vAlign w:val="center"/>
          </w:tcPr>
          <w:p>
            <w:pPr>
              <w:pStyle w:val="TableContents"/>
              <w:bidi w:val="0"/>
              <w:spacing w:before="0" w:after="283"/>
              <w:jc w:val="left"/>
              <w:rPr>
                <w:sz w:val="4"/>
                <w:szCs w:val="4"/>
              </w:rPr>
            </w:pPr>
            <w:r>
              <w:rPr>
                <w:sz w:val="4"/>
                <w:szCs w:val="4"/>
              </w:rPr>
            </w:r>
          </w:p>
        </w:tc>
        <w:tc>
          <w:tcPr>
            <w:tcW w:w="1140" w:type="dxa"/>
            <w:gridSpan w:val="2"/>
            <w:tcBorders/>
            <w:vAlign w:val="center"/>
          </w:tcPr>
          <w:p>
            <w:pPr>
              <w:pStyle w:val="TableContents"/>
              <w:bidi w:val="0"/>
              <w:spacing w:before="0" w:after="283"/>
              <w:jc w:val="left"/>
              <w:rPr>
                <w:sz w:val="4"/>
                <w:szCs w:val="4"/>
              </w:rPr>
            </w:pPr>
            <w:r>
              <w:rPr>
                <w:sz w:val="4"/>
                <w:szCs w:val="4"/>
              </w:rPr>
            </w:r>
          </w:p>
        </w:tc>
        <w:tc>
          <w:tcPr>
            <w:tcW w:w="971" w:type="dxa"/>
            <w:gridSpan w:val="2"/>
            <w:tcBorders/>
            <w:vAlign w:val="center"/>
          </w:tcPr>
          <w:p>
            <w:pPr>
              <w:pStyle w:val="TableContents"/>
              <w:bidi w:val="0"/>
              <w:spacing w:before="0" w:after="283"/>
              <w:jc w:val="left"/>
              <w:rPr>
                <w:sz w:val="4"/>
                <w:szCs w:val="4"/>
              </w:rPr>
            </w:pPr>
            <w:r>
              <w:rPr>
                <w:sz w:val="4"/>
                <w:szCs w:val="4"/>
              </w:rPr>
            </w:r>
          </w:p>
        </w:tc>
        <w:tc>
          <w:tcPr>
            <w:tcW w:w="2156"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tcPr>
          <w:p>
            <w:pPr>
              <w:pStyle w:val="TableContents"/>
              <w:bidi w:val="0"/>
              <w:spacing w:before="0" w:after="283"/>
              <w:jc w:val="left"/>
              <w:rPr/>
            </w:pPr>
            <w:r>
              <w:rPr/>
              <w:t>  </w:t>
            </w:r>
            <w:r>
              <w:rPr/>
              <w:t>3.2</w:t>
            </w:r>
          </w:p>
        </w:tc>
        <w:tc>
          <w:tcPr>
            <w:tcW w:w="320" w:type="dxa"/>
            <w:tcBorders/>
            <w:vAlign w:val="bottom"/>
          </w:tcPr>
          <w:p>
            <w:pPr>
              <w:pStyle w:val="TableContents"/>
              <w:bidi w:val="0"/>
              <w:spacing w:before="0" w:after="283"/>
              <w:jc w:val="left"/>
              <w:rPr/>
            </w:pPr>
            <w:r>
              <w:rPr/>
              <w:t>  </w:t>
            </w:r>
          </w:p>
        </w:tc>
        <w:tc>
          <w:tcPr>
            <w:tcW w:w="3917" w:type="dxa"/>
            <w:tcBorders/>
          </w:tcPr>
          <w:p>
            <w:pPr>
              <w:pStyle w:val="TableContents"/>
              <w:bidi w:val="0"/>
              <w:spacing w:before="0" w:after="283"/>
              <w:jc w:val="left"/>
              <w:rPr/>
            </w:pPr>
            <w:hyperlink r:id="rId16">
              <w:r>
                <w:rPr>
                  <w:rStyle w:val="InternetLink"/>
                </w:rPr>
                <w:t>Certificate of Incorporation of MagnaChip Semiconductor Corporation.</w:t>
              </w:r>
            </w:hyperlink>
          </w:p>
        </w:tc>
        <w:tc>
          <w:tcPr>
            <w:tcW w:w="196"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center"/>
              <w:rPr/>
            </w:pPr>
            <w:r>
              <w:rPr/>
              <w:t>8-K</w:t>
            </w:r>
          </w:p>
        </w:tc>
        <w:tc>
          <w:tcPr>
            <w:tcW w:w="196"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center"/>
              <w:rPr/>
            </w:pPr>
            <w:r>
              <w:rPr/>
              <w:t>001-34791</w:t>
            </w:r>
          </w:p>
        </w:tc>
        <w:tc>
          <w:tcPr>
            <w:tcW w:w="196"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center"/>
              <w:rPr/>
            </w:pPr>
            <w:r>
              <w:rPr/>
              <w:t>3.2</w:t>
            </w:r>
          </w:p>
        </w:tc>
        <w:tc>
          <w:tcPr>
            <w:tcW w:w="196" w:type="dxa"/>
            <w:tcBorders/>
            <w:vAlign w:val="bottom"/>
          </w:tcPr>
          <w:p>
            <w:pPr>
              <w:pStyle w:val="TableContents"/>
              <w:bidi w:val="0"/>
              <w:spacing w:before="0" w:after="283"/>
              <w:jc w:val="left"/>
              <w:rPr/>
            </w:pPr>
            <w:r>
              <w:rPr/>
              <w:t>  </w:t>
            </w:r>
          </w:p>
        </w:tc>
        <w:tc>
          <w:tcPr>
            <w:tcW w:w="1960" w:type="dxa"/>
            <w:tcBorders/>
            <w:vAlign w:val="bottom"/>
          </w:tcPr>
          <w:p>
            <w:pPr>
              <w:pStyle w:val="TableContents"/>
              <w:bidi w:val="0"/>
              <w:spacing w:before="0" w:after="283"/>
              <w:jc w:val="center"/>
              <w:rPr/>
            </w:pPr>
            <w:r>
              <w:rPr/>
              <w:t>March 11, 2011</w:t>
            </w:r>
          </w:p>
        </w:tc>
      </w:tr>
      <w:tr>
        <w:trPr>
          <w:trHeight w:val="120" w:hRule="atLeast"/>
        </w:trPr>
        <w:tc>
          <w:tcPr>
            <w:tcW w:w="900" w:type="dxa"/>
            <w:tcBorders/>
            <w:vAlign w:val="center"/>
          </w:tcPr>
          <w:p>
            <w:pPr>
              <w:pStyle w:val="TableContents"/>
              <w:bidi w:val="0"/>
              <w:spacing w:before="0" w:after="283"/>
              <w:jc w:val="left"/>
              <w:rPr>
                <w:sz w:val="4"/>
                <w:szCs w:val="4"/>
              </w:rPr>
            </w:pPr>
            <w:r>
              <w:rPr>
                <w:sz w:val="4"/>
                <w:szCs w:val="4"/>
              </w:rPr>
            </w:r>
          </w:p>
        </w:tc>
        <w:tc>
          <w:tcPr>
            <w:tcW w:w="4237" w:type="dxa"/>
            <w:gridSpan w:val="2"/>
            <w:tcBorders/>
            <w:vAlign w:val="center"/>
          </w:tcPr>
          <w:p>
            <w:pPr>
              <w:pStyle w:val="TableContents"/>
              <w:bidi w:val="0"/>
              <w:spacing w:before="0" w:after="283"/>
              <w:jc w:val="left"/>
              <w:rPr>
                <w:sz w:val="4"/>
                <w:szCs w:val="4"/>
              </w:rPr>
            </w:pPr>
            <w:r>
              <w:rPr>
                <w:sz w:val="4"/>
                <w:szCs w:val="4"/>
              </w:rPr>
            </w:r>
          </w:p>
        </w:tc>
        <w:tc>
          <w:tcPr>
            <w:tcW w:w="801" w:type="dxa"/>
            <w:gridSpan w:val="2"/>
            <w:tcBorders/>
            <w:vAlign w:val="center"/>
          </w:tcPr>
          <w:p>
            <w:pPr>
              <w:pStyle w:val="TableContents"/>
              <w:bidi w:val="0"/>
              <w:spacing w:before="0" w:after="283"/>
              <w:jc w:val="left"/>
              <w:rPr>
                <w:sz w:val="4"/>
                <w:szCs w:val="4"/>
              </w:rPr>
            </w:pPr>
            <w:r>
              <w:rPr>
                <w:sz w:val="4"/>
                <w:szCs w:val="4"/>
              </w:rPr>
            </w:r>
          </w:p>
        </w:tc>
        <w:tc>
          <w:tcPr>
            <w:tcW w:w="1140" w:type="dxa"/>
            <w:gridSpan w:val="2"/>
            <w:tcBorders/>
            <w:vAlign w:val="center"/>
          </w:tcPr>
          <w:p>
            <w:pPr>
              <w:pStyle w:val="TableContents"/>
              <w:bidi w:val="0"/>
              <w:spacing w:before="0" w:after="283"/>
              <w:jc w:val="left"/>
              <w:rPr>
                <w:sz w:val="4"/>
                <w:szCs w:val="4"/>
              </w:rPr>
            </w:pPr>
            <w:r>
              <w:rPr>
                <w:sz w:val="4"/>
                <w:szCs w:val="4"/>
              </w:rPr>
            </w:r>
          </w:p>
        </w:tc>
        <w:tc>
          <w:tcPr>
            <w:tcW w:w="971" w:type="dxa"/>
            <w:gridSpan w:val="2"/>
            <w:tcBorders/>
            <w:vAlign w:val="center"/>
          </w:tcPr>
          <w:p>
            <w:pPr>
              <w:pStyle w:val="TableContents"/>
              <w:bidi w:val="0"/>
              <w:spacing w:before="0" w:after="283"/>
              <w:jc w:val="left"/>
              <w:rPr>
                <w:sz w:val="4"/>
                <w:szCs w:val="4"/>
              </w:rPr>
            </w:pPr>
            <w:r>
              <w:rPr>
                <w:sz w:val="4"/>
                <w:szCs w:val="4"/>
              </w:rPr>
            </w:r>
          </w:p>
        </w:tc>
        <w:tc>
          <w:tcPr>
            <w:tcW w:w="2156"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tcPr>
          <w:p>
            <w:pPr>
              <w:pStyle w:val="TableContents"/>
              <w:bidi w:val="0"/>
              <w:spacing w:before="0" w:after="283"/>
              <w:jc w:val="left"/>
              <w:rPr/>
            </w:pPr>
            <w:r>
              <w:rPr/>
              <w:t>  </w:t>
            </w:r>
            <w:r>
              <w:rPr/>
              <w:t>3.3</w:t>
            </w:r>
          </w:p>
        </w:tc>
        <w:tc>
          <w:tcPr>
            <w:tcW w:w="320" w:type="dxa"/>
            <w:tcBorders/>
            <w:vAlign w:val="bottom"/>
          </w:tcPr>
          <w:p>
            <w:pPr>
              <w:pStyle w:val="TableContents"/>
              <w:bidi w:val="0"/>
              <w:spacing w:before="0" w:after="283"/>
              <w:jc w:val="left"/>
              <w:rPr/>
            </w:pPr>
            <w:r>
              <w:rPr/>
              <w:t>  </w:t>
            </w:r>
          </w:p>
        </w:tc>
        <w:tc>
          <w:tcPr>
            <w:tcW w:w="3917" w:type="dxa"/>
            <w:tcBorders/>
          </w:tcPr>
          <w:p>
            <w:pPr>
              <w:pStyle w:val="TableContents"/>
              <w:bidi w:val="0"/>
              <w:spacing w:before="0" w:after="283"/>
              <w:jc w:val="left"/>
              <w:rPr/>
            </w:pPr>
            <w:hyperlink r:id="rId17">
              <w:r>
                <w:rPr>
                  <w:rStyle w:val="InternetLink"/>
                </w:rPr>
                <w:t>Certificate of Amendment to the Certificate of Incorporation of Magnachip Semiconductor Corporation.</w:t>
              </w:r>
            </w:hyperlink>
          </w:p>
        </w:tc>
        <w:tc>
          <w:tcPr>
            <w:tcW w:w="196"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center"/>
              <w:rPr/>
            </w:pPr>
            <w:r>
              <w:rPr/>
              <w:t>8-K</w:t>
            </w:r>
          </w:p>
        </w:tc>
        <w:tc>
          <w:tcPr>
            <w:tcW w:w="196"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center"/>
              <w:rPr/>
            </w:pPr>
            <w:r>
              <w:rPr/>
              <w:t>001-34791</w:t>
            </w:r>
          </w:p>
        </w:tc>
        <w:tc>
          <w:tcPr>
            <w:tcW w:w="196"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center"/>
              <w:rPr/>
            </w:pPr>
            <w:r>
              <w:rPr/>
              <w:t>3.1</w:t>
            </w:r>
          </w:p>
        </w:tc>
        <w:tc>
          <w:tcPr>
            <w:tcW w:w="196" w:type="dxa"/>
            <w:tcBorders/>
            <w:vAlign w:val="bottom"/>
          </w:tcPr>
          <w:p>
            <w:pPr>
              <w:pStyle w:val="TableContents"/>
              <w:bidi w:val="0"/>
              <w:spacing w:before="0" w:after="283"/>
              <w:jc w:val="left"/>
              <w:rPr/>
            </w:pPr>
            <w:r>
              <w:rPr/>
              <w:t>  </w:t>
            </w:r>
          </w:p>
        </w:tc>
        <w:tc>
          <w:tcPr>
            <w:tcW w:w="1960" w:type="dxa"/>
            <w:tcBorders/>
            <w:vAlign w:val="bottom"/>
          </w:tcPr>
          <w:p>
            <w:pPr>
              <w:pStyle w:val="TableContents"/>
              <w:bidi w:val="0"/>
              <w:spacing w:before="0" w:after="283"/>
              <w:jc w:val="center"/>
              <w:rPr/>
            </w:pPr>
            <w:r>
              <w:rPr/>
              <w:t>December 30, 2020</w:t>
            </w:r>
          </w:p>
        </w:tc>
      </w:tr>
      <w:tr>
        <w:trPr>
          <w:trHeight w:val="120" w:hRule="atLeast"/>
        </w:trPr>
        <w:tc>
          <w:tcPr>
            <w:tcW w:w="900" w:type="dxa"/>
            <w:tcBorders/>
            <w:vAlign w:val="center"/>
          </w:tcPr>
          <w:p>
            <w:pPr>
              <w:pStyle w:val="TableContents"/>
              <w:bidi w:val="0"/>
              <w:spacing w:before="0" w:after="283"/>
              <w:jc w:val="left"/>
              <w:rPr>
                <w:sz w:val="4"/>
                <w:szCs w:val="4"/>
              </w:rPr>
            </w:pPr>
            <w:r>
              <w:rPr>
                <w:sz w:val="4"/>
                <w:szCs w:val="4"/>
              </w:rPr>
            </w:r>
          </w:p>
        </w:tc>
        <w:tc>
          <w:tcPr>
            <w:tcW w:w="4237" w:type="dxa"/>
            <w:gridSpan w:val="2"/>
            <w:tcBorders/>
            <w:vAlign w:val="center"/>
          </w:tcPr>
          <w:p>
            <w:pPr>
              <w:pStyle w:val="TableContents"/>
              <w:bidi w:val="0"/>
              <w:spacing w:before="0" w:after="283"/>
              <w:jc w:val="left"/>
              <w:rPr>
                <w:sz w:val="4"/>
                <w:szCs w:val="4"/>
              </w:rPr>
            </w:pPr>
            <w:r>
              <w:rPr>
                <w:sz w:val="4"/>
                <w:szCs w:val="4"/>
              </w:rPr>
            </w:r>
          </w:p>
        </w:tc>
        <w:tc>
          <w:tcPr>
            <w:tcW w:w="801" w:type="dxa"/>
            <w:gridSpan w:val="2"/>
            <w:tcBorders/>
            <w:vAlign w:val="center"/>
          </w:tcPr>
          <w:p>
            <w:pPr>
              <w:pStyle w:val="TableContents"/>
              <w:bidi w:val="0"/>
              <w:spacing w:before="0" w:after="283"/>
              <w:jc w:val="left"/>
              <w:rPr>
                <w:sz w:val="4"/>
                <w:szCs w:val="4"/>
              </w:rPr>
            </w:pPr>
            <w:r>
              <w:rPr>
                <w:sz w:val="4"/>
                <w:szCs w:val="4"/>
              </w:rPr>
            </w:r>
          </w:p>
        </w:tc>
        <w:tc>
          <w:tcPr>
            <w:tcW w:w="1140" w:type="dxa"/>
            <w:gridSpan w:val="2"/>
            <w:tcBorders/>
            <w:vAlign w:val="center"/>
          </w:tcPr>
          <w:p>
            <w:pPr>
              <w:pStyle w:val="TableContents"/>
              <w:bidi w:val="0"/>
              <w:spacing w:before="0" w:after="283"/>
              <w:jc w:val="left"/>
              <w:rPr>
                <w:sz w:val="4"/>
                <w:szCs w:val="4"/>
              </w:rPr>
            </w:pPr>
            <w:r>
              <w:rPr>
                <w:sz w:val="4"/>
                <w:szCs w:val="4"/>
              </w:rPr>
            </w:r>
          </w:p>
        </w:tc>
        <w:tc>
          <w:tcPr>
            <w:tcW w:w="971" w:type="dxa"/>
            <w:gridSpan w:val="2"/>
            <w:tcBorders/>
            <w:vAlign w:val="center"/>
          </w:tcPr>
          <w:p>
            <w:pPr>
              <w:pStyle w:val="TableContents"/>
              <w:bidi w:val="0"/>
              <w:spacing w:before="0" w:after="283"/>
              <w:jc w:val="left"/>
              <w:rPr>
                <w:sz w:val="4"/>
                <w:szCs w:val="4"/>
              </w:rPr>
            </w:pPr>
            <w:r>
              <w:rPr>
                <w:sz w:val="4"/>
                <w:szCs w:val="4"/>
              </w:rPr>
            </w:r>
          </w:p>
        </w:tc>
        <w:tc>
          <w:tcPr>
            <w:tcW w:w="2156"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tcPr>
          <w:p>
            <w:pPr>
              <w:pStyle w:val="TableContents"/>
              <w:bidi w:val="0"/>
              <w:spacing w:before="0" w:after="283"/>
              <w:jc w:val="left"/>
              <w:rPr/>
            </w:pPr>
            <w:r>
              <w:rPr/>
              <w:t>  </w:t>
            </w:r>
            <w:r>
              <w:rPr/>
              <w:t>3.4</w:t>
            </w:r>
          </w:p>
        </w:tc>
        <w:tc>
          <w:tcPr>
            <w:tcW w:w="320" w:type="dxa"/>
            <w:tcBorders/>
            <w:vAlign w:val="bottom"/>
          </w:tcPr>
          <w:p>
            <w:pPr>
              <w:pStyle w:val="TableContents"/>
              <w:bidi w:val="0"/>
              <w:spacing w:before="0" w:after="283"/>
              <w:jc w:val="left"/>
              <w:rPr/>
            </w:pPr>
            <w:r>
              <w:rPr/>
              <w:t>  </w:t>
            </w:r>
          </w:p>
        </w:tc>
        <w:tc>
          <w:tcPr>
            <w:tcW w:w="3917" w:type="dxa"/>
            <w:tcBorders/>
          </w:tcPr>
          <w:p>
            <w:pPr>
              <w:pStyle w:val="TableContents"/>
              <w:bidi w:val="0"/>
              <w:spacing w:before="0" w:after="283"/>
              <w:jc w:val="left"/>
              <w:rPr/>
            </w:pPr>
            <w:hyperlink r:id="rId18">
              <w:r>
                <w:rPr>
                  <w:rStyle w:val="InternetLink"/>
                </w:rPr>
                <w:t xml:space="preserve">Amended and Restated Bylaws of MagnaChip Semiconductor Corporation. </w:t>
              </w:r>
            </w:hyperlink>
          </w:p>
        </w:tc>
        <w:tc>
          <w:tcPr>
            <w:tcW w:w="196"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center"/>
              <w:rPr/>
            </w:pPr>
            <w:r>
              <w:rPr/>
              <w:t>8-K</w:t>
            </w:r>
          </w:p>
        </w:tc>
        <w:tc>
          <w:tcPr>
            <w:tcW w:w="196"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center"/>
              <w:rPr/>
            </w:pPr>
            <w:r>
              <w:rPr/>
              <w:t>001-34791</w:t>
            </w:r>
          </w:p>
        </w:tc>
        <w:tc>
          <w:tcPr>
            <w:tcW w:w="196"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center"/>
              <w:rPr/>
            </w:pPr>
            <w:r>
              <w:rPr/>
              <w:t>3.1</w:t>
            </w:r>
          </w:p>
        </w:tc>
        <w:tc>
          <w:tcPr>
            <w:tcW w:w="196" w:type="dxa"/>
            <w:tcBorders/>
            <w:vAlign w:val="bottom"/>
          </w:tcPr>
          <w:p>
            <w:pPr>
              <w:pStyle w:val="TableContents"/>
              <w:bidi w:val="0"/>
              <w:spacing w:before="0" w:after="283"/>
              <w:jc w:val="left"/>
              <w:rPr/>
            </w:pPr>
            <w:r>
              <w:rPr/>
              <w:t>  </w:t>
            </w:r>
          </w:p>
        </w:tc>
        <w:tc>
          <w:tcPr>
            <w:tcW w:w="1960" w:type="dxa"/>
            <w:tcBorders/>
            <w:vAlign w:val="bottom"/>
          </w:tcPr>
          <w:p>
            <w:pPr>
              <w:pStyle w:val="TableContents"/>
              <w:bidi w:val="0"/>
              <w:spacing w:before="0" w:after="283"/>
              <w:jc w:val="center"/>
              <w:rPr/>
            </w:pPr>
            <w:r>
              <w:rPr/>
              <w:t>May 6, 2016</w:t>
            </w:r>
          </w:p>
        </w:tc>
      </w:tr>
      <w:tr>
        <w:trPr>
          <w:trHeight w:val="120" w:hRule="atLeast"/>
        </w:trPr>
        <w:tc>
          <w:tcPr>
            <w:tcW w:w="900" w:type="dxa"/>
            <w:tcBorders/>
            <w:vAlign w:val="center"/>
          </w:tcPr>
          <w:p>
            <w:pPr>
              <w:pStyle w:val="TableContents"/>
              <w:bidi w:val="0"/>
              <w:spacing w:before="0" w:after="283"/>
              <w:jc w:val="left"/>
              <w:rPr>
                <w:sz w:val="4"/>
                <w:szCs w:val="4"/>
              </w:rPr>
            </w:pPr>
            <w:r>
              <w:rPr>
                <w:sz w:val="4"/>
                <w:szCs w:val="4"/>
              </w:rPr>
            </w:r>
          </w:p>
        </w:tc>
        <w:tc>
          <w:tcPr>
            <w:tcW w:w="4237" w:type="dxa"/>
            <w:gridSpan w:val="2"/>
            <w:tcBorders/>
            <w:vAlign w:val="center"/>
          </w:tcPr>
          <w:p>
            <w:pPr>
              <w:pStyle w:val="TableContents"/>
              <w:bidi w:val="0"/>
              <w:spacing w:before="0" w:after="283"/>
              <w:jc w:val="left"/>
              <w:rPr>
                <w:sz w:val="4"/>
                <w:szCs w:val="4"/>
              </w:rPr>
            </w:pPr>
            <w:r>
              <w:rPr>
                <w:sz w:val="4"/>
                <w:szCs w:val="4"/>
              </w:rPr>
            </w:r>
          </w:p>
        </w:tc>
        <w:tc>
          <w:tcPr>
            <w:tcW w:w="801" w:type="dxa"/>
            <w:gridSpan w:val="2"/>
            <w:tcBorders/>
            <w:vAlign w:val="center"/>
          </w:tcPr>
          <w:p>
            <w:pPr>
              <w:pStyle w:val="TableContents"/>
              <w:bidi w:val="0"/>
              <w:spacing w:before="0" w:after="283"/>
              <w:jc w:val="left"/>
              <w:rPr>
                <w:sz w:val="4"/>
                <w:szCs w:val="4"/>
              </w:rPr>
            </w:pPr>
            <w:r>
              <w:rPr>
                <w:sz w:val="4"/>
                <w:szCs w:val="4"/>
              </w:rPr>
            </w:r>
          </w:p>
        </w:tc>
        <w:tc>
          <w:tcPr>
            <w:tcW w:w="1140" w:type="dxa"/>
            <w:gridSpan w:val="2"/>
            <w:tcBorders/>
            <w:vAlign w:val="center"/>
          </w:tcPr>
          <w:p>
            <w:pPr>
              <w:pStyle w:val="TableContents"/>
              <w:bidi w:val="0"/>
              <w:spacing w:before="0" w:after="283"/>
              <w:jc w:val="left"/>
              <w:rPr>
                <w:sz w:val="4"/>
                <w:szCs w:val="4"/>
              </w:rPr>
            </w:pPr>
            <w:r>
              <w:rPr>
                <w:sz w:val="4"/>
                <w:szCs w:val="4"/>
              </w:rPr>
            </w:r>
          </w:p>
        </w:tc>
        <w:tc>
          <w:tcPr>
            <w:tcW w:w="971" w:type="dxa"/>
            <w:gridSpan w:val="2"/>
            <w:tcBorders/>
            <w:vAlign w:val="center"/>
          </w:tcPr>
          <w:p>
            <w:pPr>
              <w:pStyle w:val="TableContents"/>
              <w:bidi w:val="0"/>
              <w:spacing w:before="0" w:after="283"/>
              <w:jc w:val="left"/>
              <w:rPr>
                <w:sz w:val="4"/>
                <w:szCs w:val="4"/>
              </w:rPr>
            </w:pPr>
            <w:r>
              <w:rPr>
                <w:sz w:val="4"/>
                <w:szCs w:val="4"/>
              </w:rPr>
            </w:r>
          </w:p>
        </w:tc>
        <w:tc>
          <w:tcPr>
            <w:tcW w:w="2156"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tcPr>
          <w:p>
            <w:pPr>
              <w:pStyle w:val="TableContents"/>
              <w:bidi w:val="0"/>
              <w:spacing w:before="0" w:after="283"/>
              <w:jc w:val="left"/>
              <w:rPr/>
            </w:pPr>
            <w:r>
              <w:rPr/>
              <w:t>  </w:t>
            </w:r>
            <w:r>
              <w:rPr/>
              <w:t>3.5</w:t>
            </w:r>
          </w:p>
        </w:tc>
        <w:tc>
          <w:tcPr>
            <w:tcW w:w="320" w:type="dxa"/>
            <w:tcBorders/>
            <w:vAlign w:val="bottom"/>
          </w:tcPr>
          <w:p>
            <w:pPr>
              <w:pStyle w:val="TableContents"/>
              <w:bidi w:val="0"/>
              <w:spacing w:before="0" w:after="283"/>
              <w:jc w:val="left"/>
              <w:rPr/>
            </w:pPr>
            <w:r>
              <w:rPr/>
              <w:t>  </w:t>
            </w:r>
          </w:p>
        </w:tc>
        <w:tc>
          <w:tcPr>
            <w:tcW w:w="3917" w:type="dxa"/>
            <w:tcBorders/>
          </w:tcPr>
          <w:p>
            <w:pPr>
              <w:pStyle w:val="TableContents"/>
              <w:bidi w:val="0"/>
              <w:spacing w:before="0" w:after="283"/>
              <w:jc w:val="left"/>
              <w:rPr/>
            </w:pPr>
            <w:hyperlink r:id="rId19">
              <w:r>
                <w:rPr>
                  <w:rStyle w:val="InternetLink"/>
                </w:rPr>
                <w:t>Form of Plan of Conversion of MagnaChip Semiconductor LLC.</w:t>
              </w:r>
            </w:hyperlink>
          </w:p>
        </w:tc>
        <w:tc>
          <w:tcPr>
            <w:tcW w:w="196"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center"/>
              <w:rPr/>
            </w:pPr>
            <w:r>
              <w:rPr/>
              <w:t>S-1</w:t>
            </w:r>
          </w:p>
        </w:tc>
        <w:tc>
          <w:tcPr>
            <w:tcW w:w="196"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center"/>
              <w:rPr/>
            </w:pPr>
            <w:r>
              <w:rPr/>
              <w:t>333-165467</w:t>
            </w:r>
          </w:p>
        </w:tc>
        <w:tc>
          <w:tcPr>
            <w:tcW w:w="196"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center"/>
              <w:rPr/>
            </w:pPr>
            <w:r>
              <w:rPr/>
              <w:t>3.6</w:t>
            </w:r>
          </w:p>
        </w:tc>
        <w:tc>
          <w:tcPr>
            <w:tcW w:w="196" w:type="dxa"/>
            <w:tcBorders/>
            <w:vAlign w:val="bottom"/>
          </w:tcPr>
          <w:p>
            <w:pPr>
              <w:pStyle w:val="TableContents"/>
              <w:bidi w:val="0"/>
              <w:spacing w:before="0" w:after="283"/>
              <w:jc w:val="left"/>
              <w:rPr/>
            </w:pPr>
            <w:r>
              <w:rPr/>
              <w:t>  </w:t>
            </w:r>
          </w:p>
        </w:tc>
        <w:tc>
          <w:tcPr>
            <w:tcW w:w="1960" w:type="dxa"/>
            <w:tcBorders/>
            <w:vAlign w:val="bottom"/>
          </w:tcPr>
          <w:p>
            <w:pPr>
              <w:pStyle w:val="TableContents"/>
              <w:bidi w:val="0"/>
              <w:spacing w:before="0" w:after="283"/>
              <w:jc w:val="center"/>
              <w:rPr/>
            </w:pPr>
            <w:r>
              <w:rPr/>
              <w:t>May 11, 2010</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94"/>
        <w:gridCol w:w="284"/>
        <w:gridCol w:w="4084"/>
        <w:gridCol w:w="182"/>
        <w:gridCol w:w="601"/>
        <w:gridCol w:w="182"/>
        <w:gridCol w:w="825"/>
        <w:gridCol w:w="182"/>
        <w:gridCol w:w="773"/>
        <w:gridCol w:w="182"/>
        <w:gridCol w:w="2016"/>
      </w:tblGrid>
      <w:tr>
        <w:trPr/>
        <w:tc>
          <w:tcPr>
            <w:tcW w:w="894"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4084"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r>
      <w:tr>
        <w:trPr/>
        <w:tc>
          <w:tcPr>
            <w:tcW w:w="894" w:type="dxa"/>
            <w:tcBorders/>
            <w:vAlign w:val="bottom"/>
          </w:tcPr>
          <w:p>
            <w:pPr>
              <w:pStyle w:val="TableContents"/>
              <w:bidi w:val="0"/>
              <w:spacing w:before="0" w:after="283"/>
              <w:jc w:val="center"/>
              <w:rPr>
                <w:b/>
              </w:rPr>
            </w:pPr>
            <w:r>
              <w:rPr>
                <w:b/>
              </w:rPr>
              <w:t xml:space="preserve">Exhibit </w:t>
              <w:br/>
              <w:t>Number</w:t>
            </w:r>
          </w:p>
        </w:tc>
        <w:tc>
          <w:tcPr>
            <w:tcW w:w="284" w:type="dxa"/>
            <w:tcBorders/>
            <w:vAlign w:val="bottom"/>
          </w:tcPr>
          <w:p>
            <w:pPr>
              <w:pStyle w:val="TableContents"/>
              <w:bidi w:val="0"/>
              <w:spacing w:before="0" w:after="283"/>
              <w:jc w:val="left"/>
              <w:rPr/>
            </w:pPr>
            <w:r>
              <w:rPr/>
              <w:t>  </w:t>
            </w:r>
          </w:p>
        </w:tc>
        <w:tc>
          <w:tcPr>
            <w:tcW w:w="408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Exhibit Title</w:t>
            </w:r>
          </w:p>
        </w:tc>
        <w:tc>
          <w:tcPr>
            <w:tcW w:w="182" w:type="dxa"/>
            <w:tcBorders/>
            <w:vAlign w:val="bottom"/>
          </w:tcPr>
          <w:p>
            <w:pPr>
              <w:pStyle w:val="TableContents"/>
              <w:bidi w:val="0"/>
              <w:spacing w:before="0" w:after="283"/>
              <w:jc w:val="left"/>
              <w:rPr/>
            </w:pPr>
            <w:r>
              <w:rPr/>
              <w:t>  </w:t>
            </w:r>
          </w:p>
        </w:tc>
        <w:tc>
          <w:tcPr>
            <w:tcW w:w="601" w:type="dxa"/>
            <w:tcBorders>
              <w:bottom w:val="single" w:sz="8" w:space="0" w:color="000000"/>
            </w:tcBorders>
            <w:tcMar>
              <w:bottom w:w="28" w:type="dxa"/>
            </w:tcMar>
            <w:vAlign w:val="bottom"/>
          </w:tcPr>
          <w:p>
            <w:pPr>
              <w:pStyle w:val="TableContents"/>
              <w:bidi w:val="0"/>
              <w:spacing w:before="0" w:after="283"/>
              <w:jc w:val="center"/>
              <w:rPr>
                <w:b/>
              </w:rPr>
            </w:pPr>
            <w:r>
              <w:rPr>
                <w:b/>
              </w:rPr>
              <w:t>Form</w:t>
            </w:r>
          </w:p>
        </w:tc>
        <w:tc>
          <w:tcPr>
            <w:tcW w:w="182" w:type="dxa"/>
            <w:tcBorders/>
            <w:vAlign w:val="bottom"/>
          </w:tcPr>
          <w:p>
            <w:pPr>
              <w:pStyle w:val="TableContents"/>
              <w:bidi w:val="0"/>
              <w:spacing w:before="0" w:after="283"/>
              <w:jc w:val="left"/>
              <w:rPr/>
            </w:pPr>
            <w:r>
              <w:rPr/>
              <w:t>  </w:t>
            </w:r>
          </w:p>
        </w:tc>
        <w:tc>
          <w:tcPr>
            <w:tcW w:w="825" w:type="dxa"/>
            <w:tcBorders>
              <w:bottom w:val="single" w:sz="8" w:space="0" w:color="000000"/>
            </w:tcBorders>
            <w:tcMar>
              <w:bottom w:w="28" w:type="dxa"/>
            </w:tcMar>
            <w:vAlign w:val="bottom"/>
          </w:tcPr>
          <w:p>
            <w:pPr>
              <w:pStyle w:val="TableContents"/>
              <w:bidi w:val="0"/>
              <w:spacing w:before="0" w:after="283"/>
              <w:jc w:val="center"/>
              <w:rPr>
                <w:b/>
              </w:rPr>
            </w:pPr>
            <w:r>
              <w:rPr>
                <w:b/>
              </w:rPr>
              <w:t>File No.</w:t>
            </w:r>
          </w:p>
        </w:tc>
        <w:tc>
          <w:tcPr>
            <w:tcW w:w="182" w:type="dxa"/>
            <w:tcBorders/>
            <w:vAlign w:val="bottom"/>
          </w:tcPr>
          <w:p>
            <w:pPr>
              <w:pStyle w:val="TableContents"/>
              <w:bidi w:val="0"/>
              <w:spacing w:before="0" w:after="283"/>
              <w:jc w:val="left"/>
              <w:rPr/>
            </w:pPr>
            <w:r>
              <w:rPr/>
              <w:t>  </w:t>
            </w:r>
          </w:p>
        </w:tc>
        <w:tc>
          <w:tcPr>
            <w:tcW w:w="773" w:type="dxa"/>
            <w:tcBorders>
              <w:bottom w:val="single" w:sz="8" w:space="0" w:color="000000"/>
            </w:tcBorders>
            <w:tcMar>
              <w:bottom w:w="28" w:type="dxa"/>
            </w:tcMar>
            <w:vAlign w:val="bottom"/>
          </w:tcPr>
          <w:p>
            <w:pPr>
              <w:pStyle w:val="TableContents"/>
              <w:bidi w:val="0"/>
              <w:spacing w:before="0" w:after="283"/>
              <w:jc w:val="center"/>
              <w:rPr>
                <w:b/>
              </w:rPr>
            </w:pPr>
            <w:r>
              <w:rPr>
                <w:b/>
              </w:rPr>
              <w:t>Exhibit</w:t>
            </w:r>
          </w:p>
        </w:tc>
        <w:tc>
          <w:tcPr>
            <w:tcW w:w="182" w:type="dxa"/>
            <w:tcBorders/>
            <w:vAlign w:val="bottom"/>
          </w:tcPr>
          <w:p>
            <w:pPr>
              <w:pStyle w:val="TableContents"/>
              <w:bidi w:val="0"/>
              <w:spacing w:before="0" w:after="283"/>
              <w:jc w:val="left"/>
              <w:rPr/>
            </w:pPr>
            <w:r>
              <w:rPr/>
              <w:t>  </w:t>
            </w:r>
          </w:p>
        </w:tc>
        <w:tc>
          <w:tcPr>
            <w:tcW w:w="2016" w:type="dxa"/>
            <w:tcBorders>
              <w:bottom w:val="single" w:sz="8" w:space="0" w:color="000000"/>
            </w:tcBorders>
            <w:tcMar>
              <w:bottom w:w="28" w:type="dxa"/>
            </w:tcMar>
            <w:vAlign w:val="bottom"/>
          </w:tcPr>
          <w:p>
            <w:pPr>
              <w:pStyle w:val="TableContents"/>
              <w:bidi w:val="0"/>
              <w:spacing w:before="0" w:after="283"/>
              <w:jc w:val="center"/>
              <w:rPr>
                <w:b/>
              </w:rPr>
            </w:pPr>
            <w:r>
              <w:rPr>
                <w:b/>
              </w:rPr>
              <w:t>Filing Date</w:t>
            </w:r>
          </w:p>
        </w:tc>
      </w:tr>
      <w:tr>
        <w:trPr>
          <w:trHeight w:val="120" w:hRule="atLeast"/>
        </w:trPr>
        <w:tc>
          <w:tcPr>
            <w:tcW w:w="894" w:type="dxa"/>
            <w:tcBorders/>
            <w:vAlign w:val="center"/>
          </w:tcPr>
          <w:p>
            <w:pPr>
              <w:pStyle w:val="TableContents"/>
              <w:bidi w:val="0"/>
              <w:spacing w:before="0" w:after="283"/>
              <w:jc w:val="left"/>
              <w:rPr>
                <w:sz w:val="4"/>
                <w:szCs w:val="4"/>
              </w:rPr>
            </w:pPr>
            <w:r>
              <w:rPr>
                <w:sz w:val="4"/>
                <w:szCs w:val="4"/>
              </w:rPr>
            </w:r>
          </w:p>
        </w:tc>
        <w:tc>
          <w:tcPr>
            <w:tcW w:w="4368" w:type="dxa"/>
            <w:gridSpan w:val="2"/>
            <w:tcBorders/>
            <w:vAlign w:val="center"/>
          </w:tcPr>
          <w:p>
            <w:pPr>
              <w:pStyle w:val="TableContents"/>
              <w:bidi w:val="0"/>
              <w:spacing w:before="0" w:after="283"/>
              <w:jc w:val="left"/>
              <w:rPr>
                <w:sz w:val="4"/>
                <w:szCs w:val="4"/>
              </w:rPr>
            </w:pPr>
            <w:r>
              <w:rPr>
                <w:sz w:val="4"/>
                <w:szCs w:val="4"/>
              </w:rPr>
            </w:r>
          </w:p>
        </w:tc>
        <w:tc>
          <w:tcPr>
            <w:tcW w:w="783" w:type="dxa"/>
            <w:gridSpan w:val="2"/>
            <w:tcBorders/>
            <w:vAlign w:val="center"/>
          </w:tcPr>
          <w:p>
            <w:pPr>
              <w:pStyle w:val="TableContents"/>
              <w:bidi w:val="0"/>
              <w:spacing w:before="0" w:after="283"/>
              <w:jc w:val="left"/>
              <w:rPr>
                <w:sz w:val="4"/>
                <w:szCs w:val="4"/>
              </w:rPr>
            </w:pPr>
            <w:r>
              <w:rPr>
                <w:sz w:val="4"/>
                <w:szCs w:val="4"/>
              </w:rPr>
            </w:r>
          </w:p>
        </w:tc>
        <w:tc>
          <w:tcPr>
            <w:tcW w:w="1007" w:type="dxa"/>
            <w:gridSpan w:val="2"/>
            <w:tcBorders/>
            <w:vAlign w:val="center"/>
          </w:tcPr>
          <w:p>
            <w:pPr>
              <w:pStyle w:val="TableContents"/>
              <w:bidi w:val="0"/>
              <w:spacing w:before="0" w:after="283"/>
              <w:jc w:val="left"/>
              <w:rPr>
                <w:sz w:val="4"/>
                <w:szCs w:val="4"/>
              </w:rPr>
            </w:pPr>
            <w:r>
              <w:rPr>
                <w:sz w:val="4"/>
                <w:szCs w:val="4"/>
              </w:rPr>
            </w:r>
          </w:p>
        </w:tc>
        <w:tc>
          <w:tcPr>
            <w:tcW w:w="955" w:type="dxa"/>
            <w:gridSpan w:val="2"/>
            <w:tcBorders/>
            <w:vAlign w:val="center"/>
          </w:tcPr>
          <w:p>
            <w:pPr>
              <w:pStyle w:val="TableContents"/>
              <w:bidi w:val="0"/>
              <w:spacing w:before="0" w:after="283"/>
              <w:jc w:val="left"/>
              <w:rPr>
                <w:sz w:val="4"/>
                <w:szCs w:val="4"/>
              </w:rPr>
            </w:pPr>
            <w:r>
              <w:rPr>
                <w:sz w:val="4"/>
                <w:szCs w:val="4"/>
              </w:rPr>
            </w:r>
          </w:p>
        </w:tc>
        <w:tc>
          <w:tcPr>
            <w:tcW w:w="2198" w:type="dxa"/>
            <w:gridSpan w:val="2"/>
            <w:tcBorders/>
            <w:vAlign w:val="center"/>
          </w:tcPr>
          <w:p>
            <w:pPr>
              <w:pStyle w:val="TableContents"/>
              <w:bidi w:val="0"/>
              <w:spacing w:before="0" w:after="283"/>
              <w:jc w:val="left"/>
              <w:rPr>
                <w:sz w:val="4"/>
                <w:szCs w:val="4"/>
              </w:rPr>
            </w:pPr>
            <w:r>
              <w:rPr>
                <w:sz w:val="4"/>
                <w:szCs w:val="4"/>
              </w:rPr>
            </w:r>
          </w:p>
        </w:tc>
      </w:tr>
      <w:tr>
        <w:trPr/>
        <w:tc>
          <w:tcPr>
            <w:tcW w:w="894" w:type="dxa"/>
            <w:tcBorders/>
          </w:tcPr>
          <w:p>
            <w:pPr>
              <w:pStyle w:val="TableContents"/>
              <w:bidi w:val="0"/>
              <w:spacing w:before="0" w:after="283"/>
              <w:jc w:val="left"/>
              <w:rPr/>
            </w:pPr>
            <w:r>
              <w:rPr/>
              <w:t>  </w:t>
            </w:r>
            <w:r>
              <w:rPr/>
              <w:t>3.6</w:t>
            </w:r>
          </w:p>
        </w:tc>
        <w:tc>
          <w:tcPr>
            <w:tcW w:w="284" w:type="dxa"/>
            <w:tcBorders/>
            <w:vAlign w:val="bottom"/>
          </w:tcPr>
          <w:p>
            <w:pPr>
              <w:pStyle w:val="TableContents"/>
              <w:bidi w:val="0"/>
              <w:spacing w:before="0" w:after="283"/>
              <w:jc w:val="left"/>
              <w:rPr/>
            </w:pPr>
            <w:r>
              <w:rPr/>
              <w:t>  </w:t>
            </w:r>
          </w:p>
        </w:tc>
        <w:tc>
          <w:tcPr>
            <w:tcW w:w="4084" w:type="dxa"/>
            <w:tcBorders/>
          </w:tcPr>
          <w:p>
            <w:pPr>
              <w:pStyle w:val="TableContents"/>
              <w:bidi w:val="0"/>
              <w:spacing w:before="0" w:after="283"/>
              <w:jc w:val="left"/>
              <w:rPr/>
            </w:pPr>
            <w:hyperlink r:id="rId20">
              <w:r>
                <w:rPr>
                  <w:rStyle w:val="InternetLink"/>
                </w:rPr>
                <w:t xml:space="preserve">Certificate of Designation, Preferences and Rights of Series A Junior Participating Preferred Stock of MagnaChip Semiconductor Corporation, as filed with the Secretary of the State of Delaware on March 6, 2015. </w:t>
              </w:r>
            </w:hyperlink>
          </w:p>
        </w:tc>
        <w:tc>
          <w:tcPr>
            <w:tcW w:w="182"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center"/>
              <w:rPr/>
            </w:pPr>
            <w:r>
              <w:rPr/>
              <w:t>8-K</w:t>
            </w:r>
          </w:p>
        </w:tc>
        <w:tc>
          <w:tcPr>
            <w:tcW w:w="182"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center"/>
              <w:rPr/>
            </w:pPr>
            <w:r>
              <w:rPr/>
              <w:t>001-34791</w:t>
            </w:r>
          </w:p>
        </w:tc>
        <w:tc>
          <w:tcPr>
            <w:tcW w:w="182"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center"/>
              <w:rPr/>
            </w:pPr>
            <w:r>
              <w:rPr/>
              <w:t>3.1</w:t>
            </w:r>
          </w:p>
        </w:tc>
        <w:tc>
          <w:tcPr>
            <w:tcW w:w="182" w:type="dxa"/>
            <w:tcBorders/>
            <w:vAlign w:val="bottom"/>
          </w:tcPr>
          <w:p>
            <w:pPr>
              <w:pStyle w:val="TableContents"/>
              <w:bidi w:val="0"/>
              <w:spacing w:before="0" w:after="283"/>
              <w:jc w:val="left"/>
              <w:rPr/>
            </w:pPr>
            <w:r>
              <w:rPr/>
              <w:t>  </w:t>
            </w:r>
          </w:p>
        </w:tc>
        <w:tc>
          <w:tcPr>
            <w:tcW w:w="2016" w:type="dxa"/>
            <w:tcBorders/>
            <w:vAlign w:val="bottom"/>
          </w:tcPr>
          <w:p>
            <w:pPr>
              <w:pStyle w:val="TableContents"/>
              <w:bidi w:val="0"/>
              <w:spacing w:before="0" w:after="283"/>
              <w:jc w:val="center"/>
              <w:rPr/>
            </w:pPr>
            <w:r>
              <w:rPr/>
              <w:t>March 6, 2015</w:t>
            </w:r>
          </w:p>
        </w:tc>
      </w:tr>
      <w:tr>
        <w:trPr>
          <w:trHeight w:val="120" w:hRule="atLeast"/>
        </w:trPr>
        <w:tc>
          <w:tcPr>
            <w:tcW w:w="894" w:type="dxa"/>
            <w:tcBorders/>
            <w:vAlign w:val="center"/>
          </w:tcPr>
          <w:p>
            <w:pPr>
              <w:pStyle w:val="TableContents"/>
              <w:bidi w:val="0"/>
              <w:spacing w:before="0" w:after="283"/>
              <w:jc w:val="left"/>
              <w:rPr>
                <w:sz w:val="4"/>
                <w:szCs w:val="4"/>
              </w:rPr>
            </w:pPr>
            <w:r>
              <w:rPr>
                <w:sz w:val="4"/>
                <w:szCs w:val="4"/>
              </w:rPr>
            </w:r>
          </w:p>
        </w:tc>
        <w:tc>
          <w:tcPr>
            <w:tcW w:w="4368" w:type="dxa"/>
            <w:gridSpan w:val="2"/>
            <w:tcBorders/>
            <w:vAlign w:val="center"/>
          </w:tcPr>
          <w:p>
            <w:pPr>
              <w:pStyle w:val="TableContents"/>
              <w:bidi w:val="0"/>
              <w:spacing w:before="0" w:after="283"/>
              <w:jc w:val="left"/>
              <w:rPr>
                <w:sz w:val="4"/>
                <w:szCs w:val="4"/>
              </w:rPr>
            </w:pPr>
            <w:r>
              <w:rPr>
                <w:sz w:val="4"/>
                <w:szCs w:val="4"/>
              </w:rPr>
            </w:r>
          </w:p>
        </w:tc>
        <w:tc>
          <w:tcPr>
            <w:tcW w:w="783" w:type="dxa"/>
            <w:gridSpan w:val="2"/>
            <w:tcBorders/>
            <w:vAlign w:val="center"/>
          </w:tcPr>
          <w:p>
            <w:pPr>
              <w:pStyle w:val="TableContents"/>
              <w:bidi w:val="0"/>
              <w:spacing w:before="0" w:after="283"/>
              <w:jc w:val="left"/>
              <w:rPr>
                <w:sz w:val="4"/>
                <w:szCs w:val="4"/>
              </w:rPr>
            </w:pPr>
            <w:r>
              <w:rPr>
                <w:sz w:val="4"/>
                <w:szCs w:val="4"/>
              </w:rPr>
            </w:r>
          </w:p>
        </w:tc>
        <w:tc>
          <w:tcPr>
            <w:tcW w:w="1007" w:type="dxa"/>
            <w:gridSpan w:val="2"/>
            <w:tcBorders/>
            <w:vAlign w:val="center"/>
          </w:tcPr>
          <w:p>
            <w:pPr>
              <w:pStyle w:val="TableContents"/>
              <w:bidi w:val="0"/>
              <w:spacing w:before="0" w:after="283"/>
              <w:jc w:val="left"/>
              <w:rPr>
                <w:sz w:val="4"/>
                <w:szCs w:val="4"/>
              </w:rPr>
            </w:pPr>
            <w:r>
              <w:rPr>
                <w:sz w:val="4"/>
                <w:szCs w:val="4"/>
              </w:rPr>
            </w:r>
          </w:p>
        </w:tc>
        <w:tc>
          <w:tcPr>
            <w:tcW w:w="955" w:type="dxa"/>
            <w:gridSpan w:val="2"/>
            <w:tcBorders/>
            <w:vAlign w:val="center"/>
          </w:tcPr>
          <w:p>
            <w:pPr>
              <w:pStyle w:val="TableContents"/>
              <w:bidi w:val="0"/>
              <w:spacing w:before="0" w:after="283"/>
              <w:jc w:val="left"/>
              <w:rPr>
                <w:sz w:val="4"/>
                <w:szCs w:val="4"/>
              </w:rPr>
            </w:pPr>
            <w:r>
              <w:rPr>
                <w:sz w:val="4"/>
                <w:szCs w:val="4"/>
              </w:rPr>
            </w:r>
          </w:p>
        </w:tc>
        <w:tc>
          <w:tcPr>
            <w:tcW w:w="2198" w:type="dxa"/>
            <w:gridSpan w:val="2"/>
            <w:tcBorders/>
            <w:vAlign w:val="center"/>
          </w:tcPr>
          <w:p>
            <w:pPr>
              <w:pStyle w:val="TableContents"/>
              <w:bidi w:val="0"/>
              <w:spacing w:before="0" w:after="283"/>
              <w:jc w:val="left"/>
              <w:rPr>
                <w:sz w:val="4"/>
                <w:szCs w:val="4"/>
              </w:rPr>
            </w:pPr>
            <w:r>
              <w:rPr>
                <w:sz w:val="4"/>
                <w:szCs w:val="4"/>
              </w:rPr>
            </w:r>
          </w:p>
        </w:tc>
      </w:tr>
      <w:tr>
        <w:trPr/>
        <w:tc>
          <w:tcPr>
            <w:tcW w:w="894" w:type="dxa"/>
            <w:tcBorders/>
          </w:tcPr>
          <w:p>
            <w:pPr>
              <w:pStyle w:val="TableContents"/>
              <w:bidi w:val="0"/>
              <w:spacing w:before="0" w:after="283"/>
              <w:jc w:val="left"/>
              <w:rPr/>
            </w:pPr>
            <w:r>
              <w:rPr/>
              <w:t>  </w:t>
            </w:r>
            <w:r>
              <w:rPr/>
              <w:t>3.7</w:t>
            </w:r>
          </w:p>
        </w:tc>
        <w:tc>
          <w:tcPr>
            <w:tcW w:w="284" w:type="dxa"/>
            <w:tcBorders/>
            <w:vAlign w:val="bottom"/>
          </w:tcPr>
          <w:p>
            <w:pPr>
              <w:pStyle w:val="TableContents"/>
              <w:bidi w:val="0"/>
              <w:spacing w:before="0" w:after="283"/>
              <w:jc w:val="left"/>
              <w:rPr/>
            </w:pPr>
            <w:r>
              <w:rPr/>
              <w:t>  </w:t>
            </w:r>
          </w:p>
        </w:tc>
        <w:tc>
          <w:tcPr>
            <w:tcW w:w="4084" w:type="dxa"/>
            <w:tcBorders/>
          </w:tcPr>
          <w:p>
            <w:pPr>
              <w:pStyle w:val="TableContents"/>
              <w:bidi w:val="0"/>
              <w:spacing w:before="0" w:after="283"/>
              <w:jc w:val="left"/>
              <w:rPr/>
            </w:pPr>
            <w:hyperlink r:id="rId21">
              <w:r>
                <w:rPr>
                  <w:rStyle w:val="InternetLink"/>
                </w:rPr>
                <w:t>Certificate of Designation of Series A-1, Junior Participating Preferred Stock of Magnachip Semiconductor Corporation, as filed with the Secretary of State of Delaware on December 13, 2021. </w:t>
              </w:r>
            </w:hyperlink>
          </w:p>
        </w:tc>
        <w:tc>
          <w:tcPr>
            <w:tcW w:w="182"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center"/>
              <w:rPr/>
            </w:pPr>
            <w:r>
              <w:rPr/>
              <w:t>8-K</w:t>
            </w:r>
          </w:p>
        </w:tc>
        <w:tc>
          <w:tcPr>
            <w:tcW w:w="182"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center"/>
              <w:rPr/>
            </w:pPr>
            <w:r>
              <w:rPr/>
              <w:t>001-34791</w:t>
            </w:r>
          </w:p>
        </w:tc>
        <w:tc>
          <w:tcPr>
            <w:tcW w:w="182"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center"/>
              <w:rPr/>
            </w:pPr>
            <w:r>
              <w:rPr/>
              <w:t>3.1</w:t>
            </w:r>
          </w:p>
        </w:tc>
        <w:tc>
          <w:tcPr>
            <w:tcW w:w="182" w:type="dxa"/>
            <w:tcBorders/>
            <w:vAlign w:val="bottom"/>
          </w:tcPr>
          <w:p>
            <w:pPr>
              <w:pStyle w:val="TableContents"/>
              <w:bidi w:val="0"/>
              <w:spacing w:before="0" w:after="283"/>
              <w:jc w:val="left"/>
              <w:rPr/>
            </w:pPr>
            <w:r>
              <w:rPr/>
              <w:t>  </w:t>
            </w:r>
          </w:p>
        </w:tc>
        <w:tc>
          <w:tcPr>
            <w:tcW w:w="2016" w:type="dxa"/>
            <w:tcBorders/>
            <w:vAlign w:val="bottom"/>
          </w:tcPr>
          <w:p>
            <w:pPr>
              <w:pStyle w:val="TableContents"/>
              <w:bidi w:val="0"/>
              <w:spacing w:before="0" w:after="283"/>
              <w:jc w:val="center"/>
              <w:rPr/>
            </w:pPr>
            <w:r>
              <w:rPr/>
              <w:t>December 14, 2021</w:t>
            </w:r>
          </w:p>
        </w:tc>
      </w:tr>
      <w:tr>
        <w:trPr>
          <w:trHeight w:val="120" w:hRule="atLeast"/>
        </w:trPr>
        <w:tc>
          <w:tcPr>
            <w:tcW w:w="894" w:type="dxa"/>
            <w:tcBorders/>
            <w:vAlign w:val="center"/>
          </w:tcPr>
          <w:p>
            <w:pPr>
              <w:pStyle w:val="TableContents"/>
              <w:bidi w:val="0"/>
              <w:spacing w:before="0" w:after="283"/>
              <w:jc w:val="left"/>
              <w:rPr>
                <w:sz w:val="4"/>
                <w:szCs w:val="4"/>
              </w:rPr>
            </w:pPr>
            <w:r>
              <w:rPr>
                <w:sz w:val="4"/>
                <w:szCs w:val="4"/>
              </w:rPr>
            </w:r>
          </w:p>
        </w:tc>
        <w:tc>
          <w:tcPr>
            <w:tcW w:w="4368" w:type="dxa"/>
            <w:gridSpan w:val="2"/>
            <w:tcBorders/>
            <w:vAlign w:val="center"/>
          </w:tcPr>
          <w:p>
            <w:pPr>
              <w:pStyle w:val="TableContents"/>
              <w:bidi w:val="0"/>
              <w:spacing w:before="0" w:after="283"/>
              <w:jc w:val="left"/>
              <w:rPr>
                <w:sz w:val="4"/>
                <w:szCs w:val="4"/>
              </w:rPr>
            </w:pPr>
            <w:r>
              <w:rPr>
                <w:sz w:val="4"/>
                <w:szCs w:val="4"/>
              </w:rPr>
            </w:r>
          </w:p>
        </w:tc>
        <w:tc>
          <w:tcPr>
            <w:tcW w:w="783" w:type="dxa"/>
            <w:gridSpan w:val="2"/>
            <w:tcBorders/>
            <w:vAlign w:val="center"/>
          </w:tcPr>
          <w:p>
            <w:pPr>
              <w:pStyle w:val="TableContents"/>
              <w:bidi w:val="0"/>
              <w:spacing w:before="0" w:after="283"/>
              <w:jc w:val="left"/>
              <w:rPr>
                <w:sz w:val="4"/>
                <w:szCs w:val="4"/>
              </w:rPr>
            </w:pPr>
            <w:r>
              <w:rPr>
                <w:sz w:val="4"/>
                <w:szCs w:val="4"/>
              </w:rPr>
            </w:r>
          </w:p>
        </w:tc>
        <w:tc>
          <w:tcPr>
            <w:tcW w:w="1007" w:type="dxa"/>
            <w:gridSpan w:val="2"/>
            <w:tcBorders/>
            <w:vAlign w:val="center"/>
          </w:tcPr>
          <w:p>
            <w:pPr>
              <w:pStyle w:val="TableContents"/>
              <w:bidi w:val="0"/>
              <w:spacing w:before="0" w:after="283"/>
              <w:jc w:val="left"/>
              <w:rPr>
                <w:sz w:val="4"/>
                <w:szCs w:val="4"/>
              </w:rPr>
            </w:pPr>
            <w:r>
              <w:rPr>
                <w:sz w:val="4"/>
                <w:szCs w:val="4"/>
              </w:rPr>
            </w:r>
          </w:p>
        </w:tc>
        <w:tc>
          <w:tcPr>
            <w:tcW w:w="955" w:type="dxa"/>
            <w:gridSpan w:val="2"/>
            <w:tcBorders/>
            <w:vAlign w:val="center"/>
          </w:tcPr>
          <w:p>
            <w:pPr>
              <w:pStyle w:val="TableContents"/>
              <w:bidi w:val="0"/>
              <w:spacing w:before="0" w:after="283"/>
              <w:jc w:val="left"/>
              <w:rPr>
                <w:sz w:val="4"/>
                <w:szCs w:val="4"/>
              </w:rPr>
            </w:pPr>
            <w:r>
              <w:rPr>
                <w:sz w:val="4"/>
                <w:szCs w:val="4"/>
              </w:rPr>
            </w:r>
          </w:p>
        </w:tc>
        <w:tc>
          <w:tcPr>
            <w:tcW w:w="2198" w:type="dxa"/>
            <w:gridSpan w:val="2"/>
            <w:tcBorders/>
            <w:vAlign w:val="center"/>
          </w:tcPr>
          <w:p>
            <w:pPr>
              <w:pStyle w:val="TableContents"/>
              <w:bidi w:val="0"/>
              <w:spacing w:before="0" w:after="283"/>
              <w:jc w:val="left"/>
              <w:rPr>
                <w:sz w:val="4"/>
                <w:szCs w:val="4"/>
              </w:rPr>
            </w:pPr>
            <w:r>
              <w:rPr>
                <w:sz w:val="4"/>
                <w:szCs w:val="4"/>
              </w:rPr>
            </w:r>
          </w:p>
        </w:tc>
      </w:tr>
      <w:tr>
        <w:trPr/>
        <w:tc>
          <w:tcPr>
            <w:tcW w:w="894" w:type="dxa"/>
            <w:tcBorders/>
          </w:tcPr>
          <w:p>
            <w:pPr>
              <w:pStyle w:val="TableContents"/>
              <w:bidi w:val="0"/>
              <w:spacing w:before="0" w:after="283"/>
              <w:jc w:val="left"/>
              <w:rPr/>
            </w:pPr>
            <w:r>
              <w:rPr/>
              <w:t>  </w:t>
            </w:r>
            <w:r>
              <w:rPr/>
              <w:t>5.1</w:t>
            </w:r>
          </w:p>
        </w:tc>
        <w:tc>
          <w:tcPr>
            <w:tcW w:w="284" w:type="dxa"/>
            <w:tcBorders/>
            <w:vAlign w:val="bottom"/>
          </w:tcPr>
          <w:p>
            <w:pPr>
              <w:pStyle w:val="TableContents"/>
              <w:bidi w:val="0"/>
              <w:spacing w:before="0" w:after="283"/>
              <w:jc w:val="left"/>
              <w:rPr/>
            </w:pPr>
            <w:r>
              <w:rPr/>
              <w:t>  </w:t>
            </w:r>
          </w:p>
        </w:tc>
        <w:tc>
          <w:tcPr>
            <w:tcW w:w="4084" w:type="dxa"/>
            <w:tcBorders/>
          </w:tcPr>
          <w:p>
            <w:pPr>
              <w:pStyle w:val="TableContents"/>
              <w:bidi w:val="0"/>
              <w:spacing w:before="0" w:after="283"/>
              <w:jc w:val="left"/>
              <w:rPr/>
            </w:pPr>
            <w:hyperlink w:anchor="d130667dex51.htm">
              <w:r>
                <w:rPr>
                  <w:rStyle w:val="InternetLink"/>
                </w:rPr>
                <w:t xml:space="preserve">Opinion of Goodwin Procter LLP. </w:t>
              </w:r>
            </w:hyperlink>
          </w:p>
        </w:tc>
        <w:tc>
          <w:tcPr>
            <w:tcW w:w="182"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center"/>
              <w:rPr/>
            </w:pPr>
            <w:r>
              <w:rPr/>
              <w:t>-</w:t>
            </w:r>
          </w:p>
        </w:tc>
        <w:tc>
          <w:tcPr>
            <w:tcW w:w="182"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center"/>
              <w:rPr/>
            </w:pPr>
            <w:r>
              <w:rPr/>
              <w:t>-</w:t>
            </w:r>
          </w:p>
        </w:tc>
        <w:tc>
          <w:tcPr>
            <w:tcW w:w="182"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center"/>
              <w:rPr/>
            </w:pPr>
            <w:r>
              <w:rPr/>
              <w:t>-</w:t>
            </w:r>
          </w:p>
        </w:tc>
        <w:tc>
          <w:tcPr>
            <w:tcW w:w="182" w:type="dxa"/>
            <w:tcBorders/>
            <w:vAlign w:val="bottom"/>
          </w:tcPr>
          <w:p>
            <w:pPr>
              <w:pStyle w:val="TableContents"/>
              <w:bidi w:val="0"/>
              <w:spacing w:before="0" w:after="283"/>
              <w:jc w:val="left"/>
              <w:rPr/>
            </w:pPr>
            <w:r>
              <w:rPr/>
              <w:t>  </w:t>
            </w:r>
          </w:p>
        </w:tc>
        <w:tc>
          <w:tcPr>
            <w:tcW w:w="2016" w:type="dxa"/>
            <w:tcBorders/>
            <w:vAlign w:val="bottom"/>
          </w:tcPr>
          <w:p>
            <w:pPr>
              <w:pStyle w:val="TableContents"/>
              <w:bidi w:val="0"/>
              <w:spacing w:before="0" w:after="283"/>
              <w:jc w:val="center"/>
              <w:rPr/>
            </w:pPr>
            <w:r>
              <w:rPr/>
              <w:t>Filed herewith</w:t>
            </w:r>
          </w:p>
        </w:tc>
      </w:tr>
      <w:tr>
        <w:trPr>
          <w:trHeight w:val="120" w:hRule="atLeast"/>
        </w:trPr>
        <w:tc>
          <w:tcPr>
            <w:tcW w:w="894" w:type="dxa"/>
            <w:tcBorders/>
            <w:vAlign w:val="center"/>
          </w:tcPr>
          <w:p>
            <w:pPr>
              <w:pStyle w:val="TableContents"/>
              <w:bidi w:val="0"/>
              <w:spacing w:before="0" w:after="283"/>
              <w:jc w:val="left"/>
              <w:rPr>
                <w:sz w:val="4"/>
                <w:szCs w:val="4"/>
              </w:rPr>
            </w:pPr>
            <w:r>
              <w:rPr>
                <w:sz w:val="4"/>
                <w:szCs w:val="4"/>
              </w:rPr>
            </w:r>
          </w:p>
        </w:tc>
        <w:tc>
          <w:tcPr>
            <w:tcW w:w="4368" w:type="dxa"/>
            <w:gridSpan w:val="2"/>
            <w:tcBorders/>
            <w:vAlign w:val="center"/>
          </w:tcPr>
          <w:p>
            <w:pPr>
              <w:pStyle w:val="TableContents"/>
              <w:bidi w:val="0"/>
              <w:spacing w:before="0" w:after="283"/>
              <w:jc w:val="left"/>
              <w:rPr>
                <w:sz w:val="4"/>
                <w:szCs w:val="4"/>
              </w:rPr>
            </w:pPr>
            <w:r>
              <w:rPr>
                <w:sz w:val="4"/>
                <w:szCs w:val="4"/>
              </w:rPr>
            </w:r>
          </w:p>
        </w:tc>
        <w:tc>
          <w:tcPr>
            <w:tcW w:w="783" w:type="dxa"/>
            <w:gridSpan w:val="2"/>
            <w:tcBorders/>
            <w:vAlign w:val="center"/>
          </w:tcPr>
          <w:p>
            <w:pPr>
              <w:pStyle w:val="TableContents"/>
              <w:bidi w:val="0"/>
              <w:spacing w:before="0" w:after="283"/>
              <w:jc w:val="left"/>
              <w:rPr>
                <w:sz w:val="4"/>
                <w:szCs w:val="4"/>
              </w:rPr>
            </w:pPr>
            <w:r>
              <w:rPr>
                <w:sz w:val="4"/>
                <w:szCs w:val="4"/>
              </w:rPr>
            </w:r>
          </w:p>
        </w:tc>
        <w:tc>
          <w:tcPr>
            <w:tcW w:w="1007" w:type="dxa"/>
            <w:gridSpan w:val="2"/>
            <w:tcBorders/>
            <w:vAlign w:val="center"/>
          </w:tcPr>
          <w:p>
            <w:pPr>
              <w:pStyle w:val="TableContents"/>
              <w:bidi w:val="0"/>
              <w:spacing w:before="0" w:after="283"/>
              <w:jc w:val="left"/>
              <w:rPr>
                <w:sz w:val="4"/>
                <w:szCs w:val="4"/>
              </w:rPr>
            </w:pPr>
            <w:r>
              <w:rPr>
                <w:sz w:val="4"/>
                <w:szCs w:val="4"/>
              </w:rPr>
            </w:r>
          </w:p>
        </w:tc>
        <w:tc>
          <w:tcPr>
            <w:tcW w:w="955" w:type="dxa"/>
            <w:gridSpan w:val="2"/>
            <w:tcBorders/>
            <w:vAlign w:val="center"/>
          </w:tcPr>
          <w:p>
            <w:pPr>
              <w:pStyle w:val="TableContents"/>
              <w:bidi w:val="0"/>
              <w:spacing w:before="0" w:after="283"/>
              <w:jc w:val="left"/>
              <w:rPr>
                <w:sz w:val="4"/>
                <w:szCs w:val="4"/>
              </w:rPr>
            </w:pPr>
            <w:r>
              <w:rPr>
                <w:sz w:val="4"/>
                <w:szCs w:val="4"/>
              </w:rPr>
            </w:r>
          </w:p>
        </w:tc>
        <w:tc>
          <w:tcPr>
            <w:tcW w:w="2198" w:type="dxa"/>
            <w:gridSpan w:val="2"/>
            <w:tcBorders/>
            <w:vAlign w:val="center"/>
          </w:tcPr>
          <w:p>
            <w:pPr>
              <w:pStyle w:val="TableContents"/>
              <w:bidi w:val="0"/>
              <w:spacing w:before="0" w:after="283"/>
              <w:jc w:val="left"/>
              <w:rPr>
                <w:sz w:val="4"/>
                <w:szCs w:val="4"/>
              </w:rPr>
            </w:pPr>
            <w:r>
              <w:rPr>
                <w:sz w:val="4"/>
                <w:szCs w:val="4"/>
              </w:rPr>
            </w:r>
          </w:p>
        </w:tc>
      </w:tr>
      <w:tr>
        <w:trPr/>
        <w:tc>
          <w:tcPr>
            <w:tcW w:w="894" w:type="dxa"/>
            <w:tcBorders/>
          </w:tcPr>
          <w:p>
            <w:pPr>
              <w:pStyle w:val="TableContents"/>
              <w:bidi w:val="0"/>
              <w:spacing w:before="0" w:after="283"/>
              <w:jc w:val="left"/>
              <w:rPr/>
            </w:pPr>
            <w:r>
              <w:rPr/>
              <w:t> </w:t>
            </w:r>
            <w:r>
              <w:rPr/>
              <w:t>10.1</w:t>
            </w:r>
          </w:p>
        </w:tc>
        <w:tc>
          <w:tcPr>
            <w:tcW w:w="284" w:type="dxa"/>
            <w:tcBorders/>
            <w:vAlign w:val="bottom"/>
          </w:tcPr>
          <w:p>
            <w:pPr>
              <w:pStyle w:val="TableContents"/>
              <w:bidi w:val="0"/>
              <w:spacing w:before="0" w:after="283"/>
              <w:jc w:val="left"/>
              <w:rPr/>
            </w:pPr>
            <w:r>
              <w:rPr/>
              <w:t>  </w:t>
            </w:r>
          </w:p>
        </w:tc>
        <w:tc>
          <w:tcPr>
            <w:tcW w:w="4084" w:type="dxa"/>
            <w:tcBorders/>
          </w:tcPr>
          <w:p>
            <w:pPr>
              <w:pStyle w:val="TableContents"/>
              <w:bidi w:val="0"/>
              <w:spacing w:before="0" w:after="283"/>
              <w:jc w:val="left"/>
              <w:rPr/>
            </w:pPr>
            <w:hyperlink r:id="rId22">
              <w:r>
                <w:rPr>
                  <w:rStyle w:val="InternetLink"/>
                </w:rPr>
                <w:t xml:space="preserve">Share Purchase Agreement dated September  18, 2026, by and between Magnachip Semiconductor Corporation and Navitas Semiconductor Corporation. </w:t>
              </w:r>
            </w:hyperlink>
          </w:p>
        </w:tc>
        <w:tc>
          <w:tcPr>
            <w:tcW w:w="182"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center"/>
              <w:rPr/>
            </w:pPr>
            <w:r>
              <w:rPr/>
              <w:t>8-K</w:t>
            </w:r>
          </w:p>
        </w:tc>
        <w:tc>
          <w:tcPr>
            <w:tcW w:w="182"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center"/>
              <w:rPr/>
            </w:pPr>
            <w:r>
              <w:rPr/>
              <w:t>001-34791</w:t>
            </w:r>
          </w:p>
        </w:tc>
        <w:tc>
          <w:tcPr>
            <w:tcW w:w="182"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center"/>
              <w:rPr/>
            </w:pPr>
            <w:r>
              <w:rPr/>
              <w:t>10.1</w:t>
            </w:r>
          </w:p>
        </w:tc>
        <w:tc>
          <w:tcPr>
            <w:tcW w:w="182" w:type="dxa"/>
            <w:tcBorders/>
            <w:vAlign w:val="bottom"/>
          </w:tcPr>
          <w:p>
            <w:pPr>
              <w:pStyle w:val="TableContents"/>
              <w:bidi w:val="0"/>
              <w:spacing w:before="0" w:after="283"/>
              <w:jc w:val="left"/>
              <w:rPr/>
            </w:pPr>
            <w:r>
              <w:rPr/>
              <w:t>  </w:t>
            </w:r>
          </w:p>
        </w:tc>
        <w:tc>
          <w:tcPr>
            <w:tcW w:w="2016" w:type="dxa"/>
            <w:tcBorders/>
            <w:vAlign w:val="bottom"/>
          </w:tcPr>
          <w:p>
            <w:pPr>
              <w:pStyle w:val="TableContents"/>
              <w:bidi w:val="0"/>
              <w:spacing w:before="0" w:after="283"/>
              <w:jc w:val="center"/>
              <w:rPr/>
            </w:pPr>
            <w:r>
              <w:rPr/>
              <w:t>September 21, 2026</w:t>
            </w:r>
          </w:p>
        </w:tc>
      </w:tr>
      <w:tr>
        <w:trPr>
          <w:trHeight w:val="120" w:hRule="atLeast"/>
        </w:trPr>
        <w:tc>
          <w:tcPr>
            <w:tcW w:w="894" w:type="dxa"/>
            <w:tcBorders/>
            <w:vAlign w:val="center"/>
          </w:tcPr>
          <w:p>
            <w:pPr>
              <w:pStyle w:val="TableContents"/>
              <w:bidi w:val="0"/>
              <w:spacing w:before="0" w:after="283"/>
              <w:jc w:val="left"/>
              <w:rPr>
                <w:sz w:val="4"/>
                <w:szCs w:val="4"/>
              </w:rPr>
            </w:pPr>
            <w:r>
              <w:rPr>
                <w:sz w:val="4"/>
                <w:szCs w:val="4"/>
              </w:rPr>
            </w:r>
          </w:p>
        </w:tc>
        <w:tc>
          <w:tcPr>
            <w:tcW w:w="4368" w:type="dxa"/>
            <w:gridSpan w:val="2"/>
            <w:tcBorders/>
            <w:vAlign w:val="center"/>
          </w:tcPr>
          <w:p>
            <w:pPr>
              <w:pStyle w:val="TableContents"/>
              <w:bidi w:val="0"/>
              <w:spacing w:before="0" w:after="283"/>
              <w:jc w:val="left"/>
              <w:rPr>
                <w:sz w:val="4"/>
                <w:szCs w:val="4"/>
              </w:rPr>
            </w:pPr>
            <w:r>
              <w:rPr>
                <w:sz w:val="4"/>
                <w:szCs w:val="4"/>
              </w:rPr>
            </w:r>
          </w:p>
        </w:tc>
        <w:tc>
          <w:tcPr>
            <w:tcW w:w="783" w:type="dxa"/>
            <w:gridSpan w:val="2"/>
            <w:tcBorders/>
            <w:vAlign w:val="center"/>
          </w:tcPr>
          <w:p>
            <w:pPr>
              <w:pStyle w:val="TableContents"/>
              <w:bidi w:val="0"/>
              <w:spacing w:before="0" w:after="283"/>
              <w:jc w:val="left"/>
              <w:rPr>
                <w:sz w:val="4"/>
                <w:szCs w:val="4"/>
              </w:rPr>
            </w:pPr>
            <w:r>
              <w:rPr>
                <w:sz w:val="4"/>
                <w:szCs w:val="4"/>
              </w:rPr>
            </w:r>
          </w:p>
        </w:tc>
        <w:tc>
          <w:tcPr>
            <w:tcW w:w="1007" w:type="dxa"/>
            <w:gridSpan w:val="2"/>
            <w:tcBorders/>
            <w:vAlign w:val="center"/>
          </w:tcPr>
          <w:p>
            <w:pPr>
              <w:pStyle w:val="TableContents"/>
              <w:bidi w:val="0"/>
              <w:spacing w:before="0" w:after="283"/>
              <w:jc w:val="left"/>
              <w:rPr>
                <w:sz w:val="4"/>
                <w:szCs w:val="4"/>
              </w:rPr>
            </w:pPr>
            <w:r>
              <w:rPr>
                <w:sz w:val="4"/>
                <w:szCs w:val="4"/>
              </w:rPr>
            </w:r>
          </w:p>
        </w:tc>
        <w:tc>
          <w:tcPr>
            <w:tcW w:w="955" w:type="dxa"/>
            <w:gridSpan w:val="2"/>
            <w:tcBorders/>
            <w:vAlign w:val="center"/>
          </w:tcPr>
          <w:p>
            <w:pPr>
              <w:pStyle w:val="TableContents"/>
              <w:bidi w:val="0"/>
              <w:spacing w:before="0" w:after="283"/>
              <w:jc w:val="left"/>
              <w:rPr>
                <w:sz w:val="4"/>
                <w:szCs w:val="4"/>
              </w:rPr>
            </w:pPr>
            <w:r>
              <w:rPr>
                <w:sz w:val="4"/>
                <w:szCs w:val="4"/>
              </w:rPr>
            </w:r>
          </w:p>
        </w:tc>
        <w:tc>
          <w:tcPr>
            <w:tcW w:w="2198" w:type="dxa"/>
            <w:gridSpan w:val="2"/>
            <w:tcBorders/>
            <w:vAlign w:val="center"/>
          </w:tcPr>
          <w:p>
            <w:pPr>
              <w:pStyle w:val="TableContents"/>
              <w:bidi w:val="0"/>
              <w:spacing w:before="0" w:after="283"/>
              <w:jc w:val="left"/>
              <w:rPr>
                <w:sz w:val="4"/>
                <w:szCs w:val="4"/>
              </w:rPr>
            </w:pPr>
            <w:r>
              <w:rPr>
                <w:sz w:val="4"/>
                <w:szCs w:val="4"/>
              </w:rPr>
            </w:r>
          </w:p>
        </w:tc>
      </w:tr>
      <w:tr>
        <w:trPr/>
        <w:tc>
          <w:tcPr>
            <w:tcW w:w="894" w:type="dxa"/>
            <w:tcBorders/>
          </w:tcPr>
          <w:p>
            <w:pPr>
              <w:pStyle w:val="TableContents"/>
              <w:bidi w:val="0"/>
              <w:spacing w:before="0" w:after="283"/>
              <w:jc w:val="left"/>
              <w:rPr/>
            </w:pPr>
            <w:r>
              <w:rPr/>
              <w:t> </w:t>
            </w:r>
            <w:r>
              <w:rPr/>
              <w:t>23.1</w:t>
            </w:r>
          </w:p>
        </w:tc>
        <w:tc>
          <w:tcPr>
            <w:tcW w:w="284" w:type="dxa"/>
            <w:tcBorders/>
            <w:vAlign w:val="bottom"/>
          </w:tcPr>
          <w:p>
            <w:pPr>
              <w:pStyle w:val="TableContents"/>
              <w:bidi w:val="0"/>
              <w:spacing w:before="0" w:after="283"/>
              <w:jc w:val="left"/>
              <w:rPr/>
            </w:pPr>
            <w:r>
              <w:rPr/>
              <w:t>  </w:t>
            </w:r>
          </w:p>
        </w:tc>
        <w:tc>
          <w:tcPr>
            <w:tcW w:w="4084" w:type="dxa"/>
            <w:tcBorders/>
          </w:tcPr>
          <w:p>
            <w:pPr>
              <w:pStyle w:val="TableContents"/>
              <w:bidi w:val="0"/>
              <w:spacing w:before="0" w:after="283"/>
              <w:jc w:val="left"/>
              <w:rPr/>
            </w:pPr>
            <w:hyperlink w:anchor="d130667dex231.htm">
              <w:r>
                <w:rPr>
                  <w:rStyle w:val="InternetLink"/>
                </w:rPr>
                <w:t xml:space="preserve">Consent of EY Han Young, Independent Registered Public Accounting Firm. </w:t>
              </w:r>
            </w:hyperlink>
          </w:p>
        </w:tc>
        <w:tc>
          <w:tcPr>
            <w:tcW w:w="182"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center"/>
              <w:rPr/>
            </w:pPr>
            <w:r>
              <w:rPr/>
              <w:t>-</w:t>
            </w:r>
          </w:p>
        </w:tc>
        <w:tc>
          <w:tcPr>
            <w:tcW w:w="182"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center"/>
              <w:rPr/>
            </w:pPr>
            <w:r>
              <w:rPr/>
              <w:t>-</w:t>
            </w:r>
          </w:p>
        </w:tc>
        <w:tc>
          <w:tcPr>
            <w:tcW w:w="182"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center"/>
              <w:rPr/>
            </w:pPr>
            <w:r>
              <w:rPr/>
              <w:t>-</w:t>
            </w:r>
          </w:p>
        </w:tc>
        <w:tc>
          <w:tcPr>
            <w:tcW w:w="182" w:type="dxa"/>
            <w:tcBorders/>
            <w:vAlign w:val="bottom"/>
          </w:tcPr>
          <w:p>
            <w:pPr>
              <w:pStyle w:val="TableContents"/>
              <w:bidi w:val="0"/>
              <w:spacing w:before="0" w:after="283"/>
              <w:jc w:val="left"/>
              <w:rPr/>
            </w:pPr>
            <w:r>
              <w:rPr/>
              <w:t>  </w:t>
            </w:r>
          </w:p>
        </w:tc>
        <w:tc>
          <w:tcPr>
            <w:tcW w:w="2016" w:type="dxa"/>
            <w:tcBorders/>
            <w:vAlign w:val="bottom"/>
          </w:tcPr>
          <w:p>
            <w:pPr>
              <w:pStyle w:val="TableContents"/>
              <w:bidi w:val="0"/>
              <w:spacing w:before="0" w:after="283"/>
              <w:jc w:val="center"/>
              <w:rPr/>
            </w:pPr>
            <w:r>
              <w:rPr/>
              <w:t>Filed herewith</w:t>
            </w:r>
          </w:p>
        </w:tc>
      </w:tr>
      <w:tr>
        <w:trPr>
          <w:trHeight w:val="120" w:hRule="atLeast"/>
        </w:trPr>
        <w:tc>
          <w:tcPr>
            <w:tcW w:w="894" w:type="dxa"/>
            <w:tcBorders/>
            <w:vAlign w:val="center"/>
          </w:tcPr>
          <w:p>
            <w:pPr>
              <w:pStyle w:val="TableContents"/>
              <w:bidi w:val="0"/>
              <w:spacing w:before="0" w:after="283"/>
              <w:jc w:val="left"/>
              <w:rPr>
                <w:sz w:val="4"/>
                <w:szCs w:val="4"/>
              </w:rPr>
            </w:pPr>
            <w:r>
              <w:rPr>
                <w:sz w:val="4"/>
                <w:szCs w:val="4"/>
              </w:rPr>
            </w:r>
          </w:p>
        </w:tc>
        <w:tc>
          <w:tcPr>
            <w:tcW w:w="4368" w:type="dxa"/>
            <w:gridSpan w:val="2"/>
            <w:tcBorders/>
            <w:vAlign w:val="center"/>
          </w:tcPr>
          <w:p>
            <w:pPr>
              <w:pStyle w:val="TableContents"/>
              <w:bidi w:val="0"/>
              <w:spacing w:before="0" w:after="283"/>
              <w:jc w:val="left"/>
              <w:rPr>
                <w:sz w:val="4"/>
                <w:szCs w:val="4"/>
              </w:rPr>
            </w:pPr>
            <w:r>
              <w:rPr>
                <w:sz w:val="4"/>
                <w:szCs w:val="4"/>
              </w:rPr>
            </w:r>
          </w:p>
        </w:tc>
        <w:tc>
          <w:tcPr>
            <w:tcW w:w="783" w:type="dxa"/>
            <w:gridSpan w:val="2"/>
            <w:tcBorders/>
            <w:vAlign w:val="center"/>
          </w:tcPr>
          <w:p>
            <w:pPr>
              <w:pStyle w:val="TableContents"/>
              <w:bidi w:val="0"/>
              <w:spacing w:before="0" w:after="283"/>
              <w:jc w:val="left"/>
              <w:rPr>
                <w:sz w:val="4"/>
                <w:szCs w:val="4"/>
              </w:rPr>
            </w:pPr>
            <w:r>
              <w:rPr>
                <w:sz w:val="4"/>
                <w:szCs w:val="4"/>
              </w:rPr>
            </w:r>
          </w:p>
        </w:tc>
        <w:tc>
          <w:tcPr>
            <w:tcW w:w="1007" w:type="dxa"/>
            <w:gridSpan w:val="2"/>
            <w:tcBorders/>
            <w:vAlign w:val="center"/>
          </w:tcPr>
          <w:p>
            <w:pPr>
              <w:pStyle w:val="TableContents"/>
              <w:bidi w:val="0"/>
              <w:spacing w:before="0" w:after="283"/>
              <w:jc w:val="left"/>
              <w:rPr>
                <w:sz w:val="4"/>
                <w:szCs w:val="4"/>
              </w:rPr>
            </w:pPr>
            <w:r>
              <w:rPr>
                <w:sz w:val="4"/>
                <w:szCs w:val="4"/>
              </w:rPr>
            </w:r>
          </w:p>
        </w:tc>
        <w:tc>
          <w:tcPr>
            <w:tcW w:w="955" w:type="dxa"/>
            <w:gridSpan w:val="2"/>
            <w:tcBorders/>
            <w:vAlign w:val="center"/>
          </w:tcPr>
          <w:p>
            <w:pPr>
              <w:pStyle w:val="TableContents"/>
              <w:bidi w:val="0"/>
              <w:spacing w:before="0" w:after="283"/>
              <w:jc w:val="left"/>
              <w:rPr>
                <w:sz w:val="4"/>
                <w:szCs w:val="4"/>
              </w:rPr>
            </w:pPr>
            <w:r>
              <w:rPr>
                <w:sz w:val="4"/>
                <w:szCs w:val="4"/>
              </w:rPr>
            </w:r>
          </w:p>
        </w:tc>
        <w:tc>
          <w:tcPr>
            <w:tcW w:w="2198" w:type="dxa"/>
            <w:gridSpan w:val="2"/>
            <w:tcBorders/>
            <w:vAlign w:val="center"/>
          </w:tcPr>
          <w:p>
            <w:pPr>
              <w:pStyle w:val="TableContents"/>
              <w:bidi w:val="0"/>
              <w:spacing w:before="0" w:after="283"/>
              <w:jc w:val="left"/>
              <w:rPr>
                <w:sz w:val="4"/>
                <w:szCs w:val="4"/>
              </w:rPr>
            </w:pPr>
            <w:r>
              <w:rPr>
                <w:sz w:val="4"/>
                <w:szCs w:val="4"/>
              </w:rPr>
            </w:r>
          </w:p>
        </w:tc>
      </w:tr>
      <w:tr>
        <w:trPr/>
        <w:tc>
          <w:tcPr>
            <w:tcW w:w="894" w:type="dxa"/>
            <w:tcBorders/>
          </w:tcPr>
          <w:p>
            <w:pPr>
              <w:pStyle w:val="TableContents"/>
              <w:bidi w:val="0"/>
              <w:spacing w:before="0" w:after="283"/>
              <w:jc w:val="left"/>
              <w:rPr/>
            </w:pPr>
            <w:r>
              <w:rPr/>
              <w:t> </w:t>
            </w:r>
            <w:r>
              <w:rPr/>
              <w:t>23.2</w:t>
            </w:r>
          </w:p>
        </w:tc>
        <w:tc>
          <w:tcPr>
            <w:tcW w:w="284" w:type="dxa"/>
            <w:tcBorders/>
            <w:vAlign w:val="bottom"/>
          </w:tcPr>
          <w:p>
            <w:pPr>
              <w:pStyle w:val="TableContents"/>
              <w:bidi w:val="0"/>
              <w:spacing w:before="0" w:after="283"/>
              <w:jc w:val="left"/>
              <w:rPr/>
            </w:pPr>
            <w:r>
              <w:rPr/>
              <w:t>  </w:t>
            </w:r>
          </w:p>
        </w:tc>
        <w:tc>
          <w:tcPr>
            <w:tcW w:w="4084" w:type="dxa"/>
            <w:tcBorders/>
          </w:tcPr>
          <w:p>
            <w:pPr>
              <w:pStyle w:val="TableContents"/>
              <w:bidi w:val="0"/>
              <w:spacing w:before="0" w:after="283"/>
              <w:jc w:val="left"/>
              <w:rPr/>
            </w:pPr>
            <w:hyperlink w:anchor="d130667dex232.htm">
              <w:r>
                <w:rPr>
                  <w:rStyle w:val="InternetLink"/>
                </w:rPr>
                <w:t xml:space="preserve">Consent of Samil PricewaterhouseCoopers, Independent Registered Public Accounting Firm. </w:t>
              </w:r>
            </w:hyperlink>
          </w:p>
        </w:tc>
        <w:tc>
          <w:tcPr>
            <w:tcW w:w="182"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center"/>
              <w:rPr/>
            </w:pPr>
            <w:r>
              <w:rPr/>
              <w:t>-</w:t>
            </w:r>
          </w:p>
        </w:tc>
        <w:tc>
          <w:tcPr>
            <w:tcW w:w="182"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center"/>
              <w:rPr/>
            </w:pPr>
            <w:r>
              <w:rPr/>
              <w:t>-</w:t>
            </w:r>
          </w:p>
        </w:tc>
        <w:tc>
          <w:tcPr>
            <w:tcW w:w="182"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center"/>
              <w:rPr/>
            </w:pPr>
            <w:r>
              <w:rPr/>
              <w:t>-</w:t>
            </w:r>
          </w:p>
        </w:tc>
        <w:tc>
          <w:tcPr>
            <w:tcW w:w="182" w:type="dxa"/>
            <w:tcBorders/>
            <w:vAlign w:val="bottom"/>
          </w:tcPr>
          <w:p>
            <w:pPr>
              <w:pStyle w:val="TableContents"/>
              <w:bidi w:val="0"/>
              <w:spacing w:before="0" w:after="283"/>
              <w:jc w:val="left"/>
              <w:rPr/>
            </w:pPr>
            <w:r>
              <w:rPr/>
              <w:t>  </w:t>
            </w:r>
          </w:p>
        </w:tc>
        <w:tc>
          <w:tcPr>
            <w:tcW w:w="2016" w:type="dxa"/>
            <w:tcBorders/>
            <w:vAlign w:val="bottom"/>
          </w:tcPr>
          <w:p>
            <w:pPr>
              <w:pStyle w:val="TableContents"/>
              <w:bidi w:val="0"/>
              <w:spacing w:before="0" w:after="283"/>
              <w:jc w:val="center"/>
              <w:rPr/>
            </w:pPr>
            <w:r>
              <w:rPr/>
              <w:t>Filed herewith</w:t>
            </w:r>
          </w:p>
        </w:tc>
      </w:tr>
      <w:tr>
        <w:trPr>
          <w:trHeight w:val="120" w:hRule="atLeast"/>
        </w:trPr>
        <w:tc>
          <w:tcPr>
            <w:tcW w:w="894" w:type="dxa"/>
            <w:tcBorders/>
            <w:vAlign w:val="center"/>
          </w:tcPr>
          <w:p>
            <w:pPr>
              <w:pStyle w:val="TableContents"/>
              <w:bidi w:val="0"/>
              <w:spacing w:before="0" w:after="283"/>
              <w:jc w:val="left"/>
              <w:rPr>
                <w:sz w:val="4"/>
                <w:szCs w:val="4"/>
              </w:rPr>
            </w:pPr>
            <w:r>
              <w:rPr>
                <w:sz w:val="4"/>
                <w:szCs w:val="4"/>
              </w:rPr>
            </w:r>
          </w:p>
        </w:tc>
        <w:tc>
          <w:tcPr>
            <w:tcW w:w="4368" w:type="dxa"/>
            <w:gridSpan w:val="2"/>
            <w:tcBorders/>
            <w:vAlign w:val="center"/>
          </w:tcPr>
          <w:p>
            <w:pPr>
              <w:pStyle w:val="TableContents"/>
              <w:bidi w:val="0"/>
              <w:spacing w:before="0" w:after="283"/>
              <w:jc w:val="left"/>
              <w:rPr>
                <w:sz w:val="4"/>
                <w:szCs w:val="4"/>
              </w:rPr>
            </w:pPr>
            <w:r>
              <w:rPr>
                <w:sz w:val="4"/>
                <w:szCs w:val="4"/>
              </w:rPr>
            </w:r>
          </w:p>
        </w:tc>
        <w:tc>
          <w:tcPr>
            <w:tcW w:w="783" w:type="dxa"/>
            <w:gridSpan w:val="2"/>
            <w:tcBorders/>
            <w:vAlign w:val="center"/>
          </w:tcPr>
          <w:p>
            <w:pPr>
              <w:pStyle w:val="TableContents"/>
              <w:bidi w:val="0"/>
              <w:spacing w:before="0" w:after="283"/>
              <w:jc w:val="left"/>
              <w:rPr>
                <w:sz w:val="4"/>
                <w:szCs w:val="4"/>
              </w:rPr>
            </w:pPr>
            <w:r>
              <w:rPr>
                <w:sz w:val="4"/>
                <w:szCs w:val="4"/>
              </w:rPr>
            </w:r>
          </w:p>
        </w:tc>
        <w:tc>
          <w:tcPr>
            <w:tcW w:w="1007" w:type="dxa"/>
            <w:gridSpan w:val="2"/>
            <w:tcBorders/>
            <w:vAlign w:val="center"/>
          </w:tcPr>
          <w:p>
            <w:pPr>
              <w:pStyle w:val="TableContents"/>
              <w:bidi w:val="0"/>
              <w:spacing w:before="0" w:after="283"/>
              <w:jc w:val="left"/>
              <w:rPr>
                <w:sz w:val="4"/>
                <w:szCs w:val="4"/>
              </w:rPr>
            </w:pPr>
            <w:r>
              <w:rPr>
                <w:sz w:val="4"/>
                <w:szCs w:val="4"/>
              </w:rPr>
            </w:r>
          </w:p>
        </w:tc>
        <w:tc>
          <w:tcPr>
            <w:tcW w:w="955" w:type="dxa"/>
            <w:gridSpan w:val="2"/>
            <w:tcBorders/>
            <w:vAlign w:val="center"/>
          </w:tcPr>
          <w:p>
            <w:pPr>
              <w:pStyle w:val="TableContents"/>
              <w:bidi w:val="0"/>
              <w:spacing w:before="0" w:after="283"/>
              <w:jc w:val="left"/>
              <w:rPr>
                <w:sz w:val="4"/>
                <w:szCs w:val="4"/>
              </w:rPr>
            </w:pPr>
            <w:r>
              <w:rPr>
                <w:sz w:val="4"/>
                <w:szCs w:val="4"/>
              </w:rPr>
            </w:r>
          </w:p>
        </w:tc>
        <w:tc>
          <w:tcPr>
            <w:tcW w:w="2198" w:type="dxa"/>
            <w:gridSpan w:val="2"/>
            <w:tcBorders/>
            <w:vAlign w:val="center"/>
          </w:tcPr>
          <w:p>
            <w:pPr>
              <w:pStyle w:val="TableContents"/>
              <w:bidi w:val="0"/>
              <w:spacing w:before="0" w:after="283"/>
              <w:jc w:val="left"/>
              <w:rPr>
                <w:sz w:val="4"/>
                <w:szCs w:val="4"/>
              </w:rPr>
            </w:pPr>
            <w:r>
              <w:rPr>
                <w:sz w:val="4"/>
                <w:szCs w:val="4"/>
              </w:rPr>
            </w:r>
          </w:p>
        </w:tc>
      </w:tr>
      <w:tr>
        <w:trPr/>
        <w:tc>
          <w:tcPr>
            <w:tcW w:w="894" w:type="dxa"/>
            <w:tcBorders/>
          </w:tcPr>
          <w:p>
            <w:pPr>
              <w:pStyle w:val="TableContents"/>
              <w:bidi w:val="0"/>
              <w:spacing w:before="0" w:after="283"/>
              <w:jc w:val="left"/>
              <w:rPr/>
            </w:pPr>
            <w:r>
              <w:rPr/>
              <w:t> </w:t>
            </w:r>
            <w:r>
              <w:rPr/>
              <w:t>23.3</w:t>
            </w:r>
          </w:p>
        </w:tc>
        <w:tc>
          <w:tcPr>
            <w:tcW w:w="284" w:type="dxa"/>
            <w:tcBorders/>
            <w:vAlign w:val="bottom"/>
          </w:tcPr>
          <w:p>
            <w:pPr>
              <w:pStyle w:val="TableContents"/>
              <w:bidi w:val="0"/>
              <w:spacing w:before="0" w:after="283"/>
              <w:jc w:val="left"/>
              <w:rPr/>
            </w:pPr>
            <w:r>
              <w:rPr/>
              <w:t>  </w:t>
            </w:r>
          </w:p>
        </w:tc>
        <w:tc>
          <w:tcPr>
            <w:tcW w:w="4084" w:type="dxa"/>
            <w:tcBorders/>
          </w:tcPr>
          <w:p>
            <w:pPr>
              <w:pStyle w:val="TableContents"/>
              <w:bidi w:val="0"/>
              <w:spacing w:before="0" w:after="283"/>
              <w:jc w:val="left"/>
              <w:rPr/>
            </w:pPr>
            <w:hyperlink w:anchor="d130667dex51.htm">
              <w:r>
                <w:rPr>
                  <w:rStyle w:val="InternetLink"/>
                </w:rPr>
                <w:t xml:space="preserve">Consent of Goodwin Procter LLP (included in Exhibit 5.1). </w:t>
              </w:r>
            </w:hyperlink>
          </w:p>
        </w:tc>
        <w:tc>
          <w:tcPr>
            <w:tcW w:w="182"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center"/>
              <w:rPr/>
            </w:pPr>
            <w:r>
              <w:rPr/>
              <w:t>-</w:t>
            </w:r>
          </w:p>
        </w:tc>
        <w:tc>
          <w:tcPr>
            <w:tcW w:w="182"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center"/>
              <w:rPr/>
            </w:pPr>
            <w:r>
              <w:rPr/>
              <w:t>-</w:t>
            </w:r>
          </w:p>
        </w:tc>
        <w:tc>
          <w:tcPr>
            <w:tcW w:w="182"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center"/>
              <w:rPr/>
            </w:pPr>
            <w:r>
              <w:rPr/>
              <w:t>-</w:t>
            </w:r>
          </w:p>
        </w:tc>
        <w:tc>
          <w:tcPr>
            <w:tcW w:w="182" w:type="dxa"/>
            <w:tcBorders/>
            <w:vAlign w:val="bottom"/>
          </w:tcPr>
          <w:p>
            <w:pPr>
              <w:pStyle w:val="TableContents"/>
              <w:bidi w:val="0"/>
              <w:spacing w:before="0" w:after="283"/>
              <w:jc w:val="left"/>
              <w:rPr/>
            </w:pPr>
            <w:r>
              <w:rPr/>
              <w:t>  </w:t>
            </w:r>
          </w:p>
        </w:tc>
        <w:tc>
          <w:tcPr>
            <w:tcW w:w="2016" w:type="dxa"/>
            <w:tcBorders/>
            <w:vAlign w:val="bottom"/>
          </w:tcPr>
          <w:p>
            <w:pPr>
              <w:pStyle w:val="TableContents"/>
              <w:bidi w:val="0"/>
              <w:spacing w:before="0" w:after="283"/>
              <w:jc w:val="center"/>
              <w:rPr/>
            </w:pPr>
            <w:r>
              <w:rPr/>
              <w:t>Filed herewith</w:t>
            </w:r>
          </w:p>
        </w:tc>
      </w:tr>
      <w:tr>
        <w:trPr>
          <w:trHeight w:val="120" w:hRule="atLeast"/>
        </w:trPr>
        <w:tc>
          <w:tcPr>
            <w:tcW w:w="894" w:type="dxa"/>
            <w:tcBorders/>
            <w:vAlign w:val="center"/>
          </w:tcPr>
          <w:p>
            <w:pPr>
              <w:pStyle w:val="TableContents"/>
              <w:bidi w:val="0"/>
              <w:spacing w:before="0" w:after="283"/>
              <w:jc w:val="left"/>
              <w:rPr>
                <w:sz w:val="4"/>
                <w:szCs w:val="4"/>
              </w:rPr>
            </w:pPr>
            <w:r>
              <w:rPr>
                <w:sz w:val="4"/>
                <w:szCs w:val="4"/>
              </w:rPr>
            </w:r>
          </w:p>
        </w:tc>
        <w:tc>
          <w:tcPr>
            <w:tcW w:w="4368" w:type="dxa"/>
            <w:gridSpan w:val="2"/>
            <w:tcBorders/>
            <w:vAlign w:val="center"/>
          </w:tcPr>
          <w:p>
            <w:pPr>
              <w:pStyle w:val="TableContents"/>
              <w:bidi w:val="0"/>
              <w:spacing w:before="0" w:after="283"/>
              <w:jc w:val="left"/>
              <w:rPr>
                <w:sz w:val="4"/>
                <w:szCs w:val="4"/>
              </w:rPr>
            </w:pPr>
            <w:r>
              <w:rPr>
                <w:sz w:val="4"/>
                <w:szCs w:val="4"/>
              </w:rPr>
            </w:r>
          </w:p>
        </w:tc>
        <w:tc>
          <w:tcPr>
            <w:tcW w:w="783" w:type="dxa"/>
            <w:gridSpan w:val="2"/>
            <w:tcBorders/>
            <w:vAlign w:val="center"/>
          </w:tcPr>
          <w:p>
            <w:pPr>
              <w:pStyle w:val="TableContents"/>
              <w:bidi w:val="0"/>
              <w:spacing w:before="0" w:after="283"/>
              <w:jc w:val="left"/>
              <w:rPr>
                <w:sz w:val="4"/>
                <w:szCs w:val="4"/>
              </w:rPr>
            </w:pPr>
            <w:r>
              <w:rPr>
                <w:sz w:val="4"/>
                <w:szCs w:val="4"/>
              </w:rPr>
            </w:r>
          </w:p>
        </w:tc>
        <w:tc>
          <w:tcPr>
            <w:tcW w:w="1007" w:type="dxa"/>
            <w:gridSpan w:val="2"/>
            <w:tcBorders/>
            <w:vAlign w:val="center"/>
          </w:tcPr>
          <w:p>
            <w:pPr>
              <w:pStyle w:val="TableContents"/>
              <w:bidi w:val="0"/>
              <w:spacing w:before="0" w:after="283"/>
              <w:jc w:val="left"/>
              <w:rPr>
                <w:sz w:val="4"/>
                <w:szCs w:val="4"/>
              </w:rPr>
            </w:pPr>
            <w:r>
              <w:rPr>
                <w:sz w:val="4"/>
                <w:szCs w:val="4"/>
              </w:rPr>
            </w:r>
          </w:p>
        </w:tc>
        <w:tc>
          <w:tcPr>
            <w:tcW w:w="955" w:type="dxa"/>
            <w:gridSpan w:val="2"/>
            <w:tcBorders/>
            <w:vAlign w:val="center"/>
          </w:tcPr>
          <w:p>
            <w:pPr>
              <w:pStyle w:val="TableContents"/>
              <w:bidi w:val="0"/>
              <w:spacing w:before="0" w:after="283"/>
              <w:jc w:val="left"/>
              <w:rPr>
                <w:sz w:val="4"/>
                <w:szCs w:val="4"/>
              </w:rPr>
            </w:pPr>
            <w:r>
              <w:rPr>
                <w:sz w:val="4"/>
                <w:szCs w:val="4"/>
              </w:rPr>
            </w:r>
          </w:p>
        </w:tc>
        <w:tc>
          <w:tcPr>
            <w:tcW w:w="2198" w:type="dxa"/>
            <w:gridSpan w:val="2"/>
            <w:tcBorders/>
            <w:vAlign w:val="center"/>
          </w:tcPr>
          <w:p>
            <w:pPr>
              <w:pStyle w:val="TableContents"/>
              <w:bidi w:val="0"/>
              <w:spacing w:before="0" w:after="283"/>
              <w:jc w:val="left"/>
              <w:rPr>
                <w:sz w:val="4"/>
                <w:szCs w:val="4"/>
              </w:rPr>
            </w:pPr>
            <w:r>
              <w:rPr>
                <w:sz w:val="4"/>
                <w:szCs w:val="4"/>
              </w:rPr>
            </w:r>
          </w:p>
        </w:tc>
      </w:tr>
      <w:tr>
        <w:trPr/>
        <w:tc>
          <w:tcPr>
            <w:tcW w:w="894" w:type="dxa"/>
            <w:tcBorders/>
          </w:tcPr>
          <w:p>
            <w:pPr>
              <w:pStyle w:val="TableContents"/>
              <w:bidi w:val="0"/>
              <w:spacing w:before="0" w:after="283"/>
              <w:jc w:val="left"/>
              <w:rPr/>
            </w:pPr>
            <w:r>
              <w:rPr/>
              <w:t> </w:t>
            </w:r>
            <w:r>
              <w:rPr/>
              <w:t>24.1</w:t>
            </w:r>
          </w:p>
        </w:tc>
        <w:tc>
          <w:tcPr>
            <w:tcW w:w="284" w:type="dxa"/>
            <w:tcBorders/>
            <w:vAlign w:val="bottom"/>
          </w:tcPr>
          <w:p>
            <w:pPr>
              <w:pStyle w:val="TableContents"/>
              <w:bidi w:val="0"/>
              <w:spacing w:before="0" w:after="283"/>
              <w:jc w:val="left"/>
              <w:rPr/>
            </w:pPr>
            <w:r>
              <w:rPr/>
              <w:t>  </w:t>
            </w:r>
          </w:p>
        </w:tc>
        <w:tc>
          <w:tcPr>
            <w:tcW w:w="4084" w:type="dxa"/>
            <w:tcBorders/>
          </w:tcPr>
          <w:p>
            <w:pPr>
              <w:pStyle w:val="TableContents"/>
              <w:bidi w:val="0"/>
              <w:spacing w:before="0" w:after="283"/>
              <w:jc w:val="left"/>
              <w:rPr/>
            </w:pPr>
            <w:hyperlink w:anchor="ii130667_1">
              <w:r>
                <w:rPr>
                  <w:rStyle w:val="InternetLink"/>
                </w:rPr>
                <w:t xml:space="preserve">Power of Attorney (included in the signature pages to this registration statement). </w:t>
              </w:r>
            </w:hyperlink>
          </w:p>
        </w:tc>
        <w:tc>
          <w:tcPr>
            <w:tcW w:w="182"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center"/>
              <w:rPr/>
            </w:pPr>
            <w:r>
              <w:rPr/>
              <w:t>-</w:t>
            </w:r>
          </w:p>
        </w:tc>
        <w:tc>
          <w:tcPr>
            <w:tcW w:w="182"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center"/>
              <w:rPr/>
            </w:pPr>
            <w:r>
              <w:rPr/>
              <w:t>-</w:t>
            </w:r>
          </w:p>
        </w:tc>
        <w:tc>
          <w:tcPr>
            <w:tcW w:w="182"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center"/>
              <w:rPr/>
            </w:pPr>
            <w:r>
              <w:rPr/>
              <w:t>-</w:t>
            </w:r>
          </w:p>
        </w:tc>
        <w:tc>
          <w:tcPr>
            <w:tcW w:w="182" w:type="dxa"/>
            <w:tcBorders/>
            <w:vAlign w:val="bottom"/>
          </w:tcPr>
          <w:p>
            <w:pPr>
              <w:pStyle w:val="TableContents"/>
              <w:bidi w:val="0"/>
              <w:spacing w:before="0" w:after="283"/>
              <w:jc w:val="left"/>
              <w:rPr/>
            </w:pPr>
            <w:r>
              <w:rPr/>
              <w:t>  </w:t>
            </w:r>
          </w:p>
        </w:tc>
        <w:tc>
          <w:tcPr>
            <w:tcW w:w="2016" w:type="dxa"/>
            <w:tcBorders/>
            <w:vAlign w:val="bottom"/>
          </w:tcPr>
          <w:p>
            <w:pPr>
              <w:pStyle w:val="TableContents"/>
              <w:bidi w:val="0"/>
              <w:spacing w:before="0" w:after="283"/>
              <w:jc w:val="center"/>
              <w:rPr/>
            </w:pPr>
            <w:r>
              <w:rPr/>
              <w:t>-</w:t>
            </w:r>
          </w:p>
        </w:tc>
      </w:tr>
      <w:tr>
        <w:trPr>
          <w:trHeight w:val="120" w:hRule="atLeast"/>
        </w:trPr>
        <w:tc>
          <w:tcPr>
            <w:tcW w:w="894" w:type="dxa"/>
            <w:tcBorders/>
            <w:vAlign w:val="center"/>
          </w:tcPr>
          <w:p>
            <w:pPr>
              <w:pStyle w:val="TableContents"/>
              <w:bidi w:val="0"/>
              <w:spacing w:before="0" w:after="283"/>
              <w:jc w:val="left"/>
              <w:rPr>
                <w:sz w:val="4"/>
                <w:szCs w:val="4"/>
              </w:rPr>
            </w:pPr>
            <w:r>
              <w:rPr>
                <w:sz w:val="4"/>
                <w:szCs w:val="4"/>
              </w:rPr>
            </w:r>
          </w:p>
        </w:tc>
        <w:tc>
          <w:tcPr>
            <w:tcW w:w="4368" w:type="dxa"/>
            <w:gridSpan w:val="2"/>
            <w:tcBorders/>
            <w:vAlign w:val="center"/>
          </w:tcPr>
          <w:p>
            <w:pPr>
              <w:pStyle w:val="TableContents"/>
              <w:bidi w:val="0"/>
              <w:spacing w:before="0" w:after="283"/>
              <w:jc w:val="left"/>
              <w:rPr>
                <w:sz w:val="4"/>
                <w:szCs w:val="4"/>
              </w:rPr>
            </w:pPr>
            <w:r>
              <w:rPr>
                <w:sz w:val="4"/>
                <w:szCs w:val="4"/>
              </w:rPr>
            </w:r>
          </w:p>
        </w:tc>
        <w:tc>
          <w:tcPr>
            <w:tcW w:w="783" w:type="dxa"/>
            <w:gridSpan w:val="2"/>
            <w:tcBorders/>
            <w:vAlign w:val="center"/>
          </w:tcPr>
          <w:p>
            <w:pPr>
              <w:pStyle w:val="TableContents"/>
              <w:bidi w:val="0"/>
              <w:spacing w:before="0" w:after="283"/>
              <w:jc w:val="left"/>
              <w:rPr>
                <w:sz w:val="4"/>
                <w:szCs w:val="4"/>
              </w:rPr>
            </w:pPr>
            <w:r>
              <w:rPr>
                <w:sz w:val="4"/>
                <w:szCs w:val="4"/>
              </w:rPr>
            </w:r>
          </w:p>
        </w:tc>
        <w:tc>
          <w:tcPr>
            <w:tcW w:w="1007" w:type="dxa"/>
            <w:gridSpan w:val="2"/>
            <w:tcBorders/>
            <w:vAlign w:val="center"/>
          </w:tcPr>
          <w:p>
            <w:pPr>
              <w:pStyle w:val="TableContents"/>
              <w:bidi w:val="0"/>
              <w:spacing w:before="0" w:after="283"/>
              <w:jc w:val="left"/>
              <w:rPr>
                <w:sz w:val="4"/>
                <w:szCs w:val="4"/>
              </w:rPr>
            </w:pPr>
            <w:r>
              <w:rPr>
                <w:sz w:val="4"/>
                <w:szCs w:val="4"/>
              </w:rPr>
            </w:r>
          </w:p>
        </w:tc>
        <w:tc>
          <w:tcPr>
            <w:tcW w:w="955" w:type="dxa"/>
            <w:gridSpan w:val="2"/>
            <w:tcBorders/>
            <w:vAlign w:val="center"/>
          </w:tcPr>
          <w:p>
            <w:pPr>
              <w:pStyle w:val="TableContents"/>
              <w:bidi w:val="0"/>
              <w:spacing w:before="0" w:after="283"/>
              <w:jc w:val="left"/>
              <w:rPr>
                <w:sz w:val="4"/>
                <w:szCs w:val="4"/>
              </w:rPr>
            </w:pPr>
            <w:r>
              <w:rPr>
                <w:sz w:val="4"/>
                <w:szCs w:val="4"/>
              </w:rPr>
            </w:r>
          </w:p>
        </w:tc>
        <w:tc>
          <w:tcPr>
            <w:tcW w:w="2198" w:type="dxa"/>
            <w:gridSpan w:val="2"/>
            <w:tcBorders/>
            <w:vAlign w:val="center"/>
          </w:tcPr>
          <w:p>
            <w:pPr>
              <w:pStyle w:val="TableContents"/>
              <w:bidi w:val="0"/>
              <w:spacing w:before="0" w:after="283"/>
              <w:jc w:val="left"/>
              <w:rPr>
                <w:sz w:val="4"/>
                <w:szCs w:val="4"/>
              </w:rPr>
            </w:pPr>
            <w:r>
              <w:rPr>
                <w:sz w:val="4"/>
                <w:szCs w:val="4"/>
              </w:rPr>
            </w:r>
          </w:p>
        </w:tc>
      </w:tr>
      <w:tr>
        <w:trPr/>
        <w:tc>
          <w:tcPr>
            <w:tcW w:w="894" w:type="dxa"/>
            <w:tcBorders/>
          </w:tcPr>
          <w:p>
            <w:pPr>
              <w:pStyle w:val="TableContents"/>
              <w:bidi w:val="0"/>
              <w:spacing w:before="0" w:after="283"/>
              <w:jc w:val="left"/>
              <w:rPr/>
            </w:pPr>
            <w:r>
              <w:rPr/>
              <w:t>107</w:t>
            </w:r>
          </w:p>
        </w:tc>
        <w:tc>
          <w:tcPr>
            <w:tcW w:w="284" w:type="dxa"/>
            <w:tcBorders/>
            <w:vAlign w:val="bottom"/>
          </w:tcPr>
          <w:p>
            <w:pPr>
              <w:pStyle w:val="TableContents"/>
              <w:bidi w:val="0"/>
              <w:spacing w:before="0" w:after="283"/>
              <w:jc w:val="left"/>
              <w:rPr/>
            </w:pPr>
            <w:r>
              <w:rPr/>
              <w:t>  </w:t>
            </w:r>
          </w:p>
        </w:tc>
        <w:tc>
          <w:tcPr>
            <w:tcW w:w="4084" w:type="dxa"/>
            <w:tcBorders/>
          </w:tcPr>
          <w:p>
            <w:pPr>
              <w:pStyle w:val="TableContents"/>
              <w:bidi w:val="0"/>
              <w:spacing w:before="0" w:after="283"/>
              <w:jc w:val="left"/>
              <w:rPr/>
            </w:pPr>
            <w:hyperlink w:anchor="d130667dexfilingfees.htm">
              <w:r>
                <w:rPr>
                  <w:rStyle w:val="InternetLink"/>
                </w:rPr>
                <w:t xml:space="preserve">Filing Fee Table. </w:t>
              </w:r>
            </w:hyperlink>
          </w:p>
        </w:tc>
        <w:tc>
          <w:tcPr>
            <w:tcW w:w="182"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center"/>
              <w:rPr/>
            </w:pPr>
            <w:r>
              <w:rPr/>
              <w:t>-</w:t>
            </w:r>
          </w:p>
        </w:tc>
        <w:tc>
          <w:tcPr>
            <w:tcW w:w="182"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center"/>
              <w:rPr/>
            </w:pPr>
            <w:r>
              <w:rPr/>
              <w:t>-</w:t>
            </w:r>
          </w:p>
        </w:tc>
        <w:tc>
          <w:tcPr>
            <w:tcW w:w="182"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center"/>
              <w:rPr/>
            </w:pPr>
            <w:r>
              <w:rPr/>
              <w:t>-</w:t>
            </w:r>
          </w:p>
        </w:tc>
        <w:tc>
          <w:tcPr>
            <w:tcW w:w="182" w:type="dxa"/>
            <w:tcBorders/>
            <w:vAlign w:val="bottom"/>
          </w:tcPr>
          <w:p>
            <w:pPr>
              <w:pStyle w:val="TableContents"/>
              <w:bidi w:val="0"/>
              <w:spacing w:before="0" w:after="283"/>
              <w:jc w:val="left"/>
              <w:rPr/>
            </w:pPr>
            <w:r>
              <w:rPr/>
              <w:t>  </w:t>
            </w:r>
          </w:p>
        </w:tc>
        <w:tc>
          <w:tcPr>
            <w:tcW w:w="2016" w:type="dxa"/>
            <w:tcBorders/>
            <w:vAlign w:val="bottom"/>
          </w:tcPr>
          <w:p>
            <w:pPr>
              <w:pStyle w:val="TableContents"/>
              <w:bidi w:val="0"/>
              <w:spacing w:before="0" w:after="283"/>
              <w:jc w:val="center"/>
              <w:rPr/>
            </w:pPr>
            <w:r>
              <w:rPr/>
              <w:t>Filed herewith</w:t>
            </w:r>
          </w:p>
        </w:tc>
      </w:tr>
    </w:tbl>
    <w:p>
      <w:pPr>
        <w:pStyle w:val="TextBody"/>
        <w:bidi w:val="0"/>
        <w:spacing w:before="240" w:after="0"/>
        <w:jc w:val="left"/>
        <w:rPr>
          <w:rFonts w:ascii="Times New Roman" w:hAnsi="Times New Roman"/>
          <w:sz w:val="20"/>
        </w:rPr>
      </w:pPr>
      <w:r>
        <w:rPr>
          <w:rFonts w:ascii="Times New Roman" w:hAnsi="Times New Roman"/>
          <w:b/>
          <w:sz w:val="20"/>
        </w:rPr>
        <w:t>Item 17</w:t>
      </w:r>
      <w:r>
        <w:rPr>
          <w:rFonts w:ascii="Times New Roman" w:hAnsi="Times New Roman"/>
          <w:b/>
          <w:i/>
          <w:sz w:val="20"/>
        </w:rPr>
        <w:t>. Undertakings</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(iii)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this registration statement or any material change to such information in this registration statement;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provided, however, that subparagraphs (i), (ii) and (iii)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 or is contained in a form of prospectus filed pursuant to Rule 424(b) that is part of the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under the Securities Act to any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filed by the Registrant pursuant to Rule 424(b)(3) shall be deemed to be part of the registration statement as of the date the filed prospectus was deemed part of and included in the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preliminary prospectus or prospectus of the undersigned Registrant relating to the offering required to be filed pursuant to Rule 424;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free writing prospectus relating to the offering prepared by or on behalf of the undersigned Registrant or used or referred to by the undersigned Registrant;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(iii)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any other free writing prospectus relating to the offering containing material information about the undersigned Registrant or its securities provided by or on behalf of the undersigned Registrant;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(iv)</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communication that is an offer in the offering made by the undersigned Registrant to the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further undertakes that, for the purposes of determining any liability under the Securities Act, each filing of the annual report of the Registrant pursuant to Section 13(a) or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ii130667_1"/>
      <w:bookmarkEnd w:id="16"/>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Seoul, Republic of Korea, on October 5, 2026. </w:t>
      </w:r>
    </w:p>
    <w:p>
      <w:pPr>
        <w:pStyle w:val="TextBody"/>
        <w:bidi w:val="0"/>
        <w:spacing w:before="0" w:after="0"/>
        <w:jc w:val="left"/>
        <w:rPr/>
      </w:pPr>
      <w:r>
        <w:rPr/>
        <w:t> </w:t>
      </w:r>
    </w:p>
    <w:tbl>
      <w:tblPr>
        <w:tblW w:w="5750" w:type="dxa"/>
        <w:jc w:val="left"/>
        <w:tblInd w:w="0" w:type="dxa"/>
        <w:tblLayout w:type="fixed"/>
        <w:tblCellMar>
          <w:top w:w="0" w:type="dxa"/>
          <w:left w:w="0" w:type="dxa"/>
          <w:bottom w:w="0" w:type="dxa"/>
          <w:right w:w="0" w:type="dxa"/>
        </w:tblCellMar>
      </w:tblPr>
      <w:tblGrid>
        <w:gridCol w:w="1318"/>
        <w:gridCol w:w="259"/>
        <w:gridCol w:w="4173"/>
      </w:tblGrid>
      <w:tr>
        <w:trPr/>
        <w:tc>
          <w:tcPr>
            <w:tcW w:w="1318"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4173" w:type="dxa"/>
            <w:tcBorders/>
            <w:vAlign w:val="center"/>
          </w:tcPr>
          <w:p>
            <w:pPr>
              <w:pStyle w:val="TableContents"/>
              <w:bidi w:val="0"/>
              <w:spacing w:before="0" w:after="283"/>
              <w:jc w:val="left"/>
              <w:rPr>
                <w:sz w:val="4"/>
                <w:szCs w:val="4"/>
              </w:rPr>
            </w:pPr>
            <w:r>
              <w:rPr>
                <w:sz w:val="4"/>
                <w:szCs w:val="4"/>
              </w:rPr>
            </w:r>
          </w:p>
        </w:tc>
      </w:tr>
      <w:tr>
        <w:trPr/>
        <w:tc>
          <w:tcPr>
            <w:tcW w:w="5750" w:type="dxa"/>
            <w:gridSpan w:val="3"/>
            <w:tcBorders/>
          </w:tcPr>
          <w:p>
            <w:pPr>
              <w:pStyle w:val="TableContents"/>
              <w:bidi w:val="0"/>
              <w:spacing w:before="0" w:after="283"/>
              <w:jc w:val="left"/>
              <w:rPr>
                <w:b/>
              </w:rPr>
            </w:pPr>
            <w:r>
              <w:rPr>
                <w:b/>
              </w:rPr>
              <w:t>MAGNACHIP SEMICONDUCTOR CORPORATION</w:t>
            </w:r>
          </w:p>
        </w:tc>
      </w:tr>
      <w:tr>
        <w:trPr>
          <w:trHeight w:val="240" w:hRule="atLeast"/>
        </w:trPr>
        <w:tc>
          <w:tcPr>
            <w:tcW w:w="1318" w:type="dxa"/>
            <w:tcBorders/>
            <w:vAlign w:val="center"/>
          </w:tcPr>
          <w:p>
            <w:pPr>
              <w:pStyle w:val="TableContents"/>
              <w:bidi w:val="0"/>
              <w:spacing w:before="0" w:after="283"/>
              <w:jc w:val="left"/>
              <w:rPr>
                <w:sz w:val="4"/>
                <w:szCs w:val="4"/>
              </w:rPr>
            </w:pPr>
            <w:r>
              <w:rPr>
                <w:sz w:val="4"/>
                <w:szCs w:val="4"/>
              </w:rPr>
            </w:r>
          </w:p>
        </w:tc>
        <w:tc>
          <w:tcPr>
            <w:tcW w:w="4432" w:type="dxa"/>
            <w:gridSpan w:val="2"/>
            <w:tcBorders/>
            <w:vAlign w:val="center"/>
          </w:tcPr>
          <w:p>
            <w:pPr>
              <w:pStyle w:val="TableContents"/>
              <w:bidi w:val="0"/>
              <w:spacing w:before="0" w:after="283"/>
              <w:jc w:val="left"/>
              <w:rPr>
                <w:sz w:val="4"/>
                <w:szCs w:val="4"/>
              </w:rPr>
            </w:pPr>
            <w:r>
              <w:rPr>
                <w:sz w:val="4"/>
                <w:szCs w:val="4"/>
              </w:rPr>
            </w:r>
          </w:p>
        </w:tc>
      </w:tr>
      <w:tr>
        <w:trPr/>
        <w:tc>
          <w:tcPr>
            <w:tcW w:w="1318" w:type="dxa"/>
            <w:tcBorders/>
          </w:tcPr>
          <w:p>
            <w:pPr>
              <w:pStyle w:val="TableContents"/>
              <w:bidi w:val="0"/>
              <w:spacing w:before="0" w:after="283"/>
              <w:jc w:val="left"/>
              <w:rPr/>
            </w:pPr>
            <w:r>
              <w:rPr/>
              <w:t>By:</w:t>
            </w:r>
          </w:p>
        </w:tc>
        <w:tc>
          <w:tcPr>
            <w:tcW w:w="259" w:type="dxa"/>
            <w:tcBorders>
              <w:bottom w:val="single" w:sz="2" w:space="0" w:color="000000"/>
            </w:tcBorders>
            <w:tcMar>
              <w:bottom w:w="28" w:type="dxa"/>
            </w:tcMar>
            <w:vAlign w:val="bottom"/>
          </w:tcPr>
          <w:p>
            <w:pPr>
              <w:pStyle w:val="TableContents"/>
              <w:bidi w:val="0"/>
              <w:spacing w:before="0" w:after="283"/>
              <w:jc w:val="left"/>
              <w:rPr/>
            </w:pPr>
            <w:r>
              <w:rPr/>
              <w:t> </w:t>
            </w:r>
          </w:p>
        </w:tc>
        <w:tc>
          <w:tcPr>
            <w:tcW w:w="4173" w:type="dxa"/>
            <w:tcBorders>
              <w:bottom w:val="single" w:sz="2" w:space="0" w:color="000000"/>
            </w:tcBorders>
            <w:tcMar>
              <w:bottom w:w="28" w:type="dxa"/>
            </w:tcMar>
          </w:tcPr>
          <w:p>
            <w:pPr>
              <w:pStyle w:val="TableContents"/>
              <w:bidi w:val="0"/>
              <w:spacing w:before="0" w:after="283"/>
              <w:jc w:val="left"/>
              <w:rPr/>
            </w:pPr>
            <w:r>
              <w:rPr/>
              <w:t>/s/ Chae Lee</w:t>
            </w:r>
          </w:p>
        </w:tc>
      </w:tr>
      <w:tr>
        <w:trPr/>
        <w:tc>
          <w:tcPr>
            <w:tcW w:w="1318"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4173" w:type="dxa"/>
            <w:tcBorders/>
            <w:vAlign w:val="bottom"/>
          </w:tcPr>
          <w:p>
            <w:pPr>
              <w:pStyle w:val="TableContents"/>
              <w:bidi w:val="0"/>
              <w:spacing w:before="0" w:after="283"/>
              <w:jc w:val="left"/>
              <w:rPr/>
            </w:pPr>
            <w:r>
              <w:rPr/>
              <w:t>Chae Lee</w:t>
            </w:r>
          </w:p>
        </w:tc>
      </w:tr>
      <w:tr>
        <w:trPr/>
        <w:tc>
          <w:tcPr>
            <w:tcW w:w="1318"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4173" w:type="dxa"/>
            <w:tcBorders/>
            <w:vAlign w:val="bottom"/>
          </w:tcPr>
          <w:p>
            <w:pPr>
              <w:pStyle w:val="TableContents"/>
              <w:bidi w:val="0"/>
              <w:spacing w:before="0" w:after="283"/>
              <w:jc w:val="left"/>
              <w:rPr/>
            </w:pPr>
            <w:r>
              <w:rPr/>
              <w:t>Chief Executive Officer (Principal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hereby severally constitutes and appoints Chae Lee and Shinyoung Park, and each of them singly, as such person’s true and lawful attorneys-in-fact and agents, with full power of substitution and resubstitution, for such person and in such person’s name, place, and stead, in any and all capacities, to sign any and all amendments (including post-effective amendments or any abbreviated or subsequent registration statement and any supplement to any prospectus included in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such person might or could do in person, hereby ratifying and confirming all that said attorneys-in-fact and agents, or any of them, or such person’s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in the capacities indicated and on the date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26"/>
        <w:gridCol w:w="120"/>
        <w:gridCol w:w="3504"/>
        <w:gridCol w:w="201"/>
        <w:gridCol w:w="1954"/>
      </w:tblGrid>
      <w:tr>
        <w:trPr/>
        <w:tc>
          <w:tcPr>
            <w:tcW w:w="442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504"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r>
      <w:tr>
        <w:trPr/>
        <w:tc>
          <w:tcPr>
            <w:tcW w:w="442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35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201" w:type="dxa"/>
            <w:tcBorders/>
            <w:vAlign w:val="bottom"/>
          </w:tcPr>
          <w:p>
            <w:pPr>
              <w:pStyle w:val="TableContents"/>
              <w:bidi w:val="0"/>
              <w:spacing w:before="0" w:after="283"/>
              <w:jc w:val="left"/>
              <w:rPr/>
            </w:pPr>
            <w:r>
              <w:rPr/>
              <w:t> </w:t>
            </w:r>
          </w:p>
        </w:tc>
        <w:tc>
          <w:tcPr>
            <w:tcW w:w="195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4426" w:type="dxa"/>
            <w:tcBorders/>
            <w:vAlign w:val="center"/>
          </w:tcPr>
          <w:p>
            <w:pPr>
              <w:pStyle w:val="TableContents"/>
              <w:bidi w:val="0"/>
              <w:spacing w:before="0" w:after="283"/>
              <w:jc w:val="left"/>
              <w:rPr>
                <w:sz w:val="4"/>
                <w:szCs w:val="4"/>
              </w:rPr>
            </w:pPr>
            <w:r>
              <w:rPr>
                <w:sz w:val="4"/>
                <w:szCs w:val="4"/>
              </w:rPr>
            </w:r>
          </w:p>
        </w:tc>
        <w:tc>
          <w:tcPr>
            <w:tcW w:w="3624" w:type="dxa"/>
            <w:gridSpan w:val="2"/>
            <w:tcBorders/>
            <w:vAlign w:val="center"/>
          </w:tcPr>
          <w:p>
            <w:pPr>
              <w:pStyle w:val="TableContents"/>
              <w:bidi w:val="0"/>
              <w:spacing w:before="0" w:after="283"/>
              <w:jc w:val="left"/>
              <w:rPr>
                <w:sz w:val="4"/>
                <w:szCs w:val="4"/>
              </w:rPr>
            </w:pPr>
            <w:r>
              <w:rPr>
                <w:sz w:val="4"/>
                <w:szCs w:val="4"/>
              </w:rPr>
            </w:r>
          </w:p>
        </w:tc>
        <w:tc>
          <w:tcPr>
            <w:tcW w:w="2155" w:type="dxa"/>
            <w:gridSpan w:val="2"/>
            <w:tcBorders/>
            <w:vAlign w:val="center"/>
          </w:tcPr>
          <w:p>
            <w:pPr>
              <w:pStyle w:val="TableContents"/>
              <w:bidi w:val="0"/>
              <w:spacing w:before="0" w:after="283"/>
              <w:jc w:val="left"/>
              <w:rPr>
                <w:sz w:val="4"/>
                <w:szCs w:val="4"/>
              </w:rPr>
            </w:pPr>
            <w:r>
              <w:rPr>
                <w:sz w:val="4"/>
                <w:szCs w:val="4"/>
              </w:rPr>
            </w:r>
          </w:p>
        </w:tc>
      </w:tr>
      <w:tr>
        <w:trPr/>
        <w:tc>
          <w:tcPr>
            <w:tcW w:w="442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Chae Lee</w:t>
            </w:r>
          </w:p>
          <w:p>
            <w:pPr>
              <w:pStyle w:val="TableContents"/>
              <w:bidi w:val="0"/>
              <w:spacing w:before="0" w:after="20"/>
              <w:jc w:val="center"/>
              <w:rPr>
                <w:rFonts w:ascii="Times New Roman" w:hAnsi="Times New Roman"/>
                <w:sz w:val="20"/>
              </w:rPr>
            </w:pPr>
            <w:r>
              <w:rPr>
                <w:rFonts w:ascii="Times New Roman" w:hAnsi="Times New Roman"/>
                <w:sz w:val="20"/>
              </w:rPr>
              <w:t>Chae Lee</w:t>
            </w:r>
          </w:p>
        </w:tc>
        <w:tc>
          <w:tcPr>
            <w:tcW w:w="120" w:type="dxa"/>
            <w:tcBorders/>
            <w:vAlign w:val="bottom"/>
          </w:tcPr>
          <w:p>
            <w:pPr>
              <w:pStyle w:val="TableContents"/>
              <w:bidi w:val="0"/>
              <w:spacing w:before="0" w:after="283"/>
              <w:jc w:val="left"/>
              <w:rPr/>
            </w:pPr>
            <w:r>
              <w:rPr/>
              <w:t>  </w:t>
            </w:r>
          </w:p>
        </w:tc>
        <w:tc>
          <w:tcPr>
            <w:tcW w:w="3504" w:type="dxa"/>
            <w:tcBorders/>
          </w:tcPr>
          <w:p>
            <w:pPr>
              <w:pStyle w:val="TableContents"/>
              <w:bidi w:val="0"/>
              <w:spacing w:before="0" w:after="0"/>
              <w:jc w:val="center"/>
              <w:rPr>
                <w:rFonts w:ascii="Times New Roman" w:hAnsi="Times New Roman"/>
                <w:sz w:val="20"/>
              </w:rPr>
            </w:pPr>
            <w:r>
              <w:rPr>
                <w:rFonts w:ascii="Times New Roman" w:hAnsi="Times New Roman"/>
                <w:sz w:val="20"/>
              </w:rPr>
              <w:t>Chief Executive Officer and Director</w:t>
            </w:r>
          </w:p>
          <w:p>
            <w:pPr>
              <w:pStyle w:val="TableContents"/>
              <w:bidi w:val="0"/>
              <w:spacing w:before="0" w:after="20"/>
              <w:jc w:val="center"/>
              <w:rPr>
                <w:rFonts w:ascii="Times New Roman" w:hAnsi="Times New Roman"/>
                <w:sz w:val="20"/>
              </w:rPr>
            </w:pPr>
            <w:r>
              <w:rPr>
                <w:rFonts w:ascii="Times New Roman" w:hAnsi="Times New Roman"/>
                <w:sz w:val="20"/>
              </w:rPr>
              <w:t>(Principal Executive Officer)</w:t>
            </w:r>
          </w:p>
        </w:tc>
        <w:tc>
          <w:tcPr>
            <w:tcW w:w="201" w:type="dxa"/>
            <w:tcBorders/>
            <w:vAlign w:val="bottom"/>
          </w:tcPr>
          <w:p>
            <w:pPr>
              <w:pStyle w:val="TableContents"/>
              <w:bidi w:val="0"/>
              <w:spacing w:before="0" w:after="283"/>
              <w:jc w:val="left"/>
              <w:rPr/>
            </w:pPr>
            <w:r>
              <w:rPr/>
              <w:t> </w:t>
            </w:r>
          </w:p>
        </w:tc>
        <w:tc>
          <w:tcPr>
            <w:tcW w:w="1954" w:type="dxa"/>
            <w:tcBorders/>
          </w:tcPr>
          <w:p>
            <w:pPr>
              <w:pStyle w:val="TableContents"/>
              <w:bidi w:val="0"/>
              <w:spacing w:before="0" w:after="283"/>
              <w:jc w:val="center"/>
              <w:rPr/>
            </w:pPr>
            <w:r>
              <w:rPr/>
              <w:t>October 5, 2026</w:t>
            </w:r>
          </w:p>
        </w:tc>
      </w:tr>
      <w:tr>
        <w:trPr>
          <w:trHeight w:val="240" w:hRule="atLeast"/>
        </w:trPr>
        <w:tc>
          <w:tcPr>
            <w:tcW w:w="4426" w:type="dxa"/>
            <w:tcBorders/>
            <w:vAlign w:val="center"/>
          </w:tcPr>
          <w:p>
            <w:pPr>
              <w:pStyle w:val="TableContents"/>
              <w:bidi w:val="0"/>
              <w:spacing w:before="0" w:after="283"/>
              <w:jc w:val="left"/>
              <w:rPr>
                <w:sz w:val="4"/>
                <w:szCs w:val="4"/>
              </w:rPr>
            </w:pPr>
            <w:r>
              <w:rPr>
                <w:sz w:val="4"/>
                <w:szCs w:val="4"/>
              </w:rPr>
            </w:r>
          </w:p>
        </w:tc>
        <w:tc>
          <w:tcPr>
            <w:tcW w:w="3624" w:type="dxa"/>
            <w:gridSpan w:val="2"/>
            <w:tcBorders/>
            <w:vAlign w:val="center"/>
          </w:tcPr>
          <w:p>
            <w:pPr>
              <w:pStyle w:val="TableContents"/>
              <w:bidi w:val="0"/>
              <w:spacing w:before="0" w:after="283"/>
              <w:jc w:val="left"/>
              <w:rPr>
                <w:sz w:val="4"/>
                <w:szCs w:val="4"/>
              </w:rPr>
            </w:pPr>
            <w:r>
              <w:rPr>
                <w:sz w:val="4"/>
                <w:szCs w:val="4"/>
              </w:rPr>
            </w:r>
          </w:p>
        </w:tc>
        <w:tc>
          <w:tcPr>
            <w:tcW w:w="2155" w:type="dxa"/>
            <w:gridSpan w:val="2"/>
            <w:tcBorders/>
            <w:vAlign w:val="center"/>
          </w:tcPr>
          <w:p>
            <w:pPr>
              <w:pStyle w:val="TableContents"/>
              <w:bidi w:val="0"/>
              <w:spacing w:before="0" w:after="283"/>
              <w:jc w:val="left"/>
              <w:rPr>
                <w:sz w:val="4"/>
                <w:szCs w:val="4"/>
              </w:rPr>
            </w:pPr>
            <w:r>
              <w:rPr>
                <w:sz w:val="4"/>
                <w:szCs w:val="4"/>
              </w:rPr>
            </w:r>
          </w:p>
        </w:tc>
      </w:tr>
      <w:tr>
        <w:trPr/>
        <w:tc>
          <w:tcPr>
            <w:tcW w:w="442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Shinyoung Park</w:t>
            </w:r>
          </w:p>
          <w:p>
            <w:pPr>
              <w:pStyle w:val="TableContents"/>
              <w:bidi w:val="0"/>
              <w:spacing w:before="0" w:after="20"/>
              <w:jc w:val="center"/>
              <w:rPr>
                <w:rFonts w:ascii="Times New Roman" w:hAnsi="Times New Roman"/>
                <w:sz w:val="20"/>
              </w:rPr>
            </w:pPr>
            <w:r>
              <w:rPr>
                <w:rFonts w:ascii="Times New Roman" w:hAnsi="Times New Roman"/>
                <w:sz w:val="20"/>
              </w:rPr>
              <w:t>Shinyoung Park</w:t>
            </w:r>
          </w:p>
        </w:tc>
        <w:tc>
          <w:tcPr>
            <w:tcW w:w="120" w:type="dxa"/>
            <w:tcBorders/>
            <w:vAlign w:val="bottom"/>
          </w:tcPr>
          <w:p>
            <w:pPr>
              <w:pStyle w:val="TableContents"/>
              <w:bidi w:val="0"/>
              <w:spacing w:before="0" w:after="283"/>
              <w:jc w:val="left"/>
              <w:rPr/>
            </w:pPr>
            <w:r>
              <w:rPr/>
              <w:t>  </w:t>
            </w:r>
          </w:p>
        </w:tc>
        <w:tc>
          <w:tcPr>
            <w:tcW w:w="3504"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w:t>
            </w:r>
          </w:p>
          <w:p>
            <w:pPr>
              <w:pStyle w:val="TableContents"/>
              <w:bidi w:val="0"/>
              <w:spacing w:before="0" w:after="20"/>
              <w:jc w:val="center"/>
              <w:rPr>
                <w:rFonts w:ascii="Times New Roman" w:hAnsi="Times New Roman"/>
                <w:sz w:val="20"/>
              </w:rPr>
            </w:pPr>
            <w:r>
              <w:rPr>
                <w:rFonts w:ascii="Times New Roman" w:hAnsi="Times New Roman"/>
                <w:sz w:val="20"/>
              </w:rPr>
              <w:t>(Principal Financial Officer and Principal Accounting Officer)</w:t>
            </w:r>
          </w:p>
        </w:tc>
        <w:tc>
          <w:tcPr>
            <w:tcW w:w="201" w:type="dxa"/>
            <w:tcBorders/>
            <w:vAlign w:val="bottom"/>
          </w:tcPr>
          <w:p>
            <w:pPr>
              <w:pStyle w:val="TableContents"/>
              <w:bidi w:val="0"/>
              <w:spacing w:before="0" w:after="283"/>
              <w:jc w:val="left"/>
              <w:rPr/>
            </w:pPr>
            <w:r>
              <w:rPr/>
              <w:t> </w:t>
            </w:r>
          </w:p>
        </w:tc>
        <w:tc>
          <w:tcPr>
            <w:tcW w:w="1954" w:type="dxa"/>
            <w:tcBorders/>
          </w:tcPr>
          <w:p>
            <w:pPr>
              <w:pStyle w:val="TableContents"/>
              <w:bidi w:val="0"/>
              <w:spacing w:before="0" w:after="283"/>
              <w:jc w:val="center"/>
              <w:rPr/>
            </w:pPr>
            <w:r>
              <w:rPr/>
              <w:t>October 5, 2026</w:t>
            </w:r>
          </w:p>
        </w:tc>
      </w:tr>
      <w:tr>
        <w:trPr>
          <w:trHeight w:val="240" w:hRule="atLeast"/>
        </w:trPr>
        <w:tc>
          <w:tcPr>
            <w:tcW w:w="4426" w:type="dxa"/>
            <w:tcBorders/>
            <w:vAlign w:val="center"/>
          </w:tcPr>
          <w:p>
            <w:pPr>
              <w:pStyle w:val="TableContents"/>
              <w:bidi w:val="0"/>
              <w:spacing w:before="0" w:after="283"/>
              <w:jc w:val="left"/>
              <w:rPr>
                <w:sz w:val="4"/>
                <w:szCs w:val="4"/>
              </w:rPr>
            </w:pPr>
            <w:r>
              <w:rPr>
                <w:sz w:val="4"/>
                <w:szCs w:val="4"/>
              </w:rPr>
            </w:r>
          </w:p>
        </w:tc>
        <w:tc>
          <w:tcPr>
            <w:tcW w:w="3624" w:type="dxa"/>
            <w:gridSpan w:val="2"/>
            <w:tcBorders/>
            <w:vAlign w:val="center"/>
          </w:tcPr>
          <w:p>
            <w:pPr>
              <w:pStyle w:val="TableContents"/>
              <w:bidi w:val="0"/>
              <w:spacing w:before="0" w:after="283"/>
              <w:jc w:val="left"/>
              <w:rPr>
                <w:sz w:val="4"/>
                <w:szCs w:val="4"/>
              </w:rPr>
            </w:pPr>
            <w:r>
              <w:rPr>
                <w:sz w:val="4"/>
                <w:szCs w:val="4"/>
              </w:rPr>
            </w:r>
          </w:p>
        </w:tc>
        <w:tc>
          <w:tcPr>
            <w:tcW w:w="2155" w:type="dxa"/>
            <w:gridSpan w:val="2"/>
            <w:tcBorders/>
            <w:vAlign w:val="center"/>
          </w:tcPr>
          <w:p>
            <w:pPr>
              <w:pStyle w:val="TableContents"/>
              <w:bidi w:val="0"/>
              <w:spacing w:before="0" w:after="283"/>
              <w:jc w:val="left"/>
              <w:rPr>
                <w:sz w:val="4"/>
                <w:szCs w:val="4"/>
              </w:rPr>
            </w:pPr>
            <w:r>
              <w:rPr>
                <w:sz w:val="4"/>
                <w:szCs w:val="4"/>
              </w:rPr>
            </w:r>
          </w:p>
        </w:tc>
      </w:tr>
      <w:tr>
        <w:trPr/>
        <w:tc>
          <w:tcPr>
            <w:tcW w:w="442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Camillo Martino</w:t>
            </w:r>
          </w:p>
          <w:p>
            <w:pPr>
              <w:pStyle w:val="TableContents"/>
              <w:bidi w:val="0"/>
              <w:spacing w:before="0" w:after="20"/>
              <w:jc w:val="center"/>
              <w:rPr>
                <w:rFonts w:ascii="Times New Roman" w:hAnsi="Times New Roman"/>
                <w:sz w:val="20"/>
              </w:rPr>
            </w:pPr>
            <w:r>
              <w:rPr>
                <w:rFonts w:ascii="Times New Roman" w:hAnsi="Times New Roman"/>
                <w:sz w:val="20"/>
              </w:rPr>
              <w:t>Camillo Martino</w:t>
            </w:r>
          </w:p>
        </w:tc>
        <w:tc>
          <w:tcPr>
            <w:tcW w:w="120" w:type="dxa"/>
            <w:tcBorders/>
            <w:vAlign w:val="bottom"/>
          </w:tcPr>
          <w:p>
            <w:pPr>
              <w:pStyle w:val="TableContents"/>
              <w:bidi w:val="0"/>
              <w:spacing w:before="0" w:after="283"/>
              <w:jc w:val="left"/>
              <w:rPr/>
            </w:pPr>
            <w:r>
              <w:rPr/>
              <w:t>  </w:t>
            </w:r>
          </w:p>
        </w:tc>
        <w:tc>
          <w:tcPr>
            <w:tcW w:w="3504" w:type="dxa"/>
            <w:tcBorders/>
          </w:tcPr>
          <w:p>
            <w:pPr>
              <w:pStyle w:val="TableContents"/>
              <w:bidi w:val="0"/>
              <w:spacing w:before="0" w:after="283"/>
              <w:jc w:val="center"/>
              <w:rPr/>
            </w:pPr>
            <w:r>
              <w:rPr/>
              <w:t>Chairman</w:t>
            </w:r>
          </w:p>
        </w:tc>
        <w:tc>
          <w:tcPr>
            <w:tcW w:w="201" w:type="dxa"/>
            <w:tcBorders/>
            <w:vAlign w:val="bottom"/>
          </w:tcPr>
          <w:p>
            <w:pPr>
              <w:pStyle w:val="TableContents"/>
              <w:bidi w:val="0"/>
              <w:spacing w:before="0" w:after="283"/>
              <w:jc w:val="left"/>
              <w:rPr/>
            </w:pPr>
            <w:r>
              <w:rPr/>
              <w:t> </w:t>
            </w:r>
          </w:p>
        </w:tc>
        <w:tc>
          <w:tcPr>
            <w:tcW w:w="1954" w:type="dxa"/>
            <w:tcBorders/>
          </w:tcPr>
          <w:p>
            <w:pPr>
              <w:pStyle w:val="TableContents"/>
              <w:bidi w:val="0"/>
              <w:spacing w:before="0" w:after="283"/>
              <w:jc w:val="center"/>
              <w:rPr/>
            </w:pPr>
            <w:r>
              <w:rPr/>
              <w:t>October 5, 2026</w:t>
            </w:r>
          </w:p>
        </w:tc>
      </w:tr>
      <w:tr>
        <w:trPr>
          <w:trHeight w:val="240" w:hRule="atLeast"/>
        </w:trPr>
        <w:tc>
          <w:tcPr>
            <w:tcW w:w="4426" w:type="dxa"/>
            <w:tcBorders/>
            <w:vAlign w:val="center"/>
          </w:tcPr>
          <w:p>
            <w:pPr>
              <w:pStyle w:val="TableContents"/>
              <w:bidi w:val="0"/>
              <w:spacing w:before="0" w:after="283"/>
              <w:jc w:val="left"/>
              <w:rPr>
                <w:sz w:val="4"/>
                <w:szCs w:val="4"/>
              </w:rPr>
            </w:pPr>
            <w:r>
              <w:rPr>
                <w:sz w:val="4"/>
                <w:szCs w:val="4"/>
              </w:rPr>
            </w:r>
          </w:p>
        </w:tc>
        <w:tc>
          <w:tcPr>
            <w:tcW w:w="3624" w:type="dxa"/>
            <w:gridSpan w:val="2"/>
            <w:tcBorders/>
            <w:vAlign w:val="center"/>
          </w:tcPr>
          <w:p>
            <w:pPr>
              <w:pStyle w:val="TableContents"/>
              <w:bidi w:val="0"/>
              <w:spacing w:before="0" w:after="283"/>
              <w:jc w:val="left"/>
              <w:rPr>
                <w:sz w:val="4"/>
                <w:szCs w:val="4"/>
              </w:rPr>
            </w:pPr>
            <w:r>
              <w:rPr>
                <w:sz w:val="4"/>
                <w:szCs w:val="4"/>
              </w:rPr>
            </w:r>
          </w:p>
        </w:tc>
        <w:tc>
          <w:tcPr>
            <w:tcW w:w="2155" w:type="dxa"/>
            <w:gridSpan w:val="2"/>
            <w:tcBorders/>
            <w:vAlign w:val="center"/>
          </w:tcPr>
          <w:p>
            <w:pPr>
              <w:pStyle w:val="TableContents"/>
              <w:bidi w:val="0"/>
              <w:spacing w:before="0" w:after="283"/>
              <w:jc w:val="left"/>
              <w:rPr>
                <w:sz w:val="4"/>
                <w:szCs w:val="4"/>
              </w:rPr>
            </w:pPr>
            <w:r>
              <w:rPr>
                <w:sz w:val="4"/>
                <w:szCs w:val="4"/>
              </w:rPr>
            </w:r>
          </w:p>
        </w:tc>
      </w:tr>
      <w:tr>
        <w:trPr/>
        <w:tc>
          <w:tcPr>
            <w:tcW w:w="442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Cristiano Amoruso</w:t>
            </w:r>
          </w:p>
          <w:p>
            <w:pPr>
              <w:pStyle w:val="TableContents"/>
              <w:bidi w:val="0"/>
              <w:spacing w:before="0" w:after="20"/>
              <w:jc w:val="center"/>
              <w:rPr>
                <w:rFonts w:ascii="Times New Roman" w:hAnsi="Times New Roman"/>
                <w:sz w:val="20"/>
              </w:rPr>
            </w:pPr>
            <w:r>
              <w:rPr>
                <w:rFonts w:ascii="Times New Roman" w:hAnsi="Times New Roman"/>
                <w:sz w:val="20"/>
              </w:rPr>
              <w:t>Cristiano Amoruso</w:t>
            </w:r>
          </w:p>
        </w:tc>
        <w:tc>
          <w:tcPr>
            <w:tcW w:w="120" w:type="dxa"/>
            <w:tcBorders/>
            <w:vAlign w:val="bottom"/>
          </w:tcPr>
          <w:p>
            <w:pPr>
              <w:pStyle w:val="TableContents"/>
              <w:bidi w:val="0"/>
              <w:spacing w:before="0" w:after="283"/>
              <w:jc w:val="left"/>
              <w:rPr/>
            </w:pPr>
            <w:r>
              <w:rPr/>
              <w:t>  </w:t>
            </w:r>
          </w:p>
        </w:tc>
        <w:tc>
          <w:tcPr>
            <w:tcW w:w="3504" w:type="dxa"/>
            <w:tcBorders/>
          </w:tcPr>
          <w:p>
            <w:pPr>
              <w:pStyle w:val="TableContents"/>
              <w:bidi w:val="0"/>
              <w:spacing w:before="0" w:after="283"/>
              <w:jc w:val="center"/>
              <w:rPr/>
            </w:pPr>
            <w:r>
              <w:rPr/>
              <w:t>Director</w:t>
            </w:r>
          </w:p>
        </w:tc>
        <w:tc>
          <w:tcPr>
            <w:tcW w:w="201" w:type="dxa"/>
            <w:tcBorders/>
            <w:vAlign w:val="bottom"/>
          </w:tcPr>
          <w:p>
            <w:pPr>
              <w:pStyle w:val="TableContents"/>
              <w:bidi w:val="0"/>
              <w:spacing w:before="0" w:after="283"/>
              <w:jc w:val="left"/>
              <w:rPr/>
            </w:pPr>
            <w:r>
              <w:rPr/>
              <w:t> </w:t>
            </w:r>
          </w:p>
        </w:tc>
        <w:tc>
          <w:tcPr>
            <w:tcW w:w="1954" w:type="dxa"/>
            <w:tcBorders/>
          </w:tcPr>
          <w:p>
            <w:pPr>
              <w:pStyle w:val="TableContents"/>
              <w:bidi w:val="0"/>
              <w:spacing w:before="0" w:after="283"/>
              <w:jc w:val="center"/>
              <w:rPr/>
            </w:pPr>
            <w:r>
              <w:rPr/>
              <w:t>October 5, 2026</w:t>
            </w:r>
          </w:p>
        </w:tc>
      </w:tr>
      <w:tr>
        <w:trPr>
          <w:trHeight w:val="240" w:hRule="atLeast"/>
        </w:trPr>
        <w:tc>
          <w:tcPr>
            <w:tcW w:w="4426" w:type="dxa"/>
            <w:tcBorders/>
            <w:vAlign w:val="center"/>
          </w:tcPr>
          <w:p>
            <w:pPr>
              <w:pStyle w:val="TableContents"/>
              <w:bidi w:val="0"/>
              <w:spacing w:before="0" w:after="283"/>
              <w:jc w:val="left"/>
              <w:rPr>
                <w:sz w:val="4"/>
                <w:szCs w:val="4"/>
              </w:rPr>
            </w:pPr>
            <w:r>
              <w:rPr>
                <w:sz w:val="4"/>
                <w:szCs w:val="4"/>
              </w:rPr>
            </w:r>
          </w:p>
        </w:tc>
        <w:tc>
          <w:tcPr>
            <w:tcW w:w="3624" w:type="dxa"/>
            <w:gridSpan w:val="2"/>
            <w:tcBorders/>
            <w:vAlign w:val="center"/>
          </w:tcPr>
          <w:p>
            <w:pPr>
              <w:pStyle w:val="TableContents"/>
              <w:bidi w:val="0"/>
              <w:spacing w:before="0" w:after="283"/>
              <w:jc w:val="left"/>
              <w:rPr>
                <w:sz w:val="4"/>
                <w:szCs w:val="4"/>
              </w:rPr>
            </w:pPr>
            <w:r>
              <w:rPr>
                <w:sz w:val="4"/>
                <w:szCs w:val="4"/>
              </w:rPr>
            </w:r>
          </w:p>
        </w:tc>
        <w:tc>
          <w:tcPr>
            <w:tcW w:w="2155" w:type="dxa"/>
            <w:gridSpan w:val="2"/>
            <w:tcBorders/>
            <w:vAlign w:val="center"/>
          </w:tcPr>
          <w:p>
            <w:pPr>
              <w:pStyle w:val="TableContents"/>
              <w:bidi w:val="0"/>
              <w:spacing w:before="0" w:after="283"/>
              <w:jc w:val="left"/>
              <w:rPr>
                <w:sz w:val="4"/>
                <w:szCs w:val="4"/>
              </w:rPr>
            </w:pPr>
            <w:r>
              <w:rPr>
                <w:sz w:val="4"/>
                <w:szCs w:val="4"/>
              </w:rPr>
            </w:r>
          </w:p>
        </w:tc>
      </w:tr>
      <w:tr>
        <w:trPr/>
        <w:tc>
          <w:tcPr>
            <w:tcW w:w="442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Liz Chung</w:t>
            </w:r>
          </w:p>
          <w:p>
            <w:pPr>
              <w:pStyle w:val="TableContents"/>
              <w:bidi w:val="0"/>
              <w:spacing w:before="0" w:after="20"/>
              <w:jc w:val="center"/>
              <w:rPr>
                <w:rFonts w:ascii="Times New Roman" w:hAnsi="Times New Roman"/>
                <w:sz w:val="20"/>
              </w:rPr>
            </w:pPr>
            <w:r>
              <w:rPr>
                <w:rFonts w:ascii="Times New Roman" w:hAnsi="Times New Roman"/>
                <w:sz w:val="20"/>
              </w:rPr>
              <w:t>Liz Chung</w:t>
            </w:r>
          </w:p>
        </w:tc>
        <w:tc>
          <w:tcPr>
            <w:tcW w:w="120" w:type="dxa"/>
            <w:tcBorders/>
            <w:vAlign w:val="bottom"/>
          </w:tcPr>
          <w:p>
            <w:pPr>
              <w:pStyle w:val="TableContents"/>
              <w:bidi w:val="0"/>
              <w:spacing w:before="0" w:after="283"/>
              <w:jc w:val="left"/>
              <w:rPr/>
            </w:pPr>
            <w:r>
              <w:rPr/>
              <w:t>  </w:t>
            </w:r>
          </w:p>
        </w:tc>
        <w:tc>
          <w:tcPr>
            <w:tcW w:w="3504" w:type="dxa"/>
            <w:tcBorders/>
          </w:tcPr>
          <w:p>
            <w:pPr>
              <w:pStyle w:val="TableContents"/>
              <w:bidi w:val="0"/>
              <w:spacing w:before="0" w:after="283"/>
              <w:jc w:val="center"/>
              <w:rPr/>
            </w:pPr>
            <w:r>
              <w:rPr/>
              <w:t>Director</w:t>
            </w:r>
          </w:p>
        </w:tc>
        <w:tc>
          <w:tcPr>
            <w:tcW w:w="201" w:type="dxa"/>
            <w:tcBorders/>
            <w:vAlign w:val="bottom"/>
          </w:tcPr>
          <w:p>
            <w:pPr>
              <w:pStyle w:val="TableContents"/>
              <w:bidi w:val="0"/>
              <w:spacing w:before="0" w:after="283"/>
              <w:jc w:val="left"/>
              <w:rPr/>
            </w:pPr>
            <w:r>
              <w:rPr/>
              <w:t> </w:t>
            </w:r>
          </w:p>
        </w:tc>
        <w:tc>
          <w:tcPr>
            <w:tcW w:w="1954" w:type="dxa"/>
            <w:tcBorders/>
          </w:tcPr>
          <w:p>
            <w:pPr>
              <w:pStyle w:val="TableContents"/>
              <w:bidi w:val="0"/>
              <w:spacing w:before="0" w:after="283"/>
              <w:jc w:val="center"/>
              <w:rPr/>
            </w:pPr>
            <w:r>
              <w:rPr/>
              <w:t>October 5, 2026</w:t>
            </w:r>
          </w:p>
        </w:tc>
      </w:tr>
      <w:tr>
        <w:trPr>
          <w:trHeight w:val="240" w:hRule="atLeast"/>
        </w:trPr>
        <w:tc>
          <w:tcPr>
            <w:tcW w:w="4426" w:type="dxa"/>
            <w:tcBorders/>
            <w:vAlign w:val="center"/>
          </w:tcPr>
          <w:p>
            <w:pPr>
              <w:pStyle w:val="TableContents"/>
              <w:bidi w:val="0"/>
              <w:spacing w:before="0" w:after="283"/>
              <w:jc w:val="left"/>
              <w:rPr>
                <w:sz w:val="4"/>
                <w:szCs w:val="4"/>
              </w:rPr>
            </w:pPr>
            <w:r>
              <w:rPr>
                <w:sz w:val="4"/>
                <w:szCs w:val="4"/>
              </w:rPr>
            </w:r>
          </w:p>
        </w:tc>
        <w:tc>
          <w:tcPr>
            <w:tcW w:w="3624" w:type="dxa"/>
            <w:gridSpan w:val="2"/>
            <w:tcBorders/>
            <w:vAlign w:val="center"/>
          </w:tcPr>
          <w:p>
            <w:pPr>
              <w:pStyle w:val="TableContents"/>
              <w:bidi w:val="0"/>
              <w:spacing w:before="0" w:after="283"/>
              <w:jc w:val="left"/>
              <w:rPr>
                <w:sz w:val="4"/>
                <w:szCs w:val="4"/>
              </w:rPr>
            </w:pPr>
            <w:r>
              <w:rPr>
                <w:sz w:val="4"/>
                <w:szCs w:val="4"/>
              </w:rPr>
            </w:r>
          </w:p>
        </w:tc>
        <w:tc>
          <w:tcPr>
            <w:tcW w:w="2155" w:type="dxa"/>
            <w:gridSpan w:val="2"/>
            <w:tcBorders/>
            <w:vAlign w:val="center"/>
          </w:tcPr>
          <w:p>
            <w:pPr>
              <w:pStyle w:val="TableContents"/>
              <w:bidi w:val="0"/>
              <w:spacing w:before="0" w:after="283"/>
              <w:jc w:val="left"/>
              <w:rPr>
                <w:sz w:val="4"/>
                <w:szCs w:val="4"/>
              </w:rPr>
            </w:pPr>
            <w:r>
              <w:rPr>
                <w:sz w:val="4"/>
                <w:szCs w:val="4"/>
              </w:rPr>
            </w:r>
          </w:p>
        </w:tc>
      </w:tr>
      <w:tr>
        <w:trPr/>
        <w:tc>
          <w:tcPr>
            <w:tcW w:w="442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Gilbert Nathan</w:t>
            </w:r>
          </w:p>
          <w:p>
            <w:pPr>
              <w:pStyle w:val="TableContents"/>
              <w:bidi w:val="0"/>
              <w:spacing w:before="0" w:after="20"/>
              <w:jc w:val="center"/>
              <w:rPr>
                <w:rFonts w:ascii="Times New Roman" w:hAnsi="Times New Roman"/>
                <w:sz w:val="20"/>
              </w:rPr>
            </w:pPr>
            <w:r>
              <w:rPr>
                <w:rFonts w:ascii="Times New Roman" w:hAnsi="Times New Roman"/>
                <w:sz w:val="20"/>
              </w:rPr>
              <w:t>Gilbert Nathan</w:t>
            </w:r>
          </w:p>
        </w:tc>
        <w:tc>
          <w:tcPr>
            <w:tcW w:w="120" w:type="dxa"/>
            <w:tcBorders/>
            <w:vAlign w:val="bottom"/>
          </w:tcPr>
          <w:p>
            <w:pPr>
              <w:pStyle w:val="TableContents"/>
              <w:bidi w:val="0"/>
              <w:spacing w:before="0" w:after="283"/>
              <w:jc w:val="left"/>
              <w:rPr/>
            </w:pPr>
            <w:r>
              <w:rPr/>
              <w:t>  </w:t>
            </w:r>
          </w:p>
        </w:tc>
        <w:tc>
          <w:tcPr>
            <w:tcW w:w="3504" w:type="dxa"/>
            <w:tcBorders/>
          </w:tcPr>
          <w:p>
            <w:pPr>
              <w:pStyle w:val="TableContents"/>
              <w:bidi w:val="0"/>
              <w:spacing w:before="0" w:after="283"/>
              <w:jc w:val="center"/>
              <w:rPr/>
            </w:pPr>
            <w:r>
              <w:rPr/>
              <w:t>Director</w:t>
            </w:r>
          </w:p>
        </w:tc>
        <w:tc>
          <w:tcPr>
            <w:tcW w:w="201" w:type="dxa"/>
            <w:tcBorders/>
            <w:vAlign w:val="bottom"/>
          </w:tcPr>
          <w:p>
            <w:pPr>
              <w:pStyle w:val="TableContents"/>
              <w:bidi w:val="0"/>
              <w:spacing w:before="0" w:after="283"/>
              <w:jc w:val="left"/>
              <w:rPr/>
            </w:pPr>
            <w:r>
              <w:rPr/>
              <w:t> </w:t>
            </w:r>
          </w:p>
        </w:tc>
        <w:tc>
          <w:tcPr>
            <w:tcW w:w="1954" w:type="dxa"/>
            <w:tcBorders/>
          </w:tcPr>
          <w:p>
            <w:pPr>
              <w:pStyle w:val="TableContents"/>
              <w:bidi w:val="0"/>
              <w:spacing w:before="0" w:after="283"/>
              <w:jc w:val="center"/>
              <w:rPr/>
            </w:pPr>
            <w:r>
              <w:rPr/>
              <w:t>October 5,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p>
    <w:p>
      <w:pPr>
        <w:pStyle w:val="TextBody"/>
        <w:bidi w:val="0"/>
        <w:spacing w:before="0" w:after="0"/>
        <w:jc w:val="right"/>
        <w:rPr>
          <w:rFonts w:ascii="Times New Roman" w:hAnsi="Times New Roman"/>
          <w:b/>
          <w:sz w:val="20"/>
        </w:rPr>
      </w:pPr>
      <w:bookmarkStart w:id="17" w:name="d130667dex51.htm"/>
      <w:bookmarkStart w:id="18" w:name="ksd130667dex51"/>
      <w:bookmarkEnd w:id="17"/>
      <w:bookmarkEnd w:id="18"/>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85"/>
        <w:gridCol w:w="121"/>
        <w:gridCol w:w="3403"/>
        <w:gridCol w:w="121"/>
        <w:gridCol w:w="2175"/>
      </w:tblGrid>
      <w:tr>
        <w:trPr/>
        <w:tc>
          <w:tcPr>
            <w:tcW w:w="438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40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r>
      <w:tr>
        <w:trPr/>
        <w:tc>
          <w:tcPr>
            <w:tcW w:w="4385" w:type="dxa"/>
            <w:tcBorders/>
          </w:tcPr>
          <w:p>
            <w:pPr>
              <w:pStyle w:val="TableContents"/>
              <w:bidi w:val="0"/>
              <w:spacing w:before="0" w:after="283"/>
              <w:jc w:val="left"/>
              <w:rPr/>
            </w:pPr>
            <w:r>
              <w:rPr/>
              <w:drawing>
                <wp:inline distT="0" distB="0" distL="0" distR="0">
                  <wp:extent cx="1895475" cy="476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3"/>
                          <a:stretch>
                            <a:fillRect/>
                          </a:stretch>
                        </pic:blipFill>
                        <pic:spPr bwMode="auto">
                          <a:xfrm>
                            <a:off x="0" y="0"/>
                            <a:ext cx="1895475" cy="476250"/>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340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5" w:type="dxa"/>
            <w:tcBorders/>
          </w:tcPr>
          <w:p>
            <w:pPr>
              <w:pStyle w:val="TableContents"/>
              <w:bidi w:val="0"/>
              <w:spacing w:before="0" w:after="0"/>
              <w:jc w:val="left"/>
              <w:rPr>
                <w:rFonts w:ascii="Times New Roman" w:hAnsi="Times New Roman"/>
                <w:sz w:val="20"/>
              </w:rPr>
            </w:pPr>
            <w:r>
              <w:rPr>
                <w:rFonts w:ascii="Times New Roman" w:hAnsi="Times New Roman"/>
                <w:sz w:val="20"/>
              </w:rPr>
              <w:t>Goodwin Procter LLP</w:t>
            </w:r>
          </w:p>
          <w:p>
            <w:pPr>
              <w:pStyle w:val="TableContents"/>
              <w:bidi w:val="0"/>
              <w:spacing w:before="0" w:after="0"/>
              <w:jc w:val="left"/>
              <w:rPr>
                <w:rFonts w:ascii="Times New Roman" w:hAnsi="Times New Roman"/>
                <w:sz w:val="20"/>
              </w:rPr>
            </w:pPr>
            <w:r>
              <w:rPr>
                <w:rFonts w:ascii="Times New Roman" w:hAnsi="Times New Roman"/>
                <w:sz w:val="20"/>
              </w:rPr>
              <w:t>601 Marshall Street</w:t>
            </w:r>
          </w:p>
          <w:p>
            <w:pPr>
              <w:pStyle w:val="TableContents"/>
              <w:bidi w:val="0"/>
              <w:spacing w:before="0" w:after="0"/>
              <w:jc w:val="left"/>
              <w:rPr>
                <w:rFonts w:ascii="Times New Roman" w:hAnsi="Times New Roman"/>
                <w:sz w:val="20"/>
              </w:rPr>
            </w:pPr>
            <w:r>
              <w:rPr>
                <w:rFonts w:ascii="Times New Roman" w:hAnsi="Times New Roman"/>
                <w:sz w:val="20"/>
              </w:rPr>
              <w:t>Redwood City, CA 94063</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goodwinlaw.com</w:t>
            </w:r>
          </w:p>
          <w:p>
            <w:pPr>
              <w:pStyle w:val="TableContents"/>
              <w:bidi w:val="0"/>
              <w:spacing w:before="0" w:after="20"/>
              <w:jc w:val="left"/>
              <w:rPr>
                <w:rFonts w:ascii="Times New Roman" w:hAnsi="Times New Roman"/>
                <w:sz w:val="20"/>
              </w:rPr>
            </w:pPr>
            <w:r>
              <w:rPr>
                <w:rFonts w:ascii="Times New Roman" w:hAnsi="Times New Roman"/>
                <w:sz w:val="20"/>
              </w:rPr>
              <w:t>+1 650 752 3100</w:t>
            </w:r>
          </w:p>
        </w:tc>
      </w:tr>
      <w:tr>
        <w:trPr>
          <w:trHeight w:val="120" w:hRule="atLeast"/>
        </w:trPr>
        <w:tc>
          <w:tcPr>
            <w:tcW w:w="4385" w:type="dxa"/>
            <w:tcBorders/>
            <w:vAlign w:val="center"/>
          </w:tcPr>
          <w:p>
            <w:pPr>
              <w:pStyle w:val="TableContents"/>
              <w:bidi w:val="0"/>
              <w:spacing w:before="0" w:after="283"/>
              <w:jc w:val="left"/>
              <w:rPr>
                <w:sz w:val="4"/>
                <w:szCs w:val="4"/>
              </w:rPr>
            </w:pPr>
            <w:r>
              <w:rPr>
                <w:sz w:val="4"/>
                <w:szCs w:val="4"/>
              </w:rPr>
            </w:r>
          </w:p>
        </w:tc>
        <w:tc>
          <w:tcPr>
            <w:tcW w:w="3524" w:type="dxa"/>
            <w:gridSpan w:val="2"/>
            <w:tcBorders/>
            <w:vAlign w:val="center"/>
          </w:tcPr>
          <w:p>
            <w:pPr>
              <w:pStyle w:val="TableContents"/>
              <w:bidi w:val="0"/>
              <w:spacing w:before="0" w:after="283"/>
              <w:jc w:val="left"/>
              <w:rPr>
                <w:sz w:val="4"/>
                <w:szCs w:val="4"/>
              </w:rPr>
            </w:pPr>
            <w:r>
              <w:rPr>
                <w:sz w:val="4"/>
                <w:szCs w:val="4"/>
              </w:rPr>
            </w:r>
          </w:p>
        </w:tc>
        <w:tc>
          <w:tcPr>
            <w:tcW w:w="2296" w:type="dxa"/>
            <w:gridSpan w:val="2"/>
            <w:tcBorders/>
            <w:vAlign w:val="center"/>
          </w:tcPr>
          <w:p>
            <w:pPr>
              <w:pStyle w:val="TableContents"/>
              <w:bidi w:val="0"/>
              <w:spacing w:before="0" w:after="283"/>
              <w:jc w:val="left"/>
              <w:rPr>
                <w:sz w:val="4"/>
                <w:szCs w:val="4"/>
              </w:rPr>
            </w:pPr>
            <w:r>
              <w:rPr>
                <w:sz w:val="4"/>
                <w:szCs w:val="4"/>
              </w:rPr>
            </w:r>
          </w:p>
        </w:tc>
      </w:tr>
      <w:tr>
        <w:trPr/>
        <w:tc>
          <w:tcPr>
            <w:tcW w:w="438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40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5" w:type="dxa"/>
            <w:tcBorders/>
          </w:tcPr>
          <w:p>
            <w:pPr>
              <w:pStyle w:val="TableContents"/>
              <w:bidi w:val="0"/>
              <w:spacing w:before="0" w:after="283"/>
              <w:jc w:val="left"/>
              <w:rPr/>
            </w:pPr>
            <w:r>
              <w:rPr/>
              <w:t>October 5, 2026</w:t>
            </w:r>
          </w:p>
        </w:tc>
      </w:tr>
    </w:tbl>
    <w:p>
      <w:pPr>
        <w:pStyle w:val="TextBody"/>
        <w:bidi w:val="0"/>
        <w:spacing w:before="240" w:after="0"/>
        <w:jc w:val="left"/>
        <w:rPr>
          <w:rFonts w:ascii="Times New Roman" w:hAnsi="Times New Roman"/>
          <w:sz w:val="20"/>
        </w:rPr>
      </w:pPr>
      <w:r>
        <w:rPr>
          <w:rFonts w:ascii="Times New Roman" w:hAnsi="Times New Roman"/>
          <w:sz w:val="20"/>
        </w:rPr>
        <w:t xml:space="preserve">Magnachip Semiconductor Corporation </w:t>
      </w:r>
    </w:p>
    <w:p>
      <w:pPr>
        <w:pStyle w:val="TextBody"/>
        <w:bidi w:val="0"/>
        <w:spacing w:before="0" w:after="0"/>
        <w:jc w:val="left"/>
        <w:rPr>
          <w:rFonts w:ascii="Times New Roman" w:hAnsi="Times New Roman"/>
          <w:sz w:val="20"/>
        </w:rPr>
      </w:pPr>
      <w:r>
        <w:rPr>
          <w:rFonts w:ascii="Times New Roman" w:hAnsi="Times New Roman"/>
          <w:sz w:val="20"/>
        </w:rPr>
        <w:t xml:space="preserve">15F, 76 Jikji-daero 436beon-gil, Heungdeok-gu </w:t>
      </w:r>
    </w:p>
    <w:p>
      <w:pPr>
        <w:pStyle w:val="TextBody"/>
        <w:bidi w:val="0"/>
        <w:spacing w:before="0" w:after="0"/>
        <w:jc w:val="left"/>
        <w:rPr>
          <w:rFonts w:ascii="Times New Roman" w:hAnsi="Times New Roman"/>
          <w:sz w:val="20"/>
        </w:rPr>
      </w:pPr>
      <w:r>
        <w:rPr>
          <w:rFonts w:ascii="Times New Roman" w:hAnsi="Times New Roman"/>
          <w:sz w:val="20"/>
        </w:rPr>
        <w:t xml:space="preserve">Cheongju-si, Chungcheongbuk-do, Republic of Korea 28581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Re: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Securities Registered under Registration Statement on Form S-3</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acted as counsel to you in connection with your filing of a Registration Statement on Form S-3 (as amended or supplemented, the “Registration Statement”) filed on October 5, 2026 with the Securities and Exchange Commission (the “Commission”) pursuant to the Securities Act of 1933, as amended (the “Securities Act”), relating to the registration by Magnachip Semiconductor Corporation, a Delaware corporation (the “Company”), of up to 1,461,988 shares (the “Shares”) of the Company’s common stock, par value $0.01 per share (“Common Stock”), to be sold by the selling stockholder listed in the Registration Statement under “Selling Stockholder” (the “Selling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opinion set forth below is limited to the Delaware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we are of the opinion that the Shares have been duly authorized and validly issued and are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and the opinion it contains shall be interpreted in accordance with the Core Opinion Principles as published in 74 </w:t>
      </w:r>
      <w:r>
        <w:rPr>
          <w:rFonts w:ascii="Times New Roman" w:hAnsi="Times New Roman"/>
          <w:i/>
          <w:sz w:val="20"/>
        </w:rPr>
        <w:t>Business Lawyer</w:t>
      </w:r>
      <w:r>
        <w:rPr>
          <w:rFonts w:ascii="Times New Roman" w:hAnsi="Times New Roman"/>
          <w:sz w:val="20"/>
        </w:rPr>
        <w:t xml:space="preserve"> 815 (Summer 2019).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Goodwin Procter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 xml:space="preserve">GOODWIN PROCTER </w:t>
            </w:r>
            <w:r>
              <w:rPr>
                <w:sz w:val="20"/>
              </w:rPr>
              <w:t>LLP</w:t>
            </w:r>
          </w:p>
        </w:tc>
      </w:tr>
    </w:tbl>
    <w:p>
      <w:pPr>
        <w:pStyle w:val="TextBody"/>
        <w:bidi w:val="0"/>
        <w:spacing w:before="0" w:after="0"/>
        <w:jc w:val="right"/>
        <w:rPr>
          <w:rFonts w:ascii="Times New Roman" w:hAnsi="Times New Roman"/>
          <w:b/>
          <w:sz w:val="20"/>
        </w:rPr>
      </w:pPr>
      <w:bookmarkStart w:id="19" w:name="d130667dex231.htm"/>
      <w:bookmarkStart w:id="20" w:name="ksd130667dex231"/>
      <w:bookmarkEnd w:id="19"/>
      <w:bookmarkEnd w:id="20"/>
      <w:r>
        <w:rPr>
          <w:rFonts w:ascii="Times New Roman" w:hAnsi="Times New Roman"/>
          <w:b/>
          <w:sz w:val="20"/>
        </w:rPr>
        <w:t xml:space="preserve">Exhibit 23.1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120" w:after="0"/>
        <w:jc w:val="left"/>
        <w:rPr>
          <w:rFonts w:ascii="Times New Roman" w:hAnsi="Times New Roman"/>
          <w:sz w:val="20"/>
        </w:rPr>
      </w:pPr>
      <w:r>
        <w:rPr>
          <w:rFonts w:ascii="Times New Roman" w:hAnsi="Times New Roman"/>
          <w:sz w:val="20"/>
        </w:rPr>
        <w:t xml:space="preserve">We consent to the reference to our firm under the caption “Experts” in the Registration Statement (Form S-3) and related Prospectus of Magnachip Semiconductor Corporation for the registration of 1,461,988 shares of its common stock and to the incorporation by reference therein of our reports dated March 16, 2026, with respect to the consolidated financial statements of Magnachip Semiconductor Corporation, and the effectiveness of internal control over financial reporting of Magnachip Semiconductor Corporation, included in its Annual Report (Form 10-K) for the year ended December 31, 2025, filed with the Securities and Exchange Commission.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EY Han Young</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Seoul, the Republic of Korea</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October 5, 2026</w:t>
            </w:r>
          </w:p>
        </w:tc>
      </w:tr>
    </w:tbl>
    <w:p>
      <w:pPr>
        <w:pStyle w:val="TextBody"/>
        <w:bidi w:val="0"/>
        <w:spacing w:before="0" w:after="0"/>
        <w:jc w:val="right"/>
        <w:rPr>
          <w:rFonts w:ascii="Times New Roman" w:hAnsi="Times New Roman"/>
          <w:b/>
          <w:sz w:val="20"/>
        </w:rPr>
      </w:pPr>
      <w:bookmarkStart w:id="21" w:name="d130667dex232.htm"/>
      <w:bookmarkStart w:id="22" w:name="ksd130667dex232"/>
      <w:bookmarkEnd w:id="21"/>
      <w:bookmarkEnd w:id="22"/>
      <w:r>
        <w:rPr>
          <w:rFonts w:ascii="Times New Roman" w:hAnsi="Times New Roman"/>
          <w:b/>
          <w:sz w:val="20"/>
        </w:rPr>
        <w:t xml:space="preserve">Exhibit 23.2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120" w:after="0"/>
        <w:jc w:val="left"/>
        <w:rPr>
          <w:rFonts w:ascii="Times New Roman" w:hAnsi="Times New Roman"/>
          <w:sz w:val="20"/>
        </w:rPr>
      </w:pPr>
      <w:r>
        <w:rPr>
          <w:rFonts w:ascii="Times New Roman" w:hAnsi="Times New Roman"/>
          <w:sz w:val="20"/>
        </w:rPr>
        <w:t xml:space="preserve">We hereby consent to the incorporation by reference in this Registration Statement on Form S-3 of Magnachip Semiconductor Corporation of our report dated March 14, 2025, except for the effects of discontinued operations discussed in Note 2 to the consolidated financial statements, as to which the date is March 16, 2026, relating to the financial statements of Magnachip Semiconductor Corporation, which appears in Magnachip Semiconductor Corporation’s Annual Report on Form 10-K for the year ended December 31, 2025. We also consent to the reference to us under the heading “Experts” in such Registration Statement.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Samil PricewaterhouseCoopers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Seoul, South Korea</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October 5, 2026</w:t>
            </w:r>
          </w:p>
        </w:tc>
      </w:tr>
    </w:tbl>
    <w:p>
      <w:pPr>
        <w:pStyle w:val="Normal"/>
        <w:bidi w:val="0"/>
        <w:spacing w:before="0" w:after="0"/>
        <w:jc w:val="left"/>
        <w:rPr>
          <w:sz w:val="4"/>
          <w:szCs w:val="4"/>
        </w:rPr>
      </w:pPr>
      <w:r>
        <w:rPr>
          <w:sz w:val="4"/>
          <w:szCs w:val="4"/>
        </w:rPr>
      </w:r>
      <w:bookmarkStart w:id="23" w:name="d130667dexfilingfees.htm"/>
      <w:bookmarkStart w:id="24" w:name="ksd130667dexfilingfees"/>
      <w:bookmarkStart w:id="25" w:name="d130667dexfilingfees.htm"/>
      <w:bookmarkStart w:id="26" w:name="ksd130667dexfilingfees"/>
      <w:bookmarkEnd w:id="25"/>
      <w:bookmarkEnd w:id="26"/>
      <w:r>
        <w:br w:type="page"/>
      </w:r>
    </w:p>
    <w:tbl>
      <w:tblPr>
        <w:tblW w:w="4760" w:type="dxa"/>
        <w:jc w:val="left"/>
        <w:tblInd w:w="0" w:type="dxa"/>
        <w:tblLayout w:type="fixed"/>
        <w:tblCellMar>
          <w:top w:w="28" w:type="dxa"/>
          <w:left w:w="28" w:type="dxa"/>
          <w:bottom w:w="28" w:type="dxa"/>
          <w:right w:w="28" w:type="dxa"/>
        </w:tblCellMar>
      </w:tblPr>
      <w:tblGrid>
        <w:gridCol w:w="4606"/>
        <w:gridCol w:w="154"/>
      </w:tblGrid>
      <w:tr>
        <w:trPr/>
        <w:tc>
          <w:tcPr>
            <w:tcW w:w="476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4606"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4606" w:type="dxa"/>
            <w:tcBorders/>
            <w:vAlign w:val="center"/>
          </w:tcPr>
          <w:p>
            <w:pPr>
              <w:pStyle w:val="TableContents"/>
              <w:bidi w:val="0"/>
              <w:spacing w:before="0" w:after="283"/>
              <w:jc w:val="left"/>
              <w:rPr>
                <w:b/>
              </w:rPr>
            </w:pPr>
            <w:r>
              <w:rPr>
                <w:b/>
              </w:rPr>
              <w:t xml:space="preserve">MAGNACHIP SEMICONDUCTOR Corp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19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546"/>
        <w:gridCol w:w="100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54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00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19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$0.01 par value per share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1,461,988 </w:t>
            </w:r>
          </w:p>
        </w:tc>
        <w:tc>
          <w:tcPr>
            <w:tcW w:w="1156" w:type="dxa"/>
            <w:tcBorders/>
            <w:shd w:fill="E7E7E2" w:val="clear"/>
            <w:vAlign w:val="center"/>
          </w:tcPr>
          <w:p>
            <w:pPr>
              <w:pStyle w:val="TableContents"/>
              <w:bidi w:val="0"/>
              <w:spacing w:before="0" w:after="283"/>
              <w:jc w:val="right"/>
              <w:rPr/>
            </w:pPr>
            <w:r>
              <w:rPr/>
              <w:t xml:space="preserve">$ 3.6813 </w:t>
            </w:r>
          </w:p>
        </w:tc>
        <w:tc>
          <w:tcPr>
            <w:tcW w:w="1546" w:type="dxa"/>
            <w:tcBorders/>
            <w:shd w:fill="E7E7E2" w:val="clear"/>
            <w:vAlign w:val="center"/>
          </w:tcPr>
          <w:p>
            <w:pPr>
              <w:pStyle w:val="TableContents"/>
              <w:bidi w:val="0"/>
              <w:spacing w:before="0" w:after="283"/>
              <w:jc w:val="right"/>
              <w:rPr/>
            </w:pPr>
            <w:r>
              <w:rPr/>
              <w:t xml:space="preserve">$ 5,382,016.43 </w:t>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right"/>
              <w:rPr/>
            </w:pPr>
            <w:r>
              <w:rPr/>
              <w:t xml:space="preserve">$ 468.24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19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0"/>
              <w:ind w:left="0" w:right="0" w:hanging="0"/>
              <w:jc w:val="right"/>
              <w:rPr/>
            </w:pPr>
            <w:bookmarkStart w:id="27" w:name="MaxAggtOfferingPrice"/>
            <w:bookmarkEnd w:id="27"/>
            <w:r>
              <w:rPr/>
              <w:t xml:space="preserve">$ 5,382,016.43 </w:t>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8" w:name="TotalFeeAmt"/>
            <w:bookmarkEnd w:id="28"/>
            <w:r>
              <w:rPr/>
              <w:t xml:space="preserve">$ 468.24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9" w:name="TotalPreviouslyPaidAmt"/>
            <w:bookmarkEnd w:id="2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0" w:name="TotalOffsetAmt"/>
            <w:bookmarkEnd w:id="3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1" w:name="NetFeeAmt"/>
            <w:bookmarkEnd w:id="31"/>
            <w:r>
              <w:rPr/>
              <w:t xml:space="preserve">$ 468.24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8"/>
        <w:gridCol w:w="8706"/>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The amount to be registered consists of up to 1,461,988 shares of common stock to be sold by the selling stockholder listed in the Registration Statement under "Selling Stockholder". Pursuant to Rule 416 under the Securities Act of 1933, as amended,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 Pursuant to Rule 457(c) under the Securities Act, and solely for the purpose of calculating the registration fee, the proposed maximum offering price per share is $3.6813, which is the average of the high and low prices of shares of the Registrant's Common Stock on The New York Stock Exchange on October 1, 2026 (such date being within five business days of the date that this registration statement was filed with the U.S. Securities and Exchange Commission).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325702/000119312526108435/mx-20251231.htm" TargetMode="External"/><Relationship Id="rId4" Type="http://schemas.openxmlformats.org/officeDocument/2006/relationships/hyperlink" Target="http://www.sec.gov/Archives/edgar/data/../../../ix?doc=/Archives/edgar/data/0001325702/000119312526214750/mx-20260331.htm" TargetMode="External"/><Relationship Id="rId5" Type="http://schemas.openxmlformats.org/officeDocument/2006/relationships/hyperlink" Target="http://www.sec.gov/Archives/edgar/data/../../../ix?doc=/Archives/edgar/data/0001325702/000119312526342416/mx-20260630.htm" TargetMode="External"/><Relationship Id="rId6" Type="http://schemas.openxmlformats.org/officeDocument/2006/relationships/hyperlink" Target="http://www.sec.gov/Archives/edgar/data/1325702/000119312526108435/mx-20251231.htm" TargetMode="External"/><Relationship Id="rId7" Type="http://schemas.openxmlformats.org/officeDocument/2006/relationships/hyperlink" Target="http://www.sec.gov/Archives/edgar/data/1325702/000119312526197484/mx-20260430.htm" TargetMode="External"/><Relationship Id="rId8" Type="http://schemas.openxmlformats.org/officeDocument/2006/relationships/hyperlink" Target="http://www.sec.gov/Archives/edgar/data/1325702/000119312526012251/d25690d8k.htm" TargetMode="External"/><Relationship Id="rId9" Type="http://schemas.openxmlformats.org/officeDocument/2006/relationships/hyperlink" Target="http://www.sec.gov/Archives/edgar/data/1325702/000119312526015926/d75112d8k.htm" TargetMode="External"/><Relationship Id="rId10" Type="http://schemas.openxmlformats.org/officeDocument/2006/relationships/hyperlink" Target="http://www.sec.gov/Archives/edgar/data/../../../ix?doc=/Archives/edgar/data/1325702/000119312526274356/d86251d8k.htm" TargetMode="External"/><Relationship Id="rId11" Type="http://schemas.openxmlformats.org/officeDocument/2006/relationships/hyperlink" Target="http://www.sec.gov/Archives/edgar/data/1325702/000119312526289285/mx-20260630.htm" TargetMode="External"/><Relationship Id="rId12" Type="http://schemas.openxmlformats.org/officeDocument/2006/relationships/hyperlink" Target="http://www.sec.gov/Archives/edgar/data/../../../ix?doc=/Archives/edgar/data/1325702/000119312526396059/mx-20260729.htm" TargetMode="External"/><Relationship Id="rId13" Type="http://schemas.openxmlformats.org/officeDocument/2006/relationships/hyperlink" Target="http://www.sec.gov/Archives/edgar/data/1325702/000119312525054851/d920621dex41.htm" TargetMode="External"/><Relationship Id="rId14" Type="http://schemas.openxmlformats.org/officeDocument/2006/relationships/image" Target="media/image1.jpeg"/><Relationship Id="rId15" Type="http://schemas.openxmlformats.org/officeDocument/2006/relationships/hyperlink" Target="http://www.sec.gov/Archives/edgar/data/1325702/000119312511062703/dex31.htm" TargetMode="External"/><Relationship Id="rId16" Type="http://schemas.openxmlformats.org/officeDocument/2006/relationships/hyperlink" Target="http://www.sec.gov/Archives/edgar/data/1325702/000119312511062703/dex32.htm" TargetMode="External"/><Relationship Id="rId17" Type="http://schemas.openxmlformats.org/officeDocument/2006/relationships/hyperlink" Target="http://www.sec.gov/Archives/edgar/data/1325702/000119312520329844/d85816dex31.htm" TargetMode="External"/><Relationship Id="rId18" Type="http://schemas.openxmlformats.org/officeDocument/2006/relationships/hyperlink" Target="http://www.sec.gov/Archives/edgar/data/1325702/000119312516582070/d161114dex31.htm" TargetMode="External"/><Relationship Id="rId19" Type="http://schemas.openxmlformats.org/officeDocument/2006/relationships/hyperlink" Target="http://www.sec.gov/Archives/edgar/data/1325702/000095012310047545/f54652a2exv3w6.htm" TargetMode="External"/><Relationship Id="rId20" Type="http://schemas.openxmlformats.org/officeDocument/2006/relationships/hyperlink" Target="http://www.sec.gov/Archives/edgar/data/1325702/000095014215000541/eh1500371_ex0301.htm" TargetMode="External"/><Relationship Id="rId21" Type="http://schemas.openxmlformats.org/officeDocument/2006/relationships/hyperlink" Target="http://www.sec.gov/Archives/edgar/data/1325702/000119312521355865/d152828dex31.htm" TargetMode="External"/><Relationship Id="rId22" Type="http://schemas.openxmlformats.org/officeDocument/2006/relationships/hyperlink" Target="http://www.sec.gov/Archives/edgar/data/0001325702/000119312526396059/mx-ex10_1.htm" TargetMode="External"/><Relationship Id="rId23" Type="http://schemas.openxmlformats.org/officeDocument/2006/relationships/image" Target="media/image2.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12102</Words>
  <Characters>65583</Characters>
  <CharactersWithSpaces>77966</CharactersWithSpaces>
  <Paragraphs>1062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EX-23.2</dc:title>
</cp:coreProperties>
</file>