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19823d8k.htm"/>
      <w:bookmarkStart w:id="1" w:name="ksd819823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March 22,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83-0406195</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5120"/>
        <w:gridCol w:w="60"/>
        <w:gridCol w:w="1565"/>
      </w:tblGrid>
      <w:tr>
        <w:trPr/>
        <w:tc>
          <w:tcPr>
            <w:tcW w:w="5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0"/>
              <w:jc w:val="center"/>
              <w:rPr>
                <w:rFonts w:ascii="Times New Roman" w:hAnsi="Times New Roman"/>
                <w:b/>
                <w:sz w:val="20"/>
              </w:rPr>
            </w:pPr>
            <w:bookmarkStart w:id="2" w:name="Fact_2"/>
            <w:bookmarkEnd w:id="2"/>
            <w:r>
              <w:rPr>
                <w:rFonts w:ascii="Times New Roman" w:hAnsi="Times New Roman"/>
                <w:b/>
                <w:sz w:val="20"/>
              </w:rPr>
              <w:t>c/o Magnachip Semiconductor, Ltd.</w:t>
            </w:r>
          </w:p>
          <w:p>
            <w:pPr>
              <w:pStyle w:val="TableContents"/>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bidi w:val="0"/>
              <w:spacing w:before="0" w:after="2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512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Item 5.02 Departure of Directors or Certain Officers; Election of Directors; Appointment of Certain Officers; Compensatory Arrangements of Certain Officers.</w:t>
      </w:r>
    </w:p>
    <w:p>
      <w:pPr>
        <w:pStyle w:val="TextBody"/>
        <w:bidi w:val="0"/>
        <w:spacing w:before="120" w:after="0"/>
        <w:jc w:val="left"/>
        <w:rPr>
          <w:rFonts w:ascii="Times New Roman" w:hAnsi="Times New Roman"/>
          <w:sz w:val="20"/>
        </w:rPr>
      </w:pPr>
      <w:r>
        <w:rPr>
          <w:rFonts w:ascii="Times New Roman" w:hAnsi="Times New Roman"/>
          <w:sz w:val="20"/>
        </w:rPr>
        <w:t>(b) On March 22, 2024, Chan Ho Park, Co-General Manager of Power Analog Solutions of Magnachip Semiconductor Corporation (the “Company”), resigned from such position, to be effective at the end of the day on April 30, 2024. Dr. Park also resigned from his position as Co-General Manager of Power Analog Solutions of Magnachip Semiconductor, Ltd., the Korean operating subsidiary of the Company (“MSK”), and from all other positions held by him as of such time and date.</w:t>
      </w:r>
    </w:p>
    <w:p>
      <w:pPr>
        <w:pStyle w:val="TextBody"/>
        <w:bidi w:val="0"/>
        <w:spacing w:before="240" w:after="0"/>
        <w:jc w:val="left"/>
        <w:rPr>
          <w:rFonts w:ascii="Times New Roman" w:hAnsi="Times New Roman"/>
          <w:sz w:val="20"/>
        </w:rPr>
      </w:pPr>
      <w:r>
        <w:rPr>
          <w:rFonts w:ascii="Times New Roman" w:hAnsi="Times New Roman"/>
          <w:sz w:val="20"/>
        </w:rPr>
        <w:t>(e) In connection with Dr. Park’s resignation and termination of his executive service agreement with the Company and MSK, Dr. Park, the Company and MSK entered into a separation agreement dated as of March 22, 2024 (the “Separation Agreement”), pursuant to which the Company has agreed to the following: (i) the Company will pay Dr. Park a cash severance payment equal to six times his monthly base salary, payable ratably over a period of six months after the separation date (with the first payment being paid two months after the separation date), together with any annual bonus earned for calendar year 2023, and (ii) any outstanding unvested equity awards held by Dr. Park will be treated in accordance with the terms set forth in the Company’s applicable equity incentive plan and the applicable award agreements, solely for the purpose of this clause (ii), as if Dr. Park’s separation was deemed to be “termination without Cause” rather than “resignation without Good Reason” under the applicable equity incentive plan and such award agreements (collectively, the “Separation Benefits”). The Separation Benefits are contingent on the execution and non-revocation of the Release of Claims (defined below) and Dr. Park’s compliance with all other terms of his Confidentiality Agreement and Proprietary Information and Invention Assignment Agreement, the Separation Agreement and Release of Claims.</w:t>
      </w:r>
    </w:p>
    <w:p>
      <w:pPr>
        <w:pStyle w:val="TextBody"/>
        <w:bidi w:val="0"/>
        <w:spacing w:before="240" w:after="0"/>
        <w:jc w:val="left"/>
        <w:rPr>
          <w:rFonts w:ascii="Times New Roman" w:hAnsi="Times New Roman"/>
          <w:sz w:val="20"/>
        </w:rPr>
      </w:pPr>
      <w:r>
        <w:rPr>
          <w:rFonts w:ascii="Times New Roman" w:hAnsi="Times New Roman"/>
          <w:sz w:val="20"/>
        </w:rPr>
        <w:t>In connection with the Separation Agreement, Dr. Park also entered into a release with the Company and MSK whereby Dr. Park released all claims he may have against the Company, MSK or their respective affiliates, subsidiaries, representatives and other related parties in exchange for the Separation Benefits and the other applicable severance benefits set forth in the Separation Agreement (the “Release of Claims”).</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Separation Agreement is qualified in its entirety by reference to the full text of the Separation Agreement, which is field as Exhibit 10.1 to this Current Report on Form 8-K and incorporated herein by reference.</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b/>
          <w:sz w:val="20"/>
        </w:rPr>
      </w:pPr>
      <w:r>
        <w:rPr>
          <w:rFonts w:ascii="Times New Roman" w:hAnsi="Times New Roman"/>
          <w:b/>
          <w:sz w:val="20"/>
        </w:rPr>
        <w:t>(d) Exhibits.</w:t>
      </w:r>
    </w:p>
    <w:p>
      <w:pPr>
        <w:pStyle w:val="TextBody"/>
        <w:bidi w:val="0"/>
        <w:spacing w:before="240" w:after="0"/>
        <w:jc w:val="left"/>
        <w:rPr>
          <w:rFonts w:ascii="Times New Roman" w:hAnsi="Times New Roman"/>
          <w:sz w:val="20"/>
        </w:rPr>
      </w:pPr>
      <w:r>
        <w:rPr>
          <w:rFonts w:ascii="Times New Roman" w:hAnsi="Times New Roman"/>
          <w:sz w:val="20"/>
        </w:rPr>
        <w:t>The following exhibit is furnished as part of this report: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8"/>
        <w:gridCol w:w="120"/>
        <w:gridCol w:w="9247"/>
      </w:tblGrid>
      <w:tr>
        <w:trPr/>
        <w:tc>
          <w:tcPr>
            <w:tcW w:w="8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47" w:type="dxa"/>
            <w:tcBorders/>
            <w:vAlign w:val="center"/>
          </w:tcPr>
          <w:p>
            <w:pPr>
              <w:pStyle w:val="TableContents"/>
              <w:bidi w:val="0"/>
              <w:spacing w:before="0" w:after="283"/>
              <w:jc w:val="left"/>
              <w:rPr>
                <w:sz w:val="4"/>
                <w:szCs w:val="4"/>
              </w:rPr>
            </w:pPr>
            <w:r>
              <w:rPr>
                <w:sz w:val="4"/>
                <w:szCs w:val="4"/>
              </w:rPr>
            </w:r>
          </w:p>
        </w:tc>
      </w:tr>
      <w:tr>
        <w:trPr/>
        <w:tc>
          <w:tcPr>
            <w:tcW w:w="838" w:type="dxa"/>
            <w:tcBorders>
              <w:bottom w:val="single" w:sz="8" w:space="0" w:color="000000"/>
            </w:tcBorders>
            <w:tcMar>
              <w:bottom w:w="28" w:type="dxa"/>
            </w:tcMar>
            <w:vAlign w:val="center"/>
          </w:tcPr>
          <w:p>
            <w:pPr>
              <w:pStyle w:val="TableContents"/>
              <w:bidi w:val="0"/>
              <w:spacing w:before="0" w:after="283"/>
              <w:jc w:val="center"/>
              <w:rPr/>
            </w:pPr>
            <w:r>
              <w:rPr>
                <w:b/>
              </w:rPr>
              <w:t>Exhibit</w:t>
            </w:r>
            <w:r>
              <w:rPr/>
              <w:t xml:space="preserve"> </w:t>
              <w:br/>
            </w:r>
            <w:r>
              <w:rPr>
                <w:b/>
              </w:rPr>
              <w:t>No.</w:t>
            </w:r>
          </w:p>
        </w:tc>
        <w:tc>
          <w:tcPr>
            <w:tcW w:w="120" w:type="dxa"/>
            <w:tcBorders/>
            <w:vAlign w:val="center"/>
          </w:tcPr>
          <w:p>
            <w:pPr>
              <w:pStyle w:val="TableContents"/>
              <w:bidi w:val="0"/>
              <w:spacing w:before="0" w:after="283"/>
              <w:jc w:val="left"/>
              <w:rPr/>
            </w:pPr>
            <w:r>
              <w:rPr/>
              <w:t>  </w:t>
            </w:r>
          </w:p>
        </w:tc>
        <w:tc>
          <w:tcPr>
            <w:tcW w:w="924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38" w:type="dxa"/>
            <w:tcBorders/>
            <w:vAlign w:val="center"/>
          </w:tcPr>
          <w:p>
            <w:pPr>
              <w:pStyle w:val="TableContents"/>
              <w:bidi w:val="0"/>
              <w:spacing w:before="0" w:after="283"/>
              <w:jc w:val="left"/>
              <w:rPr>
                <w:sz w:val="4"/>
                <w:szCs w:val="4"/>
              </w:rPr>
            </w:pPr>
            <w:r>
              <w:rPr>
                <w:sz w:val="4"/>
                <w:szCs w:val="4"/>
              </w:rPr>
            </w:r>
          </w:p>
        </w:tc>
        <w:tc>
          <w:tcPr>
            <w:tcW w:w="9367" w:type="dxa"/>
            <w:gridSpan w:val="2"/>
            <w:tcBorders/>
            <w:vAlign w:val="center"/>
          </w:tcPr>
          <w:p>
            <w:pPr>
              <w:pStyle w:val="TableContents"/>
              <w:bidi w:val="0"/>
              <w:spacing w:before="0" w:after="283"/>
              <w:jc w:val="left"/>
              <w:rPr>
                <w:sz w:val="4"/>
                <w:szCs w:val="4"/>
              </w:rPr>
            </w:pPr>
            <w:r>
              <w:rPr>
                <w:sz w:val="4"/>
                <w:szCs w:val="4"/>
              </w:rPr>
            </w:r>
          </w:p>
        </w:tc>
      </w:tr>
      <w:tr>
        <w:trPr/>
        <w:tc>
          <w:tcPr>
            <w:tcW w:w="838"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247" w:type="dxa"/>
            <w:tcBorders/>
            <w:vAlign w:val="center"/>
          </w:tcPr>
          <w:p>
            <w:pPr>
              <w:pStyle w:val="TableContents"/>
              <w:bidi w:val="0"/>
              <w:spacing w:before="0" w:after="283"/>
              <w:jc w:val="left"/>
              <w:rPr/>
            </w:pPr>
            <w:hyperlink w:anchor="d819823dex101.htm">
              <w:r>
                <w:rPr>
                  <w:rStyle w:val="InternetLink"/>
                </w:rPr>
                <w:t xml:space="preserve">Separation Agreement, dated as of March 22, 2024, by and among the Company, MSK and Chan Ho Park. </w:t>
              </w:r>
            </w:hyperlink>
          </w:p>
        </w:tc>
      </w:tr>
      <w:tr>
        <w:trPr/>
        <w:tc>
          <w:tcPr>
            <w:tcW w:w="838" w:type="dxa"/>
            <w:tcBorders/>
            <w:vAlign w:val="center"/>
          </w:tcPr>
          <w:p>
            <w:pPr>
              <w:pStyle w:val="TableContents"/>
              <w:bidi w:val="0"/>
              <w:spacing w:before="0" w:after="283"/>
              <w:jc w:val="left"/>
              <w:rPr>
                <w:sz w:val="4"/>
                <w:szCs w:val="4"/>
              </w:rPr>
            </w:pPr>
            <w:r>
              <w:rPr>
                <w:sz w:val="4"/>
                <w:szCs w:val="4"/>
              </w:rPr>
            </w:r>
          </w:p>
        </w:tc>
        <w:tc>
          <w:tcPr>
            <w:tcW w:w="9367" w:type="dxa"/>
            <w:gridSpan w:val="2"/>
            <w:tcBorders/>
            <w:vAlign w:val="center"/>
          </w:tcPr>
          <w:p>
            <w:pPr>
              <w:pStyle w:val="TableContents"/>
              <w:bidi w:val="0"/>
              <w:spacing w:before="0" w:after="283"/>
              <w:jc w:val="left"/>
              <w:rPr>
                <w:sz w:val="4"/>
                <w:szCs w:val="4"/>
              </w:rPr>
            </w:pPr>
            <w:r>
              <w:rPr>
                <w:sz w:val="4"/>
                <w:szCs w:val="4"/>
              </w:rPr>
            </w:r>
          </w:p>
        </w:tc>
      </w:tr>
      <w:tr>
        <w:trPr/>
        <w:tc>
          <w:tcPr>
            <w:tcW w:w="838"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47"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564" w:type="dxa"/>
        <w:jc w:val="left"/>
        <w:tblInd w:w="0" w:type="dxa"/>
        <w:tblLayout w:type="fixed"/>
        <w:tblCellMar>
          <w:top w:w="0" w:type="dxa"/>
          <w:left w:w="0" w:type="dxa"/>
          <w:bottom w:w="0" w:type="dxa"/>
          <w:right w:w="0" w:type="dxa"/>
        </w:tblCellMar>
      </w:tblPr>
      <w:tblGrid>
        <w:gridCol w:w="700"/>
        <w:gridCol w:w="1108"/>
        <w:gridCol w:w="431"/>
        <w:gridCol w:w="60"/>
        <w:gridCol w:w="650"/>
        <w:gridCol w:w="60"/>
        <w:gridCol w:w="5555"/>
      </w:tblGrid>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55"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pPr>
            <w:r>
              <w:rPr/>
              <w:t>Dated: March 26, 2024</w:t>
            </w:r>
          </w:p>
        </w:tc>
        <w:tc>
          <w:tcPr>
            <w:tcW w:w="60" w:type="dxa"/>
            <w:tcBorders/>
            <w:vAlign w:val="center"/>
          </w:tcPr>
          <w:p>
            <w:pPr>
              <w:pStyle w:val="TableContents"/>
              <w:bidi w:val="0"/>
              <w:spacing w:before="0" w:after="283"/>
              <w:jc w:val="left"/>
              <w:rPr/>
            </w:pPr>
            <w:r>
              <w:rPr/>
              <w:t> </w:t>
            </w:r>
          </w:p>
        </w:tc>
        <w:tc>
          <w:tcPr>
            <w:tcW w:w="6265" w:type="dxa"/>
            <w:gridSpan w:val="3"/>
            <w:tcBorders/>
            <w:vAlign w:val="center"/>
          </w:tcPr>
          <w:p>
            <w:pPr>
              <w:pStyle w:val="TableContents"/>
              <w:bidi w:val="0"/>
              <w:spacing w:before="0" w:after="283"/>
              <w:jc w:val="left"/>
              <w:rPr/>
            </w:pPr>
            <w:r>
              <w:rPr/>
              <w:t>MAGNACHIP SEMICONDUCTOR CORPORATION</w:t>
            </w:r>
          </w:p>
        </w:tc>
      </w:tr>
      <w:tr>
        <w:trPr/>
        <w:tc>
          <w:tcPr>
            <w:tcW w:w="700" w:type="dxa"/>
            <w:tcBorders/>
            <w:vAlign w:val="center"/>
          </w:tcPr>
          <w:p>
            <w:pPr>
              <w:pStyle w:val="TableContents"/>
              <w:bidi w:val="0"/>
              <w:spacing w:before="0" w:after="283"/>
              <w:jc w:val="left"/>
              <w:rPr>
                <w:sz w:val="4"/>
                <w:szCs w:val="4"/>
              </w:rPr>
            </w:pPr>
            <w:r>
              <w:rPr>
                <w:sz w:val="4"/>
                <w:szCs w:val="4"/>
              </w:rPr>
            </w:r>
          </w:p>
        </w:tc>
        <w:tc>
          <w:tcPr>
            <w:tcW w:w="1539"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615"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Theodore Kim</w:t>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Theodore Kim</w:t>
            </w:r>
          </w:p>
        </w:tc>
      </w:tr>
      <w:tr>
        <w:trPr/>
        <w:tc>
          <w:tcPr>
            <w:tcW w:w="7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283"/>
              <w:jc w:val="left"/>
              <w:rPr/>
            </w:pPr>
            <w:r>
              <w:rPr/>
              <w:t>Chief Compliance Officer, General Counsel and Secretary</w:t>
            </w:r>
          </w:p>
        </w:tc>
      </w:tr>
    </w:tbl>
    <w:p>
      <w:pPr>
        <w:pStyle w:val="TextBody"/>
        <w:bidi w:val="0"/>
        <w:spacing w:before="0" w:after="0"/>
        <w:jc w:val="right"/>
        <w:rPr>
          <w:rFonts w:ascii="Times New Roman" w:hAnsi="Times New Roman"/>
          <w:b/>
          <w:sz w:val="20"/>
        </w:rPr>
      </w:pPr>
      <w:bookmarkStart w:id="3" w:name="d819823dex101.htm"/>
      <w:bookmarkStart w:id="4" w:name="ksd819823dex101"/>
      <w:bookmarkEnd w:id="3"/>
      <w:bookmarkEnd w:id="4"/>
      <w:r>
        <w:rPr>
          <w:rFonts w:ascii="Times New Roman" w:hAnsi="Times New Roman"/>
          <w:b/>
          <w:sz w:val="20"/>
        </w:rPr>
        <w:t xml:space="preserve">Exhibit 10.1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669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6975" cy="4953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March 22, 2024 </w:t>
      </w:r>
    </w:p>
    <w:p>
      <w:pPr>
        <w:pStyle w:val="TextBody"/>
        <w:bidi w:val="0"/>
        <w:spacing w:before="240" w:after="0"/>
        <w:jc w:val="left"/>
        <w:rPr>
          <w:rFonts w:ascii="Times New Roman" w:hAnsi="Times New Roman"/>
          <w:b/>
          <w:i/>
          <w:sz w:val="20"/>
          <w:u w:val="single"/>
        </w:rPr>
      </w:pPr>
      <w:r>
        <w:rPr>
          <w:rFonts w:ascii="Times New Roman" w:hAnsi="Times New Roman"/>
          <w:b/>
          <w:i/>
          <w:sz w:val="20"/>
          <w:u w:val="single"/>
        </w:rPr>
        <w:t xml:space="preserve">Via Hand Delivery </w:t>
      </w:r>
    </w:p>
    <w:p>
      <w:pPr>
        <w:pStyle w:val="TextBody"/>
        <w:bidi w:val="0"/>
        <w:spacing w:before="0" w:after="0"/>
        <w:jc w:val="left"/>
        <w:rPr>
          <w:rFonts w:ascii="Times New Roman" w:hAnsi="Times New Roman"/>
          <w:sz w:val="20"/>
        </w:rPr>
      </w:pPr>
      <w:r>
        <w:rPr>
          <w:rFonts w:ascii="Times New Roman" w:hAnsi="Times New Roman"/>
          <w:sz w:val="20"/>
        </w:rPr>
        <w:t xml:space="preserve">Dr. Chan Ho Park </w:t>
      </w:r>
    </w:p>
    <w:p>
      <w:pPr>
        <w:pStyle w:val="TextBody"/>
        <w:bidi w:val="0"/>
        <w:spacing w:before="0" w:after="0"/>
        <w:jc w:val="left"/>
        <w:rPr>
          <w:rFonts w:ascii="Times New Roman" w:hAnsi="Times New Roman"/>
          <w:sz w:val="20"/>
        </w:rPr>
      </w:pPr>
      <w:r>
        <w:rPr>
          <w:rFonts w:ascii="Times New Roman" w:hAnsi="Times New Roman"/>
          <w:sz w:val="20"/>
        </w:rPr>
        <w:t xml:space="preserve">Lake Palace Apt. 128-1502 </w:t>
      </w:r>
    </w:p>
    <w:p>
      <w:pPr>
        <w:pStyle w:val="TextBody"/>
        <w:bidi w:val="0"/>
        <w:spacing w:before="0" w:after="0"/>
        <w:jc w:val="left"/>
        <w:rPr>
          <w:rFonts w:ascii="Times New Roman" w:hAnsi="Times New Roman"/>
          <w:sz w:val="20"/>
        </w:rPr>
      </w:pPr>
      <w:r>
        <w:rPr>
          <w:rFonts w:ascii="Times New Roman" w:hAnsi="Times New Roman"/>
          <w:sz w:val="20"/>
        </w:rPr>
        <w:t xml:space="preserve">88 Jamsil-ro, Songpa-gu, Seoul, Korea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Separation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Dr. Park: </w:t>
      </w:r>
    </w:p>
    <w:p>
      <w:pPr>
        <w:pStyle w:val="TextBody"/>
        <w:bidi w:val="0"/>
        <w:spacing w:before="120" w:after="0"/>
        <w:jc w:val="left"/>
        <w:rPr>
          <w:rFonts w:ascii="Times New Roman" w:hAnsi="Times New Roman"/>
          <w:sz w:val="20"/>
        </w:rPr>
      </w:pPr>
      <w:r>
        <w:rPr>
          <w:rFonts w:ascii="Times New Roman" w:hAnsi="Times New Roman"/>
          <w:sz w:val="20"/>
        </w:rPr>
        <w:t>This letter agreement (this </w:t>
      </w:r>
      <w:r>
        <w:rPr>
          <w:rFonts w:ascii="Times New Roman" w:hAnsi="Times New Roman"/>
          <w:sz w:val="20"/>
          <w:u w:val="single"/>
        </w:rPr>
        <w:t>Separation Agreement</w:t>
      </w:r>
      <w:r>
        <w:rPr>
          <w:rFonts w:ascii="Times New Roman" w:hAnsi="Times New Roman"/>
          <w:sz w:val="20"/>
        </w:rPr>
        <w:t>) confirms our mutual understanding regarding your resignation from the position of Co-General Manager of Power Analog Solutions of Magnachip Semiconductor Corporation, a Delaware corporation (</w:t>
      </w:r>
      <w:r>
        <w:rPr>
          <w:rFonts w:ascii="Times New Roman" w:hAnsi="Times New Roman"/>
          <w:sz w:val="20"/>
          <w:u w:val="single"/>
        </w:rPr>
        <w:t>MSC</w:t>
      </w:r>
      <w:r>
        <w:rPr>
          <w:rFonts w:ascii="Times New Roman" w:hAnsi="Times New Roman"/>
          <w:sz w:val="20"/>
        </w:rPr>
        <w:t xml:space="preserve">), and of Magnachip Semiconductor, Ltd., a Korean </w:t>
      </w:r>
      <w:r>
        <w:rPr>
          <w:rFonts w:ascii="Times New Roman" w:hAnsi="Times New Roman"/>
          <w:i/>
          <w:sz w:val="20"/>
        </w:rPr>
        <w:t>yuhan hoesa</w:t>
      </w:r>
      <w:r>
        <w:rPr>
          <w:rFonts w:ascii="Times New Roman" w:hAnsi="Times New Roman"/>
          <w:sz w:val="20"/>
        </w:rPr>
        <w:t xml:space="preserve"> (</w:t>
      </w:r>
      <w:r>
        <w:rPr>
          <w:rFonts w:ascii="Times New Roman" w:hAnsi="Times New Roman"/>
          <w:sz w:val="20"/>
          <w:u w:val="single"/>
        </w:rPr>
        <w:t>MSK</w:t>
      </w:r>
      <w:r>
        <w:rPr>
          <w:rFonts w:ascii="Times New Roman" w:hAnsi="Times New Roman"/>
          <w:sz w:val="20"/>
        </w:rPr>
        <w:t>), and from all other positions with each direct and indirect subsidiaries of MSC, effective as of 11:59 p.m. (Korea Time) on April 30, 2024 (the </w:t>
      </w:r>
      <w:r>
        <w:rPr>
          <w:rFonts w:ascii="Times New Roman" w:hAnsi="Times New Roman"/>
          <w:sz w:val="20"/>
          <w:u w:val="single"/>
        </w:rPr>
        <w:t>Resignation Date</w:t>
      </w:r>
      <w:r>
        <w:rPr>
          <w:rFonts w:ascii="Times New Roman" w:hAnsi="Times New Roman"/>
          <w:sz w:val="20"/>
        </w:rPr>
        <w:t>). MSC and all of its direct and indirect subsidiaries are collectively referred to herein as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Incorporation by Reference</w:t>
      </w:r>
      <w:r>
        <w:rPr>
          <w:rFonts w:ascii="Times New Roman" w:hAnsi="Times New Roman"/>
          <w:sz w:val="20"/>
        </w:rPr>
        <w:t>. Reference is made to that certain Executive Service Agreement by and between you, on the one hand, and MSC and MSK, on the other hand, entered into as of June 1, 2020 (the </w:t>
      </w:r>
      <w:r>
        <w:rPr>
          <w:rFonts w:ascii="Times New Roman" w:hAnsi="Times New Roman"/>
          <w:sz w:val="20"/>
          <w:u w:val="single"/>
        </w:rPr>
        <w:t>Service Agreement</w:t>
      </w:r>
      <w:r>
        <w:rPr>
          <w:rFonts w:ascii="Times New Roman" w:hAnsi="Times New Roman"/>
          <w:sz w:val="20"/>
        </w:rPr>
        <w:t xml:space="preserve">). If any provision contained in the Service Agreement conflicts with any provision in this Separation Agreement, the provision contained in this Separation Agreement shall govern and control. Capitalized terms used herein without definition shall have the respective meanings ascribed to them in the Service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Voluntary Resignation</w:t>
      </w:r>
      <w:r>
        <w:rPr>
          <w:rFonts w:ascii="Times New Roman" w:hAnsi="Times New Roman"/>
          <w:sz w:val="20"/>
        </w:rPr>
        <w:t xml:space="preserve">. By signing below, you hereby voluntarily resign from the position of Co-General Manager of Power Analog Solutions of MSC and MSK and from all other positions with each direct and indirect subsidiaries of MSC, effective as of 11:59 p.m. (Korea Time) on the Resignation Date. Notwithstanding anything to the contrary provided in the Service Agreement or otherwise, your resignation shall be deemed to be voluntary pursuant to Section 4(a)(vi) (Resignation without Good Reason) of the Service Agreement, except as expressly provided in </w:t>
      </w:r>
      <w:r>
        <w:rPr>
          <w:rFonts w:ascii="Times New Roman" w:hAnsi="Times New Roman"/>
          <w:sz w:val="20"/>
          <w:u w:val="single"/>
        </w:rPr>
        <w:t>Section 3(b)</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Severance Benefit</w:t>
      </w:r>
      <w:r>
        <w:rPr>
          <w:rFonts w:ascii="Times New Roman" w:hAnsi="Times New Roman"/>
          <w:sz w:val="20"/>
        </w:rPr>
        <w:t>. The Company is offering, and you have accepted, the following benefits (collectively, the </w:t>
      </w:r>
      <w:r>
        <w:rPr>
          <w:rFonts w:ascii="Times New Roman" w:hAnsi="Times New Roman"/>
          <w:sz w:val="20"/>
          <w:u w:val="single"/>
        </w:rPr>
        <w:t>Severance Benefit</w:t>
      </w:r>
      <w:r>
        <w:rPr>
          <w:rFonts w:ascii="Times New Roman" w:hAnsi="Times New Roman"/>
          <w:sz w:val="20"/>
        </w:rPr>
        <w:t xml:space="preserve">) in exchange for your execution of this Separation Agreement and the release of claims contained herein and in </w:t>
      </w:r>
      <w:r>
        <w:rPr>
          <w:rFonts w:ascii="Times New Roman" w:hAnsi="Times New Roman"/>
          <w:sz w:val="20"/>
          <w:u w:val="single"/>
        </w:rPr>
        <w:t>Exhibit A</w:t>
      </w:r>
      <w:r>
        <w:rPr>
          <w:rFonts w:ascii="Times New Roman" w:hAnsi="Times New Roman"/>
          <w:sz w:val="20"/>
        </w:rPr>
        <w:t xml:space="preserve"> attached hereto (the </w:t>
      </w:r>
      <w:r>
        <w:rPr>
          <w:rFonts w:ascii="Times New Roman" w:hAnsi="Times New Roman"/>
          <w:sz w:val="20"/>
          <w:u w:val="single"/>
        </w:rPr>
        <w:t>Release of Claims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Separation Payment</w:t>
      </w:r>
      <w:r>
        <w:rPr>
          <w:rFonts w:ascii="Times New Roman" w:hAnsi="Times New Roman"/>
          <w:sz w:val="20"/>
        </w:rPr>
        <w:t xml:space="preserve">. You will receive cash severance payment equal to six (6) times your currently effective monthly base salary, which will be paid in installments as follows: (i) USD 56,100 on July 1, 2024; (ii) USD 28,050 on July 25, 2024; (iii) USD 28,050 on August 23, 2024; (iv) USD 28,050 on September 25, 2024; and (v) USD 28,050 on October 25, 2024. You will also be entitled to receive the Annual Bonus applicable to the calendar year 2023, based on actual performance achievement for such year, and payable if and when annual bonuses are paid to other senior executives of the Company with respect to such year. The payments set forth in this </w:t>
      </w:r>
      <w:r>
        <w:rPr>
          <w:rFonts w:ascii="Times New Roman" w:hAnsi="Times New Roman"/>
          <w:sz w:val="20"/>
          <w:u w:val="single"/>
        </w:rPr>
        <w:t>Section 3(a)</w:t>
      </w:r>
      <w:r>
        <w:rPr>
          <w:rFonts w:ascii="Times New Roman" w:hAnsi="Times New Roman"/>
          <w:sz w:val="20"/>
        </w:rPr>
        <w:t xml:space="preserve"> are collectively referred to herein as the </w:t>
      </w:r>
      <w:r>
        <w:rPr>
          <w:rFonts w:ascii="Times New Roman" w:hAnsi="Times New Roman"/>
          <w:sz w:val="20"/>
          <w:u w:val="single"/>
        </w:rPr>
        <w:t>Separation Payment</w:t>
      </w:r>
      <w:r>
        <w:rPr>
          <w:rFonts w:ascii="Times New Roman" w:hAnsi="Times New Roman"/>
          <w:sz w:val="20"/>
        </w:rPr>
        <w:t xml:space="preserve">. For the avoidance of any doubt, you shall not be eligible for any Annual Bonus applicable to the calendar year 2024, in part or in whole.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Magnachip Semiconductor, 40F, Parc.1 Tower 2, 108, Yeoui-daero, Yeongdeungpo-gu, Seoul, Republic of Korea, 07335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5425"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95425"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Equity Compensation</w:t>
      </w:r>
      <w:r>
        <w:rPr>
          <w:rFonts w:ascii="Times New Roman" w:hAnsi="Times New Roman"/>
          <w:sz w:val="20"/>
        </w:rPr>
        <w:t>. During your engagement with the Company, you have been granted equity awards (</w:t>
      </w:r>
      <w:r>
        <w:rPr>
          <w:rFonts w:ascii="Times New Roman" w:hAnsi="Times New Roman"/>
          <w:sz w:val="20"/>
          <w:u w:val="single"/>
        </w:rPr>
        <w:t>Equity Awards</w:t>
      </w:r>
      <w:r>
        <w:rPr>
          <w:rFonts w:ascii="Times New Roman" w:hAnsi="Times New Roman"/>
          <w:sz w:val="20"/>
        </w:rPr>
        <w:t>) under the terms of the MagnaChip Semiconductor Corporation 2011 Equity Incentive Plan (the </w:t>
      </w:r>
      <w:r>
        <w:rPr>
          <w:rFonts w:ascii="Times New Roman" w:hAnsi="Times New Roman"/>
          <w:sz w:val="20"/>
          <w:u w:val="single"/>
        </w:rPr>
        <w:t>2011 Equity Plan</w:t>
      </w:r>
      <w:r>
        <w:rPr>
          <w:rFonts w:ascii="Times New Roman" w:hAnsi="Times New Roman"/>
          <w:sz w:val="20"/>
        </w:rPr>
        <w:t>) or the Magnachip Semiconductor Corporation 2020 Equity and Incentive Compensation Plan, as amended (together with the 2011 Equity Plan, the </w:t>
      </w:r>
      <w:r>
        <w:rPr>
          <w:rFonts w:ascii="Times New Roman" w:hAnsi="Times New Roman"/>
          <w:sz w:val="20"/>
          <w:u w:val="single"/>
        </w:rPr>
        <w:t>Equity Plan</w:t>
      </w:r>
      <w:r>
        <w:rPr>
          <w:rFonts w:ascii="Times New Roman" w:hAnsi="Times New Roman"/>
          <w:sz w:val="20"/>
        </w:rPr>
        <w:t xml:space="preserve">). Any Equity Awards that are outstanding under the Equity Plan will be treated in accordance with the terms of the Equity Plan and the applicable award agreements;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w:t>
      </w:r>
      <w:r>
        <w:rPr>
          <w:rFonts w:ascii="Times New Roman" w:hAnsi="Times New Roman"/>
          <w:sz w:val="20"/>
          <w:u w:val="single"/>
        </w:rPr>
        <w:t>Section 3(b) only</w:t>
      </w:r>
      <w:r>
        <w:rPr>
          <w:rFonts w:ascii="Times New Roman" w:hAnsi="Times New Roman"/>
          <w:sz w:val="20"/>
        </w:rPr>
        <w:t xml:space="preserve">, your separation shall be deemed to constitute termination without Cause rather than resignation without Good Reason under the Equity Plan and such award agreements.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or in the Service Agreement to the contrary, the Severance Benefit (including the Separation Payment) to be provided to you shall be contingent upon and subject to: </w:t>
      </w:r>
    </w:p>
    <w:p>
      <w:pPr>
        <w:pStyle w:val="TextBody"/>
        <w:bidi w:val="0"/>
        <w:spacing w:before="120" w:after="0"/>
        <w:jc w:val="left"/>
        <w:rPr>
          <w:rFonts w:ascii="Times New Roman" w:hAnsi="Times New Roman"/>
          <w:sz w:val="20"/>
        </w:rPr>
      </w:pPr>
      <w:r>
        <w:rPr>
          <w:rFonts w:ascii="Times New Roman" w:hAnsi="Times New Roman"/>
          <w:sz w:val="20"/>
        </w:rPr>
        <w:t xml:space="preserve">(i) your execution and non-revocation of the Release of Claims and your satisfaction of the conditions under the Release of Claims; </w:t>
      </w:r>
    </w:p>
    <w:p>
      <w:pPr>
        <w:pStyle w:val="TextBody"/>
        <w:bidi w:val="0"/>
        <w:spacing w:before="120" w:after="0"/>
        <w:jc w:val="left"/>
        <w:rPr>
          <w:rFonts w:ascii="Times New Roman" w:hAnsi="Times New Roman"/>
          <w:sz w:val="20"/>
        </w:rPr>
      </w:pPr>
      <w:r>
        <w:rPr>
          <w:rFonts w:ascii="Times New Roman" w:hAnsi="Times New Roman"/>
          <w:sz w:val="20"/>
        </w:rPr>
        <w:t xml:space="preserve">(ii) your compliance with all of the terms of the Confidentiality Agreement and Proprietary Information and Invention Assignment Agreement, both of which are dated as of June 1, 2020, except as superseded by this Separation Agreement; and </w:t>
      </w:r>
    </w:p>
    <w:p>
      <w:pPr>
        <w:pStyle w:val="TextBody"/>
        <w:bidi w:val="0"/>
        <w:spacing w:before="120" w:after="0"/>
        <w:jc w:val="left"/>
        <w:rPr>
          <w:rFonts w:ascii="Times New Roman" w:hAnsi="Times New Roman"/>
          <w:sz w:val="20"/>
        </w:rPr>
      </w:pPr>
      <w:r>
        <w:rPr>
          <w:rFonts w:ascii="Times New Roman" w:hAnsi="Times New Roman"/>
          <w:sz w:val="20"/>
        </w:rPr>
        <w:t xml:space="preserve">(iii) your compliance with all the terms of this Separation Agreement, including </w:t>
      </w:r>
      <w:r>
        <w:rPr>
          <w:rFonts w:ascii="Times New Roman" w:hAnsi="Times New Roman"/>
          <w:sz w:val="20"/>
          <w:u w:val="single"/>
        </w:rPr>
        <w:t>Section 4</w:t>
      </w:r>
      <w:r>
        <w:rPr>
          <w:rFonts w:ascii="Times New Roman" w:hAnsi="Times New Roman"/>
          <w:sz w:val="20"/>
        </w:rPr>
        <w:t xml:space="preserve"> below (and by reference, Sections 6, 7, 8 and 10 of the Service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Taxes</w:t>
      </w:r>
      <w:r>
        <w:rPr>
          <w:rFonts w:ascii="Times New Roman" w:hAnsi="Times New Roman"/>
          <w:sz w:val="20"/>
        </w:rPr>
        <w:t xml:space="preserve">. The Company shall withhold taxes as required by applicable law. You shall be responsible for filing applicable tax returns and paying applicable taxes to the relevant tax authorities in connection with the receipt of the Severance Benefit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Payment of Benefits and Compensation</w:t>
      </w:r>
      <w:r>
        <w:rPr>
          <w:rFonts w:ascii="Times New Roman" w:hAnsi="Times New Roman"/>
          <w:sz w:val="20"/>
        </w:rPr>
        <w:t xml:space="preserve">. You agree that, except as otherwise provided herein, you have been paid all benefits and compensation (including any equity based compensation) owed to you by the Company (or its parent company, as applicable) and are not entitled to any additional severance, wages, salary, benefits, equity, options, bonuses, incentive compensation, allowances, or other remuneration from the Company. For the avoidances of doubt, you acknowledge that any payment or benefits you were entitled pursuant to the Service Agreement have been duly voided between you and the Company prior to the Resignation Date, and you shall not claim that the aforementioned payment or benefits have not been provided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The Companys Waiver of Notice</w:t>
      </w:r>
      <w:r>
        <w:rPr>
          <w:rFonts w:ascii="Times New Roman" w:hAnsi="Times New Roman"/>
          <w:sz w:val="20"/>
        </w:rPr>
        <w:t xml:space="preserve">. The Company hereby waives the 30-day notice requirement set forth in Section 4(b) of the Service Agreement in connection with your resignation pursuant to this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Covenants</w:t>
      </w:r>
      <w:r>
        <w:rPr>
          <w:rFonts w:ascii="Times New Roman" w:hAnsi="Times New Roman"/>
          <w:sz w:val="20"/>
        </w:rPr>
        <w:t xml:space="preserve">. Sections 6 (Non-Competition; Non-Solicitation; Non-Hire), 7 (Non-Disclosure of Confidential Information; Non-Disparagement; Intellectual Property), 8 (Injunctive Relief) and 10 (Cooperation) of the Service Agreement are hereby incorporated hereinto by reference. You hereby confirm the validity and effectiveness of such provisions and agree to comply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5425"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5425"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Entire Agreement</w:t>
      </w:r>
      <w:r>
        <w:rPr>
          <w:rFonts w:ascii="Times New Roman" w:hAnsi="Times New Roman"/>
          <w:sz w:val="20"/>
        </w:rPr>
        <w:t xml:space="preserve">. This Separation Agreement, the Release of Claims and the Service Agreement (and the Confidentiality Agreement and the Proprietary Information and Invention Assignment Agreement referenced in this Separation Agreement) constitute the entire agreement and understanding between you and the Company with respect to the subject matter hereof and supersede all prior agreements, policies and understandings (whether written or oral), between you and the Company, relating to such subject matter (including, without limitation, any oral promise to retain you as a consultant for any period following your termination of engagement and provide payments or benefits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General</w:t>
      </w:r>
      <w:r>
        <w:rPr>
          <w:rFonts w:ascii="Times New Roman" w:hAnsi="Times New Roman"/>
          <w:sz w:val="20"/>
        </w:rPr>
        <w:t xml:space="preserve">. Sections 13 (Assignment and Successors), 14 (Governing Law), 15 (Validity), 16 (Notices), 17 (Counterparts), 19 (Amendments; Waivers), 20 (No Inconsistent Actions), 21 (Construction), 22 (Dispute Resolution), 23 (Enforcement), 24 (Withholding), 25 (Clawback) and 27 (Representations) of the Service Agreement are hereby incorporated hereinto by reference, </w:t>
      </w:r>
      <w:r>
        <w:rPr>
          <w:rFonts w:ascii="Times New Roman" w:hAnsi="Times New Roman"/>
          <w:sz w:val="20"/>
          <w:u w:val="single"/>
        </w:rPr>
        <w:t>provided</w:t>
      </w:r>
      <w:r>
        <w:rPr>
          <w:rFonts w:ascii="Times New Roman" w:hAnsi="Times New Roman"/>
          <w:sz w:val="20"/>
        </w:rPr>
        <w:t xml:space="preserve"> that those sections shall apply </w:t>
      </w:r>
      <w:r>
        <w:rPr>
          <w:rFonts w:ascii="Times New Roman" w:hAnsi="Times New Roman"/>
          <w:i/>
          <w:sz w:val="20"/>
        </w:rPr>
        <w:t>pari passu</w:t>
      </w:r>
      <w:r>
        <w:rPr>
          <w:rFonts w:ascii="Times New Roman" w:hAnsi="Times New Roman"/>
          <w:sz w:val="20"/>
        </w:rPr>
        <w:t xml:space="preserve"> to this Separation Agreement as if the term Agreement were replaced with the term Separation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[Remainder of page internationally left blank, 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5425" cy="304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95425"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Please confirm your agreement with the foregoing by signing and returning one copy of this Separation Agreement to the undersigned, whereupon this Separation Agreement shall become a binding agreement between you and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19"/>
        <w:gridCol w:w="60"/>
        <w:gridCol w:w="3303"/>
      </w:tblGrid>
      <w:tr>
        <w:trPr/>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MAGNACHIP SEMICONDUCTOR CORP.</w:t>
            </w:r>
          </w:p>
        </w:tc>
      </w:tr>
      <w:tr>
        <w:trPr>
          <w:trHeight w:val="240" w:hRule="atLeast"/>
        </w:trPr>
        <w:tc>
          <w:tcPr>
            <w:tcW w:w="719"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3" w:type="dxa"/>
            <w:tcBorders>
              <w:bottom w:val="single" w:sz="2" w:space="0" w:color="000000"/>
            </w:tcBorders>
            <w:tcMar>
              <w:bottom w:w="28" w:type="dxa"/>
            </w:tcMar>
            <w:vAlign w:val="bottom"/>
          </w:tcPr>
          <w:p>
            <w:pPr>
              <w:pStyle w:val="TableContents"/>
              <w:bidi w:val="0"/>
              <w:spacing w:before="0" w:after="283"/>
              <w:jc w:val="left"/>
              <w:rPr/>
            </w:pPr>
            <w:r>
              <w:rPr/>
              <w:t>/s/ Young-Joon Kim</w:t>
            </w:r>
          </w:p>
        </w:tc>
      </w:tr>
      <w:tr>
        <w:trPr/>
        <w:tc>
          <w:tcPr>
            <w:tcW w:w="71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Young-Joon Kim</w:t>
            </w:r>
          </w:p>
        </w:tc>
      </w:tr>
      <w:tr>
        <w:trPr/>
        <w:tc>
          <w:tcPr>
            <w:tcW w:w="71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MAGNACHIP SEMICONDUCTOR, LTD.</w:t>
            </w:r>
          </w:p>
        </w:tc>
      </w:tr>
      <w:tr>
        <w:trPr>
          <w:trHeight w:val="240" w:hRule="atLeast"/>
        </w:trPr>
        <w:tc>
          <w:tcPr>
            <w:tcW w:w="719" w:type="dxa"/>
            <w:tcBorders/>
            <w:vAlign w:val="center"/>
          </w:tcPr>
          <w:p>
            <w:pPr>
              <w:pStyle w:val="TableContents"/>
              <w:bidi w:val="0"/>
              <w:spacing w:before="0" w:after="283"/>
              <w:jc w:val="left"/>
              <w:rPr>
                <w:sz w:val="4"/>
                <w:szCs w:val="4"/>
              </w:rPr>
            </w:pPr>
            <w:r>
              <w:rPr>
                <w:sz w:val="4"/>
                <w:szCs w:val="4"/>
              </w:rPr>
            </w:r>
          </w:p>
        </w:tc>
        <w:tc>
          <w:tcPr>
            <w:tcW w:w="3363" w:type="dxa"/>
            <w:gridSpan w:val="2"/>
            <w:tcBorders/>
            <w:vAlign w:val="center"/>
          </w:tcPr>
          <w:p>
            <w:pPr>
              <w:pStyle w:val="TableContents"/>
              <w:bidi w:val="0"/>
              <w:spacing w:before="0" w:after="283"/>
              <w:jc w:val="left"/>
              <w:rPr>
                <w:sz w:val="4"/>
                <w:szCs w:val="4"/>
              </w:rPr>
            </w:pPr>
            <w:r>
              <w:rPr>
                <w:sz w:val="4"/>
                <w:szCs w:val="4"/>
              </w:rPr>
            </w:r>
          </w:p>
        </w:tc>
      </w:tr>
      <w:tr>
        <w:trPr/>
        <w:tc>
          <w:tcPr>
            <w:tcW w:w="719"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03" w:type="dxa"/>
            <w:tcBorders>
              <w:bottom w:val="single" w:sz="2" w:space="0" w:color="000000"/>
            </w:tcBorders>
            <w:tcMar>
              <w:bottom w:w="28" w:type="dxa"/>
            </w:tcMar>
            <w:vAlign w:val="bottom"/>
          </w:tcPr>
          <w:p>
            <w:pPr>
              <w:pStyle w:val="TableContents"/>
              <w:bidi w:val="0"/>
              <w:spacing w:before="0" w:after="283"/>
              <w:jc w:val="left"/>
              <w:rPr/>
            </w:pPr>
            <w:r>
              <w:rPr/>
              <w:t>/s/ Young-Joon Kim</w:t>
            </w:r>
          </w:p>
        </w:tc>
      </w:tr>
      <w:tr>
        <w:trPr/>
        <w:tc>
          <w:tcPr>
            <w:tcW w:w="719"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Young-Joon Kim</w:t>
            </w:r>
          </w:p>
        </w:tc>
      </w:tr>
      <w:tr>
        <w:trPr/>
        <w:tc>
          <w:tcPr>
            <w:tcW w:w="719"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Representative Director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14"/>
        <w:gridCol w:w="61"/>
        <w:gridCol w:w="3307"/>
      </w:tblGrid>
      <w:tr>
        <w:trPr/>
        <w:tc>
          <w:tcPr>
            <w:tcW w:w="71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and agreed as of the date first written above: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Chan Ho Park</w:t>
            </w:r>
          </w:p>
        </w:tc>
      </w:tr>
      <w:tr>
        <w:trPr>
          <w:trHeight w:val="240" w:hRule="atLeast"/>
        </w:trPr>
        <w:tc>
          <w:tcPr>
            <w:tcW w:w="714" w:type="dxa"/>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r>
      <w:tr>
        <w:trPr/>
        <w:tc>
          <w:tcPr>
            <w:tcW w:w="714"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07" w:type="dxa"/>
            <w:tcBorders>
              <w:bottom w:val="single" w:sz="2" w:space="0" w:color="000000"/>
            </w:tcBorders>
            <w:tcMar>
              <w:bottom w:w="28" w:type="dxa"/>
            </w:tcMar>
            <w:vAlign w:val="bottom"/>
          </w:tcPr>
          <w:p>
            <w:pPr>
              <w:pStyle w:val="TableContents"/>
              <w:bidi w:val="0"/>
              <w:spacing w:before="0" w:after="283"/>
              <w:jc w:val="left"/>
              <w:rPr/>
            </w:pPr>
            <w:r>
              <w:rPr/>
              <w:t>/s/ Chan Ho Park</w:t>
            </w:r>
          </w:p>
        </w:tc>
      </w:tr>
      <w:tr>
        <w:trPr/>
        <w:tc>
          <w:tcPr>
            <w:tcW w:w="714"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07" w:type="dxa"/>
            <w:tcBorders/>
            <w:vAlign w:val="bottom"/>
          </w:tcPr>
          <w:p>
            <w:pPr>
              <w:pStyle w:val="TableContents"/>
              <w:bidi w:val="0"/>
              <w:spacing w:before="0" w:after="283"/>
              <w:jc w:val="left"/>
              <w:rPr/>
            </w:pPr>
            <w:r>
              <w:rPr/>
              <w:t>Chan Ho Park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5425"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95425"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RELEASE OF CLAIMS </w:t>
      </w:r>
    </w:p>
    <w:p>
      <w:pPr>
        <w:pStyle w:val="TextBody"/>
        <w:bidi w:val="0"/>
        <w:spacing w:before="240" w:after="0"/>
        <w:jc w:val="left"/>
        <w:rPr>
          <w:rFonts w:ascii="Times New Roman" w:hAnsi="Times New Roman"/>
          <w:sz w:val="20"/>
        </w:rPr>
      </w:pPr>
      <w:r>
        <w:rPr>
          <w:rFonts w:ascii="Times New Roman" w:hAnsi="Times New Roman"/>
          <w:sz w:val="20"/>
        </w:rPr>
        <w:t>As used in this Release of Claims (this </w:t>
      </w:r>
      <w:r>
        <w:rPr>
          <w:rFonts w:ascii="Times New Roman" w:hAnsi="Times New Roman"/>
          <w:sz w:val="20"/>
          <w:u w:val="single"/>
        </w:rPr>
        <w:t>Release of Claims</w:t>
      </w:r>
      <w:r>
        <w:rPr>
          <w:rFonts w:ascii="Times New Roman" w:hAnsi="Times New Roman"/>
          <w:sz w:val="20"/>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of Claims will have the respective meanings ascribed to them in the Separation Agreement dated March 22, 2024, among Magnachip Semiconductor Corporation, Magnachip Semiconductor, Ltd. and the undersigned (the </w:t>
      </w:r>
      <w:r>
        <w:rPr>
          <w:rFonts w:ascii="Times New Roman" w:hAnsi="Times New Roman"/>
          <w:sz w:val="20"/>
          <w:u w:val="single"/>
        </w:rPr>
        <w:t>Separation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and in consideration of the Severance Benefit and other good and valuable consideration, I, for and on behalf of myself and my executors, heirs, administrators, representatives and assigns, hereby agree to release and forever discharge the Company and all of their respective predecessors, successors, affiliates, subsidiaries,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Times New Roman" w:hAnsi="Times New Roman"/>
          <w:sz w:val="20"/>
          <w:u w:val="single"/>
        </w:rPr>
        <w:t>Company Releasees</w:t>
      </w:r>
      <w:r>
        <w:rPr>
          <w:rFonts w:ascii="Times New Roman" w:hAnsi="Times New Roman"/>
          <w:sz w:val="20"/>
        </w:rPr>
        <w:t xml:space="preserve">),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executive service to, or employment by, the Company or the termination thereof, including any and all claims arising under federal, state or local laws of the United States of America or under national, provincial or local laws of the Republic of Korea (as well as any applicable foreign jurisdictions) relating to executive service or employment, including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 agree further that this Release of Claims may be pleaded as a full defense to any action, suit, arbitration or other proceeding covered by the terms hereof that is or may be initiated, prosecuted or maintained by me or my descendants, dependents, heirs, executors, administrators or assigns. By signing this Release of Claims, I acknowledge that I intend to waive and release all rights known or unknown that I may have against the Company Releasees under these and any other laws. </w:t>
      </w:r>
    </w:p>
    <w:p>
      <w:pPr>
        <w:pStyle w:val="TextBody"/>
        <w:bidi w:val="0"/>
        <w:spacing w:before="240" w:after="0"/>
        <w:jc w:val="left"/>
        <w:rPr>
          <w:rFonts w:ascii="Times New Roman" w:hAnsi="Times New Roman"/>
          <w:sz w:val="20"/>
        </w:rPr>
      </w:pPr>
      <w:r>
        <w:rPr>
          <w:rFonts w:ascii="Times New Roman" w:hAnsi="Times New Roman"/>
          <w:sz w:val="20"/>
        </w:rPr>
        <w:t>I acknowledge and agree that as of the date I execute this Release of Claims (the </w:t>
      </w:r>
      <w:r>
        <w:rPr>
          <w:rFonts w:ascii="Times New Roman" w:hAnsi="Times New Roman"/>
          <w:sz w:val="20"/>
          <w:u w:val="single"/>
        </w:rPr>
        <w:t>Release Effective Date</w:t>
      </w:r>
      <w:r>
        <w:rPr>
          <w:rFonts w:ascii="Times New Roman" w:hAnsi="Times New Roman"/>
          <w:sz w:val="20"/>
        </w:rPr>
        <w:t>), I have no knowledge of any facts or circumstances that give rise or could give rise to any claims under any of the laws listed in the preceding paragraph and that I have not filed any claim against any of the Company Releasees before any local, state, federal or foreign agency, court, arbitrator, mediator, arbitration or mediation panel, or other body (each individually a </w:t>
      </w:r>
      <w:r>
        <w:rPr>
          <w:rFonts w:ascii="Times New Roman" w:hAnsi="Times New Roman"/>
          <w:sz w:val="20"/>
          <w:u w:val="single"/>
        </w:rPr>
        <w:t>Proceeding</w:t>
      </w:r>
      <w:r>
        <w:rPr>
          <w:rFonts w:ascii="Times New Roman" w:hAnsi="Times New Roman"/>
          <w:sz w:val="20"/>
        </w:rPr>
        <w:t xml:space="preserve">). I (i) 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Further, I understand that, by executing this Release of Claims, I will be limiting the availability of certain remedies that I may have against the Company and limiting also my ability to pursue certain claims against the Company Releasees.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generality of the foregoing, I do not release (i) claims to receive the Severance Benefit, including the Separation Payment, in accordance with the Separation Agreement, (ii) claims for indemnification arising under any applicable indemnification obligation of the Company or (iii) claims that cannot be waived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95425"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95425" cy="3048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hereby agree to waive any and all claims to re-engagement or re-employment with the Company and affirmatively agree not to seek further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Release of Claims will be binding upon my heirs, executors, administrators, legal representatives and assigns. If any provision of this Release of Claims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 of Claims. </w:t>
      </w:r>
    </w:p>
    <w:p>
      <w:pPr>
        <w:pStyle w:val="TextBody"/>
        <w:bidi w:val="0"/>
        <w:spacing w:before="240" w:after="0"/>
        <w:jc w:val="left"/>
        <w:rPr>
          <w:rFonts w:ascii="Times New Roman" w:hAnsi="Times New Roman"/>
          <w:sz w:val="20"/>
        </w:rPr>
      </w:pPr>
      <w:r>
        <w:rPr>
          <w:rFonts w:ascii="Times New Roman" w:hAnsi="Times New Roman"/>
          <w:sz w:val="20"/>
        </w:rPr>
        <w:t xml:space="preserve">This Release of Claims will be governed in accordance with the laws of the Republic of Korea, without reference to the principles of conflicts of law. Any dispute or claim arising out of or relating to this Release of Claims or claim of breach hereof will be brought exclusively in the courts in the Republic of Korea.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Chan Ho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Chan Ho Park</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March 22, 2024</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2952</Words>
  <Characters>15858</Characters>
  <CharactersWithSpaces>18729</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