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1022d10q.htm"/>
      <w:bookmarkStart w:id="1" w:name="ksd921022d10q"/>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March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spacing w:val="0"/>
          <w:u w:val="single"/>
        </w:rPr>
      </w:pPr>
      <w:r>
        <w:rPr>
          <w:spacing w:val="0"/>
          <w:u w:val="singl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001-34791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908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0875" cy="619125"/>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436beon-gil</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Heungdeok-gu</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Cheongju-si,</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Chungcheongbuk-do,</w:t>
      </w:r>
    </w:p>
    <w:p>
      <w:pPr>
        <w:pStyle w:val="TextBody"/>
        <w:bidi w:val="0"/>
        <w:spacing w:before="0" w:after="0"/>
        <w:jc w:val="center"/>
        <w:rPr>
          <w:rFonts w:ascii="Times New Roman" w:hAnsi="Times New Roman"/>
          <w:b/>
          <w:sz w:val="20"/>
        </w:rPr>
      </w:pPr>
      <w:r>
        <w:rPr>
          <w:rFonts w:ascii="Times New Roman" w:hAnsi="Times New Roman"/>
          <w:b/>
          <w:sz w:val="20"/>
        </w:rPr>
        <w:t xml:space="preserve">Republic of Korea 28581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+82 (2) 6903-3000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Act). ☐ Yes ☒ No </w:t>
      </w:r>
    </w:p>
    <w:p>
      <w:pPr>
        <w:pStyle w:val="TextBody"/>
        <w:bidi w:val="0"/>
        <w:spacing w:before="240" w:after="0"/>
        <w:jc w:val="left"/>
        <w:rPr>
          <w:rFonts w:ascii="Times New Roman" w:hAnsi="Times New Roman"/>
          <w:sz w:val="20"/>
        </w:rPr>
      </w:pPr>
      <w:r>
        <w:rPr>
          <w:rFonts w:ascii="Times New Roman" w:hAnsi="Times New Roman"/>
          <w:sz w:val="20"/>
        </w:rPr>
        <w:t xml:space="preserve">As of April 30, 2025, the registrant had 36,063,605 shares of common stock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75" w:type="dxa"/>
            <w:gridSpan w:val="3"/>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921022_1">
              <w:r>
                <w:rPr>
                  <w:rStyle w:val="InternetLink"/>
                  <w:rFonts w:ascii="Times New Roman" w:hAnsi="Times New Roman"/>
                  <w:sz w:val="20"/>
                </w:rPr>
                <w:t xml:space="preserve">PART I FINANCIAL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2">
              <w:r>
                <w:rPr>
                  <w:rStyle w:val="InternetLink"/>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3">
              <w:r>
                <w:rPr>
                  <w:rStyle w:val="InternetLink"/>
                </w:rPr>
                <w:t>Magnachip Semiconductor Corporation and Subsidiaries Consolidated Balance Sheets as of March 31, 2025 and December 31,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4">
              <w:r>
                <w:rPr>
                  <w:rStyle w:val="InternetLink"/>
                </w:rPr>
                <w:t>Magnachip Semiconductor Corporation and Subsidiaries Consolidated Statements of Operations for the Three Months Ended March 31,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5">
              <w:r>
                <w:rPr>
                  <w:rStyle w:val="InternetLink"/>
                </w:rPr>
                <w:t>Magnachip Semiconductor Corporation and Subsidiaries Consolidated Statements of Comprehensive Loss for the Three Months Ended March 31,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6">
              <w:r>
                <w:rPr>
                  <w:rStyle w:val="InternetLink"/>
                </w:rPr>
                <w:t>Magnachip Semiconductor Corporation and Subsidiaries Consolidated Statements of Changes in Stockholders’ Equity for the Three Months Ended March 31,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7">
              <w:r>
                <w:rPr>
                  <w:rStyle w:val="InternetLink"/>
                </w:rPr>
                <w:t>Magnachip Semiconductor Corporation and Subsidiaries Consolidated Statements of Cash Flows for the Three Months Ended March 31, 2025 and 2024</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8">
              <w:r>
                <w:rPr>
                  <w:rStyle w:val="InternetLink"/>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9">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0">
              <w:r>
                <w:rPr>
                  <w:rStyle w:val="InternetLink"/>
                </w:rPr>
                <w:t>[Reserved]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1">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921022_12">
              <w:r>
                <w:rPr>
                  <w:rStyle w:val="InternetLink"/>
                  <w:rFonts w:ascii="Times New Roman" w:hAnsi="Times New Roman"/>
                  <w:sz w:val="20"/>
                </w:rPr>
                <w:t xml:space="preserve">PART II OTHER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3">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4">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5">
              <w:r>
                <w:rPr>
                  <w:rStyle w:val="InternetLink"/>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6">
              <w:r>
                <w:rPr>
                  <w:rStyle w:val="InternetLink"/>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7">
              <w:r>
                <w:rPr>
                  <w:rStyle w:val="InternetLink"/>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8">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oc921022_19">
              <w:r>
                <w:rPr>
                  <w:rStyle w:val="InternetLink"/>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921022_20">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0"/>
              <w:jc w:val="left"/>
              <w:rPr>
                <w:b/>
                <w:spacing w:val="0"/>
              </w:rPr>
            </w:pPr>
            <w:bookmarkStart w:id="3" w:name="toc921022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95"/>
        <w:gridCol w:w="120"/>
        <w:gridCol w:w="260"/>
        <w:gridCol w:w="1631"/>
        <w:gridCol w:w="288"/>
        <w:gridCol w:w="111"/>
        <w:gridCol w:w="346"/>
        <w:gridCol w:w="2181"/>
        <w:gridCol w:w="173"/>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2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7"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132,654</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138,610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28,270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28,402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32,633</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30,535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5,229</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4,444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10,591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10,379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8)</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2,080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2,080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18)</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4,017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4,779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215,474</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219,229</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80,289</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81,463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3,602</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3,107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500</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507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177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165</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53,435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52,889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20,390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21,956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373,867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379,316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31" w:type="dxa"/>
            <w:tcBorders/>
            <w:vAlign w:val="center"/>
          </w:tcPr>
          <w:p>
            <w:pPr>
              <w:pStyle w:val="TableContents"/>
              <w:bidi w:val="0"/>
              <w:spacing w:before="0" w:after="0"/>
              <w:jc w:val="left"/>
              <w:rPr>
                <w:bdr w:val="double" w:sz="6" w:space="1" w:color="000000"/>
              </w:rPr>
            </w:pPr>
            <w:r>
              <w:rPr>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double" w:sz="6" w:space="1" w:color="000000"/>
              </w:rPr>
            </w:pPr>
            <w:r>
              <w:rPr>
                <w:bdr w:val="double" w:sz="6" w:space="1" w:color="000000"/>
              </w:rPr>
              <w:t> </w:t>
            </w:r>
          </w:p>
        </w:tc>
        <w:tc>
          <w:tcPr>
            <w:tcW w:w="2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283"/>
              <w:jc w:val="right"/>
              <w:rPr/>
            </w:pPr>
            <w:r>
              <w:rPr/>
              <w:t>24,483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2181" w:type="dxa"/>
            <w:tcBorders/>
            <w:vAlign w:val="center"/>
          </w:tcPr>
          <w:p>
            <w:pPr>
              <w:pStyle w:val="TableContents"/>
              <w:bidi w:val="0"/>
              <w:spacing w:before="0" w:after="283"/>
              <w:jc w:val="right"/>
              <w:rPr/>
            </w:pPr>
            <w:r>
              <w:rPr/>
              <w:t>21,642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10,522</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10,764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(Note 7)</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8,796</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8,648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52</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1,693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1,393</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2,241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3,765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47,787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46,268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27,276</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27,211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18,041</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17,094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1,881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1,823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9,681</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10,123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104,666</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102,519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18)</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57,571,469 shares issued and 36,675,789 outstanding at March 31, 2025 and 57,498,507 shares issued and 36,912,118 outstanding at December 31, 2024</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575</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574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280,452</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279,423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235,698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244,576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20,895,680 shares at March 31, 2025 and 20,586,389 shares at December 31, 2024, respectively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(227,047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(225,883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(20,477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(21,893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269,201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276,797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283"/>
              <w:jc w:val="right"/>
              <w:rPr/>
            </w:pPr>
            <w:r>
              <w:rPr/>
              <w:t>373,867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2181" w:type="dxa"/>
            <w:tcBorders/>
            <w:vAlign w:val="center"/>
          </w:tcPr>
          <w:p>
            <w:pPr>
              <w:pStyle w:val="TableContents"/>
              <w:bidi w:val="0"/>
              <w:spacing w:before="0" w:after="283"/>
              <w:jc w:val="right"/>
              <w:rPr/>
            </w:pPr>
            <w:r>
              <w:rPr/>
              <w:t>379,316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31" w:type="dxa"/>
            <w:tcBorders/>
            <w:vAlign w:val="center"/>
          </w:tcPr>
          <w:p>
            <w:pPr>
              <w:pStyle w:val="TableContents"/>
              <w:bidi w:val="0"/>
              <w:spacing w:before="0" w:after="0"/>
              <w:jc w:val="left"/>
              <w:rPr>
                <w:bdr w:val="double" w:sz="6" w:space="1" w:color="000000"/>
              </w:rPr>
            </w:pPr>
            <w:r>
              <w:rPr>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double" w:sz="6" w:space="1" w:color="000000"/>
              </w:rPr>
            </w:pPr>
            <w:r>
              <w:rPr>
                <w:bdr w:val="double" w:sz="6" w:space="1" w:color="000000"/>
              </w:rPr>
              <w:t> </w:t>
            </w:r>
          </w:p>
        </w:tc>
        <w:tc>
          <w:tcPr>
            <w:tcW w:w="2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48"/>
        <w:gridCol w:w="120"/>
        <w:gridCol w:w="251"/>
        <w:gridCol w:w="1987"/>
        <w:gridCol w:w="279"/>
        <w:gridCol w:w="106"/>
        <w:gridCol w:w="251"/>
        <w:gridCol w:w="1990"/>
        <w:gridCol w:w="173"/>
      </w:tblGrid>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6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2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64"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990"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87" w:type="dxa"/>
            <w:tcBorders/>
            <w:vAlign w:val="center"/>
          </w:tcPr>
          <w:p>
            <w:pPr>
              <w:pStyle w:val="TableContents"/>
              <w:bidi w:val="0"/>
              <w:spacing w:before="0" w:after="283"/>
              <w:jc w:val="right"/>
              <w:rPr/>
            </w:pPr>
            <w:r>
              <w:rPr/>
              <w:t>44,722</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90" w:type="dxa"/>
            <w:tcBorders/>
            <w:vAlign w:val="center"/>
          </w:tcPr>
          <w:p>
            <w:pPr>
              <w:pStyle w:val="TableContents"/>
              <w:bidi w:val="0"/>
              <w:spacing w:before="0" w:after="283"/>
              <w:jc w:val="right"/>
              <w:rPr/>
            </w:pPr>
            <w:r>
              <w:rPr/>
              <w:t>39,912</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— </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3,526</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44,722</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43,438</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990"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35,360</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32,868</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— </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4,211</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35,360</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37,079</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9,362</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6,359</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9,714</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9,540</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5,936</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6,210</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15,650</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15,750</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(6,288</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(9,391</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1,545</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2,141</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(449</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(185</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(405</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(4,988</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114</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44</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 expense (benefit)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(5,483</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(12,379</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(401</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1,905</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(5,082</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(14,284</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(3,796</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(1,133</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87" w:type="dxa"/>
            <w:tcBorders/>
            <w:vAlign w:val="center"/>
          </w:tcPr>
          <w:p>
            <w:pPr>
              <w:pStyle w:val="TableContents"/>
              <w:bidi w:val="0"/>
              <w:spacing w:before="0" w:after="0"/>
              <w:jc w:val="left"/>
              <w:rPr>
                <w:bdr w:val="single" w:sz="2" w:space="1" w:color="000000"/>
              </w:rPr>
            </w:pPr>
            <w:r>
              <w:rPr>
                <w:bdr w:val="single" w:sz="2"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9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(8,878</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90" w:type="dxa"/>
            <w:tcBorders/>
            <w:shd w:fill="CCEEFF" w:val="clear"/>
            <w:vAlign w:val="center"/>
          </w:tcPr>
          <w:p>
            <w:pPr>
              <w:pStyle w:val="TableContents"/>
              <w:bidi w:val="0"/>
              <w:spacing w:before="0" w:after="283"/>
              <w:jc w:val="right"/>
              <w:rPr/>
            </w:pPr>
            <w:r>
              <w:rPr/>
              <w:t>(15,417</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987" w:type="dxa"/>
            <w:tcBorders/>
            <w:vAlign w:val="center"/>
          </w:tcPr>
          <w:p>
            <w:pPr>
              <w:pStyle w:val="TableContents"/>
              <w:bidi w:val="0"/>
              <w:spacing w:before="0" w:after="0"/>
              <w:jc w:val="left"/>
              <w:rPr>
                <w:bdr w:val="double" w:sz="6" w:space="1" w:color="000000"/>
              </w:rPr>
            </w:pPr>
            <w:r>
              <w:rPr>
                <w:bdr w:val="double" w:sz="6" w:space="1" w:color="000000"/>
              </w:rPr>
              <w:t> </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9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(0.14</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90" w:type="dxa"/>
            <w:tcBorders/>
            <w:shd w:fill="CCEEFF" w:val="clear"/>
            <w:vAlign w:val="center"/>
          </w:tcPr>
          <w:p>
            <w:pPr>
              <w:pStyle w:val="TableContents"/>
              <w:bidi w:val="0"/>
              <w:spacing w:before="0" w:after="283"/>
              <w:jc w:val="right"/>
              <w:rPr/>
            </w:pPr>
            <w:r>
              <w:rPr/>
              <w:t>(0.37</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87" w:type="dxa"/>
            <w:tcBorders/>
            <w:vAlign w:val="center"/>
          </w:tcPr>
          <w:p>
            <w:pPr>
              <w:pStyle w:val="TableContents"/>
              <w:bidi w:val="0"/>
              <w:spacing w:before="0" w:after="283"/>
              <w:jc w:val="right"/>
              <w:rPr/>
            </w:pPr>
            <w:r>
              <w:rPr/>
              <w:t>(0.10</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90" w:type="dxa"/>
            <w:tcBorders/>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(0.24</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90" w:type="dxa"/>
            <w:tcBorders/>
            <w:shd w:fill="CCEEFF" w:val="clear"/>
            <w:vAlign w:val="center"/>
          </w:tcPr>
          <w:p>
            <w:pPr>
              <w:pStyle w:val="TableContents"/>
              <w:bidi w:val="0"/>
              <w:spacing w:before="0" w:after="283"/>
              <w:jc w:val="right"/>
              <w:rPr/>
            </w:pPr>
            <w:r>
              <w:rPr/>
              <w:t>(0.40</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(0.14</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90" w:type="dxa"/>
            <w:tcBorders/>
            <w:shd w:fill="CCEEFF" w:val="clear"/>
            <w:vAlign w:val="center"/>
          </w:tcPr>
          <w:p>
            <w:pPr>
              <w:pStyle w:val="TableContents"/>
              <w:bidi w:val="0"/>
              <w:spacing w:before="0" w:after="283"/>
              <w:jc w:val="right"/>
              <w:rPr/>
            </w:pPr>
            <w:r>
              <w:rPr/>
              <w:t>(0.37</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87" w:type="dxa"/>
            <w:tcBorders/>
            <w:vAlign w:val="center"/>
          </w:tcPr>
          <w:p>
            <w:pPr>
              <w:pStyle w:val="TableContents"/>
              <w:bidi w:val="0"/>
              <w:spacing w:before="0" w:after="283"/>
              <w:jc w:val="right"/>
              <w:rPr/>
            </w:pPr>
            <w:r>
              <w:rPr/>
              <w:t>(0.10</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990" w:type="dxa"/>
            <w:tcBorders/>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87" w:type="dxa"/>
            <w:tcBorders/>
            <w:shd w:fill="CCEEFF" w:val="clear"/>
            <w:vAlign w:val="center"/>
          </w:tcPr>
          <w:p>
            <w:pPr>
              <w:pStyle w:val="TableContents"/>
              <w:bidi w:val="0"/>
              <w:spacing w:before="0" w:after="283"/>
              <w:jc w:val="right"/>
              <w:rPr/>
            </w:pPr>
            <w:r>
              <w:rPr/>
              <w:t>(0.24</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990" w:type="dxa"/>
            <w:tcBorders/>
            <w:shd w:fill="CCEEFF" w:val="clear"/>
            <w:vAlign w:val="center"/>
          </w:tcPr>
          <w:p>
            <w:pPr>
              <w:pStyle w:val="TableContents"/>
              <w:bidi w:val="0"/>
              <w:spacing w:before="0" w:after="283"/>
              <w:jc w:val="right"/>
              <w:rPr/>
            </w:pPr>
            <w:r>
              <w:rPr/>
              <w:t>(0.40</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36,887,841</w:t>
            </w:r>
          </w:p>
        </w:tc>
        <w:tc>
          <w:tcPr>
            <w:tcW w:w="27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38,544,781</w:t>
            </w:r>
          </w:p>
        </w:tc>
        <w:tc>
          <w:tcPr>
            <w:tcW w:w="1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36,887,841</w:t>
            </w:r>
          </w:p>
        </w:tc>
        <w:tc>
          <w:tcPr>
            <w:tcW w:w="27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38,544,781</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(Unaudited) </w:t>
      </w:r>
    </w:p>
    <w:p>
      <w:pPr>
        <w:pStyle w:val="TextBody"/>
        <w:bidi w:val="0"/>
        <w:spacing w:before="0" w:after="0"/>
        <w:jc w:val="left"/>
        <w:rPr/>
      </w:pPr>
      <w:r>
        <w:rPr/>
        <w:t> </w:t>
      </w:r>
    </w:p>
    <w:tbl>
      <w:tblPr>
        <w:tblW w:w="9026" w:type="dxa"/>
        <w:jc w:val="left"/>
        <w:tblInd w:w="0" w:type="dxa"/>
        <w:tblLayout w:type="fixed"/>
        <w:tblCellMar>
          <w:top w:w="0" w:type="dxa"/>
          <w:left w:w="0" w:type="dxa"/>
          <w:bottom w:w="0" w:type="dxa"/>
          <w:right w:w="0" w:type="dxa"/>
        </w:tblCellMar>
      </w:tblPr>
      <w:tblGrid>
        <w:gridCol w:w="5750"/>
        <w:gridCol w:w="120"/>
        <w:gridCol w:w="234"/>
        <w:gridCol w:w="1069"/>
        <w:gridCol w:w="233"/>
        <w:gridCol w:w="90"/>
        <w:gridCol w:w="211"/>
        <w:gridCol w:w="1149"/>
        <w:gridCol w:w="170"/>
      </w:tblGrid>
      <w:tr>
        <w:trPr/>
        <w:tc>
          <w:tcPr>
            <w:tcW w:w="5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(8,878</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(15,417</w:t>
            </w:r>
          </w:p>
        </w:tc>
        <w:tc>
          <w:tcPr>
            <w:tcW w:w="17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755</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(3,497</w:t>
            </w:r>
          </w:p>
        </w:tc>
        <w:tc>
          <w:tcPr>
            <w:tcW w:w="17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136</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(605</w:t>
            </w:r>
          </w:p>
        </w:tc>
        <w:tc>
          <w:tcPr>
            <w:tcW w:w="17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adjustment for loss on derivatives included in net loss</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525</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59</w:t>
            </w:r>
          </w:p>
        </w:tc>
        <w:tc>
          <w:tcPr>
            <w:tcW w:w="17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single" w:sz="2" w:space="1" w:color="000000"/>
              </w:rPr>
            </w:pPr>
            <w:r>
              <w:rPr>
                <w:bdr w:val="single" w:sz="2" w:space="1" w:color="000000"/>
              </w:rPr>
              <w:t> </w:t>
            </w:r>
          </w:p>
        </w:tc>
        <w:tc>
          <w:tcPr>
            <w:tcW w:w="1069"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11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1,416</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(4,043</w:t>
            </w:r>
          </w:p>
        </w:tc>
        <w:tc>
          <w:tcPr>
            <w:tcW w:w="17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single" w:sz="2" w:space="1" w:color="000000"/>
              </w:rPr>
            </w:pPr>
            <w:r>
              <w:rPr>
                <w:bdr w:val="single" w:sz="2" w:space="1" w:color="000000"/>
              </w:rPr>
              <w:t> </w:t>
            </w:r>
          </w:p>
        </w:tc>
        <w:tc>
          <w:tcPr>
            <w:tcW w:w="1069"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114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1069" w:type="dxa"/>
            <w:tcBorders/>
            <w:vAlign w:val="center"/>
          </w:tcPr>
          <w:p>
            <w:pPr>
              <w:pStyle w:val="TableContents"/>
              <w:bidi w:val="0"/>
              <w:spacing w:before="0" w:after="283"/>
              <w:jc w:val="right"/>
              <w:rPr/>
            </w:pPr>
            <w:r>
              <w:rPr/>
              <w:t>(7,462</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(19,460</w:t>
            </w:r>
          </w:p>
        </w:tc>
        <w:tc>
          <w:tcPr>
            <w:tcW w:w="17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bdr w:val="double" w:sz="6" w:space="1" w:color="000000"/>
              </w:rPr>
            </w:pPr>
            <w:r>
              <w:rPr>
                <w:bdr w:val="double" w:sz="6" w:space="1" w:color="000000"/>
              </w:rPr>
              <w:t> </w:t>
            </w:r>
          </w:p>
        </w:tc>
        <w:tc>
          <w:tcPr>
            <w:tcW w:w="1069" w:type="dxa"/>
            <w:tcBorders/>
            <w:vAlign w:val="center"/>
          </w:tcPr>
          <w:p>
            <w:pPr>
              <w:pStyle w:val="TableContents"/>
              <w:bidi w:val="0"/>
              <w:spacing w:before="0" w:after="0"/>
              <w:jc w:val="left"/>
              <w:rPr>
                <w:bdr w:val="double" w:sz="6" w:space="1" w:color="000000"/>
              </w:rPr>
            </w:pPr>
            <w:r>
              <w:rPr>
                <w:bdr w:val="double" w:sz="6"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double" w:sz="6" w:space="1" w:color="000000"/>
              </w:rPr>
            </w:pPr>
            <w:r>
              <w:rPr>
                <w:bdr w:val="double" w:sz="6" w:space="1" w:color="000000"/>
              </w:rPr>
              <w:t> </w:t>
            </w:r>
          </w:p>
        </w:tc>
        <w:tc>
          <w:tcPr>
            <w:tcW w:w="1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Additional</w:t>
            </w:r>
          </w:p>
          <w:p>
            <w:pPr>
              <w:pStyle w:val="TableContents"/>
              <w:bidi w:val="0"/>
              <w:spacing w:before="0" w:after="0"/>
              <w:jc w:val="center"/>
              <w:rPr/>
            </w:pPr>
            <w:r>
              <w:rPr/>
            </w:r>
          </w:p>
          <w:p>
            <w:pPr>
              <w:pStyle w:val="TableContents"/>
              <w:bidi w:val="0"/>
              <w:spacing w:before="0" w:after="0"/>
              <w:jc w:val="center"/>
              <w:rPr>
                <w:b/>
              </w:rPr>
            </w:pPr>
            <w:r>
              <w:rPr>
                <w:b/>
              </w:rPr>
              <w:t>Paid-In</w:t>
            </w:r>
          </w:p>
          <w:p>
            <w:pPr>
              <w:pStyle w:val="TableContents"/>
              <w:bidi w:val="0"/>
              <w:spacing w:before="0" w:after="0"/>
              <w:jc w:val="center"/>
              <w:rPr/>
            </w:pPr>
            <w:r>
              <w:rPr/>
            </w:r>
          </w:p>
          <w:p>
            <w:pPr>
              <w:pStyle w:val="TableContents"/>
              <w:bidi w:val="0"/>
              <w:spacing w:before="0" w:after="0"/>
              <w:jc w:val="center"/>
              <w:rPr>
                <w:b/>
              </w:rPr>
            </w:pPr>
            <w:r>
              <w:rPr>
                <w:b/>
              </w:rP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r>
          </w:p>
          <w:p>
            <w:pPr>
              <w:pStyle w:val="TableContents"/>
              <w:bidi w:val="0"/>
              <w:spacing w:before="0" w:after="0"/>
              <w:jc w:val="center"/>
              <w:rPr/>
            </w:pPr>
            <w:r>
              <w:rPr/>
            </w:r>
          </w:p>
          <w:p>
            <w:pPr>
              <w:pStyle w:val="TableContents"/>
              <w:bidi w:val="0"/>
              <w:spacing w:before="0" w:after="0"/>
              <w:jc w:val="center"/>
              <w:rPr>
                <w:b/>
              </w:rPr>
            </w:pPr>
            <w:r>
              <w:rPr>
                <w:b/>
              </w:rPr>
              <w:t>Other</w:t>
            </w:r>
          </w:p>
          <w:p>
            <w:pPr>
              <w:pStyle w:val="TableContents"/>
              <w:bidi w:val="0"/>
              <w:spacing w:before="0" w:after="0"/>
              <w:jc w:val="center"/>
              <w:rPr/>
            </w:pPr>
            <w:r>
              <w:rPr/>
            </w:r>
          </w:p>
          <w:p>
            <w:pPr>
              <w:pStyle w:val="TableContents"/>
              <w:bidi w:val="0"/>
              <w:spacing w:before="0" w:after="0"/>
              <w:jc w:val="center"/>
              <w:rPr>
                <w:b/>
              </w:rPr>
            </w:pPr>
            <w:r>
              <w:rPr>
                <w:b/>
              </w:rPr>
              <w:t>Comprehensive</w:t>
            </w:r>
          </w:p>
          <w:p>
            <w:pPr>
              <w:pStyle w:val="TableContents"/>
              <w:bidi w:val="0"/>
              <w:spacing w:before="0" w:after="0"/>
              <w:jc w:val="center"/>
              <w:rPr/>
            </w:pPr>
            <w:r>
              <w:rPr/>
            </w:r>
          </w:p>
          <w:p>
            <w:pPr>
              <w:pStyle w:val="TableContents"/>
              <w:bidi w:val="0"/>
              <w:spacing w:before="0" w:after="0"/>
              <w:jc w:val="center"/>
              <w:rPr>
                <w:b/>
              </w:rPr>
            </w:pPr>
            <w:r>
              <w:rPr>
                <w:b/>
              </w:rP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rPr>
            </w:pPr>
            <w:r>
              <w:rPr>
                <w:b/>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March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spacing w:val="0"/>
              </w:rPr>
            </w:pPr>
            <w:r>
              <w:rPr>
                <w:spacing w:val="0"/>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36,912,118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279,423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244,576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(225,883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(21,893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276,797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72,962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1,416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1,416</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(8,878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(8,878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36,675,789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280,452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235,698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(227,047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269,201</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March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38,852,742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273,256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298,884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(213,454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344,598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(626,279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(4,153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(4,043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(15,417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38,263,642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274,156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283,467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(217,607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(18,700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321,885</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pPr>
      <w:r>
        <w:rPr/>
        <w:t> </w:t>
      </w:r>
    </w:p>
    <w:tbl>
      <w:tblPr>
        <w:tblW w:w="9161" w:type="dxa"/>
        <w:jc w:val="left"/>
        <w:tblInd w:w="0" w:type="dxa"/>
        <w:tblLayout w:type="fixed"/>
        <w:tblCellMar>
          <w:top w:w="0" w:type="dxa"/>
          <w:left w:w="0" w:type="dxa"/>
          <w:bottom w:w="0" w:type="dxa"/>
          <w:right w:w="0" w:type="dxa"/>
        </w:tblCellMar>
      </w:tblPr>
      <w:tblGrid>
        <w:gridCol w:w="5885"/>
        <w:gridCol w:w="120"/>
        <w:gridCol w:w="197"/>
        <w:gridCol w:w="1145"/>
        <w:gridCol w:w="216"/>
        <w:gridCol w:w="83"/>
        <w:gridCol w:w="197"/>
        <w:gridCol w:w="1148"/>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6"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(8,878</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right"/>
              <w:rPr/>
            </w:pPr>
            <w:r>
              <w:rPr/>
              <w:t>(15,417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3,273</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4,099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1,514</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1,405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foreign currency,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10,226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(reversal) for inventory reserves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1,208</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(947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1,030</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900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(415</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1,313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225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263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635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1,401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(3,259</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801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(811</w:t>
            </w:r>
          </w:p>
        </w:tc>
        <w:tc>
          <w:tcPr>
            <w:tcW w:w="216" w:type="dxa"/>
            <w:tcBorders/>
            <w:vAlign w:val="center"/>
          </w:tcPr>
          <w:p>
            <w:pPr>
              <w:pStyle w:val="TableContents"/>
              <w:bidi w:val="0"/>
              <w:spacing w:before="0" w:after="283"/>
              <w:jc w:val="left"/>
              <w:rPr/>
            </w:pPr>
            <w:r>
              <w:rPr/>
              <w:t>)</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(385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1,233</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905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970</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331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2,542</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563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(2,622</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(5,256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(111</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(2,045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(901</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(387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354</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(624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(325</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(884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(290</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(401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(4,669</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(3,972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(208</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(668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(63</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Collection guarantee deposits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21</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1,133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(139</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(1,874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(389</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(1,468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30,059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(1,306</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(4,659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(111</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(38</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(1,455</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25,244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557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(6,294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(5,956</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13,510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138,610</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158,092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132,654</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right"/>
              <w:rPr/>
            </w:pPr>
            <w:r>
              <w:rPr/>
              <w:t>171,602</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145" w:type="dxa"/>
            <w:tcBorders/>
            <w:vAlign w:val="center"/>
          </w:tcPr>
          <w:p>
            <w:pPr>
              <w:pStyle w:val="TableContents"/>
              <w:bidi w:val="0"/>
              <w:spacing w:before="0" w:after="0"/>
              <w:jc w:val="left"/>
              <w:rPr>
                <w:bdr w:val="double" w:sz="6" w:space="1" w:color="000000"/>
              </w:rPr>
            </w:pPr>
            <w:r>
              <w:rPr>
                <w:bdr w:val="double" w:sz="6"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11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 on long-term borrowing</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321</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(refund) for income taxes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(337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270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1,840</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285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Unsettled common stock repurchases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247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THOUSANDS, EXCEPT SHARE DATA) </w:t>
      </w:r>
    </w:p>
    <w:p>
      <w:pPr>
        <w:pStyle w:val="TextBody"/>
        <w:bidi w:val="0"/>
        <w:spacing w:before="240" w:after="0"/>
        <w:jc w:val="left"/>
        <w:rPr>
          <w:rFonts w:ascii="Times New Roman" w:hAnsi="Times New Roman"/>
          <w:b/>
          <w:sz w:val="20"/>
        </w:rPr>
      </w:pPr>
      <w:r>
        <w:rPr>
          <w:rFonts w:ascii="Times New Roman" w:hAnsi="Times New Roman"/>
          <w:b/>
          <w:sz w:val="20"/>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Magnachip Semiconductor Corporation (together with its subsidiaries, the “Company”) is a designer and manufacturer of analog and mixed-signal power semiconductor platform solutions for various applications, including industrial, automotive, communication, consumer and computing.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develops and manufactures Power discrete products and develops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solar inverters, LED lighting and motor drives. Power IC products include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reclassified certain prior year amounts to conform to the current year’s presentation for discontinued operations to reflect a plan to shut down the Company’s Display business and transition into a pure-play Power company. The assets and liabilities related to the discontinued Display business have not been reclassified on the consolidated balance sheets as of March 31, 2025. See Note 2 “Discontinued Operations”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of and for the three months ended March 31, 2025, except for those related to discontinued operations as described below, as compared to the significant accounting policies described in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Financial Accounting Standards Board (“FASB”) issued Accounting Standards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pPr>
      <w:r>
        <w:rPr/>
        <w:t>“</w:t>
      </w:r>
      <w:r>
        <w:rPr>
          <w:rFonts w:ascii="Times New Roman" w:hAnsi="Times New Roman"/>
          <w:sz w:val="20"/>
        </w:rPr>
        <w:t xml:space="preserve">Income Statement - Reporting Comprehensive Income - 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2024-03”).</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January 2025, the FASB issued ASU 2025-01 to clarify the effective date of ASU 2024-03.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a qualitative description of the amounts remaining in relevant expense captions that are not separately disaggregated quantitatively.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240" w:after="0"/>
        <w:jc w:val="left"/>
        <w:rPr/>
      </w:pPr>
      <w:r>
        <w:rPr/>
        <w:t>“</w:t>
      </w:r>
      <w:r>
        <w:rPr>
          <w:rFonts w:ascii="Times New Roman" w:hAnsi="Times New Roman"/>
          <w:sz w:val="20"/>
        </w:rPr>
        <w:t xml:space="preserve">Income Taxes (Topic 740): Improvements to Income Tax Disclosures”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(“ASU 2023-09”),</w:t>
      </w:r>
    </w:p>
    <w:p>
      <w:pPr>
        <w:pStyle w:val="TextBody"/>
        <w:bidi w:val="0"/>
        <w:spacing w:before="240" w:after="0"/>
        <w:jc w:val="left"/>
        <w:rPr>
          <w:rFonts w:ascii="Times New Roman" w:hAnsi="Times New Roman"/>
          <w:sz w:val="20"/>
        </w:rPr>
      </w:pPr>
      <w:r>
        <w:rPr>
          <w:rFonts w:ascii="Times New Roman" w:hAnsi="Times New Roman"/>
          <w:sz w:val="20"/>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Discontinued Operations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7, 2025, the Company’s Board of Directors authorized a strategy to transition to a pure-play Power company, focusing its investments on the Power Analog Solutions and Power IC businesses to enhance profitability and maximize shareholder value. As part of this strategy, the Company explored all strategic options including a sale, merger, joint venture, licensing, and wind-down for its Display business (Display IC products). However, the Company was not able to consummate a transaction following several months of discussions with several interested parties on terms that the Company’s Board of Directors believed were in the best interests of the Company and its stockholders.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Accordingly, on April 6, 2025, the Company’s Board of Directors unanimously approved the plan to shut down the Company’s Display business (the “Discontinued Business”), including the liquidation of MMS, the Company’s indirect wholly owned subsidiary that operated the discontinued Display business. After shutting down the Display business, the Company will provide limited support to satisfy remaining customer obligations including the sale of certain “end of life” (“EOL”) Display products, which will be conducted by MSK. The Company will maintain a small team to continue to support customers with respect to EOL Display products.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results from discontinued operations, net of tax, for the three months ended March 31, 2025 and 2024. </w:t>
      </w:r>
    </w:p>
    <w:p>
      <w:pPr>
        <w:pStyle w:val="TextBody"/>
        <w:bidi w:val="0"/>
        <w:spacing w:before="0" w:after="0"/>
        <w:jc w:val="left"/>
        <w:rPr/>
      </w:pPr>
      <w:r>
        <w:rPr/>
        <w:t> </w:t>
      </w:r>
    </w:p>
    <w:tbl>
      <w:tblPr>
        <w:tblW w:w="8232" w:type="dxa"/>
        <w:jc w:val="left"/>
        <w:tblInd w:w="0" w:type="dxa"/>
        <w:tblLayout w:type="fixed"/>
        <w:tblCellMar>
          <w:top w:w="0" w:type="dxa"/>
          <w:left w:w="0" w:type="dxa"/>
          <w:bottom w:w="0" w:type="dxa"/>
          <w:right w:w="0" w:type="dxa"/>
        </w:tblCellMar>
      </w:tblPr>
      <w:tblGrid>
        <w:gridCol w:w="4955"/>
        <w:gridCol w:w="120"/>
        <w:gridCol w:w="236"/>
        <w:gridCol w:w="1078"/>
        <w:gridCol w:w="201"/>
        <w:gridCol w:w="155"/>
        <w:gridCol w:w="236"/>
        <w:gridCol w:w="1081"/>
        <w:gridCol w:w="170"/>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7"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9,556</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5,629</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6,439</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3,020</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3,117</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2,609</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1,032</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1,724</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5,782</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4,953</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127</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6,941</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6,677</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 from discontinued operations</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(3,824</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(4,068</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126</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(94</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(4</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before income tax benefit</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(3,796</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(4,062</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net</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(2,929</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8" w:type="dxa"/>
            <w:tcBorders/>
            <w:vAlign w:val="center"/>
          </w:tcPr>
          <w:p>
            <w:pPr>
              <w:pStyle w:val="TableContents"/>
              <w:bidi w:val="0"/>
              <w:spacing w:before="0" w:after="0"/>
              <w:jc w:val="left"/>
              <w:rPr>
                <w:bdr w:val="single" w:sz="2" w:space="1" w:color="000000"/>
              </w:rPr>
            </w:pPr>
            <w:r>
              <w:rPr>
                <w:bdr w:val="single" w:sz="2"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(3,796</w:t>
            </w:r>
          </w:p>
        </w:tc>
        <w:tc>
          <w:tcPr>
            <w:tcW w:w="20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(1,133</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double" w:sz="6" w:space="1" w:color="000000"/>
              </w:rPr>
            </w:pPr>
            <w:r>
              <w:rPr>
                <w:bdr w:val="double" w:sz="6" w:space="1" w:color="000000"/>
              </w:rPr>
              <w:t> </w:t>
            </w:r>
          </w:p>
        </w:tc>
        <w:tc>
          <w:tcPr>
            <w:tcW w:w="1078" w:type="dxa"/>
            <w:tcBorders/>
            <w:vAlign w:val="center"/>
          </w:tcPr>
          <w:p>
            <w:pPr>
              <w:pStyle w:val="TableContents"/>
              <w:bidi w:val="0"/>
              <w:spacing w:before="0" w:after="0"/>
              <w:jc w:val="left"/>
              <w:rPr>
                <w:bdr w:val="double" w:sz="6" w:space="1" w:color="000000"/>
              </w:rPr>
            </w:pPr>
            <w:r>
              <w:rPr>
                <w:bdr w:val="double" w:sz="6" w:space="1" w:color="000000"/>
              </w:rPr>
              <w:t> </w:t>
            </w:r>
          </w:p>
        </w:tc>
        <w:tc>
          <w:tcPr>
            <w:tcW w:w="20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dr w:val="double" w:sz="6" w:space="1" w:color="000000"/>
              </w:rPr>
            </w:pPr>
            <w:r>
              <w:rPr>
                <w:bdr w:val="double" w:sz="6" w:space="1" w:color="000000"/>
              </w:rPr>
              <w:t> </w:t>
            </w:r>
          </w:p>
        </w:tc>
        <w:tc>
          <w:tcPr>
            <w:tcW w:w="10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supplemental cash flows information related to discontinued operations (in thousands): </w:t>
      </w:r>
    </w:p>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2615"/>
        <w:gridCol w:w="120"/>
        <w:gridCol w:w="287"/>
        <w:gridCol w:w="782"/>
        <w:gridCol w:w="108"/>
        <w:gridCol w:w="217"/>
        <w:gridCol w:w="287"/>
        <w:gridCol w:w="782"/>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11</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358</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207</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310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162</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as of March 31, 2025 and December 31, 2024 consist of the following (in thousands): </w:t>
      </w:r>
    </w:p>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2090"/>
        <w:gridCol w:w="120"/>
        <w:gridCol w:w="182"/>
        <w:gridCol w:w="887"/>
        <w:gridCol w:w="155"/>
        <w:gridCol w:w="120"/>
        <w:gridCol w:w="241"/>
        <w:gridCol w:w="1173"/>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7,901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7,802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29,743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26,797</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3,540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3,607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61</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(8,754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(7,732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32,633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30,535</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inventory reserve for the three months ended March 31, 2025 and 2024 are as follows (in thousands): </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3440"/>
        <w:gridCol w:w="120"/>
        <w:gridCol w:w="192"/>
        <w:gridCol w:w="877"/>
        <w:gridCol w:w="176"/>
        <w:gridCol w:w="136"/>
        <w:gridCol w:w="219"/>
        <w:gridCol w:w="1180"/>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March 31,  </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(7,732</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(2,299</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(1,550</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1,268</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2,661</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8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0"/>
              <w:jc w:val="left"/>
              <w:rPr>
                <w:spacing w:val="0"/>
              </w:rPr>
            </w:pPr>
            <w:r>
              <w:rPr>
                <w:spacing w:val="0"/>
              </w:rPr>
              <w:t> </w:t>
            </w:r>
          </w:p>
        </w:tc>
        <w:tc>
          <w:tcPr>
            <w:tcW w:w="877" w:type="dxa"/>
            <w:tcBorders/>
            <w:shd w:fill="CCEEFF" w:val="clear"/>
            <w:vAlign w:val="center"/>
          </w:tcPr>
          <w:p>
            <w:pPr>
              <w:pStyle w:val="TableContents"/>
              <w:bidi w:val="0"/>
              <w:spacing w:before="0" w:after="0"/>
              <w:jc w:val="right"/>
              <w:rPr>
                <w:b/>
                <w:spacing w:val="0"/>
              </w:rPr>
            </w:pPr>
            <w:r>
              <w:rPr>
                <w:b/>
                <w:spacing w:val="0"/>
              </w:rPr>
              <w:t>(1,031</w:t>
            </w:r>
          </w:p>
        </w:tc>
        <w:tc>
          <w:tcPr>
            <w:tcW w:w="176" w:type="dxa"/>
            <w:tcBorders/>
            <w:shd w:fill="CCEEFF" w:val="clear"/>
            <w:vAlign w:val="center"/>
          </w:tcPr>
          <w:p>
            <w:pPr>
              <w:pStyle w:val="TableContents"/>
              <w:bidi w:val="0"/>
              <w:spacing w:before="0" w:after="0"/>
              <w:jc w:val="left"/>
              <w:rPr>
                <w:b/>
                <w:spacing w:val="0"/>
              </w:rPr>
            </w:pPr>
            <w:r>
              <w:rPr>
                <w:b/>
                <w:spacing w:val="0"/>
              </w:rPr>
              <w:t>) </w:t>
            </w:r>
          </w:p>
        </w:tc>
        <w:tc>
          <w:tcPr>
            <w:tcW w:w="13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0"/>
              <w:jc w:val="left"/>
              <w:rPr>
                <w:spacing w:val="0"/>
              </w:rPr>
            </w:pPr>
            <w:r>
              <w:rPr>
                <w:spacing w:val="0"/>
              </w:rPr>
              <w:t> </w:t>
            </w:r>
          </w:p>
        </w:tc>
        <w:tc>
          <w:tcPr>
            <w:tcW w:w="1180" w:type="dxa"/>
            <w:tcBorders/>
            <w:shd w:fill="CCEEFF" w:val="clear"/>
            <w:vAlign w:val="center"/>
          </w:tcPr>
          <w:p>
            <w:pPr>
              <w:pStyle w:val="TableContents"/>
              <w:bidi w:val="0"/>
              <w:spacing w:before="0" w:after="0"/>
              <w:jc w:val="right"/>
              <w:rPr>
                <w:b/>
                <w:spacing w:val="0"/>
              </w:rPr>
            </w:pPr>
            <w:r>
              <w:rPr>
                <w:b/>
                <w:spacing w:val="0"/>
              </w:rPr>
              <w:t>1,111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197</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266</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(188</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275</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single" w:sz="2" w:space="1" w:color="000000"/>
              </w:rPr>
            </w:pPr>
            <w:r>
              <w:rPr>
                <w:bdr w:val="single" w:sz="2" w:space="1" w:color="000000"/>
              </w:rPr>
              <w:t> </w:t>
            </w:r>
          </w:p>
        </w:tc>
        <w:tc>
          <w:tcPr>
            <w:tcW w:w="8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877" w:type="dxa"/>
            <w:tcBorders/>
            <w:vAlign w:val="center"/>
          </w:tcPr>
          <w:p>
            <w:pPr>
              <w:pStyle w:val="TableContents"/>
              <w:bidi w:val="0"/>
              <w:spacing w:before="0" w:after="283"/>
              <w:jc w:val="right"/>
              <w:rPr/>
            </w:pPr>
            <w:r>
              <w:rPr/>
              <w:t>(8,754</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(8,947</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jc w:val="left"/>
              <w:rPr>
                <w:bdr w:val="double" w:sz="6" w:space="1" w:color="000000"/>
              </w:rPr>
            </w:pPr>
            <w:r>
              <w:rPr>
                <w:bdr w:val="double" w:sz="6" w:space="1" w:color="000000"/>
              </w:rPr>
              <w:t> </w:t>
            </w:r>
          </w:p>
        </w:tc>
        <w:tc>
          <w:tcPr>
            <w:tcW w:w="8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work-in-process</w:t>
      </w:r>
    </w:p>
    <w:p>
      <w:pPr>
        <w:pStyle w:val="TextBody"/>
        <w:bidi w:val="0"/>
        <w:spacing w:before="240" w:after="0"/>
        <w:jc w:val="left"/>
        <w:rPr>
          <w:rFonts w:ascii="Times New Roman" w:hAnsi="Times New Roman"/>
          <w:sz w:val="20"/>
        </w:rPr>
      </w:pPr>
      <w:r>
        <w:rPr>
          <w:rFonts w:ascii="Times New Roman" w:hAnsi="Times New Roman"/>
          <w:sz w:val="20"/>
        </w:rPr>
        <w:t xml:space="preserve">and raw materials. Write off of this reserve is recognized only when the related inventory has been disposed or scrapped.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March 31, 2025 and December 31, 2024 are comprised of the following (in thousands): </w:t>
      </w:r>
    </w:p>
    <w:p>
      <w:pPr>
        <w:pStyle w:val="TextBody"/>
        <w:bidi w:val="0"/>
        <w:spacing w:before="0" w:after="0"/>
        <w:jc w:val="left"/>
        <w:rPr/>
      </w:pPr>
      <w:r>
        <w:rPr/>
        <w:t> </w:t>
      </w:r>
    </w:p>
    <w:tbl>
      <w:tblPr>
        <w:tblW w:w="5888" w:type="dxa"/>
        <w:jc w:val="left"/>
        <w:tblInd w:w="0" w:type="dxa"/>
        <w:tblLayout w:type="fixed"/>
        <w:tblCellMar>
          <w:top w:w="0" w:type="dxa"/>
          <w:left w:w="0" w:type="dxa"/>
          <w:bottom w:w="0" w:type="dxa"/>
          <w:right w:w="0" w:type="dxa"/>
        </w:tblCellMar>
      </w:tblPr>
      <w:tblGrid>
        <w:gridCol w:w="2840"/>
        <w:gridCol w:w="120"/>
        <w:gridCol w:w="147"/>
        <w:gridCol w:w="922"/>
        <w:gridCol w:w="155"/>
        <w:gridCol w:w="120"/>
        <w:gridCol w:w="194"/>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21,925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21,873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127,341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126,971</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606</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33,454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33,274</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183,328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182,724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(118,685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(115,236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11,264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11,237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4,382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2,738</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80,289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81,463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depreciation expenses associated with our continuing operations totaled $3,191 thousand and $3,655 thousand for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amended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24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w:t>
      </w:r>
    </w:p>
    <w:p>
      <w:pPr>
        <w:pStyle w:val="TextBody"/>
        <w:bidi w:val="0"/>
        <w:spacing w:before="240" w:after="0"/>
        <w:jc w:val="left"/>
        <w:rPr>
          <w:rFonts w:ascii="Times New Roman" w:hAnsi="Times New Roman"/>
          <w:sz w:val="20"/>
        </w:rPr>
      </w:pPr>
      <w:r>
        <w:rPr>
          <w:rFonts w:ascii="Times New Roman" w:hAnsi="Times New Roman"/>
          <w:sz w:val="20"/>
        </w:rPr>
        <w:t xml:space="preserve">See “Note 11. Long-Term Borrowing” to these consolidated financial statements below for more information regarding the Loan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5.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as of March 31, 2025 and December 31, 2024 are comprised of the following (in thousands):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215"/>
        <w:gridCol w:w="585"/>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2025</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(7,098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7,598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(7,098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500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215"/>
        <w:gridCol w:w="585"/>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7,599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(7,092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7,599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507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Aggregate amortization expenses associated with our continuing operations totaled $71 thousand and $86 thousand for the three months ended March 31,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6.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and finance leases for buildings and other assets such as vehicles and office equipment. The Company’s leases have remaining lease terms ranging from one year to five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present financial information related to the Company’s leases. </w:t>
      </w:r>
    </w:p>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sheets information related to leases as of March 31, 2025 and December 31, 2024 are as follows (in thousands): </w:t>
      </w:r>
    </w:p>
    <w:p>
      <w:pPr>
        <w:pStyle w:val="TextBody"/>
        <w:bidi w:val="0"/>
        <w:spacing w:before="0" w:after="0"/>
        <w:jc w:val="left"/>
        <w:rPr/>
      </w:pPr>
      <w:r>
        <w:rPr/>
        <w:t> </w:t>
      </w:r>
    </w:p>
    <w:tbl>
      <w:tblPr>
        <w:tblW w:w="8450" w:type="dxa"/>
        <w:jc w:val="left"/>
        <w:tblInd w:w="0" w:type="dxa"/>
        <w:tblLayout w:type="fixed"/>
        <w:tblCellMar>
          <w:top w:w="0" w:type="dxa"/>
          <w:left w:w="0" w:type="dxa"/>
          <w:bottom w:w="0" w:type="dxa"/>
          <w:right w:w="0" w:type="dxa"/>
        </w:tblCellMar>
      </w:tblPr>
      <w:tblGrid>
        <w:gridCol w:w="1805"/>
        <w:gridCol w:w="120"/>
        <w:gridCol w:w="60"/>
        <w:gridCol w:w="3545"/>
        <w:gridCol w:w="60"/>
        <w:gridCol w:w="120"/>
        <w:gridCol w:w="214"/>
        <w:gridCol w:w="856"/>
        <w:gridCol w:w="60"/>
        <w:gridCol w:w="120"/>
        <w:gridCol w:w="283"/>
        <w:gridCol w:w="1132"/>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Leases</w:t>
            </w:r>
          </w:p>
        </w:tc>
        <w:tc>
          <w:tcPr>
            <w:tcW w:w="120" w:type="dxa"/>
            <w:tcBorders/>
            <w:vAlign w:val="center"/>
          </w:tcPr>
          <w:p>
            <w:pPr>
              <w:pStyle w:val="TableContents"/>
              <w:bidi w:val="0"/>
              <w:spacing w:before="0" w:after="283"/>
              <w:jc w:val="left"/>
              <w:rPr/>
            </w:pPr>
            <w:r>
              <w:rPr/>
              <w:t>  </w:t>
            </w:r>
          </w:p>
        </w:tc>
        <w:tc>
          <w:tcPr>
            <w:tcW w:w="36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Classification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Operating lease right-of-use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3,602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3,107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390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3,957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3,497</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0"/>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1,393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Non-current operating lease liabilities</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1,881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1,823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0"/>
              <w:jc w:val="left"/>
              <w:rPr/>
            </w:pPr>
            <w:r>
              <w:rPr/>
              <w:t xml:space="preserve">Other </w:t>
            </w:r>
          </w:p>
          <w:p>
            <w:pPr>
              <w:pStyle w:val="TableContents"/>
              <w:bidi w:val="0"/>
              <w:spacing w:before="0" w:after="0"/>
              <w:jc w:val="left"/>
              <w:rPr>
                <w:spacing w:val="0"/>
              </w:rPr>
            </w:pPr>
            <w:r>
              <w:rPr>
                <w:spacing w:val="0"/>
              </w:rPr>
              <w:t>non-current</w:t>
            </w:r>
          </w:p>
          <w:p>
            <w:pPr>
              <w:pStyle w:val="TableContents"/>
              <w:bidi w:val="0"/>
              <w:spacing w:before="0" w:after="0"/>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294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3,985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3,663</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weighted average remaining lease term and discount rate: </w:t>
      </w:r>
    </w:p>
    <w:p>
      <w:pPr>
        <w:pStyle w:val="TextBody"/>
        <w:bidi w:val="0"/>
        <w:spacing w:before="0" w:after="0"/>
        <w:jc w:val="left"/>
        <w:rPr/>
      </w:pPr>
      <w:r>
        <w:rPr/>
        <w:t> </w:t>
      </w:r>
    </w:p>
    <w:tbl>
      <w:tblPr>
        <w:tblW w:w="6653" w:type="dxa"/>
        <w:jc w:val="left"/>
        <w:tblInd w:w="0" w:type="dxa"/>
        <w:tblLayout w:type="fixed"/>
        <w:tblCellMar>
          <w:top w:w="0" w:type="dxa"/>
          <w:left w:w="0" w:type="dxa"/>
          <w:bottom w:w="0" w:type="dxa"/>
          <w:right w:w="0" w:type="dxa"/>
        </w:tblCellMar>
      </w:tblPr>
      <w:tblGrid>
        <w:gridCol w:w="3425"/>
        <w:gridCol w:w="120"/>
        <w:gridCol w:w="67"/>
        <w:gridCol w:w="1002"/>
        <w:gridCol w:w="275"/>
        <w:gridCol w:w="60"/>
        <w:gridCol w:w="89"/>
        <w:gridCol w:w="132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remaining lease term</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00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2.3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 years</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2.7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 years</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discount rate</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7.1</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cost from continuing operations included in the Company’s consolidated statements of operations, are as follows (in thousands): </w:t>
      </w:r>
    </w:p>
    <w:p>
      <w:pPr>
        <w:pStyle w:val="TextBody"/>
        <w:bidi w:val="0"/>
        <w:spacing w:before="0" w:after="0"/>
        <w:jc w:val="left"/>
        <w:rPr/>
      </w:pPr>
      <w:r>
        <w:rPr/>
        <w:t> </w:t>
      </w:r>
    </w:p>
    <w:tbl>
      <w:tblPr>
        <w:tblW w:w="4822" w:type="dxa"/>
        <w:jc w:val="left"/>
        <w:tblInd w:w="0" w:type="dxa"/>
        <w:tblLayout w:type="fixed"/>
        <w:tblCellMar>
          <w:top w:w="0" w:type="dxa"/>
          <w:left w:w="0" w:type="dxa"/>
          <w:bottom w:w="0" w:type="dxa"/>
          <w:right w:w="0" w:type="dxa"/>
        </w:tblCellMar>
      </w:tblPr>
      <w:tblGrid>
        <w:gridCol w:w="2165"/>
        <w:gridCol w:w="120"/>
        <w:gridCol w:w="287"/>
        <w:gridCol w:w="782"/>
        <w:gridCol w:w="107"/>
        <w:gridCol w:w="217"/>
        <w:gridCol w:w="286"/>
        <w:gridCol w:w="783"/>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522</w:t>
            </w:r>
          </w:p>
        </w:tc>
        <w:tc>
          <w:tcPr>
            <w:tcW w:w="10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508</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36</w:t>
            </w:r>
          </w:p>
        </w:tc>
        <w:tc>
          <w:tcPr>
            <w:tcW w:w="10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7</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single" w:sz="2" w:space="1" w:color="000000"/>
              </w:rPr>
            </w:pPr>
            <w:r>
              <w:rPr>
                <w:bdr w:val="single" w:sz="2" w:space="1" w:color="000000"/>
              </w:rPr>
              <w:t> </w:t>
            </w:r>
          </w:p>
        </w:tc>
        <w:tc>
          <w:tcPr>
            <w:tcW w:w="782" w:type="dxa"/>
            <w:tcBorders/>
            <w:vAlign w:val="center"/>
          </w:tcPr>
          <w:p>
            <w:pPr>
              <w:pStyle w:val="TableContents"/>
              <w:bidi w:val="0"/>
              <w:spacing w:before="0" w:after="0"/>
              <w:jc w:val="left"/>
              <w:rPr>
                <w:bdr w:val="single" w:sz="2" w:space="1" w:color="000000"/>
              </w:rPr>
            </w:pPr>
            <w:r>
              <w:rPr>
                <w:bdr w:val="single" w:sz="2" w:space="1" w:color="000000"/>
              </w:rPr>
              <w:t> </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single" w:sz="2" w:space="1" w:color="000000"/>
              </w:rPr>
            </w:pPr>
            <w:r>
              <w:rPr>
                <w:bdr w:val="single" w:sz="2" w:space="1" w:color="000000"/>
              </w:rPr>
              <w:t> </w:t>
            </w:r>
          </w:p>
        </w:tc>
        <w:tc>
          <w:tcPr>
            <w:tcW w:w="78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565</w:t>
            </w:r>
          </w:p>
        </w:tc>
        <w:tc>
          <w:tcPr>
            <w:tcW w:w="10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553</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jc w:val="left"/>
              <w:rPr>
                <w:bdr w:val="double" w:sz="6" w:space="1" w:color="000000"/>
              </w:rPr>
            </w:pPr>
            <w:r>
              <w:rPr>
                <w:bdr w:val="double" w:sz="6" w:space="1" w:color="000000"/>
              </w:rPr>
              <w:t> </w:t>
            </w:r>
          </w:p>
        </w:tc>
        <w:tc>
          <w:tcPr>
            <w:tcW w:w="782" w:type="dxa"/>
            <w:tcBorders/>
            <w:vAlign w:val="center"/>
          </w:tcPr>
          <w:p>
            <w:pPr>
              <w:pStyle w:val="TableContents"/>
              <w:bidi w:val="0"/>
              <w:spacing w:before="0" w:after="0"/>
              <w:jc w:val="left"/>
              <w:rPr>
                <w:bdr w:val="double" w:sz="6" w:space="1" w:color="000000"/>
              </w:rPr>
            </w:pPr>
            <w:r>
              <w:rPr>
                <w:bdr w:val="double" w:sz="6" w:space="1" w:color="000000"/>
              </w:rPr>
              <w:t> </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jc w:val="left"/>
              <w:rPr>
                <w:bdr w:val="double" w:sz="6" w:space="1" w:color="000000"/>
              </w:rPr>
            </w:pPr>
            <w:r>
              <w:rPr>
                <w:bdr w:val="double" w:sz="6" w:space="1" w:color="000000"/>
              </w:rPr>
              <w:t> </w:t>
            </w:r>
          </w:p>
        </w:tc>
        <w:tc>
          <w:tcPr>
            <w:tcW w:w="78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table does not include an immaterial cost of short-term leases for the three months ended March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lease information associated with continuing operations is as follows (in thousands): </w:t>
      </w:r>
    </w:p>
    <w:p>
      <w:pPr>
        <w:pStyle w:val="TextBody"/>
        <w:bidi w:val="0"/>
        <w:spacing w:before="0" w:after="0"/>
        <w:jc w:val="left"/>
        <w:rPr/>
      </w:pPr>
      <w:r>
        <w:rPr/>
        <w:t> </w:t>
      </w:r>
    </w:p>
    <w:tbl>
      <w:tblPr>
        <w:tblW w:w="8572" w:type="dxa"/>
        <w:jc w:val="left"/>
        <w:tblInd w:w="0" w:type="dxa"/>
        <w:tblLayout w:type="fixed"/>
        <w:tblCellMar>
          <w:top w:w="0" w:type="dxa"/>
          <w:left w:w="0" w:type="dxa"/>
          <w:bottom w:w="0" w:type="dxa"/>
          <w:right w:w="0" w:type="dxa"/>
        </w:tblCellMar>
      </w:tblPr>
      <w:tblGrid>
        <w:gridCol w:w="5915"/>
        <w:gridCol w:w="120"/>
        <w:gridCol w:w="287"/>
        <w:gridCol w:w="782"/>
        <w:gridCol w:w="107"/>
        <w:gridCol w:w="217"/>
        <w:gridCol w:w="286"/>
        <w:gridCol w:w="783"/>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660</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283"/>
              <w:jc w:val="right"/>
              <w:rPr/>
            </w:pPr>
            <w:r>
              <w:rPr/>
              <w:t>519</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finance leases</w:t>
            </w:r>
          </w:p>
        </w:tc>
        <w:tc>
          <w:tcPr>
            <w:tcW w:w="12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7</w:t>
            </w:r>
          </w:p>
        </w:tc>
        <w:tc>
          <w:tcPr>
            <w:tcW w:w="10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flows from finance leases</w:t>
            </w:r>
          </w:p>
        </w:tc>
        <w:tc>
          <w:tcPr>
            <w:tcW w:w="12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38</w:t>
            </w:r>
          </w:p>
        </w:tc>
        <w:tc>
          <w:tcPr>
            <w:tcW w:w="10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transaction amounts of lease liabilities arising from obtaining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were $966 thousand and $625 thousand for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future lease payments for operating and finance leases as of March 31, 2025 are as follows (in thousands):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2675"/>
        <w:gridCol w:w="120"/>
        <w:gridCol w:w="211"/>
        <w:gridCol w:w="844"/>
        <w:gridCol w:w="155"/>
        <w:gridCol w:w="120"/>
        <w:gridCol w:w="223"/>
        <w:gridCol w:w="607"/>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2025</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1,362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134</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1,607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765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3,871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451</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(40</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single" w:sz="2" w:space="1" w:color="000000"/>
              </w:rPr>
            </w:pPr>
            <w:r>
              <w:rPr>
                <w:bdr w:val="single" w:sz="2" w:space="1" w:color="000000"/>
              </w:rPr>
              <w:t> </w:t>
            </w:r>
          </w:p>
        </w:tc>
        <w:tc>
          <w:tcPr>
            <w:tcW w:w="8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future payments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3,574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607" w:type="dxa"/>
            <w:tcBorders/>
            <w:vAlign w:val="center"/>
          </w:tcPr>
          <w:p>
            <w:pPr>
              <w:pStyle w:val="TableContents"/>
              <w:bidi w:val="0"/>
              <w:spacing w:before="0" w:after="283"/>
              <w:jc w:val="right"/>
              <w:rPr/>
            </w:pPr>
            <w:r>
              <w:rPr/>
              <w:t>411</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jc w:val="left"/>
              <w:rPr>
                <w:bdr w:val="double" w:sz="6" w:space="1" w:color="000000"/>
              </w:rPr>
            </w:pPr>
            <w:r>
              <w:rPr>
                <w:bdr w:val="double" w:sz="6" w:space="1" w:color="000000"/>
              </w:rPr>
              <w:t> </w:t>
            </w:r>
          </w:p>
        </w:tc>
        <w:tc>
          <w:tcPr>
            <w:tcW w:w="84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as of March 31, 2025 and December 31, 2024 are comprised of the following (in thousands): </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5210"/>
        <w:gridCol w:w="120"/>
        <w:gridCol w:w="214"/>
        <w:gridCol w:w="856"/>
        <w:gridCol w:w="60"/>
        <w:gridCol w:w="120"/>
        <w:gridCol w:w="283"/>
        <w:gridCol w:w="1132"/>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5,413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5,518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1,419</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1,221</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509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490</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8,796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8,648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Derivative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rPr>
      </w:pPr>
      <w:r>
        <w:rPr>
          <w:rFonts w:ascii="Times New Roman" w:hAnsi="Times New Roman"/>
          <w:sz w:val="20"/>
        </w:rPr>
        <w:t xml:space="preserve">Details of the zero cost collar contracts as of March 31, 2025 are as follows (in thousands): </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1520"/>
        <w:gridCol w:w="120"/>
        <w:gridCol w:w="390"/>
        <w:gridCol w:w="1895"/>
        <w:gridCol w:w="60"/>
        <w:gridCol w:w="120"/>
        <w:gridCol w:w="315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April 2025 to September 2025</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October 2025 to December 2025</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03, 2025</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January 2026 to March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Details of the zero cost collar contracts as of December 31, 2024 are as follows (in thousands): </w:t>
      </w:r>
    </w:p>
    <w:p>
      <w:pPr>
        <w:pStyle w:val="TextBody"/>
        <w:bidi w:val="0"/>
        <w:spacing w:before="0" w:after="0"/>
        <w:jc w:val="left"/>
        <w:rPr/>
      </w:pPr>
      <w:r>
        <w:rPr/>
        <w:t> </w:t>
      </w:r>
    </w:p>
    <w:tbl>
      <w:tblPr>
        <w:tblW w:w="718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05,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January 2025 to March 2025</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April 2025 to September 2025</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October 17,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October 2025 to December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Company’s outstanding zero cost collar contracts recorded as liabilities as of March 31, 2025 and December 31, 2024 are as follows (in thousands): </w:t>
      </w:r>
    </w:p>
    <w:p>
      <w:pPr>
        <w:pStyle w:val="TextBody"/>
        <w:bidi w:val="0"/>
        <w:spacing w:before="0" w:after="0"/>
        <w:jc w:val="left"/>
        <w:rPr/>
      </w:pPr>
      <w:r>
        <w:rPr/>
        <w:t> </w:t>
      </w:r>
    </w:p>
    <w:tbl>
      <w:tblPr>
        <w:tblW w:w="8705" w:type="dxa"/>
        <w:jc w:val="left"/>
        <w:tblInd w:w="0" w:type="dxa"/>
        <w:tblLayout w:type="fixed"/>
        <w:tblCellMar>
          <w:top w:w="0" w:type="dxa"/>
          <w:left w:w="0" w:type="dxa"/>
          <w:bottom w:w="0" w:type="dxa"/>
          <w:right w:w="0" w:type="dxa"/>
        </w:tblCellMar>
      </w:tblPr>
      <w:tblGrid>
        <w:gridCol w:w="3425"/>
        <w:gridCol w:w="120"/>
        <w:gridCol w:w="60"/>
        <w:gridCol w:w="2180"/>
        <w:gridCol w:w="60"/>
        <w:gridCol w:w="120"/>
        <w:gridCol w:w="214"/>
        <w:gridCol w:w="856"/>
        <w:gridCol w:w="60"/>
        <w:gridCol w:w="120"/>
        <w:gridCol w:w="283"/>
        <w:gridCol w:w="1132"/>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Derivatives designated as hedging instruments:</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1,956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liabilities as of March 31, 2025 is as follows (in thousands): </w:t>
      </w:r>
    </w:p>
    <w:p>
      <w:pPr>
        <w:pStyle w:val="TextBody"/>
        <w:bidi w:val="0"/>
        <w:spacing w:before="0" w:after="0"/>
        <w:jc w:val="left"/>
        <w:rPr/>
      </w:pPr>
      <w:r>
        <w:rPr/>
        <w:t> </w:t>
      </w:r>
    </w:p>
    <w:tbl>
      <w:tblPr>
        <w:tblW w:w="11035" w:type="dxa"/>
        <w:jc w:val="left"/>
        <w:tblInd w:w="0" w:type="dxa"/>
        <w:tblLayout w:type="fixed"/>
        <w:tblCellMar>
          <w:top w:w="0" w:type="dxa"/>
          <w:left w:w="0" w:type="dxa"/>
          <w:bottom w:w="0" w:type="dxa"/>
          <w:right w:w="0" w:type="dxa"/>
        </w:tblCellMar>
      </w:tblPr>
      <w:tblGrid>
        <w:gridCol w:w="965"/>
        <w:gridCol w:w="120"/>
        <w:gridCol w:w="358"/>
        <w:gridCol w:w="1432"/>
        <w:gridCol w:w="60"/>
        <w:gridCol w:w="120"/>
        <w:gridCol w:w="537"/>
        <w:gridCol w:w="998"/>
        <w:gridCol w:w="60"/>
        <w:gridCol w:w="120"/>
        <w:gridCol w:w="328"/>
        <w:gridCol w:w="1312"/>
        <w:gridCol w:w="60"/>
        <w:gridCol w:w="120"/>
        <w:gridCol w:w="427"/>
        <w:gridCol w:w="793"/>
        <w:gridCol w:w="60"/>
        <w:gridCol w:w="120"/>
        <w:gridCol w:w="277"/>
        <w:gridCol w:w="1258"/>
        <w:gridCol w:w="155"/>
        <w:gridCol w:w="60"/>
        <w:gridCol w:w="328"/>
        <w:gridCol w:w="892"/>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March 31, 2025</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96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4"/>
                <w:szCs w:val="4"/>
              </w:rPr>
            </w:pPr>
            <w:r>
              <w:rPr>
                <w:sz w:val="4"/>
                <w:szCs w:val="4"/>
              </w:rPr>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3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241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Offsetting of derivative assets and liabilities as of December 31, 2024 is as follows (in thousands): </w:t>
      </w:r>
    </w:p>
    <w:p>
      <w:pPr>
        <w:pStyle w:val="TextBody"/>
        <w:bidi w:val="0"/>
        <w:spacing w:before="0" w:after="0"/>
        <w:jc w:val="left"/>
        <w:rPr/>
      </w:pPr>
      <w:r>
        <w:rPr/>
        <w:t> </w:t>
      </w:r>
    </w:p>
    <w:tbl>
      <w:tblPr>
        <w:tblW w:w="11095" w:type="dxa"/>
        <w:jc w:val="left"/>
        <w:tblInd w:w="0" w:type="dxa"/>
        <w:tblLayout w:type="fixed"/>
        <w:tblCellMar>
          <w:top w:w="0" w:type="dxa"/>
          <w:left w:w="0" w:type="dxa"/>
          <w:bottom w:w="0" w:type="dxa"/>
          <w:right w:w="0" w:type="dxa"/>
        </w:tblCellMar>
      </w:tblPr>
      <w:tblGrid>
        <w:gridCol w:w="1025"/>
        <w:gridCol w:w="120"/>
        <w:gridCol w:w="358"/>
        <w:gridCol w:w="1432"/>
        <w:gridCol w:w="60"/>
        <w:gridCol w:w="120"/>
        <w:gridCol w:w="537"/>
        <w:gridCol w:w="998"/>
        <w:gridCol w:w="60"/>
        <w:gridCol w:w="120"/>
        <w:gridCol w:w="328"/>
        <w:gridCol w:w="1312"/>
        <w:gridCol w:w="60"/>
        <w:gridCol w:w="120"/>
        <w:gridCol w:w="427"/>
        <w:gridCol w:w="793"/>
        <w:gridCol w:w="60"/>
        <w:gridCol w:w="120"/>
        <w:gridCol w:w="277"/>
        <w:gridCol w:w="1258"/>
        <w:gridCol w:w="155"/>
        <w:gridCol w:w="60"/>
        <w:gridCol w:w="328"/>
        <w:gridCol w:w="89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2024</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sz w:val="4"/>
                <w:szCs w:val="4"/>
              </w:rPr>
            </w:pPr>
            <w:r>
              <w:rPr>
                <w:sz w:val="4"/>
                <w:szCs w:val="4"/>
              </w:rPr>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3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876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impact of derivative instruments on the consolidated statements of operations for the three months ended March 31, 2025 and 2024 (in thousands): </w:t>
      </w:r>
    </w:p>
    <w:p>
      <w:pPr>
        <w:pStyle w:val="TextBody"/>
        <w:bidi w:val="0"/>
        <w:spacing w:before="0" w:after="0"/>
        <w:jc w:val="left"/>
        <w:rPr/>
      </w:pPr>
      <w:r>
        <w:rPr/>
        <w:t> </w:t>
      </w:r>
    </w:p>
    <w:tbl>
      <w:tblPr>
        <w:tblW w:w="11380" w:type="dxa"/>
        <w:jc w:val="left"/>
        <w:tblInd w:w="0" w:type="dxa"/>
        <w:tblLayout w:type="fixed"/>
        <w:tblCellMar>
          <w:top w:w="0" w:type="dxa"/>
          <w:left w:w="0" w:type="dxa"/>
          <w:bottom w:w="0" w:type="dxa"/>
          <w:right w:w="0" w:type="dxa"/>
        </w:tblCellMar>
      </w:tblPr>
      <w:tblGrid>
        <w:gridCol w:w="995"/>
        <w:gridCol w:w="120"/>
        <w:gridCol w:w="245"/>
        <w:gridCol w:w="666"/>
        <w:gridCol w:w="105"/>
        <w:gridCol w:w="210"/>
        <w:gridCol w:w="245"/>
        <w:gridCol w:w="799"/>
        <w:gridCol w:w="155"/>
        <w:gridCol w:w="60"/>
        <w:gridCol w:w="60"/>
        <w:gridCol w:w="875"/>
        <w:gridCol w:w="60"/>
        <w:gridCol w:w="120"/>
        <w:gridCol w:w="240"/>
        <w:gridCol w:w="782"/>
        <w:gridCol w:w="266"/>
        <w:gridCol w:w="103"/>
        <w:gridCol w:w="240"/>
        <w:gridCol w:w="579"/>
        <w:gridCol w:w="155"/>
        <w:gridCol w:w="60"/>
        <w:gridCol w:w="60"/>
        <w:gridCol w:w="1715"/>
        <w:gridCol w:w="60"/>
        <w:gridCol w:w="120"/>
        <w:gridCol w:w="315"/>
        <w:gridCol w:w="586"/>
        <w:gridCol w:w="135"/>
        <w:gridCol w:w="270"/>
        <w:gridCol w:w="315"/>
        <w:gridCol w:w="589"/>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AOCI on</w:t>
            </w:r>
          </w:p>
          <w:p>
            <w:pPr>
              <w:pStyle w:val="TableContents"/>
              <w:bidi w:val="0"/>
              <w:spacing w:before="0" w:after="0"/>
              <w:jc w:val="center"/>
              <w:rPr/>
            </w:pPr>
            <w:r>
              <w:rPr/>
            </w:r>
          </w:p>
          <w:p>
            <w:pPr>
              <w:pStyle w:val="TableContents"/>
              <w:bidi w:val="0"/>
              <w:spacing w:before="0" w:after="0"/>
              <w:jc w:val="center"/>
              <w:rPr>
                <w:b/>
                <w:spacing w:val="0"/>
              </w:rPr>
            </w:pPr>
            <w:r>
              <w:rPr>
                <w:b/>
                <w:spacing w:val="0"/>
              </w:rP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3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136</w:t>
            </w:r>
          </w:p>
        </w:tc>
        <w:tc>
          <w:tcPr>
            <w:tcW w:w="105"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(525</w:t>
            </w:r>
          </w:p>
        </w:tc>
        <w:tc>
          <w:tcPr>
            <w:tcW w:w="26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579" w:type="dxa"/>
            <w:tcBorders/>
            <w:shd w:fill="CCEEFF" w:val="clear"/>
            <w:vAlign w:val="center"/>
          </w:tcPr>
          <w:p>
            <w:pPr>
              <w:pStyle w:val="TableContents"/>
              <w:bidi w:val="0"/>
              <w:spacing w:before="0" w:after="283"/>
              <w:jc w:val="right"/>
              <w:rPr/>
            </w:pPr>
            <w:r>
              <w:rPr/>
              <w:t>(59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586" w:type="dxa"/>
            <w:tcBorders/>
            <w:shd w:fill="CCEEFF" w:val="clear"/>
            <w:vAlign w:val="center"/>
          </w:tcPr>
          <w:p>
            <w:pPr>
              <w:pStyle w:val="TableContents"/>
              <w:bidi w:val="0"/>
              <w:spacing w:before="0" w:after="283"/>
              <w:jc w:val="right"/>
              <w:rPr/>
            </w:pPr>
            <w:r>
              <w:rPr/>
              <w:t>29</w:t>
            </w:r>
          </w:p>
        </w:tc>
        <w:tc>
          <w:tcPr>
            <w:tcW w:w="135"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dr w:val="single" w:sz="2" w:space="1" w:color="000000"/>
              </w:rPr>
            </w:pPr>
            <w:r>
              <w:rPr>
                <w:bdr w:val="single" w:sz="2" w:space="1" w:color="000000"/>
              </w:rPr>
              <w:t> </w:t>
            </w:r>
          </w:p>
        </w:tc>
        <w:tc>
          <w:tcPr>
            <w:tcW w:w="666" w:type="dxa"/>
            <w:tcBorders/>
            <w:vAlign w:val="center"/>
          </w:tcPr>
          <w:p>
            <w:pPr>
              <w:pStyle w:val="TableContents"/>
              <w:bidi w:val="0"/>
              <w:spacing w:before="0" w:after="0"/>
              <w:jc w:val="left"/>
              <w:rPr>
                <w:bdr w:val="single" w:sz="2" w:space="1" w:color="000000"/>
              </w:rPr>
            </w:pPr>
            <w:r>
              <w:rPr>
                <w:bdr w:val="single" w:sz="2" w:space="1" w:color="000000"/>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dr w:val="single" w:sz="2" w:space="1" w:color="000000"/>
              </w:rPr>
            </w:pPr>
            <w:r>
              <w:rPr>
                <w:bdr w:val="single" w:sz="2" w:space="1" w:color="000000"/>
              </w:rPr>
              <w:t> </w:t>
            </w:r>
          </w:p>
        </w:tc>
        <w:tc>
          <w:tcPr>
            <w:tcW w:w="79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82" w:type="dxa"/>
            <w:tcBorders/>
            <w:vAlign w:val="center"/>
          </w:tcPr>
          <w:p>
            <w:pPr>
              <w:pStyle w:val="TableContents"/>
              <w:bidi w:val="0"/>
              <w:spacing w:before="0" w:after="0"/>
              <w:jc w:val="left"/>
              <w:rPr>
                <w:bdr w:val="single" w:sz="2" w:space="1" w:color="000000"/>
              </w:rPr>
            </w:pPr>
            <w:r>
              <w:rPr>
                <w:bdr w:val="single" w:sz="2"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5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single" w:sz="2" w:space="1" w:color="000000"/>
              </w:rPr>
            </w:pPr>
            <w:r>
              <w:rPr>
                <w:bdr w:val="single" w:sz="2" w:space="1" w:color="000000"/>
              </w:rPr>
              <w:t> </w:t>
            </w:r>
          </w:p>
        </w:tc>
        <w:tc>
          <w:tcPr>
            <w:tcW w:w="58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666" w:type="dxa"/>
            <w:tcBorders/>
            <w:vAlign w:val="center"/>
          </w:tcPr>
          <w:p>
            <w:pPr>
              <w:pStyle w:val="TableContents"/>
              <w:bidi w:val="0"/>
              <w:spacing w:before="0" w:after="283"/>
              <w:jc w:val="right"/>
              <w:rPr/>
            </w:pPr>
            <w:r>
              <w:rPr/>
              <w:t>136</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799" w:type="dxa"/>
            <w:tcBorders/>
            <w:vAlign w:val="center"/>
          </w:tcPr>
          <w:p>
            <w:pPr>
              <w:pStyle w:val="TableContents"/>
              <w:bidi w:val="0"/>
              <w:spacing w:before="0" w:after="283"/>
              <w:jc w:val="right"/>
              <w:rPr/>
            </w:pPr>
            <w:r>
              <w:rPr/>
              <w:t>(605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(525</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79" w:type="dxa"/>
            <w:tcBorders/>
            <w:vAlign w:val="center"/>
          </w:tcPr>
          <w:p>
            <w:pPr>
              <w:pStyle w:val="TableContents"/>
              <w:bidi w:val="0"/>
              <w:spacing w:before="0" w:after="283"/>
              <w:jc w:val="right"/>
              <w:rPr/>
            </w:pPr>
            <w:r>
              <w:rPr/>
              <w:t>(59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586" w:type="dxa"/>
            <w:tcBorders/>
            <w:vAlign w:val="center"/>
          </w:tcPr>
          <w:p>
            <w:pPr>
              <w:pStyle w:val="TableContents"/>
              <w:bidi w:val="0"/>
              <w:spacing w:before="0" w:after="283"/>
              <w:jc w:val="right"/>
              <w:rPr/>
            </w:pPr>
            <w:r>
              <w:rPr/>
              <w:t>29</w:t>
            </w:r>
          </w:p>
        </w:tc>
        <w:tc>
          <w:tcPr>
            <w:tcW w:w="13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58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dr w:val="double" w:sz="6" w:space="1" w:color="000000"/>
              </w:rPr>
            </w:pPr>
            <w:r>
              <w:rPr>
                <w:bdr w:val="double" w:sz="6" w:space="1" w:color="000000"/>
              </w:rPr>
              <w:t> </w:t>
            </w:r>
          </w:p>
        </w:tc>
        <w:tc>
          <w:tcPr>
            <w:tcW w:w="666" w:type="dxa"/>
            <w:tcBorders/>
            <w:vAlign w:val="center"/>
          </w:tcPr>
          <w:p>
            <w:pPr>
              <w:pStyle w:val="TableContents"/>
              <w:bidi w:val="0"/>
              <w:spacing w:before="0" w:after="0"/>
              <w:jc w:val="left"/>
              <w:rPr>
                <w:bdr w:val="double" w:sz="6" w:space="1" w:color="000000"/>
              </w:rPr>
            </w:pPr>
            <w:r>
              <w:rPr>
                <w:bdr w:val="double" w:sz="6" w:space="1" w:color="000000"/>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dr w:val="double" w:sz="6" w:space="1" w:color="000000"/>
              </w:rPr>
            </w:pPr>
            <w:r>
              <w:rPr>
                <w:bdr w:val="double" w:sz="6" w:space="1" w:color="000000"/>
              </w:rPr>
              <w:t> </w:t>
            </w:r>
          </w:p>
        </w:tc>
        <w:tc>
          <w:tcPr>
            <w:tcW w:w="79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82" w:type="dxa"/>
            <w:tcBorders/>
            <w:vAlign w:val="center"/>
          </w:tcPr>
          <w:p>
            <w:pPr>
              <w:pStyle w:val="TableContents"/>
              <w:bidi w:val="0"/>
              <w:spacing w:before="0" w:after="0"/>
              <w:jc w:val="left"/>
              <w:rPr>
                <w:bdr w:val="double" w:sz="6" w:space="1" w:color="000000"/>
              </w:rPr>
            </w:pPr>
            <w:r>
              <w:rPr>
                <w:bdr w:val="double" w:sz="6"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5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double" w:sz="6" w:space="1" w:color="000000"/>
              </w:rPr>
            </w:pPr>
            <w:r>
              <w:rPr>
                <w:bdr w:val="double" w:sz="6" w:space="1" w:color="000000"/>
              </w:rPr>
              <w:t> </w:t>
            </w:r>
          </w:p>
        </w:tc>
        <w:tc>
          <w:tcPr>
            <w:tcW w:w="58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March 31, 2025, the amount expected to be reclassified from accumulated other comprehensive loss into loss within the next 12 months is $305 thousand.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set aside a cash deposit to the counterparty, Standard Chartered Bank Korea Limited (“SC”), as required for the zero cost collar contracts. This cash deposit is recorded as hedge collateral on the consolidated balance sheets. Cash deposits as of March 31, 2025 and December 31, 2024 are as follows (in thousands): </w:t>
      </w:r>
    </w:p>
    <w:p>
      <w:pPr>
        <w:pStyle w:val="TextBody"/>
        <w:bidi w:val="0"/>
        <w:spacing w:before="0" w:after="0"/>
        <w:jc w:val="left"/>
        <w:rPr/>
      </w:pPr>
      <w:r>
        <w:rPr/>
        <w:t> </w:t>
      </w:r>
    </w:p>
    <w:tbl>
      <w:tblPr>
        <w:tblW w:w="3900" w:type="dxa"/>
        <w:jc w:val="left"/>
        <w:tblInd w:w="0" w:type="dxa"/>
        <w:tblLayout w:type="fixed"/>
        <w:tblCellMar>
          <w:top w:w="0" w:type="dxa"/>
          <w:left w:w="0" w:type="dxa"/>
          <w:bottom w:w="0" w:type="dxa"/>
          <w:right w:w="0" w:type="dxa"/>
        </w:tblCellMar>
      </w:tblPr>
      <w:tblGrid>
        <w:gridCol w:w="1040"/>
        <w:gridCol w:w="120"/>
        <w:gridCol w:w="214"/>
        <w:gridCol w:w="856"/>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deposit additional cash collateral with Nomura Financial Investment (Korea) Co., Ltd. (“NFIK”) and SC for any exposure in excess of $500 thousand, respectively. As of March 31, 2025 and December 31, 2024, $1,080 thousand of additional cash collateral were required by NFIK and recorded as hedge collateral on the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Fair Value Measurements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following table represents the Company’s liabilities measured at fair value on a recurring basis and the basis for that measurement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4"/>
        <w:gridCol w:w="120"/>
        <w:gridCol w:w="131"/>
        <w:gridCol w:w="1494"/>
        <w:gridCol w:w="60"/>
        <w:gridCol w:w="120"/>
        <w:gridCol w:w="130"/>
        <w:gridCol w:w="1480"/>
        <w:gridCol w:w="60"/>
        <w:gridCol w:w="120"/>
        <w:gridCol w:w="336"/>
        <w:gridCol w:w="1458"/>
        <w:gridCol w:w="60"/>
        <w:gridCol w:w="120"/>
        <w:gridCol w:w="95"/>
        <w:gridCol w:w="1080"/>
        <w:gridCol w:w="60"/>
        <w:gridCol w:w="120"/>
        <w:gridCol w:w="268"/>
        <w:gridCol w:w="1162"/>
        <w:gridCol w:w="77"/>
      </w:tblGrid>
      <w:tr>
        <w:trPr/>
        <w:tc>
          <w:tcPr>
            <w:tcW w:w="1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p>
            <w:pPr>
              <w:pStyle w:val="TableContents"/>
              <w:bidi w:val="0"/>
              <w:spacing w:before="0" w:after="0"/>
              <w:jc w:val="center"/>
              <w:rPr/>
            </w:pPr>
            <w:r>
              <w:rPr/>
            </w:r>
          </w:p>
          <w:p>
            <w:pPr>
              <w:pStyle w:val="TableContents"/>
              <w:bidi w:val="0"/>
              <w:spacing w:before="0" w:after="0"/>
              <w:jc w:val="center"/>
              <w:rPr>
                <w:b/>
                <w:spacing w:val="0"/>
              </w:rPr>
            </w:pPr>
            <w:r>
              <w:rPr>
                <w:b/>
                <w:spacing w:val="0"/>
              </w:rPr>
              <w:t>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March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r>
          </w:p>
          <w:p>
            <w:pPr>
              <w:pStyle w:val="TableContents"/>
              <w:bidi w:val="0"/>
              <w:spacing w:before="0" w:after="0"/>
              <w:jc w:val="center"/>
              <w:rPr/>
            </w:pPr>
            <w:r>
              <w:rPr/>
            </w:r>
          </w:p>
          <w:p>
            <w:pPr>
              <w:pStyle w:val="TableContents"/>
              <w:bidi w:val="0"/>
              <w:spacing w:before="0" w:after="0"/>
              <w:jc w:val="center"/>
              <w:rPr>
                <w:b/>
                <w:spacing w:val="0"/>
              </w:rPr>
            </w:pPr>
            <w:r>
              <w:rPr>
                <w:b/>
                <w:spacing w:val="0"/>
              </w:rPr>
              <w:t>Active Markets</w:t>
            </w:r>
          </w:p>
          <w:p>
            <w:pPr>
              <w:pStyle w:val="TableContents"/>
              <w:bidi w:val="0"/>
              <w:spacing w:before="0" w:after="0"/>
              <w:jc w:val="center"/>
              <w:rPr/>
            </w:pPr>
            <w:r>
              <w:rPr/>
            </w:r>
          </w:p>
          <w:p>
            <w:pPr>
              <w:pStyle w:val="TableContents"/>
              <w:bidi w:val="0"/>
              <w:spacing w:before="0" w:after="0"/>
              <w:jc w:val="center"/>
              <w:rPr>
                <w:b/>
                <w:spacing w:val="0"/>
              </w:rPr>
            </w:pPr>
            <w:r>
              <w:rPr>
                <w:b/>
                <w:spacing w:val="0"/>
              </w:rPr>
              <w:t>for Identical</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Unobservable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3)</w:t>
            </w:r>
          </w:p>
        </w:tc>
        <w:tc>
          <w:tcPr>
            <w:tcW w:w="77" w:type="dxa"/>
            <w:tcBorders/>
            <w:vAlign w:val="center"/>
          </w:tcPr>
          <w:p>
            <w:pPr>
              <w:pStyle w:val="TableContents"/>
              <w:bidi w:val="0"/>
              <w:spacing w:before="0" w:after="283"/>
              <w:jc w:val="left"/>
              <w:rPr/>
            </w:pPr>
            <w:r>
              <w:rPr/>
              <w:t> </w:t>
            </w:r>
          </w:p>
        </w:tc>
      </w:tr>
      <w:tr>
        <w:trPr/>
        <w:tc>
          <w:tcPr>
            <w:tcW w:w="1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14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4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4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494" w:type="dxa"/>
            <w:tcBorders/>
            <w:vAlign w:val="center"/>
          </w:tcPr>
          <w:p>
            <w:pPr>
              <w:pStyle w:val="TableContents"/>
              <w:bidi w:val="0"/>
              <w:spacing w:before="0" w:after="283"/>
              <w:jc w:val="lef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lef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$1,321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following table represents the Company’s liabilities measured at fair value on a recurring basis and the basis for that measurement (in thousands): </w:t>
      </w:r>
    </w:p>
    <w:p>
      <w:pPr>
        <w:pStyle w:val="TextBody"/>
        <w:bidi w:val="0"/>
        <w:spacing w:before="0" w:after="0"/>
        <w:jc w:val="left"/>
        <w:rPr/>
      </w:pPr>
      <w:r>
        <w:rPr/>
        <w:t> </w:t>
      </w:r>
    </w:p>
    <w:tbl>
      <w:tblPr>
        <w:tblW w:w="11190" w:type="dxa"/>
        <w:jc w:val="left"/>
        <w:tblInd w:w="0" w:type="dxa"/>
        <w:tblLayout w:type="fixed"/>
        <w:tblCellMar>
          <w:top w:w="0" w:type="dxa"/>
          <w:left w:w="0" w:type="dxa"/>
          <w:bottom w:w="0" w:type="dxa"/>
          <w:right w:w="0" w:type="dxa"/>
        </w:tblCellMar>
      </w:tblPr>
      <w:tblGrid>
        <w:gridCol w:w="2015"/>
        <w:gridCol w:w="120"/>
        <w:gridCol w:w="158"/>
        <w:gridCol w:w="1797"/>
        <w:gridCol w:w="60"/>
        <w:gridCol w:w="120"/>
        <w:gridCol w:w="158"/>
        <w:gridCol w:w="1797"/>
        <w:gridCol w:w="60"/>
        <w:gridCol w:w="120"/>
        <w:gridCol w:w="327"/>
        <w:gridCol w:w="1418"/>
        <w:gridCol w:w="60"/>
        <w:gridCol w:w="120"/>
        <w:gridCol w:w="95"/>
        <w:gridCol w:w="1080"/>
        <w:gridCol w:w="60"/>
        <w:gridCol w:w="120"/>
        <w:gridCol w:w="268"/>
        <w:gridCol w:w="1162"/>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p>
            <w:pPr>
              <w:pStyle w:val="TableContents"/>
              <w:bidi w:val="0"/>
              <w:spacing w:before="0" w:after="0"/>
              <w:jc w:val="center"/>
              <w:rPr/>
            </w:pPr>
            <w:r>
              <w:rPr/>
            </w:r>
          </w:p>
          <w:p>
            <w:pPr>
              <w:pStyle w:val="TableContents"/>
              <w:bidi w:val="0"/>
              <w:spacing w:before="0" w:after="0"/>
              <w:jc w:val="center"/>
              <w:rPr>
                <w:b/>
                <w:spacing w:val="0"/>
              </w:rPr>
            </w:pPr>
            <w:r>
              <w:rPr>
                <w:b/>
                <w:spacing w:val="0"/>
              </w:rPr>
              <w:t>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r>
          </w:p>
          <w:p>
            <w:pPr>
              <w:pStyle w:val="TableContents"/>
              <w:bidi w:val="0"/>
              <w:spacing w:before="0" w:after="0"/>
              <w:jc w:val="center"/>
              <w:rPr/>
            </w:pPr>
            <w:r>
              <w:rPr/>
            </w:r>
          </w:p>
          <w:p>
            <w:pPr>
              <w:pStyle w:val="TableContents"/>
              <w:bidi w:val="0"/>
              <w:spacing w:before="0" w:after="0"/>
              <w:jc w:val="center"/>
              <w:rPr>
                <w:b/>
                <w:spacing w:val="0"/>
              </w:rPr>
            </w:pPr>
            <w:r>
              <w:rPr>
                <w:b/>
                <w:spacing w:val="0"/>
              </w:rPr>
              <w:t>Active Markets</w:t>
            </w:r>
          </w:p>
          <w:p>
            <w:pPr>
              <w:pStyle w:val="TableContents"/>
              <w:bidi w:val="0"/>
              <w:spacing w:before="0" w:after="0"/>
              <w:jc w:val="center"/>
              <w:rPr/>
            </w:pPr>
            <w:r>
              <w:rPr/>
            </w:r>
          </w:p>
          <w:p>
            <w:pPr>
              <w:pStyle w:val="TableContents"/>
              <w:bidi w:val="0"/>
              <w:spacing w:before="0" w:after="0"/>
              <w:jc w:val="center"/>
              <w:rPr>
                <w:b/>
                <w:spacing w:val="0"/>
              </w:rPr>
            </w:pPr>
            <w:r>
              <w:rPr>
                <w:b/>
                <w:spacing w:val="0"/>
              </w:rPr>
              <w:t>for Identical</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Unobservable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7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7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sz w:val="4"/>
                <w:szCs w:val="4"/>
              </w:rPr>
            </w:pPr>
            <w:r>
              <w:rPr>
                <w:sz w:val="4"/>
                <w:szCs w:val="4"/>
              </w:rPr>
            </w:r>
          </w:p>
        </w:tc>
        <w:tc>
          <w:tcPr>
            <w:tcW w:w="141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pPr>
            <w:r>
              <w:rPr/>
              <w:t> </w:t>
            </w: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lef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lef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$1,956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approximates its fair value because its variable interest rate reflects the market rate for the respective periods. The fair value of this debt is categorized within Level 2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10. Accrued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2025, 95% of all employees of the Company were eligible for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Changes in accrued severance benefits are as follows (in thousands): </w:t>
      </w:r>
    </w:p>
    <w:p>
      <w:pPr>
        <w:pStyle w:val="TextBody"/>
        <w:bidi w:val="0"/>
        <w:spacing w:before="0" w:after="0"/>
        <w:jc w:val="left"/>
        <w:rPr/>
      </w:pPr>
      <w:r>
        <w:rPr/>
        <w:t> </w:t>
      </w:r>
    </w:p>
    <w:tbl>
      <w:tblPr>
        <w:tblW w:w="8606" w:type="dxa"/>
        <w:jc w:val="left"/>
        <w:tblInd w:w="0" w:type="dxa"/>
        <w:tblLayout w:type="fixed"/>
        <w:tblCellMar>
          <w:top w:w="0" w:type="dxa"/>
          <w:left w:w="0" w:type="dxa"/>
          <w:bottom w:w="0" w:type="dxa"/>
          <w:right w:w="0" w:type="dxa"/>
        </w:tblCellMar>
      </w:tblPr>
      <w:tblGrid>
        <w:gridCol w:w="5885"/>
        <w:gridCol w:w="120"/>
        <w:gridCol w:w="166"/>
        <w:gridCol w:w="903"/>
        <w:gridCol w:w="165"/>
        <w:gridCol w:w="128"/>
        <w:gridCol w:w="166"/>
        <w:gridCol w:w="903"/>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3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45,594</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45,932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1,514</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1,405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(325</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(884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103</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(1,969</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03" w:type="dxa"/>
            <w:tcBorders/>
            <w:vAlign w:val="center"/>
          </w:tcPr>
          <w:p>
            <w:pPr>
              <w:pStyle w:val="TableContents"/>
              <w:bidi w:val="0"/>
              <w:spacing w:before="0" w:after="0"/>
              <w:jc w:val="left"/>
              <w:rPr>
                <w:bdr w:val="single" w:sz="2" w:space="1" w:color="000000"/>
              </w:rPr>
            </w:pPr>
            <w:r>
              <w:rPr>
                <w:bdr w:val="single" w:sz="2"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0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46,886</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44,484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(28,821</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(28,954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w:t>
            </w:r>
          </w:p>
        </w:tc>
        <w:tc>
          <w:tcPr>
            <w:tcW w:w="16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03" w:type="dxa"/>
            <w:tcBorders/>
            <w:vAlign w:val="center"/>
          </w:tcPr>
          <w:p>
            <w:pPr>
              <w:pStyle w:val="TableContents"/>
              <w:bidi w:val="0"/>
              <w:spacing w:before="0" w:after="0"/>
              <w:jc w:val="left"/>
              <w:rPr>
                <w:bdr w:val="single" w:sz="2" w:space="1" w:color="000000"/>
              </w:rPr>
            </w:pPr>
            <w:r>
              <w:rPr>
                <w:bdr w:val="single" w:sz="2"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0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03" w:type="dxa"/>
            <w:tcBorders/>
            <w:vAlign w:val="center"/>
          </w:tcPr>
          <w:p>
            <w:pPr>
              <w:pStyle w:val="TableContents"/>
              <w:bidi w:val="0"/>
              <w:spacing w:before="0" w:after="283"/>
              <w:jc w:val="right"/>
              <w:rPr/>
            </w:pPr>
            <w:r>
              <w:rPr/>
              <w:t>18,041</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03" w:type="dxa"/>
            <w:tcBorders/>
            <w:vAlign w:val="center"/>
          </w:tcPr>
          <w:p>
            <w:pPr>
              <w:pStyle w:val="TableContents"/>
              <w:bidi w:val="0"/>
              <w:spacing w:before="0" w:after="283"/>
              <w:jc w:val="right"/>
              <w:rPr/>
            </w:pPr>
            <w:r>
              <w:rPr/>
              <w:t>15,503</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903" w:type="dxa"/>
            <w:tcBorders/>
            <w:vAlign w:val="center"/>
          </w:tcPr>
          <w:p>
            <w:pPr>
              <w:pStyle w:val="TableContents"/>
              <w:bidi w:val="0"/>
              <w:spacing w:before="0" w:after="0"/>
              <w:jc w:val="left"/>
              <w:rPr>
                <w:bdr w:val="double" w:sz="6" w:space="1" w:color="000000"/>
              </w:rPr>
            </w:pPr>
            <w:r>
              <w:rPr>
                <w:bdr w:val="double" w:sz="6" w:space="1" w:color="000000"/>
              </w:rPr>
              <w:t> </w:t>
            </w:r>
          </w:p>
        </w:tc>
        <w:tc>
          <w:tcPr>
            <w:tcW w:w="16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90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rPr>
      </w:pPr>
      <w:r>
        <w:rPr>
          <w:rFonts w:ascii="Times New Roman" w:hAnsi="Times New Roman"/>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liable to pay the following future benefits to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upon their normal retirement age (in thousands):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070"/>
        <w:gridCol w:w="120"/>
        <w:gridCol w:w="308"/>
        <w:gridCol w:w="1497"/>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316</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557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375</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3,063</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3,468</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2031 – 2036</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21,778</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amounts were determined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that will cease working with the Company before their normal retirement ages. </w:t>
      </w:r>
    </w:p>
    <w:p>
      <w:pPr>
        <w:pStyle w:val="TextBody"/>
        <w:bidi w:val="0"/>
        <w:spacing w:before="240" w:after="0"/>
        <w:jc w:val="left"/>
        <w:rPr>
          <w:rFonts w:ascii="Times New Roman" w:hAnsi="Times New Roman"/>
          <w:sz w:val="20"/>
        </w:rPr>
      </w:pPr>
      <w:r>
        <w:rPr>
          <w:rFonts w:ascii="Times New Roman" w:hAnsi="Times New Roman"/>
          <w:sz w:val="20"/>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Long-Term Borrowing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$29,835 thousand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3-month</w:t>
      </w:r>
    </w:p>
    <w:p>
      <w:pPr>
        <w:pStyle w:val="TextBody"/>
        <w:bidi w:val="0"/>
        <w:spacing w:before="240" w:after="0"/>
        <w:jc w:val="left"/>
        <w:rPr>
          <w:rFonts w:ascii="Times New Roman" w:hAnsi="Times New Roman"/>
          <w:sz w:val="20"/>
        </w:rPr>
      </w:pPr>
      <w:r>
        <w:rPr>
          <w:rFonts w:ascii="Times New Roman" w:hAnsi="Times New Roman"/>
          <w:sz w:val="20"/>
        </w:rPr>
        <w:t xml:space="preserve">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approximately $27,276 thousand aggregate principal amount of the Term Loan was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KDB. In connection with the Equipment Financing Credit Agreement, on December 8, 2024, MSK also amended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Kun-Pledge</w:t>
      </w:r>
    </w:p>
    <w:p>
      <w:pPr>
        <w:pStyle w:val="TextBody"/>
        <w:bidi w:val="0"/>
        <w:spacing w:before="120" w:after="0"/>
        <w:jc w:val="left"/>
        <w:rPr>
          <w:rFonts w:ascii="Times New Roman" w:hAnsi="Times New Roman"/>
          <w:sz w:val="20"/>
        </w:rPr>
      </w:pPr>
      <w:r>
        <w:rPr>
          <w:rFonts w:ascii="Times New Roman" w:hAnsi="Times New Roman"/>
          <w:sz w:val="20"/>
        </w:rPr>
        <w:t xml:space="preserve">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(the “Maturity Date”), with an initial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240" w:after="0"/>
        <w:jc w:val="left"/>
        <w:rPr>
          <w:rFonts w:ascii="Times New Roman" w:hAnsi="Times New Roman"/>
          <w:sz w:val="20"/>
        </w:rPr>
      </w:pPr>
      <w:r>
        <w:rPr>
          <w:rFonts w:ascii="Times New Roman" w:hAnsi="Times New Roman"/>
          <w:sz w:val="20"/>
        </w:rPr>
        <w:t>As of March 31, 2025, there w</w:t>
      </w:r>
    </w:p>
    <w:p>
      <w:pPr>
        <w:pStyle w:val="TextBody"/>
        <w:bidi w:val="0"/>
        <w:spacing w:before="240" w:after="0"/>
        <w:jc w:val="left"/>
        <w:rPr>
          <w:rFonts w:ascii="Times New Roman" w:hAnsi="Times New Roman"/>
          <w:sz w:val="20"/>
        </w:rPr>
      </w:pPr>
      <w:r>
        <w:rPr>
          <w:rFonts w:ascii="Times New Roman" w:hAnsi="Times New Roman"/>
          <w:sz w:val="20"/>
        </w:rPr>
        <w:t>e</w:t>
      </w:r>
    </w:p>
    <w:p>
      <w:pPr>
        <w:pStyle w:val="TextBody"/>
        <w:bidi w:val="0"/>
        <w:spacing w:before="240" w:after="0"/>
        <w:jc w:val="left"/>
        <w:rPr>
          <w:rFonts w:ascii="Times New Roman" w:hAnsi="Times New Roman"/>
          <w:sz w:val="20"/>
        </w:rPr>
      </w:pPr>
      <w:r>
        <w:rPr>
          <w:rFonts w:ascii="Times New Roman" w:hAnsi="Times New Roman"/>
          <w:sz w:val="20"/>
        </w:rPr>
        <w:t>re</w:t>
      </w:r>
    </w:p>
    <w:p>
      <w:pPr>
        <w:pStyle w:val="TextBody"/>
        <w:bidi w:val="0"/>
        <w:spacing w:before="240" w:after="0"/>
        <w:jc w:val="left"/>
        <w:rPr/>
      </w:pPr>
      <w:r>
        <w:rPr/>
        <w:t> </w:t>
      </w:r>
      <w:r>
        <w:rPr>
          <w:rFonts w:ascii="Times New Roman" w:hAnsi="Times New Roman"/>
          <w:sz w:val="20"/>
        </w:rPr>
        <w:t xml:space="preserve">no CAPEX </w:t>
      </w:r>
    </w:p>
    <w:p>
      <w:pPr>
        <w:pStyle w:val="TextBody"/>
        <w:bidi w:val="0"/>
        <w:spacing w:before="240" w:after="0"/>
        <w:jc w:val="left"/>
        <w:rPr>
          <w:rFonts w:ascii="Times New Roman" w:hAnsi="Times New Roman"/>
          <w:sz w:val="20"/>
        </w:rPr>
      </w:pPr>
      <w:r>
        <w:rPr>
          <w:rFonts w:ascii="Times New Roman" w:hAnsi="Times New Roman"/>
          <w:sz w:val="20"/>
        </w:rPr>
        <w:t>L</w:t>
      </w:r>
    </w:p>
    <w:p>
      <w:pPr>
        <w:pStyle w:val="TextBody"/>
        <w:bidi w:val="0"/>
        <w:spacing w:before="240" w:after="0"/>
        <w:jc w:val="left"/>
        <w:rPr>
          <w:rFonts w:ascii="Times New Roman" w:hAnsi="Times New Roman"/>
          <w:sz w:val="20"/>
        </w:rPr>
      </w:pPr>
      <w:r>
        <w:rPr>
          <w:rFonts w:ascii="Times New Roman" w:hAnsi="Times New Roman"/>
          <w:sz w:val="20"/>
        </w:rPr>
        <w:t>oan</w:t>
      </w:r>
    </w:p>
    <w:p>
      <w:pPr>
        <w:pStyle w:val="TextBody"/>
        <w:bidi w:val="0"/>
        <w:spacing w:before="240" w:after="0"/>
        <w:jc w:val="left"/>
        <w:rPr>
          <w:rFonts w:ascii="Times New Roman" w:hAnsi="Times New Roman"/>
          <w:sz w:val="20"/>
        </w:rPr>
      </w:pPr>
      <w:r>
        <w:rPr>
          <w:rFonts w:ascii="Times New Roman" w:hAnsi="Times New Roman"/>
          <w:sz w:val="20"/>
        </w:rPr>
        <w:t>s</w:t>
      </w:r>
    </w:p>
    <w:p>
      <w:pPr>
        <w:pStyle w:val="TextBody"/>
        <w:bidi w:val="0"/>
        <w:spacing w:before="240" w:after="0"/>
        <w:jc w:val="left"/>
        <w:rPr>
          <w:rFonts w:ascii="Times New Roman" w:hAnsi="Times New Roman"/>
          <w:sz w:val="20"/>
        </w:rPr>
      </w:pPr>
      <w:r>
        <w:rPr>
          <w:rFonts w:ascii="Times New Roman" w:hAnsi="Times New Roman"/>
          <w:sz w:val="20"/>
        </w:rPr>
        <w:t xml:space="preserve">outstanding under the Equipment Financing Credit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12. Foreign Currency Loss, Net </w:t>
      </w:r>
    </w:p>
    <w:p>
      <w:pPr>
        <w:pStyle w:val="TextBody"/>
        <w:bidi w:val="0"/>
        <w:spacing w:before="120" w:after="0"/>
        <w:jc w:val="left"/>
        <w:rPr>
          <w:rFonts w:ascii="Times New Roman" w:hAnsi="Times New Roman"/>
          <w:sz w:val="20"/>
        </w:rPr>
      </w:pPr>
      <w:r>
        <w:rPr>
          <w:rFonts w:ascii="Times New Roman" w:hAnsi="Times New Roman"/>
          <w:sz w:val="20"/>
        </w:rPr>
        <w:t xml:space="preserve">Net foreign currency gain or loss includes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long-term loans to MSK, one of the Company’s Korean subsidiaries. The loans are denominated in U.S. dollars and are affected by changes in the exchange rate between the Korean won and the U.S. dollar. As of March 31, 2025 and December 31, 2024, the outstanding intercompany loan balances including accrued interest between MSK and the Dutch subsidiary were $260,731 thousand and $257,670 thousand, respectively. The Korean won to U.S. dollar exchange rates were 1,466.5:1 and 1,470.0:1 using the first base rate as of March 31, 2025 and December 31, 2024, respectively, as quoted by the KEB Hana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13. Income Taxes</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by tax authorities of these jurisdictions for all open tax years.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the Company recorded an income tax benefit of $401 thousand, primarily related to its primary operating entity in Korea based on the estimated taxable loss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2024, the Company recorded an income tax expense of $1,905 thousand, primarily related to a deferred tax adjustment associated with the assets transferred between our Korean subsidiaries as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in-kind</w:t>
      </w:r>
    </w:p>
    <w:p>
      <w:pPr>
        <w:pStyle w:val="TextBody"/>
        <w:bidi w:val="0"/>
        <w:spacing w:before="240" w:after="0"/>
        <w:jc w:val="left"/>
        <w:rPr>
          <w:rFonts w:ascii="Times New Roman" w:hAnsi="Times New Roman"/>
          <w:sz w:val="20"/>
        </w:rPr>
      </w:pPr>
      <w:r>
        <w:rPr>
          <w:rFonts w:ascii="Times New Roman" w:hAnsi="Times New Roman"/>
          <w:sz w:val="20"/>
        </w:rPr>
        <w:t xml:space="preserve">contribution.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14. Geographic and Other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within a single operating segment, Power solutions business, and also separately reports transitional Fab 3 foundry services revenue and cost of sales.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does not evaluate the performance of each business line using any information, such as asset or liability, other than revenue and gross profit margin. </w:t>
      </w:r>
    </w:p>
    <w:p>
      <w:pPr>
        <w:pStyle w:val="TextBody"/>
        <w:bidi w:val="0"/>
        <w:spacing w:before="240" w:after="0"/>
        <w:jc w:val="left"/>
        <w:rPr>
          <w:rFonts w:ascii="Times New Roman" w:hAnsi="Times New Roman"/>
          <w:sz w:val="20"/>
        </w:rPr>
      </w:pPr>
      <w:r>
        <w:rPr>
          <w:rFonts w:ascii="Times New Roman" w:hAnsi="Times New Roman"/>
          <w:sz w:val="20"/>
        </w:rPr>
        <w:t xml:space="preserve">Revenues for the three months ended March 31, 2024 from its previous product categories have been reclassified in order to conform to the current period presentation as follows (in thousands):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2000"/>
        <w:gridCol w:w="120"/>
        <w:gridCol w:w="140"/>
        <w:gridCol w:w="680"/>
        <w:gridCol w:w="60"/>
        <w:gridCol w:w="120"/>
        <w:gridCol w:w="154"/>
        <w:gridCol w:w="751"/>
        <w:gridCol w:w="60"/>
        <w:gridCol w:w="120"/>
        <w:gridCol w:w="187"/>
        <w:gridCol w:w="748"/>
        <w:gridCol w:w="60"/>
        <w:gridCol w:w="120"/>
        <w:gridCol w:w="256"/>
        <w:gridCol w:w="1024"/>
        <w:gridCol w:w="60"/>
        <w:gridCol w:w="120"/>
        <w:gridCol w:w="140"/>
        <w:gridCol w:w="6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4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t>Power</w:t>
              <w:br/>
              <w:t>Analog</w:t>
              <w:br/>
              <w:t>Solutions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Power 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Discontinued</w:t>
              <w:br/>
              <w:t>Operations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3,377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5,629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9,006</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7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36,535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36,535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36,535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74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45,541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36,535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3,377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5,629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45,541</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74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sets forth information relating to the operating segment, Power solutions business, as well as the transitional Fab 3 foundry services (in thousands). For financial information below gross profit, including operating income and expenses as well as other income and expenses, please refer to the Company’s consolidated statement of operations. </w:t>
      </w:r>
    </w:p>
    <w:p>
      <w:pPr>
        <w:pStyle w:val="TextBody"/>
        <w:bidi w:val="0"/>
        <w:spacing w:before="0" w:after="0"/>
        <w:jc w:val="left"/>
        <w:rPr/>
      </w:pPr>
      <w:r>
        <w:rPr/>
        <w:t> </w:t>
      </w:r>
    </w:p>
    <w:tbl>
      <w:tblPr>
        <w:tblW w:w="5450" w:type="dxa"/>
        <w:jc w:val="left"/>
        <w:tblInd w:w="0" w:type="dxa"/>
        <w:tblLayout w:type="fixed"/>
        <w:tblCellMar>
          <w:top w:w="0" w:type="dxa"/>
          <w:left w:w="0" w:type="dxa"/>
          <w:bottom w:w="0" w:type="dxa"/>
          <w:right w:w="0" w:type="dxa"/>
        </w:tblCellMar>
      </w:tblPr>
      <w:tblGrid>
        <w:gridCol w:w="2900"/>
        <w:gridCol w:w="120"/>
        <w:gridCol w:w="182"/>
        <w:gridCol w:w="887"/>
        <w:gridCol w:w="72"/>
        <w:gridCol w:w="145"/>
        <w:gridCol w:w="182"/>
        <w:gridCol w:w="887"/>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39,857</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36,535</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4,865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3,377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44,722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39,912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3,526</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44,722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43,438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50" w:type="dxa"/>
        <w:jc w:val="left"/>
        <w:tblInd w:w="0" w:type="dxa"/>
        <w:tblLayout w:type="fixed"/>
        <w:tblCellMar>
          <w:top w:w="0" w:type="dxa"/>
          <w:left w:w="0" w:type="dxa"/>
          <w:bottom w:w="0" w:type="dxa"/>
          <w:right w:w="0" w:type="dxa"/>
        </w:tblCellMar>
      </w:tblPr>
      <w:tblGrid>
        <w:gridCol w:w="2900"/>
        <w:gridCol w:w="120"/>
        <w:gridCol w:w="182"/>
        <w:gridCol w:w="887"/>
        <w:gridCol w:w="72"/>
        <w:gridCol w:w="145"/>
        <w:gridCol w:w="182"/>
        <w:gridCol w:w="887"/>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32,757</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30,901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2,603</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1,967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35,360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32,868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4,211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35,360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37,079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580" w:type="dxa"/>
        <w:jc w:val="left"/>
        <w:tblInd w:w="0" w:type="dxa"/>
        <w:tblLayout w:type="fixed"/>
        <w:tblCellMar>
          <w:top w:w="0" w:type="dxa"/>
          <w:left w:w="0" w:type="dxa"/>
          <w:bottom w:w="0" w:type="dxa"/>
          <w:right w:w="0" w:type="dxa"/>
        </w:tblCellMar>
      </w:tblPr>
      <w:tblGrid>
        <w:gridCol w:w="2900"/>
        <w:gridCol w:w="120"/>
        <w:gridCol w:w="214"/>
        <w:gridCol w:w="856"/>
        <w:gridCol w:w="83"/>
        <w:gridCol w:w="167"/>
        <w:gridCol w:w="214"/>
        <w:gridCol w:w="856"/>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7,100</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5,634</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2,262</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1,410</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9,362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7,044</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(685</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8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9,362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6,359</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85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net sales – Power solutions business by geographic region, based on the location to which the products are billed (in thousands): </w:t>
      </w:r>
    </w:p>
    <w:p>
      <w:pPr>
        <w:pStyle w:val="TextBody"/>
        <w:bidi w:val="0"/>
        <w:spacing w:before="0" w:after="0"/>
        <w:jc w:val="left"/>
        <w:rPr/>
      </w:pPr>
      <w:r>
        <w:rPr/>
        <w:t> </w:t>
      </w:r>
    </w:p>
    <w:tbl>
      <w:tblPr>
        <w:tblW w:w="5060" w:type="dxa"/>
        <w:jc w:val="left"/>
        <w:tblInd w:w="0" w:type="dxa"/>
        <w:tblLayout w:type="fixed"/>
        <w:tblCellMar>
          <w:top w:w="0" w:type="dxa"/>
          <w:left w:w="0" w:type="dxa"/>
          <w:bottom w:w="0" w:type="dxa"/>
          <w:right w:w="0" w:type="dxa"/>
        </w:tblCellMar>
      </w:tblPr>
      <w:tblGrid>
        <w:gridCol w:w="2510"/>
        <w:gridCol w:w="120"/>
        <w:gridCol w:w="182"/>
        <w:gridCol w:w="887"/>
        <w:gridCol w:w="72"/>
        <w:gridCol w:w="145"/>
        <w:gridCol w:w="182"/>
        <w:gridCol w:w="887"/>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21,716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17,091</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20,992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21,089</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1,182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338</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832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1,394</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44,722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39,912</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and 2024, of the Company’s net sales – Power solutions business in Asia Pacific (other than Korea), net sales – Power solutions business in China and Hong Kong together represented 83.1% and 81.3%, respectively, and net sales – Power solutions business in Taiwan represented 11.3% and 12.0%, respectively.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Company’s top ten largest customers in the Power solutions business accounted for 75% and 74% for the three months ended March 31,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the Company had one customer that represented 32.9% of its net sales – Power solutions business. For the three months ended March 31, 2024, the Company had three customers that represented 28.1%, 10.6% and 10.1% of its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one customer of the Company’s Power solutions business accounted for 45.5% of its accounts receivable – Power solutions business. As of December 31, 2024, one customer of the Company’s Power solutions business accounted for 42.3% of its accounts receivable – Power solutions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15.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Accumulated other comprehensive loss consists of the following as of March 31, 2025 and December 31, 2024, respectively (in thousands):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3350"/>
        <w:gridCol w:w="120"/>
        <w:gridCol w:w="166"/>
        <w:gridCol w:w="903"/>
        <w:gridCol w:w="155"/>
        <w:gridCol w:w="120"/>
        <w:gridCol w:w="220"/>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(20,172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(20,927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(966</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(20,477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9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accumulated other comprehensive loss for the three months ended March 31, 2025 and 2024 are as follows (in thousands): </w:t>
      </w:r>
    </w:p>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94"/>
        <w:gridCol w:w="956"/>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March 31, 2025</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(966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(21,893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136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891</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525</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661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1,416</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(305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(20,477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5330"/>
        <w:gridCol w:w="120"/>
        <w:gridCol w:w="195"/>
        <w:gridCol w:w="1055"/>
        <w:gridCol w:w="155"/>
        <w:gridCol w:w="60"/>
        <w:gridCol w:w="294"/>
        <w:gridCol w:w="956"/>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March 31,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(605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(4,102</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(546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(4,043</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(18,845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Stock Repurchase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the Board of Directors authorized a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to December 2023, the Company repurchased 1,730,173 shares of its common stock in the open market for an aggregate purchase price of $13.6 million and a weighted average price per share of $7.84 under the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2024 to December 2024, the Company repurchased 2,349,811 shares of its common stock in the open market for an aggregate purchase price of $11.8 million and a weighted average price per share of $5.04 under the 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From January 2025 to March 2025, the Company repurchased 296,835 shares of its common stock in the open market for an aggregate purchase price of $1.1 million and a weighted average price per share of $3.70 under the stock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17.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the computation of basic and diluted loss per common share for the three months ended March 31, 2025 and 2024: </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370"/>
        <w:gridCol w:w="120"/>
        <w:gridCol w:w="151"/>
        <w:gridCol w:w="1187"/>
        <w:gridCol w:w="167"/>
        <w:gridCol w:w="129"/>
        <w:gridCol w:w="151"/>
        <w:gridCol w:w="1190"/>
        <w:gridCol w:w="170"/>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75" w:type="dxa"/>
            <w:gridSpan w:val="6"/>
            <w:tcBorders/>
            <w:vAlign w:val="center"/>
          </w:tcPr>
          <w:p>
            <w:pPr>
              <w:pStyle w:val="TableContents"/>
              <w:bidi w:val="0"/>
              <w:spacing w:before="0" w:after="0"/>
              <w:jc w:val="center"/>
              <w:rPr>
                <w:b/>
                <w:spacing w:val="0"/>
              </w:rPr>
            </w:pPr>
            <w:r>
              <w:rPr>
                <w:b/>
                <w:spacing w:val="0"/>
              </w:rPr>
              <w:t>(In thousands of U.S. dollars,</w:t>
              <w:br/>
              <w:t>except share data)</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(5,082</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(14,284</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(3,796</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(1,133</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(8,878</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(15,417</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36,887,841</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38,544,781</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(0.14</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(0.37</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(0.10</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(0.03</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(0.24</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(0.40</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common share</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(5,082</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(14,284</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(3,796</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(1,133</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allocated to common stockholders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(8,878</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(15,417</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36,887,841</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38,544,781</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36,887,841</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38,544,781</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(0.14</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(0.37</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(0.10</w:t>
            </w:r>
          </w:p>
        </w:tc>
        <w:tc>
          <w:tcPr>
            <w:tcW w:w="167"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(0.03</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right"/>
              <w:rPr/>
            </w:pPr>
            <w:r>
              <w:rPr/>
              <w:t>(0.24</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(0.40</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(loss) per common share adjusts basic earnings (loss) per common share for the potentially dilutive impact of stock options and restricted stock units. As the Company has reported loss from continuing operations for the three months ended March 31, 2025 and 2024, all potentially dilutive securities are antidilutive and accordingly not considered, therefore basic loss per common share equals diluted loss per common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outstanding instruments were excluded from the computation of diluted loss per common share, as they have an anti-dilutive effect on the calculation: </w:t>
      </w:r>
    </w:p>
    <w:p>
      <w:pPr>
        <w:pStyle w:val="TextBody"/>
        <w:bidi w:val="0"/>
        <w:spacing w:before="0" w:after="0"/>
        <w:jc w:val="left"/>
        <w:rPr/>
      </w:pPr>
      <w:r>
        <w:rPr/>
        <w:t> </w:t>
      </w:r>
    </w:p>
    <w:tbl>
      <w:tblPr>
        <w:tblW w:w="4408" w:type="dxa"/>
        <w:jc w:val="left"/>
        <w:tblInd w:w="0" w:type="dxa"/>
        <w:tblLayout w:type="fixed"/>
        <w:tblCellMar>
          <w:top w:w="0" w:type="dxa"/>
          <w:left w:w="0" w:type="dxa"/>
          <w:bottom w:w="0" w:type="dxa"/>
          <w:right w:w="0" w:type="dxa"/>
        </w:tblCellMar>
      </w:tblPr>
      <w:tblGrid>
        <w:gridCol w:w="1850"/>
        <w:gridCol w:w="120"/>
        <w:gridCol w:w="63"/>
        <w:gridCol w:w="1041"/>
        <w:gridCol w:w="63"/>
        <w:gridCol w:w="127"/>
        <w:gridCol w:w="73"/>
        <w:gridCol w:w="996"/>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728,792</w:t>
            </w:r>
          </w:p>
        </w:tc>
        <w:tc>
          <w:tcPr>
            <w:tcW w:w="6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757,858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1,783,538</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922,307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18.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to Suppliers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may make advances in form of prepayments or deposits to suppliers, including external foundries, to meet its planned production. The Company recorded advances of $2,262 thousand and $2,294 thousand as other current assets as of March 31,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19. Subsequent Events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Repurchase </w:t>
      </w:r>
    </w:p>
    <w:p>
      <w:pPr>
        <w:pStyle w:val="TextBody"/>
        <w:bidi w:val="0"/>
        <w:spacing w:before="120" w:after="0"/>
        <w:jc w:val="left"/>
        <w:rPr>
          <w:rFonts w:ascii="Times New Roman" w:hAnsi="Times New Roman"/>
          <w:sz w:val="20"/>
        </w:rPr>
      </w:pPr>
      <w:r>
        <w:rPr>
          <w:rFonts w:ascii="Times New Roman" w:hAnsi="Times New Roman"/>
          <w:sz w:val="20"/>
        </w:rPr>
        <w:t xml:space="preserve">In April 2025, the Company repurchased 612,184 shares of its common stock in the open market for an aggregate purchase price of $1.9 million and a weighted average price per share of $3.02 under the stock repurchase program. </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2024 filed on March 14, 2025 (“2024 Form 10-K”).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8260" w:type="dxa"/>
        <w:jc w:val="left"/>
        <w:tblInd w:w="0" w:type="dxa"/>
        <w:tblLayout w:type="fixed"/>
        <w:tblCellMar>
          <w:top w:w="0" w:type="dxa"/>
          <w:left w:w="0" w:type="dxa"/>
          <w:bottom w:w="0" w:type="dxa"/>
          <w:right w:w="0" w:type="dxa"/>
        </w:tblCellMar>
      </w:tblPr>
      <w:tblGrid>
        <w:gridCol w:w="725"/>
        <w:gridCol w:w="7535"/>
      </w:tblGrid>
      <w:tr>
        <w:trPr/>
        <w:tc>
          <w:tcPr>
            <w:tcW w:w="725" w:type="dxa"/>
            <w:tcBorders/>
            <w:vAlign w:val="center"/>
          </w:tcPr>
          <w:p>
            <w:pPr>
              <w:pStyle w:val="TableContents"/>
              <w:bidi w:val="0"/>
              <w:spacing w:before="0" w:after="283"/>
              <w:jc w:val="left"/>
              <w:rPr>
                <w:b/>
              </w:rPr>
            </w:pPr>
            <w:bookmarkStart w:id="4" w:name="toc921022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power semiconductor platform solutions for various applications, including industrial, automotive, communication, consumer and computing. We have a proven record with approximately 45 years of operating history, a portfolio of approximately 1,000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We develop and manufacture Power discrete products and develop Power integrated circuit (“IC”) products. Power discrete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e-bikes, solar inverters, LED lighting and motor drives. Power IC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IC and Power Analog Solutions businesses under a single company would create a more effective framework for expanding and strengthening the Company’s business for Power products. We refer to the Power Analog Solutions and Power IC businesses collectively as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our Board of Directors authorized a strategy to transition into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any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including the liquidation of MMS, our indirect wholly owned subsidiary that operated the discontinued Display business. For additional information regarding the announcement of our plan to shut down display business, </w:t>
      </w:r>
      <w:r>
        <w:rPr>
          <w:rFonts w:ascii="Times New Roman" w:hAnsi="Times New Roman"/>
          <w:i/>
          <w:sz w:val="20"/>
        </w:rPr>
        <w:t>see the Company’s Current Report on Form 8-K filed on April 8, 2025</w:t>
      </w:r>
      <w:r>
        <w:rPr>
          <w:rFonts w:ascii="Times New Roman" w:hAnsi="Times New Roman"/>
          <w:sz w:val="20"/>
        </w:rPr>
        <w:t xml:space="preserve">. As a result of the Discontinued Business and the cessation of transitional Fab 3 foundry services, our results from continuing operations in future periods will consist solely of the Power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power semiconductor products combined with our mature technology platform allow us to address multiple high-growth end markets and rapidly develop and introduce new products and services in response to market demands. Our design center in Korea and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Power IC products are produced using an external foundry. Through a strategic cooperation with an external foundry, we manage to ensure outsourcing wafers at competitive price and produce quality products. </w:t>
      </w:r>
    </w:p>
    <w:p>
      <w:pPr>
        <w:pStyle w:val="TextBody"/>
        <w:bidi w:val="0"/>
        <w:spacing w:before="24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for our products and services is driven by overall demand for industrial, automotive, communication, consumer and computing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Power Analog Solutions and Power IC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Power Analog Solutions and Power IC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By outsourcing manufacturing of Power IC products to an external foundry, we have been able to adapt dynamically to changing customer requirements and address growing markets without substantial capital investments by us. However, relying on an external foundry exposes us to the risk of being unable to secure manufacturing capacity, particularly during the global shortage of foundry services. Although we work to diversify the sourcing of external manufacturing,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Shut-Down of Display business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2025, our Board of Directors authorized a strategy to transition to a pure-play Power company, focusing its investments on the Power Analog Solutions and Power IC businesses to enhance profitability and maximize shareholder value. As part of this strategy, we explored all strategic options including a sale, merger, joint venture, licensing, and wind-down for its Display business (Display IC products). However, we were not able to consummate a transaction following several months of discussions with several interested parties on terms that our Board of Directors believed were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April 6, 2025, our Board of Directors unanimously approved the plan to shut down our Display business (the “Discontinued Business”) by the end of the second quarter of 2025, including the liquidation of MMS, our indirect wholly owned subsidiary that operated the discontinued Display business. For additional information regarding the announcement of our plan to shut down display business, </w:t>
      </w:r>
      <w:r>
        <w:rPr>
          <w:rFonts w:ascii="Times New Roman" w:hAnsi="Times New Roman"/>
          <w:i/>
          <w:sz w:val="20"/>
        </w:rPr>
        <w:t>see the Company’s Current Report on Form 8-K filed on April</w:t>
      </w:r>
      <w:r>
        <w:rPr>
          <w:rFonts w:ascii="Times New Roman" w:hAnsi="Times New Roman"/>
          <w:sz w:val="20"/>
        </w:rPr>
        <w:t> </w:t>
      </w:r>
      <w:r>
        <w:rPr>
          <w:rFonts w:ascii="Times New Roman" w:hAnsi="Times New Roman"/>
          <w:i/>
          <w:sz w:val="20"/>
        </w:rPr>
        <w:t>8, 2025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shutting down the Display business, we will provide limited support for remaining customer obligations including the sale of “end of life” (“EOL”)” Display products, which will be conducted by MSK. We will maintain a small team to continue to support customers with respect to EOL Display products. The sale of EOL Display products and the potential monetization of the intellectual property assets of the discontinued Display business are currently expected to generate cash inflow of approximately $15 million to $20 million over a period of approximately 2 years after completion of the liquidation, depending upon the demand of customers and the outcome of the monetization efforts of the Display intellectual property assets. </w:t>
      </w:r>
    </w:p>
    <w:p>
      <w:pPr>
        <w:pStyle w:val="TextBody"/>
        <w:bidi w:val="0"/>
        <w:spacing w:before="240" w:after="0"/>
        <w:jc w:val="left"/>
        <w:rPr>
          <w:rFonts w:ascii="Times New Roman" w:hAnsi="Times New Roman"/>
          <w:sz w:val="20"/>
        </w:rPr>
      </w:pPr>
      <w:r>
        <w:rPr>
          <w:rFonts w:ascii="Times New Roman" w:hAnsi="Times New Roman"/>
          <w:sz w:val="20"/>
        </w:rPr>
        <w:t xml:space="preserve">The total estimated cash cost of the liquidation is approximately $12 to $15 million, which is expected to be offset by the cash inflow that we will generate as described above. The one-time liquidation cost is expected to consist of statutory severance and other employee-related costs, contract termination charges and other associated costs. Of this estimated total cash cost, approximately $4.5 million represents the net statutory severance, required by law, which have already been fully accrued in our consolidated financial statements. We expect to recognize substantially all of these charges, excluding the already fully-accrued net statutory severance of $4.5 million, in the quarter ending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CAPEX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16, 2024, MSK executed a Standard Credit Agreement (as amended) (together with its General Terms and Conditions, the “Equipment Financing Credit Agreement”) with Korea Development Bank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Equipment Financing Credit Agreement provides for loans for MSK’s capital expenditures (the “CAPEX Loans”) up to an aggregate of KRW 38,000,000,000 ($26.5 million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CAPEX Loans will bear interest at a fixed rate quoted by the treasury bond market yield (a six-year Korea treasury bill rate). CAPEX Loans mature in ten years from the initial loan disbursement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MSK executed a Standard Credit Agreement (together with its General Terms and Conditions, the “Loan Agreement”) with KDB. In connection with the Loan Agreement, on March 26, 2024, MSK entered into a Kun-Pledge (Mortgage) Agreement (the “Pledge Agreement”) with KDB pursuant to which MSK pledged its real property and buildings located in Gumi, Korea (“Fab 3 properties”) in favor of KDB.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 million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recently imposed by the United States, any one or more of which may cause (if they have not already caused) volatility and unpredictability in the supply chain or market for semiconductor products and end-user 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net and (iii) derivative valuation gain, net. EBITDA for the periods indicated is defined as net income (loss) before interest income, interest expense, income tax expense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loss to Adjusted EBITDA from continuing operations is as follows: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3785"/>
        <w:gridCol w:w="120"/>
        <w:gridCol w:w="385"/>
        <w:gridCol w:w="1090"/>
        <w:gridCol w:w="155"/>
        <w:gridCol w:w="120"/>
        <w:gridCol w:w="315"/>
        <w:gridCol w:w="1160"/>
        <w:gridCol w:w="170"/>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2024</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3.7</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 from continuing operations</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(10.6</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net(b)</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5.0</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gain, net(c)</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(0.0</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from continuing operations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(4.8</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(loss), income (loss) from continuing operations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equity-based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loss that we make in order to calculate Adjusted Operating Loss for the periods indicated: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3215"/>
        <w:gridCol w:w="120"/>
        <w:gridCol w:w="385"/>
        <w:gridCol w:w="1090"/>
        <w:gridCol w:w="155"/>
        <w:gridCol w:w="120"/>
        <w:gridCol w:w="385"/>
        <w:gridCol w:w="1090"/>
        <w:gridCol w:w="170"/>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2024</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(9.4</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net, (iii) derivative valuation gain, net and (iv)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loss from continuing operations that we make in order to calculate Adjusted Loss (including on a per share basis) from continuing operations for the periods indicated: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3860"/>
        <w:gridCol w:w="120"/>
        <w:gridCol w:w="166"/>
        <w:gridCol w:w="1309"/>
        <w:gridCol w:w="155"/>
        <w:gridCol w:w="120"/>
        <w:gridCol w:w="166"/>
        <w:gridCol w:w="1309"/>
        <w:gridCol w:w="17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March 31,</w:t>
            </w:r>
            <w:r>
              <w:rPr/>
              <w:br/>
            </w:r>
            <w:r>
              <w:rPr>
                <w:b/>
              </w:rPr>
              <w:t>2024</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(Dollars in millions, except per</w:t>
            </w:r>
          </w:p>
          <w:p>
            <w:pPr>
              <w:pStyle w:val="TableContents"/>
              <w:bidi w:val="0"/>
              <w:spacing w:before="0" w:after="20"/>
              <w:jc w:val="center"/>
              <w:rPr>
                <w:rFonts w:ascii="Times New Roman" w:hAnsi="Times New Roman"/>
                <w:b/>
                <w:sz w:val="16"/>
              </w:rPr>
            </w:pPr>
            <w:r>
              <w:rPr>
                <w:rFonts w:ascii="Times New Roman" w:hAnsi="Times New Roman"/>
                <w:b/>
                <w:sz w:val="16"/>
              </w:rPr>
              <w:t>share data)</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(0.0</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from continuing operations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(9.8</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(0.37</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(0.37</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36,887,841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38,544,781</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36,887,841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38,544,781</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(0.26</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36,887,841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38,544,781</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36,887,841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38,544,781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(d)</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March 31, 2025 and 2024, income tax effect on non-GAAP adjustments were calculated by calculating the tax expense of each jurisdiction with or without the non-GAAP adjustments. For the three months ended March 31, 2024, income tax effect on non-GAAP adjustments related to our Korean subsidiary and the U.S. parent entity were negative $1.1 million and negative $0.3 million, respectively.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that all adjustments to income (loss) from continuing operations used to calculate Adjusted Net Income (Loss) from continuing operations was applied consistently to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Power solutions business.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three months ended March 31, 2025 and 2024, we sold products to 140 and 122 customers, respectively, and our net sales to our ten largest customers represented 75% and 74% of our net sales – Power solutions business, respectively.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March 31, 2025, 95%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March 31, 2025, the outstanding intercompany loan balance including accrued interest between MSK and our Dutch subsidiary was $260.7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March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March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8"/>
        <w:gridCol w:w="120"/>
        <w:gridCol w:w="218"/>
        <w:gridCol w:w="687"/>
        <w:gridCol w:w="242"/>
        <w:gridCol w:w="93"/>
        <w:gridCol w:w="152"/>
        <w:gridCol w:w="1443"/>
        <w:gridCol w:w="275"/>
        <w:gridCol w:w="60"/>
        <w:gridCol w:w="207"/>
        <w:gridCol w:w="763"/>
        <w:gridCol w:w="229"/>
        <w:gridCol w:w="88"/>
        <w:gridCol w:w="152"/>
        <w:gridCol w:w="1443"/>
        <w:gridCol w:w="275"/>
        <w:gridCol w:w="60"/>
        <w:gridCol w:w="225"/>
        <w:gridCol w:w="635"/>
        <w:gridCol w:w="170"/>
      </w:tblGrid>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5"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47"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44.7</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39.9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44.7</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43.4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35.4</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32.9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4.2</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35.4</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37.1</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9.4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6.4</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9.7</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9.5</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5.9</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6.2</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(6.3</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(9.4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1.5</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2.1</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(0.6</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(0.4</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(0.2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(5.0</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0.1</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0.0</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0.8</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(3.0</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 before income tax expense (benefit)</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(5.5</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(12.4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6.9</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(0.4</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1.9</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continuing operations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(5.1</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(14.3</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 </w:t>
            </w:r>
          </w:p>
        </w:tc>
      </w:tr>
      <w:tr>
        <w:trPr/>
        <w:tc>
          <w:tcPr>
            <w:tcW w:w="2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(3.8</w:t>
            </w:r>
          </w:p>
        </w:tc>
        <w:tc>
          <w:tcPr>
            <w:tcW w:w="24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single" w:sz="2" w:space="1" w:color="000000"/>
              </w:pBdr>
              <w:bidi w:val="0"/>
              <w:spacing w:before="0" w:after="0"/>
              <w:jc w:val="left"/>
              <w:rPr/>
            </w:pPr>
            <w:r>
              <w:rPr/>
              <w:t> </w:t>
            </w:r>
          </w:p>
        </w:tc>
        <w:tc>
          <w:tcPr>
            <w:tcW w:w="687" w:type="dxa"/>
            <w:tcBorders/>
            <w:vAlign w:val="center"/>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1443"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(8.9</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(15.4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pBdr>
                <w:top w:val="double" w:sz="6" w:space="1" w:color="000000"/>
              </w:pBdr>
              <w:bidi w:val="0"/>
              <w:spacing w:before="0" w:after="0"/>
              <w:jc w:val="left"/>
              <w:rPr/>
            </w:pPr>
            <w:r>
              <w:rPr/>
              <w:t> </w:t>
            </w:r>
          </w:p>
        </w:tc>
        <w:tc>
          <w:tcPr>
            <w:tcW w:w="687" w:type="dxa"/>
            <w:tcBorders/>
            <w:vAlign w:val="center"/>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1443"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1443"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224"/>
        <w:gridCol w:w="704"/>
        <w:gridCol w:w="96"/>
        <w:gridCol w:w="192"/>
        <w:gridCol w:w="154"/>
        <w:gridCol w:w="1441"/>
        <w:gridCol w:w="275"/>
        <w:gridCol w:w="60"/>
        <w:gridCol w:w="224"/>
        <w:gridCol w:w="704"/>
        <w:gridCol w:w="96"/>
        <w:gridCol w:w="192"/>
        <w:gridCol w:w="154"/>
        <w:gridCol w:w="1441"/>
        <w:gridCol w:w="275"/>
        <w:gridCol w:w="60"/>
        <w:gridCol w:w="225"/>
        <w:gridCol w:w="635"/>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39.9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36.5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3.3</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4.9</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44.7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39.9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3.5</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44.7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43.4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tbl>
      <w:tblPr>
        <w:tblW w:w="10125" w:type="dxa"/>
        <w:jc w:val="left"/>
        <w:tblInd w:w="0" w:type="dxa"/>
        <w:tblLayout w:type="fixed"/>
        <w:tblCellMar>
          <w:top w:w="0" w:type="dxa"/>
          <w:left w:w="0" w:type="dxa"/>
          <w:bottom w:w="0" w:type="dxa"/>
          <w:right w:w="0" w:type="dxa"/>
        </w:tblCellMar>
      </w:tblPr>
      <w:tblGrid>
        <w:gridCol w:w="3980"/>
        <w:gridCol w:w="120"/>
        <w:gridCol w:w="271"/>
        <w:gridCol w:w="620"/>
        <w:gridCol w:w="116"/>
        <w:gridCol w:w="232"/>
        <w:gridCol w:w="116"/>
        <w:gridCol w:w="855"/>
        <w:gridCol w:w="275"/>
        <w:gridCol w:w="60"/>
        <w:gridCol w:w="233"/>
        <w:gridCol w:w="658"/>
        <w:gridCol w:w="258"/>
        <w:gridCol w:w="100"/>
        <w:gridCol w:w="100"/>
        <w:gridCol w:w="861"/>
        <w:gridCol w:w="275"/>
        <w:gridCol w:w="60"/>
        <w:gridCol w:w="261"/>
        <w:gridCol w:w="599"/>
        <w:gridCol w:w="75"/>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w:t>
              <w:br/>
              <w:t>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w:t>
              <w:br/>
              <w:t>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0" w:type="dxa"/>
            <w:gridSpan w:val="18"/>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8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658"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6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Power solutions business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7.1</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5.6</w:t>
            </w:r>
          </w:p>
        </w:tc>
        <w:tc>
          <w:tcPr>
            <w:tcW w:w="2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2.3</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46.5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1.4</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0.9</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pBdr>
                <w:top w:val="single" w:sz="2" w:space="1" w:color="000000"/>
              </w:pBdr>
              <w:bidi w:val="0"/>
              <w:spacing w:before="0" w:after="0"/>
              <w:jc w:val="left"/>
              <w:rPr/>
            </w:pPr>
            <w:r>
              <w:rPr/>
              <w:t> </w:t>
            </w:r>
          </w:p>
        </w:tc>
        <w:tc>
          <w:tcPr>
            <w:tcW w:w="658" w:type="dxa"/>
            <w:tcBorders/>
            <w:vAlign w:val="center"/>
          </w:tcPr>
          <w:p>
            <w:pPr>
              <w:pStyle w:val="TableContents"/>
              <w:pBdr>
                <w:top w:val="single" w:sz="2" w:space="1" w:color="000000"/>
              </w:pBdr>
              <w:bidi w:val="0"/>
              <w:spacing w:before="0" w:after="0"/>
              <w:jc w:val="left"/>
              <w:rPr/>
            </w:pPr>
            <w:r>
              <w:rPr/>
              <w:t> </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59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Power solutions business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9.4</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7.0</w:t>
            </w:r>
          </w:p>
        </w:tc>
        <w:tc>
          <w:tcPr>
            <w:tcW w:w="2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(0.7</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0.7</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pBdr>
                <w:top w:val="single" w:sz="2" w:space="1" w:color="000000"/>
              </w:pBdr>
              <w:bidi w:val="0"/>
              <w:spacing w:before="0" w:after="0"/>
              <w:jc w:val="left"/>
              <w:rPr/>
            </w:pPr>
            <w:r>
              <w:rPr/>
              <w:t> </w:t>
            </w:r>
          </w:p>
        </w:tc>
        <w:tc>
          <w:tcPr>
            <w:tcW w:w="658" w:type="dxa"/>
            <w:tcBorders/>
            <w:vAlign w:val="center"/>
          </w:tcPr>
          <w:p>
            <w:pPr>
              <w:pStyle w:val="TableContents"/>
              <w:pBdr>
                <w:top w:val="single" w:sz="2" w:space="1" w:color="000000"/>
              </w:pBdr>
              <w:bidi w:val="0"/>
              <w:spacing w:before="0" w:after="0"/>
              <w:jc w:val="left"/>
              <w:rPr/>
            </w:pPr>
            <w:r>
              <w:rPr/>
              <w:t> </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59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9.4</w:t>
            </w:r>
          </w:p>
        </w:tc>
        <w:tc>
          <w:tcPr>
            <w:tcW w:w="1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6.4</w:t>
            </w:r>
          </w:p>
        </w:tc>
        <w:tc>
          <w:tcPr>
            <w:tcW w:w="2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3.0</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pBdr>
                <w:top w:val="double" w:sz="6" w:space="1" w:color="000000"/>
              </w:pBdr>
              <w:bidi w:val="0"/>
              <w:spacing w:before="0" w:after="0"/>
              <w:jc w:val="left"/>
              <w:rPr/>
            </w:pPr>
            <w:r>
              <w:rPr/>
              <w:t> </w:t>
            </w:r>
          </w:p>
        </w:tc>
        <w:tc>
          <w:tcPr>
            <w:tcW w:w="658" w:type="dxa"/>
            <w:tcBorders/>
            <w:vAlign w:val="center"/>
          </w:tcPr>
          <w:p>
            <w:pPr>
              <w:pStyle w:val="TableContents"/>
              <w:pBdr>
                <w:top w:val="double" w:sz="6" w:space="1" w:color="000000"/>
              </w:pBdr>
              <w:bidi w:val="0"/>
              <w:spacing w:before="0" w:after="0"/>
              <w:jc w:val="left"/>
              <w:rPr/>
            </w:pPr>
            <w:r>
              <w:rPr/>
              <w:t> </w:t>
            </w:r>
          </w:p>
        </w:tc>
        <w:tc>
          <w:tcPr>
            <w:tcW w:w="2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double" w:sz="6" w:space="1" w:color="000000"/>
              </w:pBdr>
              <w:bidi w:val="0"/>
              <w:spacing w:before="0" w:after="0"/>
              <w:jc w:val="left"/>
              <w:rPr/>
            </w:pPr>
            <w:r>
              <w:rPr/>
              <w:t> </w:t>
            </w:r>
          </w:p>
        </w:tc>
        <w:tc>
          <w:tcPr>
            <w:tcW w:w="59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$44.7 million for the three months ended March 31, 2025, a $1.3 million, or 3.0%, increase compared to $43.4 million for the three months ended March 31, 2024. This increase was primarily due to an increase in revenue related to our Power solutions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Net sales from our Power solutions business were $44.7 million for the three months ended March 31, 2025, a $4.8 million, or 12.1%, increase compared to $39.9 million for the three months ended March 31, 2024. The increase in net sales from our Power solutions business line was attributable to a higher demand for power products such as MOSFETs in the communication applications. A higher demand for our Power IC products, primarily for televisions and OLED IT devices, also had a 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$9.4 million for the three months ended March 31, 2025 compared to $6.4 million for the three months ended March 31, 2024, a $3.0 million, or 47.2%, increase. Gross profit as a percentage of net sales for the three months ended March 31, 2025 increased to 20.9% compared to 14.6% for the three months ended March 31, 2024. The increase in gross profit and gross profit as a percentage of net sales was primarily due to our Power solutions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Power solutions business.</w:t>
      </w:r>
      <w:r>
        <w:rPr>
          <w:rFonts w:ascii="Times New Roman" w:hAnsi="Times New Roman"/>
          <w:sz w:val="20"/>
        </w:rPr>
        <w:t xml:space="preserve"> Gross profit from our Power solutions business was $9.4 million for the three months ended March 31, 2025, which represented a $2.3 million, or 32.9%, increase from gross profit of $7.0 million for the three months ended March 31, 2024. Gross profit as a percentage of net sales for the three months ended March 31, 2025 increased to 20.9% compared to 17.6% for the three months ended March 31, 2024. The year-over-year increase in gross profit as a percentage of net sales was primarily attributable to the appreciation in value of U.S. dollar against the Korean Won in the first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Power solutions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three months ended March 31, 2025 and 2024: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March 31,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Power</w:t>
              <w:br/>
              <w:t>solutions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Power</w:t>
              <w:br/>
              <w:t>solutions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21.7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17.1</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21.1</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0.8</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(0.6</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44.7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39.9</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Korea increased from $17.1 million for the three months ended March 31, 2024 to $21.7 million for the three months ended March 31, 2025, or by $4.6 million, or 27.1%, primarily due to a higher demand for power products such as MOSFETs, primarily for smartphone applications. A higher demand for our Power IC products, primarily for televisions,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Power solutions business in Asia Pacific (other than Korea) were $21.0 million for the three months ended March 31, 2025, which remained almost flat, compared to $21.1 million for the three months ended March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$9.7 million, or 21.7% of total revenues, for the three months ended March 31, 2025, compared to $9.5 million, or 22.0% of total revenues, for the three months ended March 31, 2024. The increase of $0.2 million, or 1.8%, was primarily attributable to a net increase in employee compensation and certain benefit related charges.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$5.9 million, or 13.3% of total revenues, for the three months ended March 31, 2025, compared to $6.2 million, or 14.3% of total revenues, for the three months ended March 31, 2024. The decrease of $0.3 million, or 4.4%, was primarily attributable to a decrease in material costs for power products based on the timing of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$6.3 million was recorded for the three months ended March 31, 2025 compared to operating loss of $9.4 million for the three months ended March 31, 2024. As discussed above, the improvement in operating loss of $3.1 million resulted primarily from a $3.0 million increase in gross profit and a $0.3 million decrease in research and development expenses, which as offset in part by a $0.2 million increase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$1.5 million and $2.1 million for the three months ended March 31, 2025 and March 31, 2024,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$0.4 million and $0.2 million for the three months ended March 31, 2025 and March 31, 2024, respectively. The increase of $0.3 million, or 142.7%, was primarily due to the Term Loan that we executed in March 2024.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three months ended March 31, 2025 was $0.4 million compared to net foreign currency loss of $5.0 million for the three months ended March 31, 2024. The net foreign currency loss for the three months ended March 31, 2025 and March 31, 2024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March 31, 2025 and March 31, 2024, the outstanding intercompany loan balances, including accrued interest between our Korean subsidiary, Magnachip Semiconductor, Ltd., and our Dutch subsidiary, were $260.7 million and $258.3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Net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$0.4 million for the three months ended March 31, 2025, which was primarily attributable to the estimated taxable loss in our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$1.9 million for the three months ended March 31, 2024, which was primarily related to a deferred tax adjustment associated with the assets transferred between our Korean subsidiaries as an in-kind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Loss from continuing operations for the three months ended March 31, 2025 was $5.1 million compared to loss from continuing operations of $14.3 million for the three months ended March 31, 2024. The $9.2 million improvement in results from continuing operations was primarily attributable to a $4.6 million improvement in net foreign currency loss, a $3.1 million decrease in operating loss and a $2.3 million decrease 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from Discontinued Operations, Net of Tax </w:t>
      </w:r>
    </w:p>
    <w:p>
      <w:pPr>
        <w:pStyle w:val="TextBody"/>
        <w:bidi w:val="0"/>
        <w:spacing w:before="120" w:after="0"/>
        <w:jc w:val="left"/>
        <w:rPr>
          <w:rFonts w:ascii="Times New Roman" w:hAnsi="Times New Roman"/>
          <w:sz w:val="20"/>
        </w:rPr>
      </w:pPr>
      <w:r>
        <w:rPr>
          <w:rFonts w:ascii="Times New Roman" w:hAnsi="Times New Roman"/>
          <w:sz w:val="20"/>
        </w:rPr>
        <w:t xml:space="preserve">Loss from discontinued operations, net of tax for the three months ended March 31, 2025 was $3.8 million, compared to loss from discontinued operations, net of tax of $1.1 million for the three months ended March 31, 2024. The $2.7 million increase in loss from discontinued operations, net of tax primarily resulted from a $2.9 million decrease in income tax benefit, which was recorded in the first quarter of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$8.9 million was recorded for the three months ended March 31, 2025 compared to a net loss of $15.4 million for the three months ended March 31, 2024. As discussed above, the improvement in net loss of $6.5 million primarily resulted from a $9.2 million decrease in loss from continuing operations, which was offset in part by a $2.7 million increase in loss from discontinued operations, net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2025,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Magnachip Semiconductor, Ltd.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March 31, 2025, the outstanding obligation of this arrangement is approximately $12.9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MSK executed a Standard Credit Agreement (together with its General Terms and Conditions, the “Loan Agreement”) with Korea Development Bank. The Loan Agreement provides for a working capital term loan (the “Term Loan”) of KRW 40,000,000,000 (approximately $27.3 million based on the KRW/USD exchange rate of 1,466.5:1 as of March 31, 2025 as quoted by KEB Hana Bank). The Term Loan requires monthly interest-only payments and matures on March 26, 2027, at which time the full principal balance will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cash and cash equivalents held by our Korean subsidiaries were $126.4 million, which represents 95%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March 31, 2025 was $167.7 million compared to $173.0 million as of December 31, 2024. The decrease in working capital balance was mainly attributable to a $6.0 million decrease in cash and cash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$4.7 million for the three months ended March 31, 2025, compared to $4.0 million of cash outflow used in operating activities for the three months ended March 31, 2024. The net operating cash outflow for the three months ended March 31, 2025 reflects our net loss of $8.9 million, as adjusted favorably by $6.8 million, which mainly consisted of depreciation and amortization, provision for severance benefits, provision for inventory reserves, net foreign currency gain and stock-based compensation, and net unfavorable impact of $2.6 million from changes in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$0.4 million for the three months ended March 31, 2025, compared to $1.5 million of cash outflow used in investing activities for the three months ended March 31, 2024. The $1.1 million decrease in cash outflow was primarily attributable to a $0.6 million decrease in net payment of guarantee deposits and a $0.5 million decrease in purchase of property, plant and equipment.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financing activities totaled $1.5 million for the three months ended March 31, 2025, compared to $25.2 million of cash inflow provided by financing activities for the three months ended March 31, 2024. The financing cash outflow for the three months ended March 31, 2025 was primarily attributable to a payment of $0.9 million for the repurchases of our common stock pursuant to our stock repurchase program and a payment of $0.5 million for the repurchase of our common stock to satisfy tax withholding obligations in connection with the vesting of restricted stock units. The financing cash inflow for the three months ended March 31, 2024 was primarily attributable to the $30.1 million of proceeds received from the new Term Loan with KDB, which was offset in part by a payment of $4.1 million for the repurchases of our common stock pursuant to our stock repurchase program and a payment of $0.5 million for the repurchase of our common stock to satisfy tax withholding obligations in connection with the vesting of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additional cash flow information associated with our discontinued operation, please see “Item 1. Financial Statements and Supplementary Data – Notes to Consolidated Financial Statements – Note 2 – Discontinued Operations” included elsewhere in this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three months ended March 31, 2025, capital expenditures for property, plant and equipment were $0.2 million, a $0.5 million, or 68.9%, decrease from $0.7 million for the three months ended March 31, 2024. The capital expenditures for the three months ended March 31, 2025 and 2024 were related to meeting our customer demand and supporting technology and facility improvement at our fabrication facility. </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 expect the capital expenditures for the year ending December 31, 2025 to be in the range of $26–28 million, which includes approximately $14-15 million for new investments into our fabrication facility located in Gumi, Korea. The capital expenditures for 2025 will be partially funded through the $26.5 million Equipment Financing Credit Agreement, which is specifically designated for equipment purchases or upgrades in our Gumi fabrication facility. These new investments in the Gumi fabrication facility are expected to drive development of a new generation product portfolio, and upgrade new tools to optimize product mix and improve gross profit margin in the near future and the longer-term.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2024, or our 2024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2024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1675" w:type="dxa"/>
        <w:jc w:val="left"/>
        <w:tblInd w:w="0" w:type="dxa"/>
        <w:tblLayout w:type="fixed"/>
        <w:tblCellMar>
          <w:top w:w="0" w:type="dxa"/>
          <w:left w:w="0" w:type="dxa"/>
          <w:bottom w:w="0" w:type="dxa"/>
          <w:right w:w="0" w:type="dxa"/>
        </w:tblCellMar>
      </w:tblPr>
      <w:tblGrid>
        <w:gridCol w:w="725"/>
        <w:gridCol w:w="950"/>
      </w:tblGrid>
      <w:tr>
        <w:trPr/>
        <w:tc>
          <w:tcPr>
            <w:tcW w:w="725" w:type="dxa"/>
            <w:tcBorders/>
            <w:vAlign w:val="center"/>
          </w:tcPr>
          <w:p>
            <w:pPr>
              <w:pStyle w:val="TableContents"/>
              <w:bidi w:val="0"/>
              <w:spacing w:before="0" w:after="283"/>
              <w:jc w:val="left"/>
              <w:rPr>
                <w:b/>
              </w:rPr>
            </w:pPr>
            <w:bookmarkStart w:id="5" w:name="toc921022_10"/>
            <w:bookmarkEnd w:id="5"/>
            <w:r>
              <w:rPr>
                <w:b/>
              </w:rPr>
              <w:t>Item 3.</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[Reserved</w:t>
            </w:r>
            <w:r>
              <w:rPr>
                <w:rFonts w:ascii="Times New Roman" w:hAnsi="Times New Roman"/>
                <w:b/>
                <w:sz w:val="20"/>
              </w:rPr>
              <w:t xml:space="preserve">]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25"/>
        <w:gridCol w:w="2180"/>
      </w:tblGrid>
      <w:tr>
        <w:trPr/>
        <w:tc>
          <w:tcPr>
            <w:tcW w:w="725" w:type="dxa"/>
            <w:tcBorders/>
            <w:vAlign w:val="center"/>
          </w:tcPr>
          <w:p>
            <w:pPr>
              <w:pStyle w:val="TableContents"/>
              <w:bidi w:val="0"/>
              <w:spacing w:before="0" w:after="283"/>
              <w:jc w:val="left"/>
              <w:rPr>
                <w:b/>
              </w:rPr>
            </w:pPr>
            <w:bookmarkStart w:id="6" w:name="toc921022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March 31, 2025,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March 31, 2025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921022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283"/>
              <w:jc w:val="left"/>
              <w:rPr>
                <w:b/>
              </w:rPr>
            </w:pPr>
            <w:bookmarkStart w:id="8" w:name="toc921022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2024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2024 Form 10-K for additional information.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905"/>
        <w:gridCol w:w="1145"/>
      </w:tblGrid>
      <w:tr>
        <w:trPr/>
        <w:tc>
          <w:tcPr>
            <w:tcW w:w="905" w:type="dxa"/>
            <w:tcBorders/>
            <w:vAlign w:val="center"/>
          </w:tcPr>
          <w:p>
            <w:pPr>
              <w:pStyle w:val="TableContents"/>
              <w:bidi w:val="0"/>
              <w:spacing w:before="0" w:after="283"/>
              <w:jc w:val="left"/>
              <w:rPr>
                <w:b/>
              </w:rPr>
            </w:pPr>
            <w:bookmarkStart w:id="9" w:name="toc921022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2024 Form 10-K as well as in our subsequent filings with the SEC. The risks described herein and therein are not the only ones we face.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risk factors disclosed in Part I, Item 1A of our 2024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tbl>
      <w:tblPr>
        <w:tblW w:w="5845" w:type="dxa"/>
        <w:jc w:val="left"/>
        <w:tblInd w:w="0" w:type="dxa"/>
        <w:tblLayout w:type="fixed"/>
        <w:tblCellMar>
          <w:top w:w="0" w:type="dxa"/>
          <w:left w:w="0" w:type="dxa"/>
          <w:bottom w:w="0" w:type="dxa"/>
          <w:right w:w="0" w:type="dxa"/>
        </w:tblCellMar>
      </w:tblPr>
      <w:tblGrid>
        <w:gridCol w:w="725"/>
        <w:gridCol w:w="5120"/>
      </w:tblGrid>
      <w:tr>
        <w:trPr/>
        <w:tc>
          <w:tcPr>
            <w:tcW w:w="725" w:type="dxa"/>
            <w:tcBorders/>
            <w:vAlign w:val="center"/>
          </w:tcPr>
          <w:p>
            <w:pPr>
              <w:pStyle w:val="TableContents"/>
              <w:bidi w:val="0"/>
              <w:spacing w:before="0" w:after="283"/>
              <w:jc w:val="left"/>
              <w:rPr>
                <w:b/>
              </w:rPr>
            </w:pPr>
            <w:bookmarkStart w:id="10" w:name="toc921022_15"/>
            <w:bookmarkEnd w:id="10"/>
            <w:r>
              <w:rPr>
                <w:b/>
              </w:rPr>
              <w:t>Item 2.</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monthly activity related to our repurchases of common stock for the quarter ended March 31, 2025.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1250"/>
        <w:gridCol w:w="120"/>
        <w:gridCol w:w="102"/>
        <w:gridCol w:w="1373"/>
        <w:gridCol w:w="60"/>
        <w:gridCol w:w="120"/>
        <w:gridCol w:w="258"/>
        <w:gridCol w:w="812"/>
        <w:gridCol w:w="60"/>
        <w:gridCol w:w="120"/>
        <w:gridCol w:w="131"/>
        <w:gridCol w:w="1749"/>
        <w:gridCol w:w="60"/>
        <w:gridCol w:w="120"/>
        <w:gridCol w:w="367"/>
        <w:gridCol w:w="1783"/>
        <w:gridCol w:w="7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w:t>
            </w:r>
            <w:r>
              <w:rPr/>
              <w:br/>
            </w:r>
            <w:r>
              <w:rPr>
                <w:b/>
              </w:rP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br/>
            </w:r>
            <w:r>
              <w:rPr>
                <w:b/>
              </w:rPr>
              <w:t>Price Paid</w:t>
            </w:r>
            <w:r>
              <w:rPr/>
              <w:br/>
            </w:r>
            <w:r>
              <w:rPr>
                <w:b/>
              </w:rP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w:t>
            </w:r>
            <w:r>
              <w:rPr/>
              <w:br/>
            </w:r>
            <w:r>
              <w:rPr>
                <w:b/>
              </w:rPr>
              <w:t>Purchased as Part</w:t>
            </w:r>
            <w:r>
              <w:rPr/>
              <w:br/>
            </w:r>
            <w:r>
              <w:rPr>
                <w:b/>
              </w:rPr>
              <w:t>of Publicly</w:t>
            </w:r>
            <w:r>
              <w:rPr/>
              <w:br/>
            </w:r>
            <w:r>
              <w:rPr>
                <w:b/>
              </w:rPr>
              <w:t>Announced Plans</w:t>
            </w:r>
            <w:r>
              <w:rPr/>
              <w:br/>
            </w:r>
            <w:r>
              <w:rPr>
                <w:b/>
              </w:rP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pPr>
            <w:r>
              <w:rPr>
                <w:b/>
              </w:rPr>
              <w:t>Approximate dollar</w:t>
            </w:r>
            <w:r>
              <w:rPr/>
              <w:br/>
            </w:r>
            <w:r>
              <w:rPr>
                <w:b/>
              </w:rPr>
              <w:t>value of Shares that</w:t>
            </w:r>
            <w:r>
              <w:rPr/>
              <w:br/>
            </w:r>
            <w:r>
              <w:rPr>
                <w:b/>
              </w:rPr>
              <w:t>may yet be</w:t>
            </w:r>
            <w:r>
              <w:rPr/>
              <w:br/>
            </w:r>
            <w:r>
              <w:rPr>
                <w:b/>
              </w:rPr>
              <w:t>Purchased under the</w:t>
            </w:r>
            <w:r>
              <w:rPr/>
              <w:br/>
            </w:r>
            <w:r>
              <w:rPr>
                <w:b/>
              </w:rPr>
              <w:t>Plans or Programs</w:t>
            </w:r>
            <w:r>
              <w:rPr/>
              <w:br/>
            </w:r>
            <w:r>
              <w:rPr>
                <w:b/>
              </w:rPr>
              <w:t>(in thousands)(2)</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January 2025</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31,254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31,254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24,465</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2025</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24,465</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2025(1)</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278,037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265,581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23,489</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37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single" w:sz="2" w:space="1" w:color="000000"/>
              </w:pBdr>
              <w:bidi w:val="0"/>
              <w:spacing w:before="0" w:after="0"/>
              <w:jc w:val="left"/>
              <w:rPr/>
            </w:pPr>
            <w:r>
              <w:rPr/>
              <w:t> </w:t>
            </w:r>
          </w:p>
        </w:tc>
        <w:tc>
          <w:tcPr>
            <w:tcW w:w="17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309,291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296,835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23,489</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double" w:sz="6" w:space="1" w:color="000000"/>
              </w:pBdr>
              <w:bidi w:val="0"/>
              <w:spacing w:before="0" w:after="0"/>
              <w:jc w:val="left"/>
              <w:rPr/>
            </w:pPr>
            <w:r>
              <w:rPr/>
              <w:t> </w:t>
            </w:r>
          </w:p>
        </w:tc>
        <w:tc>
          <w:tcPr>
            <w:tcW w:w="137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double" w:sz="6" w:space="1" w:color="000000"/>
              </w:pBdr>
              <w:bidi w:val="0"/>
              <w:spacing w:before="0" w:after="0"/>
              <w:jc w:val="left"/>
              <w:rPr/>
            </w:pPr>
            <w:r>
              <w:rPr/>
              <w:t> </w:t>
            </w:r>
          </w:p>
        </w:tc>
        <w:tc>
          <w:tcPr>
            <w:tcW w:w="17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12,456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25"/>
        <w:gridCol w:w="2735"/>
      </w:tblGrid>
      <w:tr>
        <w:trPr/>
        <w:tc>
          <w:tcPr>
            <w:tcW w:w="725" w:type="dxa"/>
            <w:tcBorders/>
            <w:vAlign w:val="center"/>
          </w:tcPr>
          <w:p>
            <w:pPr>
              <w:pStyle w:val="TableContents"/>
              <w:bidi w:val="0"/>
              <w:spacing w:before="0" w:after="283"/>
              <w:jc w:val="left"/>
              <w:rPr>
                <w:b/>
              </w:rPr>
            </w:pPr>
            <w:bookmarkStart w:id="11" w:name="toc921022_16"/>
            <w:bookmarkEnd w:id="11"/>
            <w:r>
              <w:rPr>
                <w:b/>
              </w:rPr>
              <w:t>Item 3.</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25"/>
        <w:gridCol w:w="2090"/>
      </w:tblGrid>
      <w:tr>
        <w:trPr/>
        <w:tc>
          <w:tcPr>
            <w:tcW w:w="725" w:type="dxa"/>
            <w:tcBorders/>
            <w:vAlign w:val="center"/>
          </w:tcPr>
          <w:p>
            <w:pPr>
              <w:pStyle w:val="TableContents"/>
              <w:bidi w:val="0"/>
              <w:spacing w:before="0" w:after="283"/>
              <w:jc w:val="left"/>
              <w:rPr>
                <w:b/>
              </w:rPr>
            </w:pPr>
            <w:bookmarkStart w:id="12" w:name="toc921022_17"/>
            <w:bookmarkEnd w:id="12"/>
            <w:r>
              <w:rPr>
                <w:b/>
              </w:rPr>
              <w:t>Item 4.</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0"/>
              <w:jc w:val="left"/>
              <w:rPr>
                <w:b/>
              </w:rPr>
            </w:pPr>
            <w:bookmarkStart w:id="13" w:name="toc921022_18"/>
            <w:bookmarkEnd w:id="13"/>
            <w:r>
              <w:rPr>
                <w:b/>
              </w:rPr>
              <w:t>Item 5.</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Trading Plans of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During our last fiscal quarter, no director or officer, as defined in Rule </w:t>
      </w:r>
    </w:p>
    <w:p>
      <w:pPr>
        <w:pStyle w:val="TextBody"/>
        <w:bidi w:val="0"/>
        <w:spacing w:before="240" w:after="0"/>
        <w:jc w:val="left"/>
        <w:rPr>
          <w:rFonts w:ascii="Times New Roman" w:hAnsi="Times New Roman"/>
          <w:sz w:val="20"/>
        </w:rPr>
      </w:pPr>
      <w:r>
        <w:rPr>
          <w:rFonts w:ascii="Times New Roman" w:hAnsi="Times New Roman"/>
          <w:sz w:val="20"/>
        </w:rPr>
        <w:t>16a-1(f),</w:t>
      </w:r>
    </w:p>
    <w:p>
      <w:pPr>
        <w:pStyle w:val="TextBody"/>
        <w:bidi w:val="0"/>
        <w:spacing w:before="240" w:after="0"/>
        <w:jc w:val="left"/>
        <w:rPr>
          <w:rFonts w:ascii="Times New Roman" w:hAnsi="Times New Roman"/>
          <w:sz w:val="20"/>
        </w:rPr>
      </w:pPr>
      <w:r>
        <w:rPr>
          <w:rFonts w:ascii="Times New Roman" w:hAnsi="Times New Roman"/>
          <w:sz w:val="20"/>
        </w:rPr>
        <w:t xml:space="preserve">adopted or terminated a “Rule </w:t>
      </w:r>
    </w:p>
    <w:p>
      <w:pPr>
        <w:pStyle w:val="TextBody"/>
        <w:bidi w:val="0"/>
        <w:spacing w:before="240" w:after="0"/>
        <w:jc w:val="left"/>
        <w:rPr>
          <w:rFonts w:ascii="Times New Roman" w:hAnsi="Times New Roman"/>
          <w:sz w:val="20"/>
        </w:rPr>
      </w:pPr>
      <w:r>
        <w:rPr>
          <w:rFonts w:ascii="Times New Roman" w:hAnsi="Times New Roman"/>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trading arrangement” or a </w:t>
      </w:r>
    </w:p>
    <w:p>
      <w:pPr>
        <w:pStyle w:val="TextBody"/>
        <w:bidi w:val="0"/>
        <w:spacing w:before="240" w:after="0"/>
        <w:jc w:val="left"/>
        <w:rPr/>
      </w:pPr>
      <w:r>
        <w:rPr/>
        <w:t>“</w:t>
      </w:r>
      <w:r>
        <w:rPr>
          <w:rFonts w:ascii="Times New Roman" w:hAnsi="Times New Roman"/>
          <w:sz w:val="20"/>
        </w:rPr>
        <w:t>non-Rule</w:t>
      </w:r>
    </w:p>
    <w:p>
      <w:pPr>
        <w:pStyle w:val="TextBody"/>
        <w:bidi w:val="0"/>
        <w:spacing w:before="240" w:after="0"/>
        <w:jc w:val="left"/>
        <w:rPr>
          <w:rFonts w:ascii="Times New Roman" w:hAnsi="Times New Roman"/>
          <w:sz w:val="20"/>
        </w:rPr>
      </w:pPr>
      <w:r>
        <w:rPr>
          <w:rFonts w:ascii="Times New Roman" w:hAnsi="Times New Roman"/>
          <w:sz w:val="20"/>
        </w:rPr>
        <w:t>10b5-1</w:t>
      </w:r>
    </w:p>
    <w:p>
      <w:pPr>
        <w:pStyle w:val="TextBody"/>
        <w:bidi w:val="0"/>
        <w:spacing w:before="240" w:after="0"/>
        <w:jc w:val="left"/>
        <w:rPr>
          <w:rFonts w:ascii="Times New Roman" w:hAnsi="Times New Roman"/>
          <w:sz w:val="20"/>
        </w:rPr>
      </w:pPr>
      <w:r>
        <w:rPr>
          <w:rFonts w:ascii="Times New Roman" w:hAnsi="Times New Roman"/>
          <w:sz w:val="20"/>
        </w:rPr>
        <w:t xml:space="preserve">trading arrangement,” each as defined in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Item 408. </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tbl>
      <w:tblPr>
        <w:tblW w:w="1555" w:type="dxa"/>
        <w:jc w:val="left"/>
        <w:tblInd w:w="0" w:type="dxa"/>
        <w:tblLayout w:type="fixed"/>
        <w:tblCellMar>
          <w:top w:w="0" w:type="dxa"/>
          <w:left w:w="0" w:type="dxa"/>
          <w:bottom w:w="0" w:type="dxa"/>
          <w:right w:w="0" w:type="dxa"/>
        </w:tblCellMar>
      </w:tblPr>
      <w:tblGrid>
        <w:gridCol w:w="725"/>
        <w:gridCol w:w="830"/>
      </w:tblGrid>
      <w:tr>
        <w:trPr/>
        <w:tc>
          <w:tcPr>
            <w:tcW w:w="725" w:type="dxa"/>
            <w:tcBorders/>
            <w:vAlign w:val="center"/>
          </w:tcPr>
          <w:p>
            <w:pPr>
              <w:pStyle w:val="TableContents"/>
              <w:bidi w:val="0"/>
              <w:spacing w:before="0" w:after="283"/>
              <w:jc w:val="left"/>
              <w:rPr>
                <w:b/>
              </w:rPr>
            </w:pPr>
            <w:bookmarkStart w:id="14" w:name="toc921022_19"/>
            <w:bookmarkEnd w:id="14"/>
            <w:r>
              <w:rPr>
                <w:b/>
              </w:rPr>
              <w:t>Item 6.</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7"/>
        <w:gridCol w:w="120"/>
        <w:gridCol w:w="9238"/>
      </w:tblGrid>
      <w:tr>
        <w:trPr/>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101.htm">
              <w:r>
                <w:rPr>
                  <w:rStyle w:val="InternetLink"/>
                </w:rPr>
                <w:t xml:space="preserve">Amendment to Standard Credit Agreement, dated as of March 31, 2025, by and between Magnachip Semiconductor, Ltd., and Korea Development Bank (English Translation).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102.htm">
              <w:r>
                <w:rPr>
                  <w:rStyle w:val="InternetLink"/>
                </w:rPr>
                <w:t xml:space="preserve">Form of Restricted Stock Units Agreement—Stock Price Hurdle Performance (CEO GM)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311.htm">
              <w:r>
                <w:rPr>
                  <w:rStyle w:val="InternetLink"/>
                </w:rPr>
                <w:t xml:space="preserve">Certification pursuant to Rule 13a-14(a) or Rule 15d-14(a) of the Securities Exchange Act of 1934 of the Principal Executive Officer.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312.htm">
              <w:r>
                <w:rPr>
                  <w:rStyle w:val="InternetLink"/>
                </w:rPr>
                <w:t xml:space="preserve">Certification pursuant to Rule 13a-14(a) or Rule 15d-14(a) of the Securities Exchange Act of 1934 of the Principal Financial Officer.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321.htm">
              <w:r>
                <w:rPr>
                  <w:rStyle w:val="InternetLink"/>
                </w:rPr>
                <w:t xml:space="preserve">Certification pursuant to 18 U.S.C. Section 1350, as adopted pursuant to Section 906 of the Sarbanes-Oxley Act of 2002, of the Principal Executive Officer.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32.2†</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hyperlink w:anchor="d921022dex322.htm">
              <w:r>
                <w:rPr>
                  <w:rStyle w:val="InternetLink"/>
                </w:rPr>
                <w:t xml:space="preserve">Certification pursuant to 18 U.S.C. Section 1350, as adopted pursuant to Section 906 of the Sarbanes-Oxley Act of 2002, of the Principal Financial Officer. </w:t>
              </w:r>
            </w:hyperlink>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Instance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Taxonomy Extension Schema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Taxonomy Extension Calculation Linkbase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Taxonomy Extension Definition Linkbase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Taxonomy Extension Label Linkbase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Inline XBRL Taxonomy Extension Presentation Linkbase Document.</w:t>
            </w:r>
          </w:p>
        </w:tc>
      </w:tr>
      <w:tr>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38"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921022_20"/>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658" w:type="dxa"/>
        <w:jc w:val="left"/>
        <w:tblInd w:w="0" w:type="dxa"/>
        <w:tblLayout w:type="fixed"/>
        <w:tblCellMar>
          <w:top w:w="0" w:type="dxa"/>
          <w:left w:w="0" w:type="dxa"/>
          <w:bottom w:w="0" w:type="dxa"/>
          <w:right w:w="0" w:type="dxa"/>
        </w:tblCellMar>
      </w:tblPr>
      <w:tblGrid>
        <w:gridCol w:w="2060"/>
        <w:gridCol w:w="60"/>
        <w:gridCol w:w="23"/>
        <w:gridCol w:w="60"/>
        <w:gridCol w:w="365"/>
        <w:gridCol w:w="60"/>
        <w:gridCol w:w="503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12,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12,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right"/>
        <w:rPr>
          <w:rFonts w:ascii="Times New Roman" w:hAnsi="Times New Roman"/>
          <w:b/>
          <w:sz w:val="20"/>
        </w:rPr>
      </w:pPr>
      <w:bookmarkStart w:id="16" w:name="d921022dex101.htm"/>
      <w:bookmarkStart w:id="17" w:name="ksd921022dex101"/>
      <w:bookmarkEnd w:id="16"/>
      <w:bookmarkEnd w:id="17"/>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i/>
          <w:sz w:val="20"/>
        </w:rPr>
        <w:t>[English Translation]</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i/>
          <w:sz w:val="20"/>
        </w:rPr>
        <w:t>/s/ signatures of the banks team member, team manager and deputy general manager of KDB</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LOAN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(Date: March 31, 2025) </w:t>
      </w:r>
    </w:p>
    <w:p>
      <w:pPr>
        <w:pStyle w:val="TextBody"/>
        <w:bidi w:val="0"/>
        <w:spacing w:before="240" w:after="0"/>
        <w:jc w:val="left"/>
        <w:rPr>
          <w:rFonts w:ascii="Times New Roman" w:hAnsi="Times New Roman"/>
          <w:sz w:val="20"/>
        </w:rPr>
      </w:pPr>
      <w:r>
        <w:rPr>
          <w:rFonts w:ascii="Times New Roman" w:hAnsi="Times New Roman"/>
          <w:sz w:val="20"/>
        </w:rPr>
        <w:t>The Bank shall explain the important contents of this Amendment (the </w:t>
      </w:r>
      <w:r>
        <w:rPr>
          <w:rFonts w:ascii="Times New Roman" w:hAnsi="Times New Roman"/>
          <w:b/>
          <w:sz w:val="20"/>
        </w:rPr>
        <w:t>Amendment</w:t>
      </w:r>
      <w:r>
        <w:rPr>
          <w:rFonts w:ascii="Times New Roman" w:hAnsi="Times New Roman"/>
          <w:sz w:val="20"/>
        </w:rPr>
        <w:t xml:space="preserve">) to the parties involved in the Amendment and deliver all contract documents, including the Banks General Terms and Conditions for Credit Transactions (for corporations), a copy of the Amendment, and the corporate loan product description. </w:t>
      </w:r>
    </w:p>
    <w:p>
      <w:pPr>
        <w:pStyle w:val="TextBody"/>
        <w:bidi w:val="0"/>
        <w:spacing w:before="360" w:after="0"/>
        <w:jc w:val="left"/>
        <w:rPr>
          <w:rFonts w:ascii="Times New Roman" w:hAnsi="Times New Roman"/>
          <w:b/>
          <w:sz w:val="20"/>
        </w:rPr>
      </w:pPr>
      <w:r>
        <w:rPr>
          <w:rFonts w:ascii="Times New Roman" w:hAnsi="Times New Roman"/>
          <w:b/>
          <w:sz w:val="20"/>
        </w:rPr>
        <w:t xml:space="preserve">TO THE KOREA DEVELOPMENT BANK (KDB)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203"/>
        <w:gridCol w:w="8064"/>
      </w:tblGrid>
      <w:tr>
        <w:trPr/>
        <w:tc>
          <w:tcPr>
            <w:tcW w:w="193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1.  The undersigned and the joint guarantor will borrow up to the amount set forth in the foregoing from the Korea Development Bank (the </w:t>
            </w:r>
            <w:r>
              <w:rPr>
                <w:rFonts w:ascii="Times New Roman" w:hAnsi="Times New Roman"/>
                <w:b/>
                <w:sz w:val="20"/>
              </w:rPr>
              <w:t>Bank</w:t>
            </w:r>
            <w:r>
              <w:rPr>
                <w:rFonts w:ascii="Times New Roman" w:hAnsi="Times New Roman"/>
                <w:sz w:val="20"/>
              </w:rPr>
              <w:t>), and agrees to faithfully carry out the provisions of the General Terms and Conditions for Credit Transactions (as amended or supplemented by the Bank from time to time) and the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The undersigned and the joint guarantor have firmly received all contract documents, including the general terms and conditions, a copy of the Amendment, and the corporate loan product description (for loans and guarantees only). In addition, the joint guarantor has received sufficient explanation and understands debt status, delinquency status, credit management target information, etc. of the undersigned (the borrower).</w:t>
            </w:r>
          </w:p>
        </w:tc>
      </w:tr>
      <w:tr>
        <w:trPr/>
        <w:tc>
          <w:tcPr>
            <w:tcW w:w="1938"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Address of the undersigned</w:t>
            </w:r>
          </w:p>
        </w:tc>
        <w:tc>
          <w:tcPr>
            <w:tcW w:w="20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Magnachip Semiconductor, Ltd. 76 Jikji-daero 436beon-gil, Heungdeok-gu,</w:t>
            </w:r>
          </w:p>
          <w:p>
            <w:pPr>
              <w:pStyle w:val="TableContents"/>
              <w:bidi w:val="0"/>
              <w:spacing w:before="0" w:after="0"/>
              <w:jc w:val="left"/>
              <w:rPr>
                <w:rFonts w:ascii="Times New Roman" w:hAnsi="Times New Roman"/>
                <w:sz w:val="20"/>
              </w:rPr>
            </w:pPr>
            <w:r>
              <w:rPr>
                <w:rFonts w:ascii="Times New Roman" w:hAnsi="Times New Roman"/>
                <w:sz w:val="20"/>
              </w:rPr>
              <w:t>Cheongju-si, Chungcheongbuk-do</w:t>
            </w:r>
          </w:p>
          <w:p>
            <w:pPr>
              <w:pStyle w:val="TableContents"/>
              <w:bidi w:val="0"/>
              <w:spacing w:before="0" w:after="20"/>
              <w:jc w:val="left"/>
              <w:rPr>
                <w:rFonts w:ascii="Times New Roman" w:hAnsi="Times New Roman"/>
                <w:sz w:val="20"/>
              </w:rPr>
            </w:pPr>
            <w:r>
              <w:rPr>
                <w:rFonts w:ascii="Times New Roman" w:hAnsi="Times New Roman"/>
                <w:sz w:val="20"/>
              </w:rPr>
              <w:t xml:space="preserve">Representative Director: </w:t>
            </w:r>
            <w:r>
              <w:rPr>
                <w:rFonts w:ascii="Times New Roman" w:hAnsi="Times New Roman"/>
                <w:i/>
                <w:sz w:val="20"/>
              </w:rPr>
              <w:t>/s/Young-Joon Kim</w:t>
            </w:r>
            <w:r>
              <w:rPr>
                <w:rFonts w:ascii="Times New Roman" w:hAnsi="Times New Roman"/>
                <w:sz w:val="20"/>
              </w:rPr>
              <w:t xml:space="preserve"> </w:t>
            </w:r>
            <w:r>
              <w:rPr>
                <w:rFonts w:ascii="Times New Roman" w:hAnsi="Times New Roman"/>
                <w:i/>
                <w:sz w:val="20"/>
              </w:rPr>
              <w:t>[corporate seal stamped]</w:t>
            </w:r>
          </w:p>
        </w:tc>
      </w:tr>
      <w:tr>
        <w:trPr/>
        <w:tc>
          <w:tcPr>
            <w:tcW w:w="1938"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Address of the joint guarantor</w:t>
            </w:r>
          </w:p>
        </w:tc>
        <w:tc>
          <w:tcPr>
            <w:tcW w:w="20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right"/>
              <w:rPr/>
            </w:pPr>
            <w:r>
              <w:rPr/>
              <w:t>(seal)</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agrees to amend the terms and conditions of the below listed loan agreement with the Bank and all other terms and conditions shall remain unchanged.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9"/>
        <w:gridCol w:w="120"/>
        <w:gridCol w:w="3760"/>
        <w:gridCol w:w="120"/>
        <w:gridCol w:w="1340"/>
        <w:gridCol w:w="120"/>
        <w:gridCol w:w="3656"/>
      </w:tblGrid>
      <w:tr>
        <w:trPr/>
        <w:tc>
          <w:tcPr>
            <w:tcW w:w="10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08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rFonts w:ascii="Times New Roman" w:hAnsi="Times New Roman"/>
                <w:sz w:val="20"/>
              </w:rPr>
            </w:pPr>
            <w:r>
              <w:rPr>
                <w:rFonts w:ascii="Times New Roman" w:hAnsi="Times New Roman"/>
                <w:sz w:val="20"/>
              </w:rPr>
              <w:t>Category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Title of Agreement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No.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5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Date of Execution</w:t>
            </w:r>
          </w:p>
        </w:tc>
      </w:tr>
      <w:tr>
        <w:trPr/>
        <w:tc>
          <w:tcPr>
            <w:tcW w:w="108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Loan Agreement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1</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65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2024.12.16.</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 1 Amendment to Loan Amount/Maturity/Agreed Interest </w:t>
      </w:r>
    </w:p>
    <w:p>
      <w:pPr>
        <w:pStyle w:val="TextBody"/>
        <w:bidi w:val="0"/>
        <w:spacing w:before="0" w:after="0"/>
        <w:jc w:val="left"/>
        <w:rPr>
          <w:rFonts w:ascii="Times New Roman" w:hAnsi="Times New Roman"/>
          <w:sz w:val="20"/>
        </w:rPr>
      </w:pPr>
      <w:r>
        <w:rPr>
          <w:rFonts w:ascii="Times New Roman" w:hAnsi="Times New Roman"/>
          <w:sz w:val="20"/>
        </w:rPr>
        <w:t xml:space="preserve">(Please check ✓ in the applicable box based in accordance with the explanation provided by the Bank)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1"/>
        <w:gridCol w:w="136"/>
        <w:gridCol w:w="1431"/>
        <w:gridCol w:w="136"/>
        <w:gridCol w:w="3411"/>
        <w:gridCol w:w="136"/>
        <w:gridCol w:w="2811"/>
        <w:gridCol w:w="136"/>
        <w:gridCol w:w="867"/>
      </w:tblGrid>
      <w:tr>
        <w:trPr/>
        <w:tc>
          <w:tcPr>
            <w:tcW w:w="114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708"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rPr>
            </w:pPr>
            <w:r>
              <w:rPr>
                <w:b/>
              </w:rPr>
              <w:t>Category</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Old</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New</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Remark</w:t>
            </w:r>
          </w:p>
        </w:tc>
      </w:tr>
      <w:tr>
        <w:trPr/>
        <w:tc>
          <w:tcPr>
            <w:tcW w:w="2708"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Loan Amount</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KRW38,000,000,000-</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Unchanged</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708"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10 years from the first drawdown date of the loan</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Unchanged</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Repayment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Principal</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 Repayment in installments</w:t>
            </w:r>
          </w:p>
          <w:p>
            <w:pPr>
              <w:pStyle w:val="TableContents"/>
              <w:bidi w:val="0"/>
              <w:spacing w:before="0" w:after="0"/>
              <w:jc w:val="left"/>
              <w:rPr>
                <w:rFonts w:ascii="Times New Roman" w:hAnsi="Times New Roman"/>
                <w:sz w:val="20"/>
              </w:rPr>
            </w:pPr>
            <w:r>
              <w:rPr>
                <w:rFonts w:ascii="Times New Roman" w:hAnsi="Times New Roman"/>
                <w:sz w:val="20"/>
              </w:rPr>
              <w:t>- Grace period: 2 years</w:t>
            </w:r>
          </w:p>
          <w:p>
            <w:pPr>
              <w:pStyle w:val="TableContents"/>
              <w:bidi w:val="0"/>
              <w:spacing w:before="0" w:after="0"/>
              <w:jc w:val="left"/>
              <w:rPr>
                <w:rFonts w:ascii="Times New Roman" w:hAnsi="Times New Roman"/>
                <w:sz w:val="20"/>
              </w:rPr>
            </w:pPr>
            <w:r>
              <w:rPr>
                <w:rFonts w:ascii="Times New Roman" w:hAnsi="Times New Roman"/>
                <w:sz w:val="20"/>
              </w:rPr>
              <w:t>- Repayment schedule: 8 years</w:t>
            </w:r>
          </w:p>
          <w:p>
            <w:pPr>
              <w:pStyle w:val="TableContents"/>
              <w:bidi w:val="0"/>
              <w:spacing w:before="0" w:after="20"/>
              <w:jc w:val="left"/>
              <w:rPr>
                <w:rFonts w:ascii="Times New Roman" w:hAnsi="Times New Roman"/>
                <w:sz w:val="20"/>
              </w:rPr>
            </w:pPr>
            <w:r>
              <w:rPr>
                <w:rFonts w:ascii="Times New Roman" w:hAnsi="Times New Roman"/>
                <w:sz w:val="20"/>
              </w:rPr>
              <w:t>- Repayment method: every 3 months (equal principal repayment)</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Unchanged</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Agreed Interest</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[ ] Fixed interest rate</w:t>
            </w:r>
          </w:p>
          <w:p>
            <w:pPr>
              <w:pStyle w:val="TableContents"/>
              <w:bidi w:val="0"/>
              <w:spacing w:before="0" w:after="0"/>
              <w:jc w:val="left"/>
              <w:rPr>
                <w:rFonts w:ascii="Times New Roman" w:hAnsi="Times New Roman"/>
                <w:sz w:val="20"/>
              </w:rPr>
            </w:pPr>
            <w:r>
              <w:rPr>
                <w:rFonts w:ascii="Times New Roman" w:hAnsi="Times New Roman"/>
                <w:sz w:val="20"/>
              </w:rPr>
              <w:t xml:space="preserve">- the benchmark interest rate </w:t>
            </w:r>
            <w:r>
              <w:rPr>
                <w:rFonts w:ascii="Times New Roman" w:hAnsi="Times New Roman"/>
                <w:sz w:val="20"/>
                <w:u w:val="single"/>
              </w:rPr>
              <w:t>   </w:t>
            </w:r>
            <w:r>
              <w:rPr>
                <w:rFonts w:ascii="Times New Roman" w:hAnsi="Times New Roman"/>
                <w:sz w:val="20"/>
              </w:rPr>
              <w:t xml:space="preserve">, plus </w:t>
            </w:r>
            <w:r>
              <w:rPr>
                <w:rFonts w:ascii="Times New Roman" w:hAnsi="Times New Roman"/>
                <w:sz w:val="20"/>
                <w:u w:val="single"/>
              </w:rPr>
              <w:t>  </w:t>
            </w:r>
            <w:r>
              <w:rPr>
                <w:rFonts w:ascii="Times New Roman" w:hAnsi="Times New Roman"/>
                <w:sz w:val="20"/>
              </w:rPr>
              <w:t>% per annum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Floating interest rate (Article 3(2)2 of the General Terms and Conditions for Credit Transactions)</w:t>
            </w:r>
          </w:p>
          <w:p>
            <w:pPr>
              <w:pStyle w:val="TableContents"/>
              <w:bidi w:val="0"/>
              <w:spacing w:before="0" w:after="0"/>
              <w:jc w:val="left"/>
              <w:rPr>
                <w:rFonts w:ascii="Times New Roman" w:hAnsi="Times New Roman"/>
                <w:sz w:val="20"/>
              </w:rPr>
            </w:pPr>
            <w:r>
              <w:rPr>
                <w:rFonts w:ascii="Times New Roman" w:hAnsi="Times New Roman"/>
                <w:sz w:val="20"/>
              </w:rPr>
              <w:t>- variable rate of 3-month CD rate, plus 0.68% per annum</w:t>
            </w:r>
          </w:p>
          <w:p>
            <w:pPr>
              <w:pStyle w:val="TableContents"/>
              <w:bidi w:val="0"/>
              <w:spacing w:before="0" w:after="0"/>
              <w:jc w:val="left"/>
              <w:rPr>
                <w:rFonts w:ascii="Times New Roman" w:hAnsi="Times New Roman"/>
                <w:sz w:val="20"/>
              </w:rPr>
            </w:pPr>
            <w:r>
              <w:rPr>
                <w:rFonts w:ascii="Times New Roman" w:hAnsi="Times New Roman"/>
                <w:sz w:val="20"/>
              </w:rPr>
              <w:t>- rate reset cycle: every 3 months</w:t>
            </w:r>
          </w:p>
          <w:p>
            <w:pPr>
              <w:pStyle w:val="TableContents"/>
              <w:bidi w:val="0"/>
              <w:spacing w:before="0" w:after="20"/>
              <w:jc w:val="left"/>
              <w:rPr>
                <w:rFonts w:ascii="Times New Roman" w:hAnsi="Times New Roman"/>
                <w:sz w:val="20"/>
              </w:rPr>
            </w:pPr>
            <w:r>
              <w:rPr>
                <w:rFonts w:ascii="Times New Roman" w:hAnsi="Times New Roman"/>
                <w:sz w:val="20"/>
              </w:rPr>
              <w:t xml:space="preserve">[ ] Guarantee fee rate </w:t>
            </w:r>
            <w:r>
              <w:rPr>
                <w:rFonts w:ascii="Times New Roman" w:hAnsi="Times New Roman"/>
                <w:sz w:val="20"/>
                <w:u w:val="single"/>
              </w:rPr>
              <w:t>  </w:t>
            </w:r>
            <w:r>
              <w:rPr>
                <w:rFonts w:ascii="Times New Roman" w:hAnsi="Times New Roman"/>
                <w:sz w:val="20"/>
              </w:rPr>
              <w:t>% per annum</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 Fixed interest rate</w:t>
            </w:r>
          </w:p>
          <w:p>
            <w:pPr>
              <w:pStyle w:val="TableContents"/>
              <w:bidi w:val="0"/>
              <w:spacing w:before="0" w:after="0"/>
              <w:jc w:val="left"/>
              <w:rPr>
                <w:rFonts w:ascii="Times New Roman" w:hAnsi="Times New Roman"/>
                <w:sz w:val="20"/>
              </w:rPr>
            </w:pPr>
            <w:r>
              <w:rPr>
                <w:rFonts w:ascii="Times New Roman" w:hAnsi="Times New Roman"/>
                <w:sz w:val="20"/>
              </w:rPr>
              <w:t>- the benchmark interest (Market-based yield on government bonds)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 Floating interest rate</w:t>
            </w:r>
          </w:p>
          <w:p>
            <w:pPr>
              <w:pStyle w:val="TableContents"/>
              <w:bidi w:val="0"/>
              <w:spacing w:before="0" w:after="0"/>
              <w:jc w:val="left"/>
              <w:rPr>
                <w:rFonts w:ascii="Times New Roman" w:hAnsi="Times New Roman"/>
                <w:sz w:val="20"/>
              </w:rPr>
            </w:pPr>
            <w:r>
              <w:rPr>
                <w:rFonts w:ascii="Times New Roman" w:hAnsi="Times New Roman"/>
                <w:sz w:val="20"/>
              </w:rPr>
              <w:t xml:space="preserve">- the benchmark interest rate </w:t>
            </w:r>
            <w:r>
              <w:rPr>
                <w:rFonts w:ascii="Times New Roman" w:hAnsi="Times New Roman"/>
                <w:sz w:val="20"/>
                <w:u w:val="single"/>
              </w:rPr>
              <w:t>   </w:t>
            </w:r>
          </w:p>
          <w:p>
            <w:pPr>
              <w:pStyle w:val="TableContents"/>
              <w:bidi w:val="0"/>
              <w:spacing w:before="0" w:after="0"/>
              <w:jc w:val="left"/>
              <w:rPr>
                <w:rFonts w:ascii="Times New Roman" w:hAnsi="Times New Roman"/>
                <w:sz w:val="20"/>
              </w:rPr>
            </w:pPr>
            <w:r>
              <w:rPr>
                <w:rFonts w:ascii="Times New Roman" w:hAnsi="Times New Roman"/>
                <w:sz w:val="20"/>
              </w:rPr>
              <w:t xml:space="preserve">- rate reset cycle: </w:t>
            </w:r>
            <w:r>
              <w:rPr>
                <w:rFonts w:ascii="Times New Roman" w:hAnsi="Times New Roman"/>
                <w:sz w:val="20"/>
                <w:u w:val="single"/>
              </w:rPr>
              <w:t>   </w:t>
            </w:r>
            <w:r>
              <w:rPr>
                <w:rFonts w:ascii="Times New Roman" w:hAnsi="Times New Roman"/>
                <w:sz w:val="20"/>
              </w:rPr>
              <w:t xml:space="preserve"> [ ]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[ ] Guarantee fee rate </w:t>
            </w:r>
            <w:r>
              <w:rPr>
                <w:rFonts w:ascii="Times New Roman" w:hAnsi="Times New Roman"/>
                <w:sz w:val="20"/>
                <w:u w:val="single"/>
              </w:rPr>
              <w:t>  </w:t>
            </w:r>
            <w:r>
              <w:rPr>
                <w:rFonts w:ascii="Times New Roman" w:hAnsi="Times New Roman"/>
                <w:sz w:val="20"/>
              </w:rPr>
              <w:t>% per annum</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141"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Prepayment Commissions</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[ ] n/a [ ] 1.4% (fixed) [✓] 1.2 (variable)</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8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[ ] n/a [✓] applicable (0.29)%</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i/>
          <w:sz w:val="20"/>
        </w:rPr>
        <w:t>[English Translation]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①</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(Application of Agreed Interest after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interest rate upon the extension of maturity shall apply from the day following the original maturity date. The benchmark interest shall be the one published on the original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overdraft facility or a revolving credit facility linked to a deposit account, the amended interest rate shall apply from the date of the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short-term loans or short-term credit line facilities, the amended interest rate shall apply to new individual loan transactions (including extensions of existing accounts) made on or after the date of the Amendment. For extensions of existing accounts, the amended interest rate shall apply from the day following the original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Bank determines a different effective date for the application of the amended interest rate than those set forth in Items 1 through 3 above, the Bank shall provide prior explanation to the undersigned.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 2 Amendment to Other Terms and Conditions </w:t>
      </w:r>
    </w:p>
    <w:p>
      <w:pPr>
        <w:pStyle w:val="TextBody"/>
        <w:bidi w:val="0"/>
        <w:spacing w:before="0" w:after="0"/>
        <w:jc w:val="left"/>
        <w:rPr>
          <w:rFonts w:ascii="Times New Roman" w:hAnsi="Times New Roman"/>
          <w:sz w:val="20"/>
        </w:rPr>
      </w:pPr>
      <w:r>
        <w:rPr>
          <w:rFonts w:ascii="Times New Roman" w:hAnsi="Times New Roman"/>
          <w:sz w:val="20"/>
        </w:rPr>
        <w:t xml:space="preserve">(Joint Guarantee Limit, Repayment Schedule, Guarantee Method, etc.)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2"/>
        <w:gridCol w:w="120"/>
        <w:gridCol w:w="3785"/>
        <w:gridCol w:w="120"/>
        <w:gridCol w:w="3738"/>
      </w:tblGrid>
      <w:tr>
        <w:trPr/>
        <w:tc>
          <w:tcPr>
            <w:tcW w:w="24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244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rPr>
            </w:pPr>
            <w:r>
              <w:rPr>
                <w:b/>
              </w:rPr>
              <w:t>Category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8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Old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38"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New</w:t>
            </w:r>
          </w:p>
        </w:tc>
      </w:tr>
      <w:tr>
        <w:trPr/>
        <w:tc>
          <w:tcPr>
            <w:tcW w:w="244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Article 14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Special Terms and Conditions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1. If the Bank determines that the recovery of claims becomes notably challenging due to substantial deterioration of the creditworthiness of the Obligor, the Bank may require the Obligor necessary measures to improve credit standing and the Obligor shall implement without delay. In the event that the Obligor fails to such implement, at the Banks request, all obligations which the Obligor owes to the Bank shall immediately become due and payable.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38"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1. If the Bank determines that the recovery of claims becomes notably challenging due to substantial deterioration of the creditworthiness of the Obligor, the Bank may require the Obligor necessary measures to improve credit standing and the Obligor shall implement without delay. In the event that the Obligor fails to such implement, at the Banks request, all obligations which the Obligor owes to the Bank shall immediately become due and payable.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Any collateral (whether personal, real or provided by a third party) securing the obligations arising under the original Loan Agreement executed on December 16, 2024 shall remain effective and continue to secure the obligations under the Amendment.</w:t>
            </w:r>
          </w:p>
        </w:tc>
      </w:tr>
    </w:tbl>
    <w:p>
      <w:pPr>
        <w:pStyle w:val="TextBody"/>
        <w:bidi w:val="0"/>
        <w:spacing w:before="0" w:after="0"/>
        <w:jc w:val="right"/>
        <w:rPr>
          <w:rFonts w:ascii="Times New Roman" w:hAnsi="Times New Roman"/>
          <w:b/>
          <w:sz w:val="20"/>
        </w:rPr>
      </w:pPr>
      <w:bookmarkStart w:id="18" w:name="d921022dex102.htm"/>
      <w:bookmarkStart w:id="19" w:name="ksd921022dex102"/>
      <w:bookmarkEnd w:id="18"/>
      <w:bookmarkEnd w:id="19"/>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(STOCK PRICE HURDLE PERFORMANCE) </w:t>
      </w:r>
    </w:p>
    <w:p>
      <w:pPr>
        <w:pStyle w:val="TextBody"/>
        <w:bidi w:val="0"/>
        <w:spacing w:before="240" w:after="0"/>
        <w:jc w:val="left"/>
        <w:rPr>
          <w:rFonts w:ascii="Times New Roman" w:hAnsi="Times New Roman"/>
          <w:sz w:val="20"/>
        </w:rPr>
      </w:pPr>
      <w:r>
        <w:rPr>
          <w:rFonts w:ascii="Times New Roman" w:hAnsi="Times New Roman"/>
          <w:sz w:val="20"/>
        </w:rPr>
        <w:t>Magnachip Semiconductor Corporation (the </w:t>
      </w:r>
      <w:r>
        <w:rPr>
          <w:rFonts w:ascii="Times New Roman" w:hAnsi="Times New Roman"/>
          <w:b/>
          <w:i/>
          <w:sz w:val="20"/>
        </w:rPr>
        <w:t>Company</w:t>
      </w:r>
      <w:r>
        <w:rPr>
          <w:rFonts w:ascii="Times New Roman" w:hAnsi="Times New Roman"/>
          <w:sz w:val="20"/>
        </w:rPr>
        <w:t xml:space="preserve">) has granted to the Participant named in the Notice of Grant of Stock Price Hurdle Restricted Stock Units (the </w:t>
      </w:r>
      <w:r>
        <w:rPr>
          <w:rFonts w:ascii="Times New Roman" w:hAnsi="Times New Roman"/>
          <w:b/>
          <w:i/>
          <w:sz w:val="20"/>
        </w:rPr>
        <w:t>Grant Notice</w:t>
      </w:r>
      <w:r>
        <w:rPr>
          <w:rFonts w:ascii="Times New Roman" w:hAnsi="Times New Roman"/>
          <w:sz w:val="20"/>
        </w:rPr>
        <w:t>) to which this Restricted Stock Units Agreement (this </w:t>
      </w:r>
      <w:r>
        <w:rPr>
          <w:rFonts w:ascii="Times New Roman" w:hAnsi="Times New Roman"/>
          <w:b/>
          <w:i/>
          <w:sz w:val="20"/>
        </w:rPr>
        <w:t>Agreement</w:t>
      </w:r>
      <w:r>
        <w:rPr>
          <w:rFonts w:ascii="Times New Roman" w:hAnsi="Times New Roman"/>
          <w:sz w:val="20"/>
        </w:rPr>
        <w:t>) is attached an Award consisting of Restricted Stock Units subject to the terms and conditions set forth in the Grant Notice and this Agreement. The appendix attached hereto (the </w:t>
      </w:r>
      <w:r>
        <w:rPr>
          <w:rFonts w:ascii="Times New Roman" w:hAnsi="Times New Roman"/>
          <w:b/>
          <w:i/>
          <w:sz w:val="20"/>
        </w:rPr>
        <w:t>Appendix</w:t>
      </w:r>
      <w:r>
        <w:rPr>
          <w:rFonts w:ascii="Times New Roman" w:hAnsi="Times New Roman"/>
          <w:sz w:val="20"/>
        </w:rPr>
        <w:t xml:space="preserve">) and the terms and conditions for the Participants country set forth therein are incorporated by reference into this Agreement. The Participant shall be entitled to Dividend Equivalent Rights with respect to the Award. </w:t>
      </w:r>
    </w:p>
    <w:p>
      <w:pPr>
        <w:pStyle w:val="TextBody"/>
        <w:bidi w:val="0"/>
        <w:spacing w:before="240" w:after="0"/>
        <w:jc w:val="left"/>
        <w:rPr>
          <w:rFonts w:ascii="Times New Roman" w:hAnsi="Times New Roman"/>
          <w:sz w:val="20"/>
        </w:rPr>
      </w:pPr>
      <w:r>
        <w:rPr>
          <w:rFonts w:ascii="Times New Roman" w:hAnsi="Times New Roman"/>
          <w:sz w:val="20"/>
        </w:rPr>
        <w:t xml:space="preserve">The Award has been granted pursuant to and shall in all respects be subject to the terms conditions of the Magnachip Semiconductor Corporation 2020 Equity and Incentive Compensation Plan (the </w:t>
      </w:r>
      <w:r>
        <w:rPr>
          <w:rFonts w:ascii="Times New Roman" w:hAnsi="Times New Roman"/>
          <w:b/>
          <w:i/>
          <w:sz w:val="20"/>
        </w:rPr>
        <w:t>Plan</w:t>
      </w:r>
      <w:r>
        <w:rPr>
          <w:rFonts w:ascii="Times New Roman" w:hAnsi="Times New Roman"/>
          <w:sz w:val="20"/>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b/>
          <w:i/>
          <w:sz w:val="20"/>
        </w:rPr>
        <w:t>Plan Prospectus</w:t>
      </w:r>
      <w:r>
        <w:rPr>
          <w:rFonts w:ascii="Times New Roman" w:hAnsi="Times New Roman"/>
          <w:sz w:val="20"/>
        </w:rPr>
        <w:t xml:space="preserve">),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 </w:t>
      </w:r>
    </w:p>
    <w:p>
      <w:pPr>
        <w:pStyle w:val="TextBody"/>
        <w:bidi w:val="0"/>
        <w:spacing w:before="360" w:after="0"/>
        <w:jc w:val="left"/>
        <w:rPr>
          <w:rFonts w:ascii="Times New Roman" w:hAnsi="Times New Roman"/>
          <w:sz w:val="20"/>
        </w:rPr>
      </w:pPr>
      <w:r>
        <w:rPr>
          <w:rFonts w:ascii="Times New Roman" w:hAnsi="Times New Roman"/>
          <w:sz w:val="20"/>
        </w:rPr>
        <w:t>1.  </w:t>
      </w:r>
      <w:r>
        <w:rPr>
          <w:rFonts w:ascii="Times New Roman" w:hAnsi="Times New Roman"/>
          <w:b/>
          <w:sz w:val="20"/>
          <w:u w:val="single"/>
        </w:rPr>
        <w:t>DEFINITIONS AND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 xml:space="preserve">Definitions. </w:t>
      </w:r>
      <w:r>
        <w:rPr>
          <w:rFonts w:ascii="Times New Roman" w:hAnsi="Times New Roman"/>
          <w:sz w:val="20"/>
        </w:rPr>
        <w:t xml:space="preserve">Unless otherwise defined herein, capitalized terms shall have the meanings assigned to such terms in the Grant Notice or the Plan.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i/>
          <w:sz w:val="20"/>
        </w:rPr>
        <w:t>Dividend Equivalent Units</w:t>
      </w:r>
      <w:r>
        <w:rPr>
          <w:rFonts w:ascii="Times New Roman" w:hAnsi="Times New Roman"/>
          <w:sz w:val="20"/>
        </w:rPr>
        <w:t xml:space="preserve"> mean additional Restricted Stock Units credited pursuant to Section 4.3.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Units</w:t>
      </w:r>
      <w:r>
        <w:rPr>
          <w:rFonts w:ascii="Times New Roman" w:hAnsi="Times New Roman"/>
          <w:sz w:val="20"/>
        </w:rPr>
        <w:t xml:space="preserve"> mean the Restricted Stock Units originally granted pursuant to the Award and the Dividend Equivalent Units credited pursuant to the Award, as both shall be adjusted from time to time pursuant to Section 10.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rPr>
        <w:t xml:space="preserve">Construction. </w:t>
      </w:r>
      <w:r>
        <w:rPr>
          <w:rFonts w:ascii="Times New Roman" w:hAnsi="Times New Roman"/>
          <w:sz w:val="20"/>
        </w:rPr>
        <w:t xml:space="preserve">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b/>
          <w:sz w:val="20"/>
          <w:u w:val="single"/>
        </w:rPr>
        <w:t>CERTAIN CONDITIONS OF THE AWARD.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b/>
          <w:sz w:val="20"/>
        </w:rPr>
        <w:t xml:space="preserve">Compliance with Local Law. </w:t>
      </w:r>
      <w:r>
        <w:rPr>
          <w:rFonts w:ascii="Times New Roman" w:hAnsi="Times New Roman"/>
          <w:sz w:val="20"/>
        </w:rPr>
        <w:t xml:space="preserve">The Participant agrees that the Participant will not acquire shares pursuant to the Award, or transfer, assign, sell or otherwise deal in such shares except in compliance with Local Law.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b/>
          <w:sz w:val="20"/>
        </w:rPr>
        <w:t xml:space="preserve">Service Conditions. </w:t>
      </w:r>
      <w:r>
        <w:rPr>
          <w:rFonts w:ascii="Times New Roman" w:hAnsi="Times New Roman"/>
          <w:sz w:val="20"/>
        </w:rPr>
        <w:t xml:space="preserve">By accepting the Award, the Participant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in the Grant Notice, if the Participants employment or Service is terminated by the Participating Company to which the Participant renders Service (</w:t>
      </w:r>
      <w:r>
        <w:rPr>
          <w:rFonts w:ascii="Times New Roman" w:hAnsi="Times New Roman"/>
          <w:b/>
          <w:i/>
          <w:sz w:val="20"/>
        </w:rPr>
        <w:t>Service Recipient</w:t>
      </w:r>
      <w:r>
        <w:rPr>
          <w:rFonts w:ascii="Times New Roman" w:hAnsi="Times New Roman"/>
          <w:sz w:val="20"/>
        </w:rPr>
        <w:t xml:space="preserve">) without Cause or if the Participant resigns for Good Reason, in each case not in connection with a CIC Qualified Termination (as each capitalized term is defined in the Participants employment, consulting or other service contract) prior to full settlement of the Award, the Participant will remain eligible to vest (determined in accordance with the terms set forth in the Grant Notice applicable to the Non-Change of Control case) in a pro rata portion of the Units on the Certification Date following the end of the Performance Period based on actual Company performance, with such pro rata portion determined by multiplying the total number of the Units remaining outstanding following the Committees certification on the Certification Date, by a fraction (x) the numerator of which is the number of full months (without any rounding) that the Participant provided continuous Service during the Performance Period, and (y) the denominator of which is the number of full months in the Performance Period. All Units in excess of the pro rata portion thereof that remains outstanding in accordance with the immediately preceding sentence shall immediately be forfeited and cancelled effective as of the Certification Date, and the Participant shall not be entitled to any compensation or other amount with respect thereto. </w:t>
      </w:r>
    </w:p>
    <w:p>
      <w:pPr>
        <w:pStyle w:val="TextBody"/>
        <w:bidi w:val="0"/>
        <w:spacing w:before="240" w:after="0"/>
        <w:jc w:val="left"/>
        <w:rPr>
          <w:rFonts w:ascii="Times New Roman" w:hAnsi="Times New Roman"/>
          <w:sz w:val="20"/>
        </w:rPr>
      </w:pPr>
      <w:r>
        <w:rPr>
          <w:rFonts w:ascii="Times New Roman" w:hAnsi="Times New Roman"/>
          <w:sz w:val="20"/>
        </w:rPr>
        <w:t>If a Change in Control occurs upon or following such termination and prior to the end of the Performance Period, then the Units remaining outstanding and unvested immediately prior to the Change in Control (after application of the foregoing provisions in this Section 2.2(b)) shall remain eligible to vest in accordance with the terms set forth in the Grant Notice applicable to the Change of Control case, in a pro rata portion of the Units on the Certification Date based on actual Company performance, with such pro rata portion determined by multiplying the total number of the Units remaining outstanding following the Committees certification on the Certification Date, by a fraction (x) the numerator of which is the number of full months (without any rounding) that the Participant provided continuous Service during the Performance Period (</w:t>
      </w:r>
      <w:r>
        <w:rPr>
          <w:rFonts w:ascii="Times New Roman" w:hAnsi="Times New Roman"/>
          <w:sz w:val="20"/>
          <w:u w:val="single"/>
        </w:rPr>
        <w:t>provided</w:t>
      </w:r>
      <w:r>
        <w:rPr>
          <w:rFonts w:ascii="Times New Roman" w:hAnsi="Times New Roman"/>
          <w:sz w:val="20"/>
        </w:rPr>
        <w:t xml:space="preserve"> that the Performance Period shall be deemed to have ended on the Measurement Date), and (y) the denominator of which is the number of full months in the Performance Period (</w:t>
      </w:r>
      <w:r>
        <w:rPr>
          <w:rFonts w:ascii="Times New Roman" w:hAnsi="Times New Roman"/>
          <w:sz w:val="20"/>
          <w:u w:val="single"/>
        </w:rPr>
        <w:t>provided</w:t>
      </w:r>
      <w:r>
        <w:rPr>
          <w:rFonts w:ascii="Times New Roman" w:hAnsi="Times New Roman"/>
          <w:sz w:val="20"/>
        </w:rPr>
        <w:t xml:space="preserve"> that the Performance Period shall be deemed to have ended on the Measurement Date). The date on which the Change in Control is consummated shall be treated as the Settlement Date for purposes of Section 7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Section 2, if the Participant incurs a CIC Qualified Termination, all Units that remain outstanding and unvested (after application of Section 9) shall vest on the date of such termination in accordance with the terms set forth in the Grant Notice applicable to the Change of Control case. </w:t>
      </w:r>
    </w:p>
    <w:p>
      <w:pPr>
        <w:pStyle w:val="TextBody"/>
        <w:bidi w:val="0"/>
        <w:spacing w:before="240" w:after="0"/>
        <w:jc w:val="left"/>
        <w:rPr>
          <w:rFonts w:ascii="Times New Roman" w:hAnsi="Times New Roman"/>
          <w:sz w:val="20"/>
        </w:rPr>
      </w:pPr>
      <w:r>
        <w:rPr>
          <w:rFonts w:ascii="Times New Roman" w:hAnsi="Times New Roman"/>
          <w:sz w:val="20"/>
        </w:rPr>
        <w:t xml:space="preserve">(d) The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(e) The Plan is established voluntarily by the Company. It is discretionary in nature and it may be modified, amended, suspended or terminated by the Company at any time, unless otherwise provided in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grant of the Award is voluntary and occasional and does not create any contractual or other right to receive future grants of Awards, or benefits in lieu of Awards, even if Awards have been granted repeatedly in the past. </w:t>
      </w:r>
    </w:p>
    <w:p>
      <w:pPr>
        <w:pStyle w:val="TextBody"/>
        <w:bidi w:val="0"/>
        <w:spacing w:before="240" w:after="0"/>
        <w:jc w:val="left"/>
        <w:rPr>
          <w:rFonts w:ascii="Times New Roman" w:hAnsi="Times New Roman"/>
          <w:sz w:val="20"/>
        </w:rPr>
      </w:pPr>
      <w:r>
        <w:rPr>
          <w:rFonts w:ascii="Times New Roman" w:hAnsi="Times New Roman"/>
          <w:sz w:val="20"/>
        </w:rPr>
        <w:t xml:space="preserve">(g) All decisions with respect to future Award grants, if any,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 </w:t>
      </w:r>
    </w:p>
    <w:p>
      <w:pPr>
        <w:pStyle w:val="TextBody"/>
        <w:bidi w:val="0"/>
        <w:spacing w:before="240" w:after="0"/>
        <w:jc w:val="left"/>
        <w:rPr>
          <w:rFonts w:ascii="Times New Roman" w:hAnsi="Times New Roman"/>
          <w:sz w:val="20"/>
        </w:rPr>
      </w:pPr>
      <w:r>
        <w:rPr>
          <w:rFonts w:ascii="Times New Roman" w:hAnsi="Times New Roman"/>
          <w:sz w:val="20"/>
        </w:rPr>
        <w:t xml:space="preserve">(i) The Participant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(j) The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 </w:t>
      </w:r>
    </w:p>
    <w:p>
      <w:pPr>
        <w:pStyle w:val="TextBody"/>
        <w:bidi w:val="0"/>
        <w:spacing w:before="240" w:after="0"/>
        <w:jc w:val="left"/>
        <w:rPr>
          <w:rFonts w:ascii="Times New Roman" w:hAnsi="Times New Roman"/>
          <w:sz w:val="20"/>
        </w:rPr>
      </w:pPr>
      <w:r>
        <w:rPr>
          <w:rFonts w:ascii="Times New Roman" w:hAnsi="Times New Roman"/>
          <w:sz w:val="20"/>
        </w:rPr>
        <w:t xml:space="preserve">(k) The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that the Participant does not provide Service to the Participating Company, the Award grant will not be interpreted to form an employment, consulting or other service contract or relationship with the Participating Company. </w:t>
      </w:r>
    </w:p>
    <w:p>
      <w:pPr>
        <w:pStyle w:val="TextBody"/>
        <w:bidi w:val="0"/>
        <w:spacing w:before="240" w:after="0"/>
        <w:jc w:val="left"/>
        <w:rPr>
          <w:rFonts w:ascii="Times New Roman" w:hAnsi="Times New Roman"/>
          <w:sz w:val="20"/>
        </w:rPr>
      </w:pPr>
      <w:r>
        <w:rPr>
          <w:rFonts w:ascii="Times New Roman" w:hAnsi="Times New Roman"/>
          <w:sz w:val="20"/>
        </w:rPr>
        <w:t xml:space="preserve">(m) The future value of the underlying shares is unknown and cannot be predicted with certainty. If the Participant obtains shares upon settlement of the Award, the value of those shares may increase or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 </w:t>
      </w:r>
    </w:p>
    <w:p>
      <w:pPr>
        <w:pStyle w:val="TextBody"/>
        <w:bidi w:val="0"/>
        <w:spacing w:before="240" w:after="0"/>
        <w:jc w:val="left"/>
        <w:rPr>
          <w:rFonts w:ascii="Times New Roman" w:hAnsi="Times New Roman"/>
          <w:sz w:val="20"/>
        </w:rPr>
      </w:pPr>
      <w:r>
        <w:rPr>
          <w:rFonts w:ascii="Times New Roman" w:hAnsi="Times New Roman"/>
          <w:sz w:val="20"/>
        </w:rPr>
        <w:t xml:space="preserve">(o) Neither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 </w:t>
      </w:r>
    </w:p>
    <w:p>
      <w:pPr>
        <w:pStyle w:val="TextBody"/>
        <w:bidi w:val="0"/>
        <w:spacing w:before="360" w:after="0"/>
        <w:jc w:val="left"/>
        <w:rPr>
          <w:rFonts w:ascii="Times New Roman" w:hAnsi="Times New Roman"/>
          <w:sz w:val="20"/>
        </w:rPr>
      </w:pPr>
      <w:r>
        <w:rPr>
          <w:rFonts w:ascii="Times New Roman" w:hAnsi="Times New Roman"/>
          <w:sz w:val="20"/>
        </w:rPr>
        <w:t>2.3 </w:t>
      </w:r>
      <w:r>
        <w:rPr>
          <w:rFonts w:ascii="Times New Roman" w:hAnsi="Times New Roman"/>
          <w:b/>
          <w:sz w:val="20"/>
        </w:rPr>
        <w:t>Data Privacy Consent.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THE PARTICIPANT HEREBY EXPLICITLY AND UNAMBIGUOUSLY CONSENTS TO THE COLLECTION, USE AND TRANSFER, IN ELECTRONIC OR OTHER FORM, OF THE PARTICIPANTS PERSONAL DATA AS DESCRIBED IN THIS DOCUMENT BY AND AMONG THE MEMBERS OF THE PARTICIPATING COMPANY GROUP FOR THE EXCLUSIVE PURPOSE OF IMPLEMENTING, ADMINISTERING AND MANAGING THE PARTICIPANTS PARTICIPATION IN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THE PARTICIPANT UNDERSTANDS THAT THE PARTICIPATING COMPANY GROUP HOLDS CERTAIN PERSONAL INFORMATION ABOUT THE PARTICIPANT, INCLUDING, BUT NOT LIMITED TO, THE PARTICIPANTS NAME, HOME ADDRESS AND TELEPHONE NUMBER, DATE OF BIRTH, SOCIAL SECURITY NUMBER OR OTHER IDENTIFICATION NUMBER, SALARY, NATIONALITY, JOB TITLE, ANY SHARES OR DIRECTORSHIPS HELD IN THE COMPANY, DETAILS OF ALL AWARDS OR ANY OTHER ENTITLEMENT TO SHARES AWARDED, CANCELED, EXERCISED, VESTED, UNVESTED OR OUTSTANDING IN THE PARTICIPANTS FAVOR (COLLECTIVELY, </w:t>
      </w:r>
      <w:r>
        <w:rPr>
          <w:rFonts w:ascii="Times New Roman" w:hAnsi="Times New Roman"/>
          <w:b/>
          <w:i/>
          <w:sz w:val="20"/>
        </w:rPr>
        <w:t>DATA</w:t>
      </w:r>
      <w:r>
        <w:rPr>
          <w:rFonts w:ascii="Times New Roman" w:hAnsi="Times New Roman"/>
          <w:b/>
          <w:sz w:val="20"/>
        </w:rPr>
        <w:t>), FOR THE PURPOSE OF IMPLEMENTING, ADMINISTERING AND MANAGING THE PLAN. 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 xml:space="preserve">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3. </w:t>
      </w:r>
      <w:r>
        <w:rPr>
          <w:rFonts w:ascii="Times New Roman" w:hAnsi="Times New Roman"/>
          <w:b/>
          <w:sz w:val="20"/>
          <w:u w:val="single"/>
        </w:rPr>
        <w:t>ADMINISTRATION.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including the determinations regarding the achievement of the Stock Price Hurdles set forth in the Grant Notice,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 </w:t>
      </w:r>
    </w:p>
    <w:p>
      <w:pPr>
        <w:pStyle w:val="TextBody"/>
        <w:bidi w:val="0"/>
        <w:spacing w:before="360" w:after="0"/>
        <w:jc w:val="left"/>
        <w:rPr>
          <w:rFonts w:ascii="Times New Roman" w:hAnsi="Times New Roman"/>
          <w:sz w:val="20"/>
        </w:rPr>
      </w:pPr>
      <w:r>
        <w:rPr>
          <w:rFonts w:ascii="Times New Roman" w:hAnsi="Times New Roman"/>
          <w:sz w:val="20"/>
        </w:rPr>
        <w:t>4. </w:t>
      </w:r>
      <w:r>
        <w:rPr>
          <w:rFonts w:ascii="Times New Roman" w:hAnsi="Times New Roman"/>
          <w:b/>
          <w:sz w:val="20"/>
          <w:u w:val="single"/>
        </w:rPr>
        <w:t>THE AWARD.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b/>
          <w:sz w:val="20"/>
        </w:rPr>
        <w:t xml:space="preserve">Grant of Units. </w:t>
      </w:r>
      <w:r>
        <w:rPr>
          <w:rFonts w:ascii="Times New Roman" w:hAnsi="Times New Roman"/>
          <w:sz w:val="20"/>
        </w:rPr>
        <w:t xml:space="preserve">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b/>
          <w:sz w:val="20"/>
        </w:rPr>
        <w:t xml:space="preserve">No Monetary Payment Required. </w:t>
      </w:r>
      <w:r>
        <w:rPr>
          <w:rFonts w:ascii="Times New Roman" w:hAnsi="Times New Roman"/>
          <w:sz w:val="20"/>
        </w:rPr>
        <w:t xml:space="preserve">The Participant is not required to make any monetary payment (other than applicable tax withholding, if any) as a condition to receiving the Units or shares of Stock issued upon settlement of the Units.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b/>
          <w:sz w:val="20"/>
        </w:rPr>
        <w:t xml:space="preserve">Dividend Equivalent Units. </w:t>
      </w:r>
      <w:r>
        <w:rPr>
          <w:rFonts w:ascii="Times New Roman" w:hAnsi="Times New Roman"/>
          <w:sz w:val="20"/>
        </w:rPr>
        <w:t xml:space="preserve">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 </w:t>
      </w:r>
    </w:p>
    <w:p>
      <w:pPr>
        <w:pStyle w:val="TextBody"/>
        <w:bidi w:val="0"/>
        <w:spacing w:before="360" w:after="0"/>
        <w:jc w:val="left"/>
        <w:rPr>
          <w:rFonts w:ascii="Times New Roman" w:hAnsi="Times New Roman"/>
          <w:sz w:val="20"/>
        </w:rPr>
      </w:pPr>
      <w:r>
        <w:rPr>
          <w:rFonts w:ascii="Times New Roman" w:hAnsi="Times New Roman"/>
          <w:sz w:val="20"/>
        </w:rPr>
        <w:t>5. </w:t>
      </w:r>
      <w:r>
        <w:rPr>
          <w:rFonts w:ascii="Times New Roman" w:hAnsi="Times New Roman"/>
          <w:b/>
          <w:sz w:val="20"/>
          <w:u w:val="single"/>
        </w:rPr>
        <w:t>VESTING OF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Units acquired pursuant to this Agreement shall become Vested Units or Vestable Units as provided in the Grant Notice. Dividend Equivalent Units shall become Vested Units at the same time as the Units originally subject to the Award with respect to which they have been credited. </w:t>
      </w:r>
    </w:p>
    <w:p>
      <w:pPr>
        <w:pStyle w:val="TextBody"/>
        <w:bidi w:val="0"/>
        <w:spacing w:before="360" w:after="0"/>
        <w:jc w:val="left"/>
        <w:rPr>
          <w:rFonts w:ascii="Times New Roman" w:hAnsi="Times New Roman"/>
          <w:sz w:val="20"/>
        </w:rPr>
      </w:pPr>
      <w:r>
        <w:rPr>
          <w:rFonts w:ascii="Times New Roman" w:hAnsi="Times New Roman"/>
          <w:sz w:val="20"/>
        </w:rPr>
        <w:t>6. </w:t>
      </w:r>
      <w:r>
        <w:rPr>
          <w:rFonts w:ascii="Times New Roman" w:hAnsi="Times New Roman"/>
          <w:b/>
          <w:sz w:val="20"/>
          <w:u w:val="single"/>
        </w:rPr>
        <w:t>FORFEITURE OF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 </w:t>
      </w:r>
    </w:p>
    <w:p>
      <w:pPr>
        <w:pStyle w:val="TextBody"/>
        <w:bidi w:val="0"/>
        <w:spacing w:before="360" w:after="0"/>
        <w:jc w:val="left"/>
        <w:rPr>
          <w:rFonts w:ascii="Times New Roman" w:hAnsi="Times New Roman"/>
          <w:sz w:val="20"/>
        </w:rPr>
      </w:pPr>
      <w:r>
        <w:rPr>
          <w:rFonts w:ascii="Times New Roman" w:hAnsi="Times New Roman"/>
          <w:sz w:val="20"/>
        </w:rPr>
        <w:t>7. </w:t>
      </w:r>
      <w:r>
        <w:rPr>
          <w:rFonts w:ascii="Times New Roman" w:hAnsi="Times New Roman"/>
          <w:b/>
          <w:sz w:val="20"/>
          <w:u w:val="single"/>
        </w:rPr>
        <w:t>SETTLEMENT OF THE AWARD.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7.1 </w:t>
      </w:r>
      <w:r>
        <w:rPr>
          <w:rFonts w:ascii="Times New Roman" w:hAnsi="Times New Roman"/>
          <w:b/>
          <w:sz w:val="20"/>
        </w:rPr>
        <w:t xml:space="preserve">Issuance of Shares of Stock. </w:t>
      </w:r>
      <w:r>
        <w:rPr>
          <w:rFonts w:ascii="Times New Roman" w:hAnsi="Times New Roman"/>
          <w:sz w:val="20"/>
        </w:rPr>
        <w:t>Subject to the provisions of Section 7.3, as soon as reasonably practicable following the date upon which Units satisfy the vesting conditions (such date, the </w:t>
      </w:r>
      <w:r>
        <w:rPr>
          <w:rFonts w:ascii="Times New Roman" w:hAnsi="Times New Roman"/>
          <w:b/>
          <w:i/>
          <w:sz w:val="20"/>
        </w:rPr>
        <w:t>Settlement Date</w:t>
      </w:r>
      <w:r>
        <w:rPr>
          <w:rFonts w:ascii="Times New Roman" w:hAnsi="Times New Roman"/>
          <w:sz w:val="20"/>
        </w:rPr>
        <w:t xml:space="preserve">) (but in no event later than March 15th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b/>
          <w:sz w:val="20"/>
        </w:rPr>
        <w:t>Beneficial Ownership of Shares; Certificate Registration</w:t>
      </w:r>
      <w:r>
        <w:rPr>
          <w:rFonts w:ascii="Times New Roman" w:hAnsi="Times New Roman"/>
          <w:sz w:val="20"/>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 </w:t>
      </w:r>
    </w:p>
    <w:p>
      <w:pPr>
        <w:pStyle w:val="TextBody"/>
        <w:bidi w:val="0"/>
        <w:spacing w:before="240" w:after="0"/>
        <w:jc w:val="left"/>
        <w:rPr>
          <w:rFonts w:ascii="Times New Roman" w:hAnsi="Times New Roman"/>
          <w:sz w:val="20"/>
        </w:rPr>
      </w:pPr>
      <w:r>
        <w:rPr>
          <w:rFonts w:ascii="Times New Roman" w:hAnsi="Times New Roman"/>
          <w:sz w:val="20"/>
        </w:rPr>
        <w:t>7.3 </w:t>
      </w:r>
      <w:r>
        <w:rPr>
          <w:rFonts w:ascii="Times New Roman" w:hAnsi="Times New Roman"/>
          <w:b/>
          <w:sz w:val="20"/>
        </w:rPr>
        <w:t xml:space="preserve">Restrictions on Grant of the Award and Issuance of Shares. </w:t>
      </w:r>
      <w:r>
        <w:rPr>
          <w:rFonts w:ascii="Times New Roman" w:hAnsi="Times New Roman"/>
          <w:sz w:val="20"/>
        </w:rPr>
        <w:t xml:space="preserve">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240" w:after="0"/>
        <w:jc w:val="left"/>
        <w:rPr>
          <w:rFonts w:ascii="Times New Roman" w:hAnsi="Times New Roman"/>
          <w:sz w:val="20"/>
        </w:rPr>
      </w:pPr>
      <w:r>
        <w:rPr>
          <w:rFonts w:ascii="Times New Roman" w:hAnsi="Times New Roman"/>
          <w:sz w:val="20"/>
        </w:rPr>
        <w:t>7.4 </w:t>
      </w:r>
      <w:r>
        <w:rPr>
          <w:rFonts w:ascii="Times New Roman" w:hAnsi="Times New Roman"/>
          <w:b/>
          <w:sz w:val="20"/>
        </w:rPr>
        <w:t xml:space="preserve">Fractional Shares. </w:t>
      </w:r>
      <w:r>
        <w:rPr>
          <w:rFonts w:ascii="Times New Roman" w:hAnsi="Times New Roman"/>
          <w:sz w:val="20"/>
        </w:rPr>
        <w:t xml:space="preserve">The Company shall not be required to issue fractional shares upon the settlement of the Award. </w:t>
      </w:r>
    </w:p>
    <w:p>
      <w:pPr>
        <w:pStyle w:val="TextBody"/>
        <w:bidi w:val="0"/>
        <w:spacing w:before="360" w:after="0"/>
        <w:jc w:val="left"/>
        <w:rPr>
          <w:rFonts w:ascii="Times New Roman" w:hAnsi="Times New Roman"/>
          <w:sz w:val="20"/>
        </w:rPr>
      </w:pPr>
      <w:r>
        <w:rPr>
          <w:rFonts w:ascii="Times New Roman" w:hAnsi="Times New Roman"/>
          <w:sz w:val="20"/>
        </w:rPr>
        <w:t>8. </w:t>
      </w:r>
      <w:r>
        <w:rPr>
          <w:rFonts w:ascii="Times New Roman" w:hAnsi="Times New Roman"/>
          <w:b/>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Regardless of any action the Company or the Service Recipient takes with respect to any or all income tax, social insurance, payroll tax, payment on account or other tax-related withholding (</w:t>
      </w:r>
      <w:r>
        <w:rPr>
          <w:rFonts w:ascii="Times New Roman" w:hAnsi="Times New Roman"/>
          <w:b/>
          <w:i/>
          <w:sz w:val="20"/>
        </w:rPr>
        <w:t>Tax-Related Items</w:t>
      </w:r>
      <w:r>
        <w:rPr>
          <w:rFonts w:ascii="Times New Roman" w:hAnsi="Times New Roman"/>
          <w:sz w:val="20"/>
        </w:rPr>
        <w:t xml:space="preserve">),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authorities. In the event that the amount of the withholding is less than the amount of Tax-Related Items, the Participant may be required to pay the under-withheld Tax-Related Items to the Company and/or the Service Recipient or directly to the applicable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refuse to deliver the shares if the Participant fails to comply with the Participants obligations in connection with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acknowledges and understands that the Participant should consult a tax advisor regarding the Participants tax obligations prior to such settlement or disposition. </w:t>
      </w:r>
    </w:p>
    <w:p>
      <w:pPr>
        <w:pStyle w:val="TextBody"/>
        <w:bidi w:val="0"/>
        <w:spacing w:before="360" w:after="0"/>
        <w:jc w:val="left"/>
        <w:rPr>
          <w:rFonts w:ascii="Times New Roman" w:hAnsi="Times New Roman"/>
          <w:sz w:val="20"/>
        </w:rPr>
      </w:pPr>
      <w:r>
        <w:rPr>
          <w:rFonts w:ascii="Times New Roman" w:hAnsi="Times New Roman"/>
          <w:sz w:val="20"/>
        </w:rPr>
        <w:t>9. </w:t>
      </w:r>
      <w:r>
        <w:rPr>
          <w:rFonts w:ascii="Times New Roman" w:hAnsi="Times New Roman"/>
          <w:b/>
          <w:sz w:val="20"/>
          <w:u w:val="single"/>
        </w:rPr>
        <w:t>EFFECT OF CHANGE IN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9.1 </w:t>
      </w:r>
      <w:r>
        <w:rPr>
          <w:rFonts w:ascii="Times New Roman" w:hAnsi="Times New Roman"/>
          <w:b/>
          <w:sz w:val="20"/>
        </w:rPr>
        <w:t>Assumption</w:t>
      </w:r>
      <w:r>
        <w:rPr>
          <w:rFonts w:ascii="Times New Roman" w:hAnsi="Times New Roman"/>
          <w:sz w:val="20"/>
        </w:rPr>
        <w:t xml:space="preserve">. In the event of a Change in Control during the Performance Period where this Award is equitably assumed, substituted or continued by the Company or its successor entity, subject to the Participants continued Service on the date that such Change in Control is consummated, the Award (and any Dividend Equivalent Units associated therewith) shall be treated as provided in Section 11 of the Plan; provided, </w:t>
      </w:r>
      <w:r>
        <w:rPr>
          <w:rFonts w:ascii="Times New Roman" w:hAnsi="Times New Roman"/>
          <w:sz w:val="20"/>
          <w:u w:val="single"/>
        </w:rPr>
        <w:t>however</w:t>
      </w:r>
      <w:r>
        <w:rPr>
          <w:rFonts w:ascii="Times New Roman" w:hAnsi="Times New Roman"/>
          <w:sz w:val="20"/>
        </w:rPr>
        <w:t>, that (i) satisfaction of the Performance Goal shall be determined as of the Measurement Date based on the CIC Price and (ii) unless otherwise determined by the Committee, any Units that have not satisfied the Performance Goal as of the Change in Control (as determined after giving effect to clause (i) above) shall be automatically forfeited and cancelled as of the consummation of the Change in Control. To the extent that any Units satisfy the Performance Goal, then the corresponding percentage of Units set forth in the Grant Notice shall not vest on the date of the Change in Control, but shall be credited on such date and shall be converted into time-based Units (the </w:t>
      </w:r>
      <w:r>
        <w:rPr>
          <w:rFonts w:ascii="Times New Roman" w:hAnsi="Times New Roman"/>
          <w:b/>
          <w:i/>
          <w:sz w:val="20"/>
        </w:rPr>
        <w:t>Time-Based Units</w:t>
      </w:r>
      <w:r>
        <w:rPr>
          <w:rFonts w:ascii="Times New Roman" w:hAnsi="Times New Roman"/>
          <w:sz w:val="20"/>
        </w:rPr>
        <w:t xml:space="preserve">) which will vest on the last day of the Performance Period, subject to the Participants continuous Service through such last day; provided, </w:t>
      </w:r>
      <w:r>
        <w:rPr>
          <w:rFonts w:ascii="Times New Roman" w:hAnsi="Times New Roman"/>
          <w:sz w:val="20"/>
          <w:u w:val="single"/>
        </w:rPr>
        <w:t>however</w:t>
      </w:r>
      <w:r>
        <w:rPr>
          <w:rFonts w:ascii="Times New Roman" w:hAnsi="Times New Roman"/>
          <w:sz w:val="20"/>
        </w:rPr>
        <w:t xml:space="preserve">, that if the Participants continuous Service is terminated after the consummation of the Change in Control and prior to the end of the Performance Period (i) by the Company without Cause or (ii) due to Participants resignation for Good Reason, then 100% of the Time-Based Units shall immediately vest upon the date of such termination. </w:t>
      </w:r>
    </w:p>
    <w:p>
      <w:pPr>
        <w:pStyle w:val="TextBody"/>
        <w:bidi w:val="0"/>
        <w:spacing w:before="240" w:after="0"/>
        <w:jc w:val="left"/>
        <w:rPr>
          <w:rFonts w:ascii="Times New Roman" w:hAnsi="Times New Roman"/>
          <w:sz w:val="20"/>
        </w:rPr>
      </w:pPr>
      <w:r>
        <w:rPr>
          <w:rFonts w:ascii="Times New Roman" w:hAnsi="Times New Roman"/>
          <w:sz w:val="20"/>
        </w:rPr>
        <w:t>9.2 </w:t>
      </w:r>
      <w:r>
        <w:rPr>
          <w:rFonts w:ascii="Times New Roman" w:hAnsi="Times New Roman"/>
          <w:b/>
          <w:sz w:val="20"/>
        </w:rPr>
        <w:t>No Assumption.</w:t>
      </w:r>
      <w:r>
        <w:rPr>
          <w:rFonts w:ascii="Times New Roman" w:hAnsi="Times New Roman"/>
          <w:sz w:val="20"/>
        </w:rPr>
        <w:t xml:space="preserve"> In the event of a Change in Control during the Performance Period where this Award is not equitably assumed, substituted or continued by the Company or its successor entity, the Units shall be treated as provided in Section 11 of the Plan; provided, </w:t>
      </w:r>
      <w:r>
        <w:rPr>
          <w:rFonts w:ascii="Times New Roman" w:hAnsi="Times New Roman"/>
          <w:sz w:val="20"/>
          <w:u w:val="single"/>
        </w:rPr>
        <w:t>however</w:t>
      </w:r>
      <w:r>
        <w:rPr>
          <w:rFonts w:ascii="Times New Roman" w:hAnsi="Times New Roman"/>
          <w:sz w:val="20"/>
        </w:rPr>
        <w:t xml:space="preserve">, that (i) satisfaction of the Performance Goal shall be determined as of immediately prior to the Change in Control based on the CIC Price and the Settlement Date shall occur immediately prior to the consummation of the Change in Control for purposes of Section 7 above, and (ii) unless otherwise determined by the Committee, any Units that have not satisfied the Performance Goal as of the Change in Control (as determined after giving effect to clause (i) above) shall be automatically forfeited as of the consummation of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9, for the Award to be considered equitably assumed, </w:t>
      </w:r>
    </w:p>
    <w:p>
      <w:pPr>
        <w:pStyle w:val="TextBody"/>
        <w:bidi w:val="0"/>
        <w:spacing w:before="240" w:after="0"/>
        <w:jc w:val="left"/>
        <w:rPr>
          <w:rFonts w:ascii="Times New Roman" w:hAnsi="Times New Roman"/>
          <w:sz w:val="20"/>
        </w:rPr>
      </w:pPr>
      <w:r>
        <w:rPr>
          <w:rFonts w:ascii="Times New Roman" w:hAnsi="Times New Roman"/>
          <w:sz w:val="20"/>
        </w:rPr>
        <w:t xml:space="preserve">substituted or continued by the Company or its successor entity, the Committee must determine prior to the Change in Control that the assumed, continuing or substituted award satisfies the following requirements: (i) is based on stock of the successor entity that is traded on an established U.S. securities market or an established securities market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which the Participant can readily trade the Stock without administrative burdens or complexities; (ii) provides the Participant with rights and entitlements substantially equivalent to or better than the rights, terms and conditions applicable under the original Award; and (iii) has substantially equivalent value (determined at the time of the Change in Control). </w:t>
      </w:r>
    </w:p>
    <w:p>
      <w:pPr>
        <w:pStyle w:val="TextBody"/>
        <w:bidi w:val="0"/>
        <w:spacing w:before="360" w:after="0"/>
        <w:jc w:val="left"/>
        <w:rPr>
          <w:rFonts w:ascii="Times New Roman" w:hAnsi="Times New Roman"/>
          <w:sz w:val="20"/>
        </w:rPr>
      </w:pPr>
      <w:r>
        <w:rPr>
          <w:rFonts w:ascii="Times New Roman" w:hAnsi="Times New Roman"/>
          <w:sz w:val="20"/>
        </w:rPr>
        <w:t>10. </w:t>
      </w:r>
      <w:r>
        <w:rPr>
          <w:rFonts w:ascii="Times New Roman" w:hAnsi="Times New Roman"/>
          <w:b/>
          <w:sz w:val="20"/>
          <w:u w:val="single"/>
        </w:rPr>
        <w:t>ADJUSTMENTS FOR CHANGES IN CAPITAL 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 </w:t>
      </w:r>
    </w:p>
    <w:p>
      <w:pPr>
        <w:pStyle w:val="TextBody"/>
        <w:bidi w:val="0"/>
        <w:spacing w:before="360" w:after="0"/>
        <w:jc w:val="left"/>
        <w:rPr>
          <w:rFonts w:ascii="Times New Roman" w:hAnsi="Times New Roman"/>
          <w:sz w:val="20"/>
        </w:rPr>
      </w:pPr>
      <w:r>
        <w:rPr>
          <w:rFonts w:ascii="Times New Roman" w:hAnsi="Times New Roman"/>
          <w:sz w:val="20"/>
        </w:rPr>
        <w:t>11. </w:t>
      </w:r>
      <w:r>
        <w:rPr>
          <w:rFonts w:ascii="Times New Roman" w:hAnsi="Times New Roman"/>
          <w:b/>
          <w:sz w:val="20"/>
          <w:u w:val="single"/>
        </w:rPr>
        <w:t>RIGHTS AS A STOCKHOLDER, DIRECTOR, EMPLOYEE OR CONSULTANT.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12. </w:t>
      </w:r>
      <w:r>
        <w:rPr>
          <w:rFonts w:ascii="Times New Roman" w:hAnsi="Times New Roman"/>
          <w:b/>
          <w:sz w:val="20"/>
          <w:u w:val="single"/>
        </w:rPr>
        <w:t>LEGENDS.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 </w:t>
      </w:r>
    </w:p>
    <w:p>
      <w:pPr>
        <w:pStyle w:val="TextBody"/>
        <w:bidi w:val="0"/>
        <w:spacing w:before="360" w:after="0"/>
        <w:jc w:val="left"/>
        <w:rPr>
          <w:rFonts w:ascii="Times New Roman" w:hAnsi="Times New Roman"/>
          <w:sz w:val="20"/>
        </w:rPr>
      </w:pPr>
      <w:r>
        <w:rPr>
          <w:rFonts w:ascii="Times New Roman" w:hAnsi="Times New Roman"/>
          <w:sz w:val="20"/>
        </w:rPr>
        <w:t>13. </w:t>
      </w:r>
      <w:r>
        <w:rPr>
          <w:rFonts w:ascii="Times New Roman" w:hAnsi="Times New Roman"/>
          <w:b/>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13.1 </w:t>
      </w:r>
      <w:r>
        <w:rPr>
          <w:rFonts w:ascii="Times New Roman" w:hAnsi="Times New Roman"/>
          <w:b/>
          <w:sz w:val="20"/>
        </w:rPr>
        <w:t xml:space="preserve">Termination or Amendment. </w:t>
      </w:r>
      <w:r>
        <w:rPr>
          <w:rFonts w:ascii="Times New Roman" w:hAnsi="Times New Roman"/>
          <w:sz w:val="20"/>
        </w:rPr>
        <w:t xml:space="preserve">The Committee may terminate or amend the Plan or this Agreement at any time; provided, however, that except as set forth in Section 9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 xml:space="preserve">Nontransferability of the Award. </w:t>
      </w:r>
      <w:r>
        <w:rPr>
          <w:rFonts w:ascii="Times New Roman" w:hAnsi="Times New Roman"/>
          <w:sz w:val="20"/>
        </w:rPr>
        <w:t xml:space="preserve">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 xml:space="preserve">Further Instruments. </w:t>
      </w:r>
      <w:r>
        <w:rPr>
          <w:rFonts w:ascii="Times New Roman" w:hAnsi="Times New Roman"/>
          <w:sz w:val="20"/>
        </w:rPr>
        <w:t xml:space="preserve">The parties hereto agree to execute such further instruments and to take such further action as may reasonably be necessary to carry out the intent of this Agreement.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 xml:space="preserve">Binding Effect. </w:t>
      </w:r>
      <w:r>
        <w:rPr>
          <w:rFonts w:ascii="Times New Roman" w:hAnsi="Times New Roman"/>
          <w:sz w:val="20"/>
        </w:rPr>
        <w:t xml:space="preserve">This Agreement shall inure to the benefit of the successors and assigns of the Company and, subject to the restrictions on transfer set forth herein, be binding upon the Participant and the Participants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 xml:space="preserve">Delivery of Documents and Notices. </w:t>
      </w:r>
      <w:r>
        <w:rPr>
          <w:rFonts w:ascii="Times New Roman" w:hAnsi="Times New Roman"/>
          <w:sz w:val="20"/>
        </w:rPr>
        <w:t xml:space="preserve">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b/>
          <w:i/>
          <w:sz w:val="20"/>
        </w:rPr>
        <w:t xml:space="preserve">Description of Electronic Delivery. </w:t>
      </w:r>
      <w:r>
        <w:rPr>
          <w:rFonts w:ascii="Times New Roman" w:hAnsi="Times New Roman"/>
          <w:sz w:val="20"/>
        </w:rPr>
        <w:t xml:space="preserve">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 xml:space="preserve">Consent to Electronic Delivery. </w:t>
      </w:r>
      <w:r>
        <w:rPr>
          <w:rFonts w:ascii="Times New Roman" w:hAnsi="Times New Roman"/>
          <w:sz w:val="20"/>
        </w:rPr>
        <w:t xml:space="preserve">The Participant acknowledges that the Participant has read Section 13.5(a) of this Agreement 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b/>
          <w:sz w:val="20"/>
        </w:rPr>
        <w:t xml:space="preserve">Integrated Agreement. </w:t>
      </w:r>
      <w:r>
        <w:rPr>
          <w:rFonts w:ascii="Times New Roman" w:hAnsi="Times New Roman"/>
          <w:sz w:val="20"/>
        </w:rPr>
        <w:t xml:space="preserve">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13.7 </w:t>
      </w:r>
      <w:r>
        <w:rPr>
          <w:rFonts w:ascii="Times New Roman" w:hAnsi="Times New Roman"/>
          <w:b/>
          <w:sz w:val="20"/>
        </w:rPr>
        <w:t xml:space="preserve">Country-Specific Terms and Conditions. </w:t>
      </w:r>
      <w:r>
        <w:rPr>
          <w:rFonts w:ascii="Times New Roman" w:hAnsi="Times New Roman"/>
          <w:sz w:val="20"/>
        </w:rPr>
        <w:t xml:space="preserve">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13.8 </w:t>
      </w:r>
      <w:r>
        <w:rPr>
          <w:rFonts w:ascii="Times New Roman" w:hAnsi="Times New Roman"/>
          <w:b/>
          <w:sz w:val="20"/>
        </w:rPr>
        <w:t xml:space="preserve">Applicable Law. </w:t>
      </w:r>
      <w:r>
        <w:rPr>
          <w:rFonts w:ascii="Times New Roman" w:hAnsi="Times New Roman"/>
          <w:sz w:val="20"/>
        </w:rPr>
        <w:t xml:space="preserve">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 xml:space="preserve">Language. </w:t>
      </w:r>
      <w:r>
        <w:rPr>
          <w:rFonts w:ascii="Times New Roman" w:hAnsi="Times New Roman"/>
          <w:sz w:val="20"/>
        </w:rPr>
        <w:t xml:space="preserve">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 </w:t>
      </w:r>
    </w:p>
    <w:p>
      <w:pPr>
        <w:pStyle w:val="TextBody"/>
        <w:bidi w:val="0"/>
        <w:spacing w:before="240" w:after="0"/>
        <w:jc w:val="left"/>
        <w:rPr>
          <w:rFonts w:ascii="Times New Roman" w:hAnsi="Times New Roman"/>
          <w:sz w:val="20"/>
        </w:rPr>
      </w:pPr>
      <w:r>
        <w:rPr>
          <w:rFonts w:ascii="Times New Roman" w:hAnsi="Times New Roman"/>
          <w:sz w:val="20"/>
        </w:rPr>
        <w:t>13.10 </w:t>
      </w:r>
      <w:r>
        <w:rPr>
          <w:rFonts w:ascii="Times New Roman" w:hAnsi="Times New Roman"/>
          <w:b/>
          <w:sz w:val="20"/>
        </w:rPr>
        <w:t xml:space="preserve">Insider Trading / Market Abuse Restrictions. </w:t>
      </w:r>
      <w:r>
        <w:rPr>
          <w:rFonts w:ascii="Times New Roman" w:hAnsi="Times New Roman"/>
          <w:sz w:val="20"/>
        </w:rPr>
        <w:t xml:space="preserve">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 </w:t>
      </w:r>
    </w:p>
    <w:p>
      <w:pPr>
        <w:pStyle w:val="TextBody"/>
        <w:bidi w:val="0"/>
        <w:spacing w:before="240" w:after="0"/>
        <w:jc w:val="left"/>
        <w:rPr>
          <w:rFonts w:ascii="Times New Roman" w:hAnsi="Times New Roman"/>
          <w:sz w:val="20"/>
        </w:rPr>
      </w:pPr>
      <w:r>
        <w:rPr>
          <w:rFonts w:ascii="Times New Roman" w:hAnsi="Times New Roman"/>
          <w:sz w:val="20"/>
        </w:rPr>
        <w:t>13.11 </w:t>
      </w:r>
      <w:r>
        <w:rPr>
          <w:rFonts w:ascii="Times New Roman" w:hAnsi="Times New Roman"/>
          <w:b/>
          <w:sz w:val="20"/>
        </w:rPr>
        <w:t xml:space="preserve">Foreign Asset and Account Reporting and Exchange Control Requirements. </w:t>
      </w:r>
      <w:r>
        <w:rPr>
          <w:rFonts w:ascii="Times New Roman" w:hAnsi="Times New Roman"/>
          <w:sz w:val="20"/>
        </w:rPr>
        <w:t xml:space="preserve">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 </w:t>
      </w:r>
    </w:p>
    <w:p>
      <w:pPr>
        <w:pStyle w:val="TextBody"/>
        <w:bidi w:val="0"/>
        <w:spacing w:before="240" w:after="0"/>
        <w:jc w:val="left"/>
        <w:rPr>
          <w:rFonts w:ascii="Times New Roman" w:hAnsi="Times New Roman"/>
          <w:sz w:val="20"/>
        </w:rPr>
      </w:pPr>
      <w:r>
        <w:rPr>
          <w:rFonts w:ascii="Times New Roman" w:hAnsi="Times New Roman"/>
          <w:sz w:val="20"/>
        </w:rPr>
        <w:t>13.12 </w:t>
      </w:r>
      <w:r>
        <w:rPr>
          <w:rFonts w:ascii="Times New Roman" w:hAnsi="Times New Roman"/>
          <w:b/>
          <w:sz w:val="20"/>
        </w:rPr>
        <w:t xml:space="preserve">Waiver. </w:t>
      </w:r>
      <w:r>
        <w:rPr>
          <w:rFonts w:ascii="Times New Roman" w:hAnsi="Times New Roman"/>
          <w:sz w:val="20"/>
        </w:rPr>
        <w:t xml:space="preserve">The Participant acknowledges that a waiver by the Company of breach of any provision of this Agreement by the Participant shall not operate or be construed as a waiver of any other provision of this Agreement, or of any subsequent breach by the Participant. </w:t>
      </w:r>
    </w:p>
    <w:p>
      <w:pPr>
        <w:pStyle w:val="TextBody"/>
        <w:bidi w:val="0"/>
        <w:spacing w:before="240" w:after="0"/>
        <w:jc w:val="left"/>
        <w:rPr>
          <w:rFonts w:ascii="Times New Roman" w:hAnsi="Times New Roman"/>
          <w:sz w:val="20"/>
        </w:rPr>
      </w:pPr>
      <w:r>
        <w:rPr>
          <w:rFonts w:ascii="Times New Roman" w:hAnsi="Times New Roman"/>
          <w:sz w:val="20"/>
        </w:rPr>
        <w:t>13.13 </w:t>
      </w:r>
      <w:r>
        <w:rPr>
          <w:rFonts w:ascii="Times New Roman" w:hAnsi="Times New Roman"/>
          <w:b/>
          <w:sz w:val="20"/>
        </w:rPr>
        <w:t xml:space="preserve">Counterparts. </w:t>
      </w:r>
      <w:r>
        <w:rPr>
          <w:rFonts w:ascii="Times New Roman" w:hAnsi="Times New Roman"/>
          <w:sz w:val="20"/>
        </w:rPr>
        <w:t xml:space="preserve">The Grant Notice may be executed in counterparts, each of which shall be deemed an original, but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13.14 </w:t>
      </w:r>
      <w:r>
        <w:rPr>
          <w:rFonts w:ascii="Times New Roman" w:hAnsi="Times New Roman"/>
          <w:b/>
          <w:sz w:val="20"/>
        </w:rPr>
        <w:t xml:space="preserve">Clawback. </w:t>
      </w:r>
      <w:r>
        <w:rPr>
          <w:rFonts w:ascii="Times New Roman" w:hAnsi="Times New Roman"/>
          <w:sz w:val="20"/>
        </w:rPr>
        <w:t xml:space="preserve">The Award will be subject to recoupment in accordance with the Companys Compensation Recovery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TERMS AND CONDITIONS OF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Appendix have the meanings set forth in the Plan, the Grant Notice and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Below please find additional terms and conditions, as well as notifications, that apply to Korea and the United States.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KOREA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no country-specific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u w:val="single"/>
        </w:rPr>
        <w:t>Terms and Conditions for Participants subject to Tax in the United States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following paragraph is inserted as a new Section 13.15 to the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Section</w:t>
      </w:r>
      <w:r>
        <w:rPr>
          <w:rFonts w:ascii="Times New Roman" w:hAnsi="Times New Roman"/>
          <w:sz w:val="20"/>
        </w:rPr>
        <w:t> </w:t>
      </w:r>
      <w:r>
        <w:rPr>
          <w:rFonts w:ascii="Times New Roman" w:hAnsi="Times New Roman"/>
          <w:b/>
          <w:sz w:val="20"/>
        </w:rPr>
        <w:t>409A of the U.S. Internal Revenue Code</w:t>
      </w:r>
      <w:r>
        <w:rPr>
          <w:rFonts w:ascii="Times New Roman" w:hAnsi="Times New Roman"/>
          <w:sz w:val="20"/>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Internal Revenue Code of 1986, as amended, and will also include any regulations or any other formal guidance promulgated with respect to such Section by the U.S. Department of the Treasury or the Internal Revenue Service.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There are no country-specific notifications.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rPr>
      </w:pPr>
      <w:bookmarkStart w:id="20" w:name="d921022dex311.htm"/>
      <w:bookmarkStart w:id="21" w:name="ksd921022dex311"/>
      <w:bookmarkEnd w:id="20"/>
      <w:bookmarkEnd w:id="21"/>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May 12,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right"/>
        <w:rPr>
          <w:rFonts w:ascii="Times New Roman" w:hAnsi="Times New Roman"/>
          <w:b/>
          <w:sz w:val="20"/>
        </w:rPr>
      </w:pPr>
      <w:bookmarkStart w:id="22" w:name="d921022dex312.htm"/>
      <w:bookmarkStart w:id="23" w:name="ksd921022dex312"/>
      <w:bookmarkEnd w:id="22"/>
      <w:bookmarkEnd w:id="23"/>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May 12, 2025</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right"/>
        <w:rPr>
          <w:rFonts w:ascii="Times New Roman" w:hAnsi="Times New Roman"/>
          <w:b/>
          <w:sz w:val="20"/>
        </w:rPr>
      </w:pPr>
      <w:bookmarkStart w:id="24" w:name="d921022dex321.htm"/>
      <w:bookmarkStart w:id="25" w:name="ksd921022dex321"/>
      <w:bookmarkEnd w:id="24"/>
      <w:bookmarkEnd w:id="25"/>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March 31,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122"/>
        <w:gridCol w:w="4905"/>
      </w:tblGrid>
      <w:tr>
        <w:trPr/>
        <w:tc>
          <w:tcPr>
            <w:tcW w:w="51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05" w:type="dxa"/>
            <w:tcBorders/>
            <w:vAlign w:val="center"/>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283"/>
              <w:jc w:val="left"/>
              <w:rPr/>
            </w:pPr>
            <w:r>
              <w:rPr/>
              <w:t>Dated: May 12, 2025</w:t>
            </w:r>
          </w:p>
        </w:tc>
        <w:tc>
          <w:tcPr>
            <w:tcW w:w="122" w:type="dxa"/>
            <w:tcBorders/>
            <w:vAlign w:val="bottom"/>
          </w:tcPr>
          <w:p>
            <w:pPr>
              <w:pStyle w:val="TableContents"/>
              <w:bidi w:val="0"/>
              <w:spacing w:before="0" w:after="283"/>
              <w:jc w:val="left"/>
              <w:rPr/>
            </w:pPr>
            <w:r>
              <w:rPr/>
              <w:t>  </w:t>
            </w:r>
          </w:p>
        </w:tc>
        <w:tc>
          <w:tcPr>
            <w:tcW w:w="49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51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Young-Joon Kim</w:t>
            </w:r>
          </w:p>
        </w:tc>
      </w:tr>
      <w:tr>
        <w:trPr/>
        <w:tc>
          <w:tcPr>
            <w:tcW w:w="51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Chief Executive Officer</w:t>
            </w:r>
          </w:p>
        </w:tc>
      </w:tr>
      <w:tr>
        <w:trPr/>
        <w:tc>
          <w:tcPr>
            <w:tcW w:w="51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26" w:name="d921022dex322.htm"/>
      <w:bookmarkStart w:id="27" w:name="ksd921022dex322"/>
      <w:bookmarkEnd w:id="26"/>
      <w:bookmarkEnd w:id="27"/>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240" w:after="0"/>
        <w:jc w:val="left"/>
        <w:rPr>
          <w:rFonts w:ascii="Times New Roman" w:hAnsi="Times New Roman"/>
          <w:sz w:val="20"/>
        </w:rPr>
      </w:pPr>
      <w:r>
        <w:rPr>
          <w:rFonts w:ascii="Times New Roman" w:hAnsi="Times New Roman"/>
          <w:sz w:val="20"/>
        </w:rPr>
        <w:t>(i) the Quarterly Report on Form 10-Q of the Company for the quarterly period ended March 31, 2025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4"/>
        <w:gridCol w:w="4896"/>
      </w:tblGrid>
      <w:tr>
        <w:trPr/>
        <w:tc>
          <w:tcPr>
            <w:tcW w:w="518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5185" w:type="dxa"/>
            <w:tcBorders/>
          </w:tcPr>
          <w:p>
            <w:pPr>
              <w:pStyle w:val="TableContents"/>
              <w:bidi w:val="0"/>
              <w:spacing w:before="0" w:after="283"/>
              <w:jc w:val="left"/>
              <w:rPr/>
            </w:pPr>
            <w:r>
              <w:rPr/>
              <w:t>Dated: May 12, 2025</w:t>
            </w:r>
          </w:p>
        </w:tc>
        <w:tc>
          <w:tcPr>
            <w:tcW w:w="124" w:type="dxa"/>
            <w:tcBorders/>
            <w:vAlign w:val="bottom"/>
          </w:tcPr>
          <w:p>
            <w:pPr>
              <w:pStyle w:val="TableContents"/>
              <w:bidi w:val="0"/>
              <w:spacing w:before="0" w:after="283"/>
              <w:jc w:val="left"/>
              <w:rPr/>
            </w:pPr>
            <w:r>
              <w:rPr/>
              <w:t>  </w:t>
            </w:r>
          </w:p>
        </w:tc>
        <w:tc>
          <w:tcPr>
            <w:tcW w:w="48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518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Shin Young Park</w:t>
            </w:r>
          </w:p>
        </w:tc>
      </w:tr>
      <w:tr>
        <w:trPr/>
        <w:tc>
          <w:tcPr>
            <w:tcW w:w="518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Chief Financial Officer</w:t>
            </w:r>
          </w:p>
        </w:tc>
      </w:tr>
      <w:tr>
        <w:trPr/>
        <w:tc>
          <w:tcPr>
            <w:tcW w:w="518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29499</Words>
  <Characters>159086</Characters>
  <CharactersWithSpaces>192162</CharactersWithSpaces>
  <Paragraphs>7873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