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3900" w:type="dxa"/>
            <w:vAlign w:val="bottom"/>
          </w:tcPr>
          <w:p>
            <w:pPr>
              <w:jc w:val="center"/>
              <w:ind w:right="2138"/>
              <w:spacing w:after="0"/>
              <w:rPr>
                <w:sz w:val="20"/>
                <w:szCs w:val="20"/>
                <w:color w:val="auto"/>
              </w:rPr>
            </w:pPr>
            <w:r>
              <w:rPr>
                <w:rFonts w:ascii="Arial" w:cs="Arial" w:eastAsia="Arial" w:hAnsi="Arial"/>
                <w:sz w:val="18"/>
                <w:szCs w:val="18"/>
                <w:b w:val="1"/>
                <w:bCs w:val="1"/>
                <w:color w:val="auto"/>
                <w:w w:val="91"/>
              </w:rPr>
              <w:t>Delaware</w:t>
            </w:r>
          </w:p>
        </w:tc>
        <w:tc>
          <w:tcPr>
            <w:tcW w:w="2160" w:type="dxa"/>
            <w:vAlign w:val="bottom"/>
          </w:tcPr>
          <w:p>
            <w:pPr>
              <w:ind w:left="460"/>
              <w:spacing w:after="0"/>
              <w:rPr>
                <w:sz w:val="20"/>
                <w:szCs w:val="20"/>
                <w:color w:val="auto"/>
              </w:rPr>
            </w:pPr>
            <w:r>
              <w:rPr>
                <w:rFonts w:ascii="Arial" w:cs="Arial" w:eastAsia="Arial" w:hAnsi="Arial"/>
                <w:sz w:val="18"/>
                <w:szCs w:val="18"/>
                <w:b w:val="1"/>
                <w:bCs w:val="1"/>
                <w:color w:val="auto"/>
              </w:rPr>
              <w:t>001-34791</w:t>
            </w:r>
          </w:p>
        </w:tc>
        <w:tc>
          <w:tcPr>
            <w:tcW w:w="3000" w:type="dxa"/>
            <w:vAlign w:val="bottom"/>
          </w:tcPr>
          <w:p>
            <w:pPr>
              <w:jc w:val="center"/>
              <w:ind w:left="180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3900" w:type="dxa"/>
            <w:vAlign w:val="bottom"/>
          </w:tcPr>
          <w:p>
            <w:pPr>
              <w:jc w:val="center"/>
              <w:ind w:right="21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16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(Commission</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2118"/>
              <w:spacing w:after="0"/>
              <w:rPr>
                <w:sz w:val="20"/>
                <w:szCs w:val="20"/>
                <w:color w:val="auto"/>
              </w:rPr>
            </w:pPr>
            <w:r>
              <w:rPr>
                <w:rFonts w:ascii="Arial" w:cs="Arial" w:eastAsia="Arial" w:hAnsi="Arial"/>
                <w:sz w:val="14"/>
                <w:szCs w:val="14"/>
                <w:b w:val="1"/>
                <w:bCs w:val="1"/>
                <w:color w:val="auto"/>
                <w:w w:val="94"/>
              </w:rPr>
              <w:t>of Incorporation)</w:t>
            </w:r>
          </w:p>
        </w:tc>
        <w:tc>
          <w:tcPr>
            <w:tcW w:w="2160" w:type="dxa"/>
            <w:vAlign w:val="bottom"/>
          </w:tcPr>
          <w:p>
            <w:pPr>
              <w:ind w:left="420"/>
              <w:spacing w:after="0"/>
              <w:rPr>
                <w:sz w:val="20"/>
                <w:szCs w:val="20"/>
                <w:color w:val="auto"/>
              </w:rPr>
            </w:pPr>
            <w:r>
              <w:rPr>
                <w:rFonts w:ascii="Arial" w:cs="Arial" w:eastAsia="Arial" w:hAnsi="Arial"/>
                <w:sz w:val="14"/>
                <w:szCs w:val="14"/>
                <w:b w:val="1"/>
                <w:bCs w:val="1"/>
                <w:color w:val="auto"/>
              </w:rPr>
              <w:t>File Number)</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9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c/o MagnaChip Semiconductor S.A.</w:t>
            </w:r>
          </w:p>
        </w:tc>
        <w:tc>
          <w:tcPr>
            <w:tcW w:w="2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6"/>
        </w:trPr>
        <w:tc>
          <w:tcPr>
            <w:tcW w:w="3900" w:type="dxa"/>
            <w:vAlign w:val="bottom"/>
          </w:tcPr>
          <w:p>
            <w:pPr>
              <w:jc w:val="center"/>
              <w:ind w:right="238"/>
              <w:spacing w:after="0"/>
              <w:rPr>
                <w:sz w:val="20"/>
                <w:szCs w:val="20"/>
                <w:color w:val="auto"/>
              </w:rPr>
            </w:pPr>
            <w:r>
              <w:rPr>
                <w:rFonts w:ascii="Arial" w:cs="Arial" w:eastAsia="Arial" w:hAnsi="Arial"/>
                <w:sz w:val="18"/>
                <w:szCs w:val="18"/>
                <w:b w:val="1"/>
                <w:bCs w:val="1"/>
                <w:color w:val="auto"/>
                <w:w w:val="89"/>
              </w:rPr>
              <w:t>1, Allée Scheffer, L-2520</w:t>
            </w:r>
          </w:p>
        </w:tc>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25"/>
        </w:trPr>
        <w:tc>
          <w:tcPr>
            <w:tcW w:w="390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16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390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16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Corporation and its consolidated subsidiaries for the first quarter ended March 31, 2018, as presented in a press release dated April 30, 2018.</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5080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81"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for MagnaChip Semiconductor Corporation dated April 30, 2018, announcing the results for the first quarter ended March 31, 2018.</w:t>
        </w:r>
      </w:hyperlink>
    </w:p>
    <w:p>
      <w:pPr>
        <w:sectPr>
          <w:pgSz w:w="11900" w:h="16838" w:orient="portrait"/>
          <w:cols w:equalWidth="0" w:num="1">
            <w:col w:w="11420"/>
          </w:cols>
          <w:pgMar w:left="240" w:top="270"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April 30, 2018</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360"/>
          </w:cols>
          <w:pgMar w:left="240" w:top="27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29806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980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Reports First Quarter 2018 Financial Results</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April 30, 2018 </w:t>
      </w:r>
      <w:r>
        <w:rPr>
          <w:rFonts w:ascii="Arial" w:cs="Arial" w:eastAsia="Arial" w:hAnsi="Arial"/>
          <w:sz w:val="18"/>
          <w:szCs w:val="18"/>
          <w:color w:val="auto"/>
        </w:rPr>
        <w:t>— MagnaChip Semiconductor Corporation (NYSE: MX) today announced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of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2018 Summary</w:t>
      </w:r>
    </w:p>
    <w:p>
      <w:pPr>
        <w:spacing w:after="0" w:line="135"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$165.8 million exceeded the high-end of $158-164 million guidance range; revenue increased 2.5% YoY</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OLED display driver revenue of $34.3 million increased 112% YoY and 141% from Q4 2017; achieved 10 new design wins for OLED display drivers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of 26.9% in line with 26-28% guidance range; gross profit margin increased by 1.2 percentage points YoY and gross profit dollars increased 7.2% YoY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$7.4 million increased 15.9% YoY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of $15.5 million increased 18.4% YoY</w:t>
      </w:r>
    </w:p>
    <w:p>
      <w:pPr>
        <w:spacing w:after="0" w:line="22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color w:val="auto"/>
        </w:rPr>
        <w:t>CEO Comments</w:t>
      </w:r>
      <w:r>
        <w:rPr>
          <w:rFonts w:ascii="Arial" w:cs="Arial" w:eastAsia="Arial" w:hAnsi="Arial"/>
          <w:sz w:val="18"/>
          <w:szCs w:val="18"/>
          <w:color w:val="auto"/>
        </w:rPr>
        <w:t>: “Revenue in the first quarter exceeded expectations, fueled by a sharp rebound in demand for our mobile OLED display drivers from</w:t>
      </w:r>
      <w:r>
        <w:rPr>
          <w:rFonts w:ascii="Arial" w:cs="Arial" w:eastAsia="Arial" w:hAnsi="Arial"/>
          <w:sz w:val="18"/>
          <w:szCs w:val="18"/>
          <w:b w:val="1"/>
          <w:bCs w:val="1"/>
          <w:color w:val="auto"/>
        </w:rPr>
        <w:t xml:space="preserve"> </w:t>
      </w:r>
      <w:r>
        <w:rPr>
          <w:rFonts w:ascii="Arial" w:cs="Arial" w:eastAsia="Arial" w:hAnsi="Arial"/>
          <w:sz w:val="18"/>
          <w:szCs w:val="18"/>
          <w:color w:val="auto"/>
        </w:rPr>
        <w:t>smartphone makers, primarily in China,” said YJ Kim, Chief Executive Officer.</w:t>
      </w:r>
    </w:p>
    <w:p>
      <w:pPr>
        <w:ind w:right="140"/>
        <w:spacing w:after="0" w:line="290" w:lineRule="auto"/>
        <w:rPr>
          <w:sz w:val="20"/>
          <w:szCs w:val="20"/>
          <w:color w:val="auto"/>
        </w:rPr>
      </w:pPr>
      <w:r>
        <w:rPr>
          <w:rFonts w:ascii="Arial" w:cs="Arial" w:eastAsia="Arial" w:hAnsi="Arial"/>
          <w:sz w:val="16"/>
          <w:szCs w:val="16"/>
          <w:color w:val="auto"/>
        </w:rPr>
        <w:t>“When we reported Q4 2017 financial results in February, we stated that OLED revenue in Q1 2018 had the potential to increase sequentially by more than 75%, and expressed confidence that OLED revenue was on track to exceed 50% growth in 2018 as compared to 2017 or clearly exceed $100 million for the full year. In fact, our OLED revenue in Q1 increased 141% sequentially and, based upon our current business visibility, we now anticipate OLED revenue growth in 2018 will surpass our previous targets.” CEO Kim added, “During Q1, MagnaChip secured a total of 10 new OLED design wins from smartphone makers in China and elsewhere in Asia, and sampled a new third-generation 40-nanometer rigid bezel-less OLED display driver that already has won design-in by a leading smartphone maker for a device targeted to the mainstream market in the second half of 2018.”</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 Comments</w:t>
      </w:r>
      <w:r>
        <w:rPr>
          <w:rFonts w:ascii="Arial" w:cs="Arial" w:eastAsia="Arial" w:hAnsi="Arial"/>
          <w:sz w:val="18"/>
          <w:szCs w:val="18"/>
          <w:color w:val="auto"/>
        </w:rPr>
        <w:t>:</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“Key financial indicators in the first quarter compared favorably with results achieved in the same year-ago period despite previously disclosed headwinds, including higher raw wafer costs and typical seasonal weakness.” said Jonathan Kim, Chief Financial Officer. Revenue in Q1 2018 increased 2.5% as compared to Q1 2017, gross profit margin improved by 1.2 percentage points, gross margin dollars increased by 7.2%, operating income rose 15.9% and Adjusted EBITDA was higher by 18.4% as compared to the first quarter a year ago. Revenue from lower-margin products in the non-OLED portion of the Display business line decreased in Q1 due to a strategic portfolio optimization initiative to improve product mix and profitability over time. CFO Kim added, “Our results in Q1 demonstrated our ongoing commitment to focus on achieving profitable growth.”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revenue in the first quarter of 2018 was $165.8 million, up 2.5% as compared to $161.7 million from the first quarter of 2017, and down 5.0% from the fourth quarter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 and Segment Adjustments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January 2018, as part of the Company’s ongoing portfolio optimization effort to realign business processes and streamline the organizational structure, the Company transferred a portion of the non-OLED Display business, which was $4.4 million for Q1 2018, from the Standard Products Group to the Foundry Services Group. The transferred non-OLED Display business has characteristics more closely aligned with the Foundry business than with Standard Products and resided within the Display business line primarily as a result of a long standing customer relationship established many years ago. The historical financial results below are discussed both on an as reported and as adjusted basis for comparative purposes.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Foundry Services Group revenue in the first quarter was $77.4 million, about flat with reported revenue of $77.5 million from the first quarter of 2017, and down 4.0% from the fourth quarter of 2017 on an as reported basis; and down 7.3% from the first quarter of 2017, and down 14.2% from the fourth quarter of 2017 on an as adjusted basis.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the strategic realignment and portfolio optimization discussed above, Standard Products Group revenue in the first quarter of 2018 was</w:t>
      </w:r>
    </w:p>
    <w:p>
      <w:pPr>
        <w:spacing w:after="0" w:line="35"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$88.4 million, up 5.0% year-over-year and down 5.9% sequentially on an as reported basis; and up 13.1% year-over-year and up 4.8% sequentially on an as adjusted basis. The improved results in the Standard Products Group reflected an improvement in mobile OLED driver revenue in connection with the introduction of new OLED smartphones from China manufacturers, higher demand for MOSFETS for mobile battery and television products, despite lower LCD display driver revenue. The sequential revenue decline in Q1 2018 as compared with the fourth quarter of 2017 stemmed primarily from a previously announced strategic plan to reduce business from lower-margin LCD display drivers in the Standard Products Group.</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Gross Profit and Gross Profit Margin</w:t>
      </w:r>
    </w:p>
    <w:p>
      <w:pPr>
        <w:spacing w:after="0" w:line="12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Total gross profit in the first quarter of 2018 was $44.6 million or 26.9% as a percentage of sales as compared with gross profit of $41.6 million or 25.7% gross profit margin in the first quarter of 2017, and $49.4 million or 28.3% gross profit margin for the fourth quarter of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Gross Profit Margin</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Foundry Services Group gross profit margin was 26.7% in the first quarter of 2018 as compared with, on an as reported basis, 28.5% in the first quarter of 2017 and 31.7% in the fourth quarter of 2017. The Foundry Services Group gross profit margin was, on an as adjusted basis, 27.9% in the first quarter of 2017 and 30.4% in the fourth quarter of 2017. The Standard Products Group gross profit margin was 27.2% in the first quarter of 2018 as compared with, on an as reported basis, 23.1% in the first quarter of 2017, and 25.3% in the fourth quarter of 2017. The Standard Products Group gross profit margin was, on an adjusted basis, 23.3% in the first quarter of 2017, and 26.0% in the fourth quarter of 2017.</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Net Income, Adjusted Net Income, Adjusted EBITDA</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income, on a GAAP basis, for the first quarter was $7.4 million, as compared with $6.4 million in the first quarter of 2017, and $7.6 million in the fourth quarter of 2017.</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income, on a GAAP basis, for the first quarter was $2.8 million or $0.08 per basic share and diluted share, as compared with net income on a GAAP basis of $43.7 million or $1.30 per basic share and $1.05 per diluted share in the first quarter of 2017, and compared with net income of $43.7 million or $1.28 per basic share and $0.99 per diluted share in the fourth quarter of 2017.</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Adjusted Net Income, a non-GAAP financial measure, for the first quarter of 2018 totaled $1.4 million or $0.04 per basic and diluted share, as compared with Adjusted Net Income of $0.5 million or $0.01 per basic and diluted share in the first quarter of 2017, and compared with Adjusted Net Income of $9.1 million or $0.27 per basic share and $0.23 per diluted share in the fourth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Adjusted EBITDA, a non-GAAP financial measure, in the first quarter was $15.5 million or 9.3% of revenue, as compared with Adjusted EBITDA of</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$13.1 million or 8.1% of revenue in the first quarter of 2017, and compared with Adjusted EBITDA of $20.5 million or 11.8% of revenue in the fourth quarter of 2017.</w:t>
      </w:r>
    </w:p>
    <w:p>
      <w:pPr>
        <w:spacing w:after="0" w:line="18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totaled $123.1 million at the end of the first quarter, down from $128.6 million at the end of the fourth quarter of 2017.</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The following table sets forth information relating to our operating segments (in thousands). The historical amounts below are presented both on an as reported and as adjusted basis to show the impact of the strategic realignment and transfer of a portion of the non-OLED Display business from the Standard Products Group to the Foundry Services Group beginning in the first quarter of 2018:</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0"/>
                <w:szCs w:val="10"/>
                <w:color w:val="auto"/>
              </w:rPr>
            </w:pPr>
          </w:p>
        </w:tc>
        <w:tc>
          <w:tcPr>
            <w:tcW w:w="114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As Reported</w:t>
            </w:r>
          </w:p>
        </w:tc>
        <w:tc>
          <w:tcPr>
            <w:tcW w:w="10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5"/>
              </w:rPr>
              <w:t>As Adjusted</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77,429</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77,528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83,542</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49,696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48,879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42,865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38,667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35,280</w:t>
            </w:r>
          </w:p>
        </w:tc>
        <w:tc>
          <w:tcPr>
            <w:tcW w:w="0" w:type="dxa"/>
            <w:vAlign w:val="bottom"/>
          </w:tcPr>
          <w:p>
            <w:pPr>
              <w:spacing w:after="0"/>
              <w:rPr>
                <w:sz w:val="1"/>
                <w:szCs w:val="1"/>
                <w:color w:val="auto"/>
              </w:rPr>
            </w:pPr>
          </w:p>
        </w:tc>
      </w:tr>
      <w:tr>
        <w:trPr>
          <w:trHeight w:val="223"/>
        </w:trPr>
        <w:tc>
          <w:tcPr>
            <w:tcW w:w="6400" w:type="dxa"/>
            <w:vAlign w:val="bottom"/>
          </w:tcPr>
          <w:p>
            <w:pPr>
              <w:ind w:left="1080"/>
              <w:spacing w:after="0"/>
              <w:rPr>
                <w:sz w:val="20"/>
                <w:szCs w:val="20"/>
                <w:color w:val="auto"/>
              </w:rPr>
            </w:pPr>
            <w:r>
              <w:rPr>
                <w:rFonts w:ascii="Arial" w:cs="Arial" w:eastAsia="Arial" w:hAnsi="Arial"/>
                <w:sz w:val="18"/>
                <w:szCs w:val="18"/>
                <w:color w:val="auto"/>
              </w:rPr>
              <w:t>Total Standard Products Group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84,159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40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165,819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161,710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1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88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March 31, 2018</w:t>
            </w:r>
          </w:p>
        </w:tc>
        <w:tc>
          <w:tcPr>
            <w:tcW w:w="1820" w:type="dxa"/>
            <w:vAlign w:val="bottom"/>
            <w:gridSpan w:val="4"/>
          </w:tcPr>
          <w:p>
            <w:pPr>
              <w:jc w:val="right"/>
              <w:ind w:right="660"/>
              <w:spacing w:after="0" w:line="123" w:lineRule="exact"/>
              <w:rPr>
                <w:sz w:val="20"/>
                <w:szCs w:val="20"/>
                <w:color w:val="auto"/>
              </w:rPr>
            </w:pPr>
            <w:r>
              <w:rPr>
                <w:rFonts w:ascii="Arial" w:cs="Arial" w:eastAsia="Arial" w:hAnsi="Arial"/>
                <w:sz w:val="14"/>
                <w:szCs w:val="14"/>
                <w:b w:val="1"/>
                <w:bCs w:val="1"/>
                <w:color w:val="auto"/>
              </w:rPr>
              <w:t>March 31, 2017</w:t>
            </w:r>
          </w:p>
        </w:tc>
        <w:tc>
          <w:tcPr>
            <w:tcW w:w="1420" w:type="dxa"/>
            <w:vAlign w:val="bottom"/>
            <w:gridSpan w:val="3"/>
          </w:tcPr>
          <w:p>
            <w:pPr>
              <w:jc w:val="right"/>
              <w:ind w:right="177"/>
              <w:spacing w:after="0" w:line="123" w:lineRule="exact"/>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1820" w:type="dxa"/>
            <w:vAlign w:val="bottom"/>
            <w:gridSpan w:val="4"/>
          </w:tcPr>
          <w:p>
            <w:pPr>
              <w:jc w:val="right"/>
              <w:ind w:right="760"/>
              <w:spacing w:after="0"/>
              <w:rPr>
                <w:sz w:val="20"/>
                <w:szCs w:val="20"/>
                <w:color w:val="auto"/>
              </w:rPr>
            </w:pPr>
            <w:r>
              <w:rPr>
                <w:rFonts w:ascii="Arial" w:cs="Arial" w:eastAsia="Arial" w:hAnsi="Arial"/>
                <w:sz w:val="14"/>
                <w:szCs w:val="14"/>
                <w:b w:val="1"/>
                <w:bCs w:val="1"/>
                <w:i w:val="1"/>
                <w:iCs w:val="1"/>
                <w:color w:val="auto"/>
              </w:rPr>
              <w:t>As Reported</w:t>
            </w:r>
          </w:p>
        </w:tc>
        <w:tc>
          <w:tcPr>
            <w:tcW w:w="1620" w:type="dxa"/>
            <w:vAlign w:val="bottom"/>
            <w:gridSpan w:val="4"/>
          </w:tcPr>
          <w:p>
            <w:pPr>
              <w:jc w:val="right"/>
              <w:ind w:right="560"/>
              <w:spacing w:after="0"/>
              <w:rPr>
                <w:sz w:val="20"/>
                <w:szCs w:val="20"/>
                <w:color w:val="auto"/>
              </w:rPr>
            </w:pPr>
            <w:r>
              <w:rPr>
                <w:rFonts w:ascii="Arial" w:cs="Arial" w:eastAsia="Arial" w:hAnsi="Arial"/>
                <w:sz w:val="14"/>
                <w:szCs w:val="14"/>
                <w:b w:val="1"/>
                <w:bCs w:val="1"/>
                <w:i w:val="1"/>
                <w:iCs w:val="1"/>
                <w:color w:val="auto"/>
              </w:rPr>
              <w:t>As Adjusted</w:t>
            </w: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Net Sales</w:t>
            </w:r>
          </w:p>
        </w:tc>
        <w:tc>
          <w:tcPr>
            <w:tcW w:w="840" w:type="dxa"/>
            <w:vAlign w:val="bottom"/>
            <w:gridSpan w:val="2"/>
            <w:vMerge w:val="continue"/>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Net Sales</w:t>
            </w:r>
          </w:p>
        </w:tc>
        <w:tc>
          <w:tcPr>
            <w:tcW w:w="860" w:type="dxa"/>
            <w:vAlign w:val="bottom"/>
            <w:gridSpan w:val="2"/>
            <w:vMerge w:val="continue"/>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Net Sales</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9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2860" w:type="dxa"/>
            <w:vAlign w:val="bottom"/>
            <w:gridSpan w:val="3"/>
          </w:tcPr>
          <w:p>
            <w:pPr>
              <w:jc w:val="right"/>
              <w:ind w:right="300"/>
              <w:spacing w:after="0"/>
              <w:rPr>
                <w:sz w:val="20"/>
                <w:szCs w:val="20"/>
                <w:color w:val="auto"/>
              </w:rPr>
            </w:pPr>
            <w:r>
              <w:rPr>
                <w:rFonts w:ascii="Arial" w:cs="Arial" w:eastAsia="Arial" w:hAnsi="Arial"/>
                <w:sz w:val="18"/>
                <w:szCs w:val="18"/>
                <w:color w:val="auto"/>
              </w:rPr>
              <w:t>$20,664</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$22,087</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$23,312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2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24,039</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19,460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18,235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1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(452)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profit</w:t>
            </w:r>
          </w:p>
        </w:tc>
        <w:tc>
          <w:tcPr>
            <w:tcW w:w="2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44,581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41,570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41,570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and Recent Company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MagnaChip:</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it will host its Annual Foundry Technology Symposium in Santa Clara, California on May 23,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Now offers automotive-grade 0.18 micron BCD process technology with up to 100V Operation Voltage</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that Second-Generation 0.13 micron BCD process technology with high-density embedded flash memory is now available to Foundry customers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Multi-level thick IMD process for capacity with ultra-high breakdown voltage is now available to Foundry customers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2018, MagnaChip anticipates:</w:t>
      </w:r>
    </w:p>
    <w:p>
      <w:pPr>
        <w:spacing w:after="0" w:line="131" w:lineRule="exact"/>
        <w:rPr>
          <w:sz w:val="20"/>
          <w:szCs w:val="20"/>
          <w:color w:val="auto"/>
        </w:rPr>
      </w:pPr>
    </w:p>
    <w:p>
      <w:pPr>
        <w:ind w:left="900" w:right="180" w:hanging="325"/>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to be in the range of $182 million to $188 million, up sequentially 11.6% at the mid-point of the projected range. The guidance for the second quarter compares with revenue of $165.8 million in the first quarter of 2018 and $166.7 million in the second quarter of 2017.</w:t>
      </w:r>
    </w:p>
    <w:p>
      <w:pPr>
        <w:spacing w:after="0" w:line="29" w:lineRule="exact"/>
        <w:rPr>
          <w:rFonts w:ascii="Arial" w:cs="Arial" w:eastAsia="Arial" w:hAnsi="Arial"/>
          <w:sz w:val="16"/>
          <w:szCs w:val="16"/>
          <w:color w:val="auto"/>
        </w:rPr>
      </w:pPr>
    </w:p>
    <w:p>
      <w:pPr>
        <w:ind w:left="900" w:right="1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Despite headwinds, gross profit margin to be in the range of 26% to 28%. This compares to 26.9% in the first quarter of 2018, and 28.0% in the second quarter of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2018 Conference Call</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The conference call will be webcast live today and also is available by dialing toll-free at </w:t>
      </w:r>
      <w:r>
        <w:rPr>
          <w:rFonts w:ascii="Arial" w:cs="Arial" w:eastAsia="Arial" w:hAnsi="Arial"/>
          <w:sz w:val="18"/>
          <w:szCs w:val="18"/>
          <w:b w:val="1"/>
          <w:bCs w:val="1"/>
          <w:color w:val="auto"/>
        </w:rPr>
        <w:t>1-844-536-5472</w:t>
      </w:r>
      <w:r>
        <w:rPr>
          <w:rFonts w:ascii="Arial" w:cs="Arial" w:eastAsia="Arial" w:hAnsi="Arial"/>
          <w:sz w:val="18"/>
          <w:szCs w:val="18"/>
          <w:color w:val="auto"/>
        </w:rPr>
        <w:t xml:space="preserve">. International call-in participants can dial toll-free at </w:t>
      </w:r>
      <w:r>
        <w:rPr>
          <w:rFonts w:ascii="Arial" w:cs="Arial" w:eastAsia="Arial" w:hAnsi="Arial"/>
          <w:sz w:val="18"/>
          <w:szCs w:val="18"/>
          <w:b w:val="1"/>
          <w:bCs w:val="1"/>
          <w:u w:val="single" w:color="auto"/>
          <w:color w:val="auto"/>
        </w:rPr>
        <w:t>1-614-999-9318</w:t>
      </w:r>
      <w:r>
        <w:rPr>
          <w:rFonts w:ascii="Arial" w:cs="Arial" w:eastAsia="Arial" w:hAnsi="Arial"/>
          <w:sz w:val="18"/>
          <w:szCs w:val="18"/>
          <w:color w:val="auto"/>
        </w:rPr>
        <w:t xml:space="preserve">. The conference ID number is </w:t>
      </w:r>
      <w:r>
        <w:rPr>
          <w:rFonts w:ascii="Arial" w:cs="Arial" w:eastAsia="Arial" w:hAnsi="Arial"/>
          <w:sz w:val="18"/>
          <w:szCs w:val="18"/>
          <w:b w:val="1"/>
          <w:bCs w:val="1"/>
          <w:color w:val="auto"/>
        </w:rPr>
        <w:t>1777267</w:t>
      </w:r>
      <w:r>
        <w:rPr>
          <w:rFonts w:ascii="Arial" w:cs="Arial" w:eastAsia="Arial" w:hAnsi="Arial"/>
          <w:sz w:val="18"/>
          <w:szCs w:val="18"/>
          <w:color w:val="auto"/>
        </w:rPr>
        <w:t xml:space="preserve">. Participants are encouraged to initiate their calls at least 10 minutes in advance of the 5 p.m. EDT start time today to ensure a timely connection. The webcast and earnings release will be accessible at </w:t>
      </w:r>
      <w:r>
        <w:rPr>
          <w:rFonts w:ascii="Arial" w:cs="Arial" w:eastAsia="Arial" w:hAnsi="Arial"/>
          <w:sz w:val="18"/>
          <w:szCs w:val="18"/>
          <w:u w:val="single" w:color="auto"/>
          <w:color w:val="auto"/>
        </w:rPr>
        <w:t>www.magnachip.com</w:t>
      </w:r>
      <w:r>
        <w:rPr>
          <w:rFonts w:ascii="Arial" w:cs="Arial" w:eastAsia="Arial" w:hAnsi="Arial"/>
          <w:sz w:val="18"/>
          <w:szCs w:val="18"/>
          <w:color w:val="auto"/>
        </w:rPr>
        <w:t xml:space="preserve">. A replay of the conference call will be available the same day and will run for 72 hours. The replay dial-in numbers are </w:t>
      </w:r>
      <w:r>
        <w:rPr>
          <w:rFonts w:ascii="Arial" w:cs="Arial" w:eastAsia="Arial" w:hAnsi="Arial"/>
          <w:sz w:val="18"/>
          <w:szCs w:val="18"/>
          <w:b w:val="1"/>
          <w:bCs w:val="1"/>
          <w:color w:val="auto"/>
        </w:rPr>
        <w:t>1-404-537-3406</w:t>
      </w:r>
      <w:r>
        <w:rPr>
          <w:rFonts w:ascii="Arial" w:cs="Arial" w:eastAsia="Arial" w:hAnsi="Arial"/>
          <w:sz w:val="18"/>
          <w:szCs w:val="18"/>
          <w:color w:val="auto"/>
        </w:rPr>
        <w:t xml:space="preserve"> or toll-free at </w:t>
      </w:r>
      <w:r>
        <w:rPr>
          <w:rFonts w:ascii="Arial" w:cs="Arial" w:eastAsia="Arial" w:hAnsi="Arial"/>
          <w:sz w:val="18"/>
          <w:szCs w:val="18"/>
          <w:b w:val="1"/>
          <w:bCs w:val="1"/>
          <w:color w:val="auto"/>
        </w:rPr>
        <w:t>1-855-859-2056</w:t>
      </w:r>
      <w:r>
        <w:rPr>
          <w:rFonts w:ascii="Arial" w:cs="Arial" w:eastAsia="Arial" w:hAnsi="Arial"/>
          <w:sz w:val="18"/>
          <w:szCs w:val="18"/>
          <w:color w:val="auto"/>
        </w:rPr>
        <w:t xml:space="preserve">. The access code is </w:t>
      </w:r>
      <w:r>
        <w:rPr>
          <w:rFonts w:ascii="Arial" w:cs="Arial" w:eastAsia="Arial" w:hAnsi="Arial"/>
          <w:sz w:val="18"/>
          <w:szCs w:val="18"/>
          <w:b w:val="1"/>
          <w:bCs w:val="1"/>
          <w:color w:val="auto"/>
        </w:rPr>
        <w:t>1777267</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over 30 years of operating history, owns a portfolio of approximately 3,200 registered patents and pending applications, and has extensive engineering, design and manufacturing process expertise. For more information, please visit </w:t>
      </w:r>
      <w:r>
        <w:rPr>
          <w:rFonts w:ascii="Arial" w:cs="Arial" w:eastAsia="Arial" w:hAnsi="Arial"/>
          <w:sz w:val="16"/>
          <w:szCs w:val="16"/>
          <w:u w:val="single" w:color="auto"/>
          <w:color w:val="auto"/>
        </w:rPr>
        <w:t>www.magnachip.com</w:t>
      </w:r>
      <w:r>
        <w:rPr>
          <w:rFonts w:ascii="Arial" w:cs="Arial" w:eastAsia="Arial" w:hAnsi="Arial"/>
          <w:sz w:val="16"/>
          <w:szCs w:val="16"/>
          <w:color w:val="auto"/>
        </w:rPr>
        <w:t>. Information on or accessible through, MagnaChip’s website is not a part of, and is not incorporated into, this release.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second quarter 2018 revenue and gross profit expectations.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and other risks detailed from time to time in MagnaChip’s filings with the SEC, including our Form 10-K filed on February 22, 2018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17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20"/>
        </w:trPr>
        <w:tc>
          <w:tcPr>
            <w:tcW w:w="412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17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Bruce Entin</w:t>
            </w:r>
          </w:p>
        </w:tc>
        <w:tc>
          <w:tcPr>
            <w:tcW w:w="17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Chankeun Park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Investor Relations</w:t>
            </w:r>
          </w:p>
        </w:tc>
        <w:tc>
          <w:tcPr>
            <w:tcW w:w="17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Director, Public Relations</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Tel. +1-408-625-1262</w:t>
            </w:r>
          </w:p>
        </w:tc>
        <w:tc>
          <w:tcPr>
            <w:tcW w:w="17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Tel. +82-2-6903-5223</w:t>
            </w:r>
          </w:p>
        </w:tc>
      </w:tr>
      <w:tr>
        <w:trPr>
          <w:trHeight w:val="190"/>
        </w:trPr>
        <w:tc>
          <w:tcPr>
            <w:tcW w:w="4120" w:type="dxa"/>
            <w:vAlign w:val="bottom"/>
          </w:tcPr>
          <w:p>
            <w:pPr>
              <w:spacing w:after="0" w:line="190" w:lineRule="exact"/>
              <w:rPr>
                <w:sz w:val="20"/>
                <w:szCs w:val="20"/>
                <w:color w:val="auto"/>
              </w:rPr>
            </w:pPr>
            <w:r>
              <w:rPr>
                <w:rFonts w:ascii="Arial" w:cs="Arial" w:eastAsia="Arial" w:hAnsi="Arial"/>
                <w:sz w:val="18"/>
                <w:szCs w:val="18"/>
                <w:color w:val="auto"/>
              </w:rPr>
              <w:t>Investor.relations@magnachip.com</w:t>
            </w:r>
          </w:p>
        </w:tc>
        <w:tc>
          <w:tcPr>
            <w:tcW w:w="1700" w:type="dxa"/>
            <w:vAlign w:val="bottom"/>
          </w:tcPr>
          <w:p>
            <w:pPr>
              <w:spacing w:after="0"/>
              <w:rPr>
                <w:sz w:val="16"/>
                <w:szCs w:val="16"/>
                <w:color w:val="auto"/>
              </w:rPr>
            </w:pPr>
          </w:p>
        </w:tc>
        <w:tc>
          <w:tcPr>
            <w:tcW w:w="23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chankeun.park@magnachip.com</w:t>
            </w:r>
          </w:p>
        </w:tc>
      </w:tr>
      <w:tr>
        <w:trPr>
          <w:trHeight w:val="385"/>
        </w:trPr>
        <w:tc>
          <w:tcPr>
            <w:tcW w:w="4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2380" w:type="dxa"/>
            <w:vAlign w:val="bottom"/>
          </w:tcPr>
          <w:p>
            <w:pPr>
              <w:spacing w:after="0"/>
              <w:rPr>
                <w:sz w:val="24"/>
                <w:szCs w:val="24"/>
                <w:color w:val="auto"/>
              </w:rPr>
            </w:pPr>
          </w:p>
        </w:tc>
      </w:tr>
    </w:tbl>
    <w:p>
      <w:pPr>
        <w:sectPr>
          <w:pgSz w:w="11900" w:h="16838" w:orient="portrait"/>
          <w:cols w:equalWidth="0" w:num="1">
            <w:col w:w="11380"/>
          </w:cols>
          <w:pgMar w:left="240" w:top="270" w:right="27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6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158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820" w:type="dxa"/>
            <w:vAlign w:val="bottom"/>
          </w:tcPr>
          <w:p>
            <w:pPr>
              <w:jc w:val="right"/>
              <w:ind w:right="52"/>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2017</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161,710</w:t>
            </w: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sales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121,238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125,229</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120,140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44,581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49,351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41,570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profit %</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17,622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23,631</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23,148</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18,083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17,958</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Restructuring and other gain</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(17,010)</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charges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11,107</w:t>
            </w:r>
          </w:p>
        </w:tc>
      </w:tr>
      <w:tr>
        <w:trPr>
          <w:trHeight w:val="216"/>
        </w:trPr>
        <w:tc>
          <w:tcPr>
            <w:tcW w:w="46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37,202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41,714</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35,203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7,637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6,367</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(5,463)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(5,460)</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(5,173)</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net</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39,297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41,786</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1,611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42,480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44,591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tax expenses (benefits)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990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853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43,653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43,738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 Diluted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shares—Basic</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34,253,111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34,176,812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33,662,297</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Weighted average number of shares—Diluted</w:t>
            </w: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35,154,693</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45,573,889</w:t>
            </w: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42,892,044</w:t>
            </w:r>
          </w:p>
        </w:tc>
      </w:tr>
      <w:tr>
        <w:trPr>
          <w:trHeight w:val="350"/>
        </w:trPr>
        <w:tc>
          <w:tcPr>
            <w:tcW w:w="4620" w:type="dxa"/>
            <w:vAlign w:val="bottom"/>
          </w:tcPr>
          <w:p>
            <w:pPr>
              <w:spacing w:after="0"/>
              <w:rPr>
                <w:sz w:val="24"/>
                <w:szCs w:val="24"/>
                <w:color w:val="auto"/>
              </w:rPr>
            </w:pPr>
          </w:p>
        </w:tc>
        <w:tc>
          <w:tcPr>
            <w:tcW w:w="2540" w:type="dxa"/>
            <w:vAlign w:val="bottom"/>
          </w:tcPr>
          <w:p>
            <w:pPr>
              <w:jc w:val="right"/>
              <w:ind w:right="131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ind w:right="271"/>
              <w:spacing w:after="0" w:line="119" w:lineRule="exact"/>
              <w:rPr>
                <w:sz w:val="20"/>
                <w:szCs w:val="20"/>
                <w:color w:val="auto"/>
              </w:rPr>
            </w:pPr>
            <w:r>
              <w:rPr>
                <w:rFonts w:ascii="Arial" w:cs="Arial" w:eastAsia="Arial" w:hAnsi="Arial"/>
                <w:sz w:val="13"/>
                <w:szCs w:val="13"/>
                <w:b w:val="1"/>
                <w:bCs w:val="1"/>
                <w:color w:val="auto"/>
              </w:rPr>
              <w:t>March 31,</w:t>
            </w:r>
          </w:p>
        </w:tc>
        <w:tc>
          <w:tcPr>
            <w:tcW w:w="1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0"/>
                <w:szCs w:val="10"/>
                <w:color w:val="auto"/>
              </w:rPr>
            </w:pPr>
          </w:p>
        </w:tc>
        <w:tc>
          <w:tcPr>
            <w:tcW w:w="820" w:type="dxa"/>
            <w:vAlign w:val="bottom"/>
          </w:tcPr>
          <w:p>
            <w:pPr>
              <w:jc w:val="right"/>
              <w:ind w:right="51"/>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85"/>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1220" w:type="dxa"/>
            <w:vAlign w:val="bottom"/>
          </w:tcPr>
          <w:p>
            <w:pPr>
              <w:jc w:val="center"/>
              <w:ind w:right="411"/>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43,653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5,123</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5,149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Income tax expenses (benefits)</w:t>
            </w:r>
          </w:p>
        </w:tc>
        <w:tc>
          <w:tcPr>
            <w:tcW w:w="1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990</w:t>
            </w:r>
          </w:p>
        </w:tc>
        <w:tc>
          <w:tcPr>
            <w:tcW w:w="460" w:type="dxa"/>
            <w:vAlign w:val="bottom"/>
          </w:tcPr>
          <w:p>
            <w:pPr>
              <w:spacing w:after="0"/>
              <w:rPr>
                <w:sz w:val="18"/>
                <w:szCs w:val="18"/>
                <w:color w:val="auto"/>
              </w:rPr>
            </w:pPr>
          </w:p>
        </w:tc>
        <w:tc>
          <w:tcPr>
            <w:tcW w:w="1220" w:type="dxa"/>
            <w:vAlign w:val="bottom"/>
          </w:tcPr>
          <w:p>
            <w:pPr>
              <w:jc w:val="right"/>
              <w:ind w:right="251"/>
              <w:spacing w:after="0"/>
              <w:rPr>
                <w:sz w:val="20"/>
                <w:szCs w:val="20"/>
                <w:color w:val="auto"/>
              </w:rPr>
            </w:pPr>
            <w:r>
              <w:rPr>
                <w:rFonts w:ascii="Arial" w:cs="Arial" w:eastAsia="Arial" w:hAnsi="Arial"/>
                <w:sz w:val="18"/>
                <w:szCs w:val="18"/>
                <w:color w:val="auto"/>
              </w:rPr>
              <w:t>(1,173)</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7,958</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7,457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16,834</w:t>
            </w:r>
          </w:p>
        </w:tc>
        <w:tc>
          <w:tcPr>
            <w:tcW w:w="46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55,086</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56,325</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gain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(17,010)</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Early termination charges</w:t>
            </w:r>
          </w:p>
        </w:tc>
        <w:tc>
          <w:tcPr>
            <w:tcW w:w="10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11,107</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665</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722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Foreign currency gain, net</w:t>
            </w:r>
          </w:p>
        </w:tc>
        <w:tc>
          <w:tcPr>
            <w:tcW w:w="1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(1,318)</w:t>
            </w:r>
          </w:p>
        </w:tc>
        <w:tc>
          <w:tcPr>
            <w:tcW w:w="460" w:type="dxa"/>
            <w:vAlign w:val="bottom"/>
          </w:tcPr>
          <w:p>
            <w:pPr>
              <w:spacing w:after="0"/>
              <w:rPr>
                <w:sz w:val="18"/>
                <w:szCs w:val="18"/>
                <w:color w:val="auto"/>
              </w:rPr>
            </w:pPr>
          </w:p>
        </w:tc>
        <w:tc>
          <w:tcPr>
            <w:tcW w:w="1220" w:type="dxa"/>
            <w:vAlign w:val="bottom"/>
          </w:tcPr>
          <w:p>
            <w:pPr>
              <w:jc w:val="right"/>
              <w:ind w:right="251"/>
              <w:spacing w:after="0"/>
              <w:rPr>
                <w:sz w:val="20"/>
                <w:szCs w:val="20"/>
                <w:color w:val="auto"/>
              </w:rPr>
            </w:pPr>
            <w:r>
              <w:rPr>
                <w:rFonts w:ascii="Arial" w:cs="Arial" w:eastAsia="Arial" w:hAnsi="Arial"/>
                <w:sz w:val="18"/>
                <w:szCs w:val="18"/>
                <w:color w:val="auto"/>
              </w:rPr>
              <w:t>(39,297)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(41,786)</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Restatement related expenses (gain), net</w:t>
            </w:r>
          </w:p>
        </w:tc>
        <w:tc>
          <w:tcPr>
            <w:tcW w:w="1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(765)</w:t>
            </w:r>
          </w:p>
        </w:tc>
        <w:tc>
          <w:tcPr>
            <w:tcW w:w="46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4,319</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4,259</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Secondary offering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15,492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20,548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13,088</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43,653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gain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(17,010)</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Early termination charges</w:t>
            </w:r>
          </w:p>
        </w:tc>
        <w:tc>
          <w:tcPr>
            <w:tcW w:w="10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11,107</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665</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722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Foreign currency gain, net</w:t>
            </w:r>
          </w:p>
        </w:tc>
        <w:tc>
          <w:tcPr>
            <w:tcW w:w="1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(1,318)</w:t>
            </w:r>
          </w:p>
        </w:tc>
        <w:tc>
          <w:tcPr>
            <w:tcW w:w="460" w:type="dxa"/>
            <w:vAlign w:val="bottom"/>
          </w:tcPr>
          <w:p>
            <w:pPr>
              <w:spacing w:after="0"/>
              <w:rPr>
                <w:sz w:val="18"/>
                <w:szCs w:val="18"/>
                <w:color w:val="auto"/>
              </w:rPr>
            </w:pPr>
          </w:p>
        </w:tc>
        <w:tc>
          <w:tcPr>
            <w:tcW w:w="1220" w:type="dxa"/>
            <w:vAlign w:val="bottom"/>
          </w:tcPr>
          <w:p>
            <w:pPr>
              <w:jc w:val="right"/>
              <w:ind w:right="251"/>
              <w:spacing w:after="0"/>
              <w:rPr>
                <w:sz w:val="20"/>
                <w:szCs w:val="20"/>
                <w:color w:val="auto"/>
              </w:rPr>
            </w:pPr>
            <w:r>
              <w:rPr>
                <w:rFonts w:ascii="Arial" w:cs="Arial" w:eastAsia="Arial" w:hAnsi="Arial"/>
                <w:sz w:val="18"/>
                <w:szCs w:val="18"/>
                <w:color w:val="auto"/>
              </w:rPr>
              <w:t>(39,297)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(41,786)</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Restatement related expenses (gain), net</w:t>
            </w:r>
          </w:p>
        </w:tc>
        <w:tc>
          <w:tcPr>
            <w:tcW w:w="1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(765)</w:t>
            </w:r>
          </w:p>
        </w:tc>
        <w:tc>
          <w:tcPr>
            <w:tcW w:w="46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4,319</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4,259</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Secondary offering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1,421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9,115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 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0.04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0.27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1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w w:val="88"/>
              </w:rPr>
              <w:t>34,253,111</w:t>
            </w:r>
          </w:p>
        </w:tc>
        <w:tc>
          <w:tcPr>
            <w:tcW w:w="46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w w:val="88"/>
              </w:rPr>
              <w:t>34,176,812</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33,662,297</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8"/>
              </w:rPr>
              <w:t>35,154,693</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8"/>
              </w:rPr>
              <w:t>45,573,889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34,301,291</w:t>
            </w:r>
          </w:p>
        </w:tc>
      </w:tr>
    </w:tbl>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restructuring and other gain, (ii) early termination charges, (iii) equity-based compensation expense, (iv) foreign currency gain, net, (v) derivative valuation loss (gain), net, (vi) restatement related expenses (gain), net and (vii) secondary offering expenses. EBITDA for the periods indicated is defined as net income before interest expense, net, income tax expenses (benefits) and depreciation and amortization. We prepare Adjusted Net Income by adjusting net income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net income, adjusted to exclude (i) restructuring and other gain, (ii) early termination charges, (iii) equity-based compensation expense, (iv) foreign currency gain, net, (v) derivative valuation loss (gain), net, (vi) restatement related expenses (gain), net and (vii) secondary offering expenses.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4"/>
          </w:tcPr>
          <w:p>
            <w:pPr>
              <w:jc w:val="right"/>
              <w:ind w:right="7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123,136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128,575</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88,854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92,026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39,161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56,658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73,073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13,807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 collateral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344,173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330,260</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205,076</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14,306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12,791</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6,511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574,668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558,789</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69,540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65,940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44,908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51,746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13,202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138,969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138,142</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Long-term borrowings, net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303,948</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151,889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148,905</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604,602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598,426</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stock, $0.01 par value, 150,000,000 shares authorized, 42,749,168 shares issued and 34,374,959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at March 31, 2018 and 42,563,808 shares issued and 34,189,599 outstanding at December 31, 2017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137,869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136,259</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(40,889)</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Treasury stock, 8,374,209 shares at March 31, 2018 and December 31, 2017,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(102,319)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(102,319)</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(29,934)</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574,668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558,789</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56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6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March 31,</w:t>
            </w:r>
          </w:p>
        </w:tc>
        <w:tc>
          <w:tcPr>
            <w:tcW w:w="7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564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income</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2,763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43,738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to net cash used in operating activities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6,758</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7,386</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net</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(49,059)</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Restructuring and other gain</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(17,010)</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Other</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(15,734)</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(13,150)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(1,155)</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(3,499)</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(7,128)</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severance benefits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(7,524)</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Other</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(38,680)</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Payment of hedge collateral</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(4,452)</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plant, property and equipment</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Purchase of plant, property and equipment</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(7,329)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(5,368)</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Other</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(7,017)</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senior notes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86,250</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Payment of debt issuance costs</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(5,902)</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(11,401)</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70,636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w w:val="99"/>
              </w:rPr>
              <w:t>Effect of exchange rates on cash, cash equivalents and restricted cash</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6,082</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Net increase (decrease) in cash, cash equivalents and restricted cash</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31,021</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the period</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128,575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101,606</w:t>
            </w: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End of the period</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123,136</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132,627</w:t>
            </w:r>
          </w:p>
        </w:tc>
      </w:tr>
      <w:tr>
        <w:trPr>
          <w:trHeight w:val="350"/>
        </w:trPr>
        <w:tc>
          <w:tcPr>
            <w:tcW w:w="5640" w:type="dxa"/>
            <w:vAlign w:val="bottom"/>
          </w:tcPr>
          <w:p>
            <w:pPr>
              <w:spacing w:after="0"/>
              <w:rPr>
                <w:sz w:val="24"/>
                <w:szCs w:val="24"/>
                <w:color w:val="auto"/>
              </w:rPr>
            </w:pPr>
          </w:p>
        </w:tc>
        <w:tc>
          <w:tcPr>
            <w:tcW w:w="3980" w:type="dxa"/>
            <w:vAlign w:val="bottom"/>
          </w:tcPr>
          <w:p>
            <w:pPr>
              <w:jc w:val="right"/>
              <w:ind w:right="3770"/>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2019-12-28T22:45:25Z</dcterms:created>
  <dcterms:modified xsi:type="dcterms:W3CDTF">2019-12-28T22:45:25Z</dcterms:modified>
</cp:coreProperties>
</file>