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800" w:type="dxa"/>
            <w:vAlign w:val="bottom"/>
          </w:tcPr>
          <w:p>
            <w:pPr>
              <w:jc w:val="center"/>
              <w:ind w:right="2038"/>
              <w:spacing w:after="0"/>
              <w:rPr>
                <w:sz w:val="20"/>
                <w:szCs w:val="20"/>
                <w:color w:val="auto"/>
              </w:rPr>
            </w:pPr>
            <w:r>
              <w:rPr>
                <w:rFonts w:ascii="Arial" w:cs="Arial" w:eastAsia="Arial" w:hAnsi="Arial"/>
                <w:sz w:val="18"/>
                <w:szCs w:val="18"/>
                <w:b w:val="1"/>
                <w:bCs w:val="1"/>
                <w:color w:val="auto"/>
                <w:w w:val="91"/>
              </w:rPr>
              <w:t>Delaware</w:t>
            </w:r>
          </w:p>
        </w:tc>
        <w:tc>
          <w:tcPr>
            <w:tcW w:w="2060" w:type="dxa"/>
            <w:vAlign w:val="bottom"/>
          </w:tcPr>
          <w:p>
            <w:pPr>
              <w:ind w:left="400"/>
              <w:spacing w:after="0"/>
              <w:rPr>
                <w:sz w:val="20"/>
                <w:szCs w:val="20"/>
                <w:color w:val="auto"/>
              </w:rPr>
            </w:pPr>
            <w:r>
              <w:rPr>
                <w:rFonts w:ascii="Arial" w:cs="Arial" w:eastAsia="Arial" w:hAnsi="Arial"/>
                <w:sz w:val="18"/>
                <w:szCs w:val="18"/>
                <w:b w:val="1"/>
                <w:bCs w:val="1"/>
                <w:color w:val="auto"/>
              </w:rPr>
              <w:t>001-34791</w:t>
            </w:r>
          </w:p>
        </w:tc>
        <w:tc>
          <w:tcPr>
            <w:tcW w:w="2940" w:type="dxa"/>
            <w:vAlign w:val="bottom"/>
          </w:tcPr>
          <w:p>
            <w:pPr>
              <w:jc w:val="center"/>
              <w:ind w:left="172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3800" w:type="dxa"/>
            <w:vAlign w:val="bottom"/>
          </w:tcPr>
          <w:p>
            <w:pPr>
              <w:jc w:val="center"/>
              <w:ind w:right="201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06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(Commission</w:t>
            </w:r>
          </w:p>
        </w:tc>
        <w:tc>
          <w:tcPr>
            <w:tcW w:w="294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800" w:type="dxa"/>
            <w:vAlign w:val="bottom"/>
          </w:tcPr>
          <w:p>
            <w:pPr>
              <w:jc w:val="center"/>
              <w:ind w:right="2018"/>
              <w:spacing w:after="0"/>
              <w:rPr>
                <w:sz w:val="20"/>
                <w:szCs w:val="20"/>
                <w:color w:val="auto"/>
              </w:rPr>
            </w:pPr>
            <w:r>
              <w:rPr>
                <w:rFonts w:ascii="Arial" w:cs="Arial" w:eastAsia="Arial" w:hAnsi="Arial"/>
                <w:sz w:val="14"/>
                <w:szCs w:val="14"/>
                <w:b w:val="1"/>
                <w:bCs w:val="1"/>
                <w:color w:val="auto"/>
                <w:w w:val="94"/>
              </w:rPr>
              <w:t>of Incorporation)</w:t>
            </w:r>
          </w:p>
        </w:tc>
        <w:tc>
          <w:tcPr>
            <w:tcW w:w="2060" w:type="dxa"/>
            <w:vAlign w:val="bottom"/>
          </w:tcPr>
          <w:p>
            <w:pPr>
              <w:ind w:left="380"/>
              <w:spacing w:after="0"/>
              <w:rPr>
                <w:sz w:val="20"/>
                <w:szCs w:val="20"/>
                <w:color w:val="auto"/>
              </w:rPr>
            </w:pPr>
            <w:r>
              <w:rPr>
                <w:rFonts w:ascii="Arial" w:cs="Arial" w:eastAsia="Arial" w:hAnsi="Arial"/>
                <w:sz w:val="14"/>
                <w:szCs w:val="14"/>
                <w:b w:val="1"/>
                <w:bCs w:val="1"/>
                <w:color w:val="auto"/>
              </w:rPr>
              <w:t>File Number)</w:t>
            </w:r>
          </w:p>
        </w:tc>
        <w:tc>
          <w:tcPr>
            <w:tcW w:w="2940" w:type="dxa"/>
            <w:vAlign w:val="bottom"/>
          </w:tcPr>
          <w:p>
            <w:pPr>
              <w:jc w:val="center"/>
              <w:ind w:left="172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800" w:type="dxa"/>
            <w:vAlign w:val="bottom"/>
          </w:tcPr>
          <w:p>
            <w:pPr>
              <w:jc w:val="center"/>
              <w:ind w:right="238"/>
              <w:spacing w:after="0"/>
              <w:rPr>
                <w:sz w:val="20"/>
                <w:szCs w:val="20"/>
                <w:color w:val="auto"/>
              </w:rPr>
            </w:pPr>
            <w:r>
              <w:rPr>
                <w:rFonts w:ascii="Arial" w:cs="Arial" w:eastAsia="Arial" w:hAnsi="Arial"/>
                <w:sz w:val="18"/>
                <w:szCs w:val="18"/>
                <w:b w:val="1"/>
                <w:bCs w:val="1"/>
                <w:color w:val="auto"/>
                <w:w w:val="90"/>
              </w:rPr>
              <w:t>c/o MagnaChip Semiconductor S.A.</w:t>
            </w:r>
          </w:p>
        </w:tc>
        <w:tc>
          <w:tcPr>
            <w:tcW w:w="20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16"/>
        </w:trPr>
        <w:tc>
          <w:tcPr>
            <w:tcW w:w="3800" w:type="dxa"/>
            <w:vAlign w:val="bottom"/>
          </w:tcPr>
          <w:p>
            <w:pPr>
              <w:jc w:val="center"/>
              <w:ind w:right="238"/>
              <w:spacing w:after="0"/>
              <w:rPr>
                <w:sz w:val="20"/>
                <w:szCs w:val="20"/>
                <w:color w:val="auto"/>
              </w:rPr>
            </w:pPr>
            <w:r>
              <w:rPr>
                <w:rFonts w:ascii="Arial" w:cs="Arial" w:eastAsia="Arial" w:hAnsi="Arial"/>
                <w:sz w:val="18"/>
                <w:szCs w:val="18"/>
                <w:b w:val="1"/>
                <w:bCs w:val="1"/>
                <w:color w:val="auto"/>
                <w:w w:val="90"/>
              </w:rPr>
              <w:t>1, Allée Scheffer, L-2520</w:t>
            </w:r>
          </w:p>
        </w:tc>
        <w:tc>
          <w:tcPr>
            <w:tcW w:w="20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25"/>
        </w:trPr>
        <w:tc>
          <w:tcPr>
            <w:tcW w:w="3800" w:type="dxa"/>
            <w:vAlign w:val="bottom"/>
          </w:tcPr>
          <w:p>
            <w:pPr>
              <w:jc w:val="center"/>
              <w:ind w:right="258"/>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060" w:type="dxa"/>
            <w:vAlign w:val="bottom"/>
          </w:tcPr>
          <w:p>
            <w:pPr>
              <w:spacing w:after="0"/>
              <w:rPr>
                <w:sz w:val="19"/>
                <w:szCs w:val="19"/>
                <w:color w:val="auto"/>
              </w:rPr>
            </w:pP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3800" w:type="dxa"/>
            <w:vAlign w:val="bottom"/>
          </w:tcPr>
          <w:p>
            <w:pPr>
              <w:jc w:val="center"/>
              <w:ind w:right="25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60" w:type="dxa"/>
            <w:vAlign w:val="bottom"/>
          </w:tcPr>
          <w:p>
            <w:pPr>
              <w:spacing w:after="0"/>
              <w:rPr>
                <w:sz w:val="16"/>
                <w:szCs w:val="16"/>
                <w:color w:val="auto"/>
              </w:rPr>
            </w:pP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Preferred Stock 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1" w:lineRule="exact"/>
        <w:rPr>
          <w:sz w:val="24"/>
          <w:szCs w:val="24"/>
          <w:color w:val="auto"/>
        </w:rPr>
      </w:pPr>
    </w:p>
    <w:p>
      <w:pPr>
        <w:ind w:left="4"/>
        <w:spacing w:after="0" w:line="207" w:lineRule="exact"/>
        <w:tabs>
          <w:tab w:leader="none" w:pos="2124"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Company held its 2022 Annual Meeting of Stockholders on April 21, 2022. As of the close of business on the record date of March 15, 2022, there were 44,894,385 shares of the Company’s common stock outstanding and entitled to vote at the Annual Meeting. The number of shares of the Company’s common stock present at the meeting, in person or by proxy, was 35,138,963, or 78.27% of the outstanding shares entitled to vote.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At the meeting, the following proposals were submitted to a vote of the Company’s stockholders, with the final voting results indicated below:</w:t>
      </w:r>
    </w:p>
    <w:p>
      <w:pPr>
        <w:spacing w:after="0" w:line="23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u w:val="single" w:color="auto"/>
          <w:color w:val="auto"/>
        </w:rPr>
        <w:t>Proposal 1 – Election of Directors</w:t>
      </w:r>
      <w:r>
        <w:rPr>
          <w:rFonts w:ascii="Arial" w:cs="Arial" w:eastAsia="Arial" w:hAnsi="Arial"/>
          <w:sz w:val="18"/>
          <w:szCs w:val="18"/>
          <w:color w:val="auto"/>
        </w:rPr>
        <w:t>. The Company’s stockholders elected the following six directors to serve until the 2023 Annual Meetings of Stockholders and until their respective successors are elected and qualified.</w:t>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1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For</w:t>
            </w: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Withheld</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Broker Non-</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Votes</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Camillo Martino</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24,839,877</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1,466,889</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8,832,197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Kyo-Hwa (Liz) Chung</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24,968,208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1,338,558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8,832,197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Melvin L. Keating</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22,054,886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4,251,880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8,832,197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Young-Joon (YJ) Kim</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24,971,845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1,334,921</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8,832,197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Ilbok Lee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22,943,219</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3,363,547</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8,832,197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Gary Tanner</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22,160,173</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4,146,593</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8,832,197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Proposal 2 – Advisory Vote on the Compensation of the Named Executive Officers</w:t>
      </w:r>
      <w:r>
        <w:rPr>
          <w:rFonts w:ascii="Arial" w:cs="Arial" w:eastAsia="Arial" w:hAnsi="Arial"/>
          <w:sz w:val="18"/>
          <w:szCs w:val="18"/>
          <w:color w:val="auto"/>
        </w:rPr>
        <w:t>. The Company’s stockholders approved, on an advisory basis, the compensation of the Company’s named executive officers as disclosed in the Company’s 2022 proxy materials.</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8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7"/>
              </w:rPr>
              <w:t>For</w:t>
            </w:r>
          </w:p>
        </w:tc>
        <w:tc>
          <w:tcPr>
            <w:tcW w:w="23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3"/>
              </w:rPr>
              <w:t>Against</w:t>
            </w:r>
          </w:p>
        </w:tc>
        <w:tc>
          <w:tcPr>
            <w:tcW w:w="2400" w:type="dxa"/>
            <w:vAlign w:val="bottom"/>
            <w:gridSpan w:val="2"/>
          </w:tcPr>
          <w:p>
            <w:pPr>
              <w:ind w:left="420"/>
              <w:spacing w:after="0"/>
              <w:rPr>
                <w:sz w:val="20"/>
                <w:szCs w:val="20"/>
                <w:color w:val="auto"/>
              </w:rPr>
            </w:pPr>
            <w:r>
              <w:rPr>
                <w:rFonts w:ascii="Arial" w:cs="Arial" w:eastAsia="Arial" w:hAnsi="Arial"/>
                <w:sz w:val="14"/>
                <w:szCs w:val="14"/>
                <w:b w:val="1"/>
                <w:bCs w:val="1"/>
                <w:color w:val="auto"/>
              </w:rPr>
              <w:t>Abstained</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09"/>
        </w:trPr>
        <w:tc>
          <w:tcPr>
            <w:tcW w:w="19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rPr>
              <w:t>24,785,787</w:t>
            </w:r>
          </w:p>
        </w:tc>
        <w:tc>
          <w:tcPr>
            <w:tcW w:w="9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rPr>
              <w:t>811,708</w:t>
            </w:r>
          </w:p>
        </w:tc>
        <w:tc>
          <w:tcPr>
            <w:tcW w:w="9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709,271</w:t>
            </w:r>
          </w:p>
        </w:tc>
        <w:tc>
          <w:tcPr>
            <w:tcW w:w="9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8,832,197</w:t>
            </w:r>
          </w:p>
        </w:tc>
      </w:tr>
    </w:tbl>
    <w:p>
      <w:pPr>
        <w:spacing w:after="0" w:line="20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u w:val="single" w:color="auto"/>
          <w:color w:val="auto"/>
        </w:rPr>
        <w:t>Proposal 3 – Ratification of the Appointment of Samil PricewaterhouseCoopers</w:t>
      </w:r>
      <w:r>
        <w:rPr>
          <w:rFonts w:ascii="Arial" w:cs="Arial" w:eastAsia="Arial" w:hAnsi="Arial"/>
          <w:sz w:val="16"/>
          <w:szCs w:val="16"/>
          <w:color w:val="auto"/>
        </w:rPr>
        <w:t>. The Company’s stockholders ratified the appointment of Samil PricewaterhouseCoopers as the Company’s independent registered public accounting firm for the fiscal year ending December 31,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9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7"/>
              </w:rPr>
              <w:t>For</w:t>
            </w:r>
          </w:p>
        </w:tc>
        <w:tc>
          <w:tcPr>
            <w:tcW w:w="316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3"/>
              </w:rPr>
              <w:t>Against</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1"/>
              </w:rPr>
              <w:t>Abstained</w:t>
            </w:r>
          </w:p>
        </w:tc>
      </w:tr>
      <w:tr>
        <w:trPr>
          <w:trHeight w:val="210"/>
        </w:trPr>
        <w:tc>
          <w:tcPr>
            <w:tcW w:w="880" w:type="dxa"/>
            <w:vAlign w:val="bottom"/>
          </w:tcPr>
          <w:p>
            <w:pPr>
              <w:spacing w:after="0"/>
              <w:rPr>
                <w:sz w:val="18"/>
                <w:szCs w:val="18"/>
                <w:color w:val="auto"/>
              </w:rPr>
            </w:pPr>
          </w:p>
        </w:tc>
        <w:tc>
          <w:tcPr>
            <w:tcW w:w="280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34,720,547</w:t>
            </w:r>
          </w:p>
        </w:tc>
        <w:tc>
          <w:tcPr>
            <w:tcW w:w="1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rPr>
              <w:t>404,794</w:t>
            </w:r>
          </w:p>
        </w:tc>
        <w:tc>
          <w:tcPr>
            <w:tcW w:w="11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rPr>
              <w:t>13,622</w:t>
            </w:r>
          </w:p>
        </w:tc>
      </w:tr>
      <w:tr>
        <w:trPr>
          <w:trHeight w:val="432"/>
        </w:trPr>
        <w:tc>
          <w:tcPr>
            <w:tcW w:w="4780" w:type="dxa"/>
            <w:vAlign w:val="bottom"/>
            <w:gridSpan w:val="3"/>
          </w:tcPr>
          <w:p>
            <w:pPr>
              <w:spacing w:after="0"/>
              <w:rPr>
                <w:sz w:val="20"/>
                <w:szCs w:val="20"/>
                <w:color w:val="auto"/>
              </w:rPr>
            </w:pPr>
            <w:r>
              <w:rPr>
                <w:rFonts w:ascii="Arial" w:cs="Arial" w:eastAsia="Arial" w:hAnsi="Arial"/>
                <w:sz w:val="18"/>
                <w:szCs w:val="18"/>
                <w:color w:val="auto"/>
              </w:rPr>
              <w:t>There were no broker non-votes with respect to Proposal 3.</w:t>
            </w:r>
          </w:p>
        </w:tc>
        <w:tc>
          <w:tcPr>
            <w:tcW w:w="2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0900"/>
          </w:cols>
          <w:pgMar w:left="440" w:top="297"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180" w:val="left"/>
          <w:tab w:leader="none" w:pos="5620" w:val="left"/>
        </w:tabs>
        <w:rPr>
          <w:sz w:val="20"/>
          <w:szCs w:val="20"/>
          <w:color w:val="auto"/>
        </w:rPr>
      </w:pPr>
      <w:r>
        <w:rPr>
          <w:rFonts w:ascii="Arial" w:cs="Arial" w:eastAsia="Arial" w:hAnsi="Arial"/>
          <w:sz w:val="18"/>
          <w:szCs w:val="18"/>
          <w:color w:val="auto"/>
        </w:rPr>
        <w:t>Dated: April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2931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Theodore Kim</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Compliance Officer, Executive Vice President, General</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Counsel and Secretary</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2022-04-25T16:55:53Z</dcterms:created>
  <dcterms:modified xsi:type="dcterms:W3CDTF">2022-04-25T16:55:53Z</dcterms:modified>
</cp:coreProperties>
</file>