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third quarter ended September 30, 2019, as presented in a press release dated October 23, 2019.</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ind w:left="100"/>
              <w:spacing w:after="0" w:line="158" w:lineRule="exact"/>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3"/>
                <w:szCs w:val="23"/>
                <w:color w:val="auto"/>
              </w:rPr>
            </w:pPr>
          </w:p>
        </w:tc>
        <w:tc>
          <w:tcPr>
            <w:tcW w:w="95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October 23, 2019, announcing the results for the third quarter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September 30, 2019.</w:t>
              </w:r>
            </w:hyperlink>
          </w:p>
        </w:tc>
        <w:tc>
          <w:tcPr>
            <w:tcW w:w="80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0" w:right="6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MAGNACHIP SEMICONDUCTOR CORPORATION</w:t>
      </w:r>
    </w:p>
    <w:p>
      <w:pPr>
        <w:spacing w:after="0" w:line="117"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Dated: October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255520"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55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left="460" w:right="1360"/>
        <w:spacing w:after="0" w:line="266" w:lineRule="auto"/>
        <w:rPr>
          <w:sz w:val="20"/>
          <w:szCs w:val="20"/>
          <w:color w:val="auto"/>
        </w:rPr>
      </w:pPr>
      <w:r>
        <w:rPr>
          <w:rFonts w:ascii="Arial" w:cs="Arial" w:eastAsia="Arial" w:hAnsi="Arial"/>
          <w:sz w:val="18"/>
          <w:szCs w:val="18"/>
          <w:b w:val="1"/>
          <w:bCs w:val="1"/>
          <w:color w:val="auto"/>
        </w:rPr>
        <w:t>MagnaChip Reports Revenue of $229.7Million in Third Quarter 2019; OLED, Power Revenue Set Records; Foundry Revenue Hits 5-year High — Q3 Revenue at High-End of Guidance Range; Gross Profit Margin of 26.5% Exceeds Guidance Range —</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October 23, 2019 </w:t>
      </w:r>
      <w:r>
        <w:rPr>
          <w:rFonts w:ascii="Arial" w:cs="Arial" w:eastAsia="Arial" w:hAnsi="Arial"/>
          <w:sz w:val="18"/>
          <w:szCs w:val="18"/>
          <w:color w:val="auto"/>
        </w:rPr>
        <w:t>— MagnaChip Semiconductor Corporation (NYSE: MX)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of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2019 Summary</w:t>
      </w:r>
    </w:p>
    <w:p>
      <w:pPr>
        <w:spacing w:after="0" w:line="135" w:lineRule="exact"/>
        <w:rPr>
          <w:sz w:val="20"/>
          <w:szCs w:val="20"/>
          <w:color w:val="auto"/>
        </w:rPr>
      </w:pPr>
    </w:p>
    <w:p>
      <w:pPr>
        <w:ind w:left="980" w:right="48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$229.7 million at high-end of guidance range of $220-230 million; Q3 revenue up 11.5% Year-over-Year (YoY); up 12% Quarter-over-Quarter (QoQ)</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Products Group (SPG) revenue of $139.2 million, up 14.1% YoY; up 5.5% QoQ</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Display standard products revenue of $90.6 million, up 16.7% YoY; up 7.5% QoQ</w:t>
      </w:r>
    </w:p>
    <w:p>
      <w:pPr>
        <w:spacing w:after="0" w:line="130" w:lineRule="exact"/>
        <w:rPr>
          <w:rFonts w:ascii="Arial" w:cs="Arial" w:eastAsia="Arial" w:hAnsi="Arial"/>
          <w:sz w:val="18"/>
          <w:szCs w:val="18"/>
          <w:color w:val="auto"/>
        </w:rPr>
      </w:pPr>
    </w:p>
    <w:p>
      <w:pPr>
        <w:ind w:left="2080" w:hanging="537"/>
        <w:spacing w:after="0"/>
        <w:tabs>
          <w:tab w:leader="none" w:pos="2080" w:val="left"/>
        </w:tabs>
        <w:numPr>
          <w:ilvl w:val="2"/>
          <w:numId w:val="3"/>
        </w:numPr>
        <w:rPr>
          <w:rFonts w:ascii="Arial" w:cs="Arial" w:eastAsia="Arial" w:hAnsi="Arial"/>
          <w:sz w:val="18"/>
          <w:szCs w:val="18"/>
          <w:color w:val="auto"/>
        </w:rPr>
      </w:pPr>
      <w:r>
        <w:rPr>
          <w:rFonts w:ascii="Arial" w:cs="Arial" w:eastAsia="Arial" w:hAnsi="Arial"/>
          <w:sz w:val="18"/>
          <w:szCs w:val="18"/>
          <w:color w:val="auto"/>
        </w:rPr>
        <w:t>OLED display driver IC revenue of $78.3 million up 34.2% YoY; up 7.2% QoQ</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Power standard products revenue of $48.7 million, up 9.5% YoY; up 2.0% QoQ</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Foundry Services Group (FSG) revenue of $90.3 million, up 7.7% YoY; up 23.6% QoQ</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gross profit margin (GPM) of 26.5% exceeded the guidance range of 22-24%; GPM was 27.1% in Q3 2018; 21.4% in Q2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 anticipates:</w:t>
      </w:r>
    </w:p>
    <w:p>
      <w:pPr>
        <w:spacing w:after="0" w:line="131" w:lineRule="exact"/>
        <w:rPr>
          <w:sz w:val="20"/>
          <w:szCs w:val="20"/>
          <w:color w:val="auto"/>
        </w:rPr>
      </w:pPr>
    </w:p>
    <w:p>
      <w:pPr>
        <w:ind w:left="980" w:hanging="436"/>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Normal seasonal softness in revenue but improvement from the fourth quarter of 2018. Revenue is expected to be in the range of</w:t>
      </w:r>
    </w:p>
    <w:p>
      <w:pPr>
        <w:spacing w:after="0" w:line="34" w:lineRule="exact"/>
        <w:rPr>
          <w:rFonts w:ascii="Arial" w:cs="Arial" w:eastAsia="Arial" w:hAnsi="Arial"/>
          <w:sz w:val="17"/>
          <w:szCs w:val="17"/>
          <w:color w:val="auto"/>
        </w:rPr>
      </w:pPr>
    </w:p>
    <w:p>
      <w:pPr>
        <w:ind w:left="980" w:right="360"/>
        <w:spacing w:after="0" w:line="290" w:lineRule="auto"/>
        <w:rPr>
          <w:rFonts w:ascii="Arial" w:cs="Arial" w:eastAsia="Arial" w:hAnsi="Arial"/>
          <w:sz w:val="17"/>
          <w:szCs w:val="17"/>
          <w:color w:val="auto"/>
        </w:rPr>
      </w:pPr>
      <w:r>
        <w:rPr>
          <w:rFonts w:ascii="Arial" w:cs="Arial" w:eastAsia="Arial" w:hAnsi="Arial"/>
          <w:sz w:val="17"/>
          <w:szCs w:val="17"/>
          <w:color w:val="auto"/>
        </w:rPr>
        <w:t>$181 million to $191 million, down 19% at the mid-point of the projected range when compared with revenue of $229.7 million in the third quarter of 2019, and up 3.7% year-over-year when compared to revenue of $179.4 million in the fourth quarter of 2018.</w:t>
      </w:r>
    </w:p>
    <w:p>
      <w:pPr>
        <w:spacing w:after="0" w:line="67" w:lineRule="exact"/>
        <w:rPr>
          <w:rFonts w:ascii="Arial" w:cs="Arial" w:eastAsia="Arial" w:hAnsi="Arial"/>
          <w:sz w:val="17"/>
          <w:szCs w:val="17"/>
          <w:color w:val="auto"/>
        </w:rPr>
      </w:pPr>
    </w:p>
    <w:p>
      <w:pPr>
        <w:ind w:left="980" w:right="340" w:hanging="43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to be in the range of 24% to 26%, when compared to 26.5% in the third quarter of 2019 and 24.5% in the fourth quarter of 2018. Gross margin guidance for the fourth quarter reflects the current expectation that fab utilization will show an expected sequential decline from the third quarter of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YJ Kim comments on Q3</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of $229.7 million was the highest quarterly level achieved since we went public in 2011. Our Display and Power businesses both had record quarterly revenue, and Foundry revenue was at the highest level in five years. Demand continued to be robust for our OLED display drivers, as revenue increased over 34% year-over-year and over 7% sequentially.</w:t>
      </w:r>
    </w:p>
    <w:p>
      <w:pPr>
        <w:spacing w:after="0" w:line="18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were awarded a record 11 new design wins for OLED display drivers in Asia, including three for mid-range smartphones from a major smartphone maker in Korea. Of the 11 design wins, seven were for display drivers in our 40-nanometer product family and four were for our new and lowest-power 28-nanometer display drivers. Smartphone makers in Asia launched a total of six high-end and mid-range models using our OLED display drivers. Our Power business showed sequential growth and the Foundry business showed sharp sequential growth, as customer demand was strong, particularly from the smartphone and computing segments.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 Evaluation Process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“I’m pleased to report that we continue to make substantial progress on our previously announced strategic evaluation process of the Foundry business and Fab 4, including discussions with multiple interested parties toward a possible sale of the business as well as consideration of accretive business conversions, joint ventures and partnerships,” said YJ Kim, CEO. “As stated previously, our decisions regarding the outcome of the various options of the strategic evaluation process will be guided by what the management and Board consider to be the best available path to improve MagnaChip’s profitability and to maximize shareholder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Jonathan Kim comments on Q3</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revenue came in at the high-end of our guidance range, as Display, Power and Foundry all showed year-over-year and sequential revenue growth. Gross profit margin of 26.5% in Q3 exceeded our guidance range due primarily to higher-than-expected fab utilization, mainly as a result of a significant increase in Foundry revenue.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and cash equivalents totaled $131.3 million, up sequentially from $123.8 million, and net operating cash flow was $12.9 million, marking the second consecutive quarter of net positive operating cash flow.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revenue in the third quarter was $229.7 million, up 11.5% as compared to reported revenue of $206 million from the third quarter of 2018, and up 12.0% from $205.1 million in the second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Foundry Services Group revenue in the third quarter was $90.3 million, up 7.7% from the third quarter of 2018, and up 23.6% sequentially. Standard Products Group revenue in the third quarter was $139.2 million, up 14.1% from the third quarter of 2018, and up 5.5% sequentially.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Total gross profit in the third quarter of 2019 was $60.9 million or 26.5% as a percentage of revenue, as compared with gross profit of $55.7 million or 27.1% as a percentage of revenue in the third quarter of 2018, and $43.8 million or 21.4% as a percentage of revenue in the second quarter of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Foundry Services Group gross profit margin was 28.3% as compared with 24.4% in the third quarter of 2018 and 16.7% in the second quarter of 2019. The YoY and sequential improvement in the Foundry Services Group’s gross profit margin was primarily due to an increase in Foundry revenue, an improved product mix and also higher fab utilization. The Standard Products Group gross profit margin was 25.3% as compared with 28.8% in the third quarter of 2018 and 23.9% in the second quarter of 2019. The sequential improvement in the Standard Products Group’s gross profit margin was due primarily to an increase in fab utilization. The sequential improvement as well as a YoY decline in the Standard Product Group’s gross profit margin was due to an increase in fab utilization that benefited Power and non-OLED products manufactured in-house, but the gain was offset by temporarily lower wafer yields from external suppliers on OLED products that recently entered production.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was of $25.9 million for the third quarter of 2019, as compared to operating income of $18.3 million in the third quarter of 2018 and operating income of $6.7 million for the second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loss, on a GAAP basis, was $1.6 million or $0.05 cents per basic and diluted share in the third quarter of 2019 as compared with a net income of</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$17.2 million or $0.50 per basic share and $0.41 per diluted share in the third quarter of 2018 and net loss of $9.5 million or $0.28 per basic and diluted share in the second quarter of 2019.</w:t>
      </w:r>
    </w:p>
    <w:p>
      <w:pPr>
        <w:sectPr>
          <w:pgSz w:w="11900" w:h="16838" w:orient="portrait"/>
          <w:cols w:equalWidth="0" w:num="1">
            <w:col w:w="11020"/>
          </w:cols>
          <w:pgMar w:left="440" w:top="270" w:right="439" w:bottom="1440" w:gutter="0" w:footer="0" w:header="0"/>
        </w:sectPr>
      </w:pPr>
    </w:p>
    <w:bookmarkStart w:id="5" w:name="page6"/>
    <w:bookmarkEnd w:id="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Net Income, a non-GAAP financial measure, totaled $20.9 million or $0.61 per basic share and $0.49 per diluted share in the third quarter of 2019, as compared to Adjusted Net Income of $13.3 million or $0.38 per basic share and $0.32 per diluted share in the third quarter of 2018 and Adjusted Net Income of $2.9 million or $0.08 per basic and diluted share in the second quarter of 2019.</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Adjusted EBITDA, a non-GAAP financial measure, was $35.5 million or 15.4% of revenue in the third quarter of 2019 as compared to Adjusted EBITDA of $27.9 million or 13.5% of revenue in the third quarter of 2018 and Adjusted EBITDA of $17.0 million or 8.3% of revenue in the second quarter of 2019.</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$131.3 million in the third quarter, up from $123.8 million in the second quarter of 2019.</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40" w:type="dxa"/>
            <w:vAlign w:val="bottom"/>
            <w:tcBorders>
              <w:top w:val="single" w:sz="8" w:color="auto"/>
            </w:tcBorders>
            <w:gridSpan w:val="3"/>
          </w:tcPr>
          <w:p>
            <w:pPr>
              <w:ind w:left="4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6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40" w:type="dxa"/>
            <w:vAlign w:val="bottom"/>
            <w:tcBorders>
              <w:top w:val="single" w:sz="8" w:color="auto"/>
            </w:tcBorders>
            <w:gridSpan w:val="3"/>
          </w:tcPr>
          <w:p>
            <w:pPr>
              <w:ind w:left="4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90,340</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83,862</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220,513</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242,198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77,578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233,041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138,443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139,240</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122,036</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371,484</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329,139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229,677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206,000</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592,202</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571,504</w:t>
            </w:r>
          </w:p>
        </w:tc>
        <w:tc>
          <w:tcPr>
            <w:tcW w:w="40" w:type="dxa"/>
            <w:vAlign w:val="bottom"/>
          </w:tcPr>
          <w:p>
            <w:pPr>
              <w:spacing w:after="0"/>
              <w:rPr>
                <w:sz w:val="20"/>
                <w:szCs w:val="20"/>
                <w:color w:val="auto"/>
              </w:rPr>
            </w:pPr>
          </w:p>
        </w:tc>
      </w:tr>
    </w:tbl>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$25,547</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$20,443</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$60,866</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8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6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41,361</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18.8%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63,292</w:t>
            </w: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w w:val="97"/>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85,842</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5"/>
              </w:rPr>
              <w:t>23.1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90,874</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5"/>
              </w:rPr>
              <w:t>27.6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85"/>
              </w:rPr>
              <w:t>99.5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w w:val="85"/>
              </w:rPr>
              <w:t>10.8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127,407</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154,184</w:t>
            </w: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7"/>
              </w:rPr>
              <w:t>27.0%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 announced:</w:t>
      </w:r>
    </w:p>
    <w:p>
      <w:pPr>
        <w:spacing w:after="0" w:line="131" w:lineRule="exact"/>
        <w:rPr>
          <w:sz w:val="20"/>
          <w:szCs w:val="20"/>
          <w:color w:val="auto"/>
        </w:rPr>
      </w:pPr>
    </w:p>
    <w:p>
      <w:pPr>
        <w:ind w:left="980" w:right="260" w:hanging="436"/>
        <w:spacing w:after="0" w:line="28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Its cumulative shipments of OLED DDICs (Display Driver ICs) surpassing the 500 million milestone. OLED display drivers are low-power devices that offer excellent screen resolution with deep and bright colors for mobile screens that do not require a backlight, They also enable full-screen, rounded edges and thinner and lighter smartphones. MagnaChip first introduced the OLED DDIC in 2003 and began mass production in 2007. </w:t>
      </w:r>
      <w:r>
        <w:rPr>
          <w:rFonts w:ascii="Arial" w:cs="Arial" w:eastAsia="Arial" w:hAnsi="Arial"/>
          <w:sz w:val="18"/>
          <w:szCs w:val="18"/>
          <w:u w:val="single" w:color="auto"/>
          <w:color w:val="auto"/>
        </w:rPr>
        <w:t>http://investors.magnachip.com/news-releases/news-release-details/magnachip-surpasses-500-million-milestone-cumulative-shipments</w:t>
      </w:r>
    </w:p>
    <w:p>
      <w:pPr>
        <w:spacing w:after="0" w:line="68" w:lineRule="exact"/>
        <w:rPr>
          <w:rFonts w:ascii="Arial" w:cs="Arial" w:eastAsia="Arial" w:hAnsi="Arial"/>
          <w:sz w:val="18"/>
          <w:szCs w:val="18"/>
          <w:color w:val="auto"/>
        </w:rPr>
      </w:pPr>
    </w:p>
    <w:p>
      <w:pPr>
        <w:ind w:left="980" w:right="120" w:hanging="436"/>
        <w:spacing w:after="0" w:line="33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Offering of 0.35 micron 700V Ultra-High Voltage process technologies (UHV) suitable for different system requirements for AC-DC converter ICs and LED driver ICs. Currently the market demand is increasing dramatically for AC-powered products, including LED lighting drivers, AC-DC converter ICs and AC-DC chargers commonly found in home appliances. Due to increased competition, the cost competitiveness of these products, manufactured using UHV technologies, is becoming a critical consideration for IC providers. </w:t>
      </w:r>
      <w:r>
        <w:rPr>
          <w:rFonts w:ascii="Arial" w:cs="Arial" w:eastAsia="Arial" w:hAnsi="Arial"/>
          <w:sz w:val="16"/>
          <w:szCs w:val="16"/>
          <w:u w:val="single" w:color="auto"/>
          <w:color w:val="auto"/>
        </w:rPr>
        <w:t>http://investors.magnachip.com/news-releases/news-release-details/magnachip-offers-035-micron-700v-ultra-high-voltage-process-1</w:t>
      </w:r>
    </w:p>
    <w:p>
      <w:pPr>
        <w:spacing w:after="0" w:line="37" w:lineRule="exact"/>
        <w:rPr>
          <w:rFonts w:ascii="Arial" w:cs="Arial" w:eastAsia="Arial" w:hAnsi="Arial"/>
          <w:sz w:val="16"/>
          <w:szCs w:val="16"/>
          <w:color w:val="auto"/>
        </w:rPr>
      </w:pPr>
    </w:p>
    <w:p>
      <w:pPr>
        <w:ind w:left="980" w:hanging="436"/>
        <w:spacing w:after="0" w:line="33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release of a 100V Mid-Voltage MOSFET (Metal Oxide Semiconductor Field-Effect Transistor) with a new thermal package (“M2PAK-7P”) designed for the fast-growing e-Bike market. This MOSFET with the M2PAK-7P package is suitable to meet the particular requirements of electric bike (e-Bike) systems. E-Bikes, an emerging trend along with electric scooters, have become an integral part of new eco-friendly wave of transportation and represents a “green personal mobility” movement in large urban markets. </w:t>
      </w:r>
      <w:r>
        <w:rPr>
          <w:rFonts w:ascii="Arial" w:cs="Arial" w:eastAsia="Arial" w:hAnsi="Arial"/>
          <w:sz w:val="16"/>
          <w:szCs w:val="16"/>
          <w:u w:val="single" w:color="auto"/>
          <w:color w:val="auto"/>
        </w:rPr>
        <w:t>http://investors.magnachip.com/news-releases/news-release-details/magnachip-targets-fast-growing-e-bike-market-high-performance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Earnings Conference Call</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The earnings conference call will be webcast live today (October 23, 2019) at 5:00 p.m. ET, and also is available by dialing toll-free at </w:t>
      </w:r>
      <w:r>
        <w:rPr>
          <w:rFonts w:ascii="Arial" w:cs="Arial" w:eastAsia="Arial" w:hAnsi="Arial"/>
          <w:sz w:val="18"/>
          <w:szCs w:val="18"/>
          <w:b w:val="1"/>
          <w:bCs w:val="1"/>
          <w:color w:val="auto"/>
        </w:rPr>
        <w:t>1-844-536-5472</w:t>
      </w:r>
      <w:r>
        <w:rPr>
          <w:rFonts w:ascii="Arial" w:cs="Arial" w:eastAsia="Arial" w:hAnsi="Arial"/>
          <w:sz w:val="18"/>
          <w:szCs w:val="18"/>
          <w:color w:val="auto"/>
        </w:rPr>
        <w:t xml:space="preserve">. International call-in participants can dial </w:t>
      </w:r>
      <w:r>
        <w:rPr>
          <w:rFonts w:ascii="Arial" w:cs="Arial" w:eastAsia="Arial" w:hAnsi="Arial"/>
          <w:sz w:val="18"/>
          <w:szCs w:val="18"/>
          <w:b w:val="1"/>
          <w:bCs w:val="1"/>
          <w:color w:val="auto"/>
        </w:rPr>
        <w:t>1-614-999-9318</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4069039</w:t>
      </w:r>
      <w:r>
        <w:rPr>
          <w:rFonts w:ascii="Arial" w:cs="Arial" w:eastAsia="Arial" w:hAnsi="Arial"/>
          <w:sz w:val="18"/>
          <w:szCs w:val="18"/>
          <w:color w:val="auto"/>
        </w:rPr>
        <w:t xml:space="preserve">. Participants are encouraged to initiate their calls at least 10 minutes in advance of the 5 p.m. ET start time to ensure a timely connection. The webcast and earnings release will be accessible at www.magnachip.com. A replay of the conference call will be available the same day and will run for 72 hours. The replay dial-in numbers are </w:t>
      </w:r>
      <w:r>
        <w:rPr>
          <w:rFonts w:ascii="Arial" w:cs="Arial" w:eastAsia="Arial" w:hAnsi="Arial"/>
          <w:sz w:val="18"/>
          <w:szCs w:val="18"/>
          <w:b w:val="1"/>
          <w:bCs w:val="1"/>
          <w:color w:val="auto"/>
        </w:rPr>
        <w:t xml:space="preserve">1-404-537-3406 </w:t>
      </w:r>
      <w:r>
        <w:rPr>
          <w:rFonts w:ascii="Arial" w:cs="Arial" w:eastAsia="Arial" w:hAnsi="Arial"/>
          <w:sz w:val="18"/>
          <w:szCs w:val="18"/>
          <w:color w:val="auto"/>
        </w:rPr>
        <w:t>or toll-free at</w:t>
      </w:r>
      <w:r>
        <w:rPr>
          <w:rFonts w:ascii="Arial" w:cs="Arial" w:eastAsia="Arial" w:hAnsi="Arial"/>
          <w:sz w:val="18"/>
          <w:szCs w:val="18"/>
          <w:b w:val="1"/>
          <w:bCs w:val="1"/>
          <w:color w:val="auto"/>
        </w:rPr>
        <w:t xml:space="preserve"> 1-855-859-2056</w:t>
      </w:r>
      <w:r>
        <w:rPr>
          <w:rFonts w:ascii="Arial" w:cs="Arial" w:eastAsia="Arial" w:hAnsi="Arial"/>
          <w:sz w:val="18"/>
          <w:szCs w:val="18"/>
          <w:color w:val="auto"/>
        </w:rPr>
        <w:t>. The access code is</w:t>
      </w:r>
      <w:r>
        <w:rPr>
          <w:rFonts w:ascii="Arial" w:cs="Arial" w:eastAsia="Arial" w:hAnsi="Arial"/>
          <w:sz w:val="18"/>
          <w:szCs w:val="18"/>
          <w:b w:val="1"/>
          <w:bCs w:val="1"/>
          <w:color w:val="auto"/>
        </w:rPr>
        <w:t xml:space="preserve"> 4069039</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about 40 years of operating history, owns a portfolio of approximately 3,000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ectPr>
          <w:pgSz w:w="11900" w:h="16838" w:orient="portrait"/>
          <w:cols w:equalWidth="0" w:num="1">
            <w:col w:w="11000"/>
          </w:cols>
          <w:pgMar w:left="440" w:top="253"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but not limited to fourth quarter 2019 revenue and gross profit margin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strategic evaluation and the initiatives related thereto described above are not successful, and other risks detailed from time to time in MagnaChip’s filings with the SEC, including our Form 10-K filed on February 22, 2019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13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Bruce Entin</w:t>
            </w:r>
          </w:p>
        </w:tc>
        <w:tc>
          <w:tcPr>
            <w:tcW w:w="13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Investor Relations</w:t>
            </w:r>
          </w:p>
        </w:tc>
        <w:tc>
          <w:tcPr>
            <w:tcW w:w="13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Tel. +1-408-625-1262</w:t>
            </w:r>
          </w:p>
        </w:tc>
        <w:tc>
          <w:tcPr>
            <w:tcW w:w="13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1300" w:type="dxa"/>
            <w:vAlign w:val="bottom"/>
          </w:tcPr>
          <w:p>
            <w:pPr>
              <w:spacing w:after="0"/>
              <w:rPr>
                <w:sz w:val="16"/>
                <w:szCs w:val="16"/>
                <w:color w:val="auto"/>
              </w:rPr>
            </w:pPr>
          </w:p>
        </w:tc>
        <w:tc>
          <w:tcPr>
            <w:tcW w:w="23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chankeun.park@magnachip.com</w:t>
            </w:r>
          </w:p>
        </w:tc>
      </w:tr>
    </w:tbl>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22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229,677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168,811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161,305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150,251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Gross profit %</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16,812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16,975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25,923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18,265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(5,587)</w:t>
            </w: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(21,205)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(10,431)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(8,708)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18,830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(9,520)</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17,222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number of shares—Basic</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34,357,745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34,245,127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34,573,377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shares—Diluted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34,357,745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34,245,127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46,021,610</w:t>
            </w:r>
          </w:p>
        </w:tc>
        <w:tc>
          <w:tcPr>
            <w:tcW w:w="220" w:type="dxa"/>
            <w:vAlign w:val="bottom"/>
            <w:shd w:val="clear" w:color="auto" w:fill="CCEEFF"/>
          </w:tcPr>
          <w:p>
            <w:pPr>
              <w:spacing w:after="0"/>
              <w:rPr>
                <w:sz w:val="18"/>
                <w:szCs w:val="18"/>
                <w:color w:val="auto"/>
              </w:rPr>
            </w:pPr>
          </w:p>
        </w:tc>
      </w:tr>
    </w:tbl>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Adjustments: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EBITDA</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31,798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(6,001)</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2040" w:type="dxa"/>
            <w:vAlign w:val="bottom"/>
            <w:gridSpan w:val="2"/>
          </w:tcPr>
          <w:p>
            <w:pPr>
              <w:ind w:left="19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35,465</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16,999</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40" w:type="dxa"/>
            <w:vAlign w:val="bottom"/>
            <w:gridSpan w:val="2"/>
            <w:shd w:val="clear" w:color="auto" w:fill="CCEEFF"/>
          </w:tcPr>
          <w:p>
            <w:pPr>
              <w:ind w:left="19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Adjustments: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(6,001)</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Net Income</w:t>
            </w:r>
          </w:p>
        </w:tc>
        <w:tc>
          <w:tcPr>
            <w:tcW w:w="2040" w:type="dxa"/>
            <w:vAlign w:val="bottom"/>
            <w:gridSpan w:val="2"/>
          </w:tcPr>
          <w:p>
            <w:pPr>
              <w:ind w:left="19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20,873</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2,893</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 Basic</w:t>
            </w:r>
          </w:p>
        </w:tc>
        <w:tc>
          <w:tcPr>
            <w:tcW w:w="2040" w:type="dxa"/>
            <w:vAlign w:val="bottom"/>
            <w:gridSpan w:val="2"/>
          </w:tcPr>
          <w:p>
            <w:pPr>
              <w:ind w:left="19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2040" w:type="dxa"/>
            <w:vAlign w:val="bottom"/>
            <w:gridSpan w:val="2"/>
            <w:shd w:val="clear" w:color="auto" w:fill="CCEEFF"/>
          </w:tcPr>
          <w:p>
            <w:pPr>
              <w:ind w:left="19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34,357,745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34,245,127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34,573,377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45,516,245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34,965,562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46,021,610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Restructuring and other charges, (ii) Equity-based compensation expense, (iii) Foreign currency loss (gain), net, (iv) Derivative valuation loss, net and (v) Other. EBITDA for the periods indicated is defined as net income (loss) before interest expense, net, income tax expense and depreciation and amortization.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(loss), adjusted to exclude</w:t>
      </w:r>
    </w:p>
    <w:p>
      <w:pPr>
        <w:spacing w:after="0" w:line="3" w:lineRule="exact"/>
        <w:rPr>
          <w:sz w:val="20"/>
          <w:szCs w:val="20"/>
          <w:color w:val="auto"/>
        </w:rPr>
      </w:pPr>
    </w:p>
    <w:p>
      <w:pPr>
        <w:ind w:right="220" w:firstLine="4"/>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and other charges, (ii) Equity-based compensation expense, (iii) Foreign currency loss (gain), net, (iv) Derivative valuation loss, net and (v) Other. Other charges within the adjustment line item of the Restructuring and other charges included in the above table are primarily related to legal and consulting service fees incurred in connection with our strategic evaluation. Other adjustment in the table above primarily represents legal expense related to the indemnification of a former employee.</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50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178,823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588,137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79,908</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152,103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380" w:type="dxa"/>
            <w:vAlign w:val="bottom"/>
          </w:tcPr>
          <w:p>
            <w:pPr>
              <w:ind w:left="340"/>
              <w:spacing w:after="0" w:line="201" w:lineRule="exact"/>
              <w:rPr>
                <w:sz w:val="20"/>
                <w:szCs w:val="20"/>
                <w:color w:val="auto"/>
              </w:rPr>
            </w:pPr>
            <w:r>
              <w:rPr>
                <w:rFonts w:ascii="Arial" w:cs="Arial" w:eastAsia="Arial" w:hAnsi="Arial"/>
                <w:sz w:val="18"/>
                <w:szCs w:val="18"/>
                <w:color w:val="auto"/>
                <w:w w:val="93"/>
              </w:rPr>
              <w:t>Common stock, $0.01 par value, 150,000,000 shares authorized, 43,378,017 shares issued and 34,370,689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Arial" w:cs="Arial" w:eastAsia="Arial" w:hAnsi="Arial"/>
                <w:sz w:val="18"/>
                <w:szCs w:val="18"/>
                <w:color w:val="auto"/>
              </w:rPr>
              <w:t>outstanding at September 30, 2019 and 43,054,458 shares issued and 34,441,232 outstanding at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Arial" w:cs="Arial" w:eastAsia="Arial" w:hAnsi="Arial"/>
                <w:sz w:val="18"/>
                <w:szCs w:val="18"/>
                <w:color w:val="auto"/>
              </w:rPr>
              <w:t>December 31, 2018</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(81,557)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(36,305)</w:t>
            </w: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Treasury stock, 9,007,328 shares at September 30, 2019 and 8,613,226 shares at December 31, 2018,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(106,514)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(103,926)</w:t>
            </w: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(17,310)</w:t>
            </w: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588,137</w:t>
            </w:r>
          </w:p>
        </w:tc>
        <w:tc>
          <w:tcPr>
            <w:tcW w:w="240" w:type="dxa"/>
            <w:vAlign w:val="bottom"/>
          </w:tcPr>
          <w:p>
            <w:pPr>
              <w:spacing w:after="0"/>
              <w:rPr>
                <w:sz w:val="20"/>
                <w:szCs w:val="20"/>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4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 Ended</w:t>
            </w: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40" w:type="dxa"/>
            <w:vAlign w:val="bottom"/>
            <w:tcBorders>
              <w:top w:val="single" w:sz="8" w:color="auto"/>
            </w:tcBorders>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1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(1,607)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(45,252)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foreign currency, net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(14,282)</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(30,296)</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(1,845)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(2,669)</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(4,552)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(8,811)</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(5,370)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(9,004)</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hedge collateral</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(10,965)</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(18,875)</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(4,283)</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Collection of guarantee deposits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guarantee deposits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(21,257)</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long-term borrowings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Repayment of principal portion of lease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(3,569)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(3,974)</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Net increase (decrease) in cash, cash equivalents and restricted cash</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131,341</w:t>
            </w: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131,341</w:t>
            </w: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133,482</w:t>
            </w:r>
          </w:p>
        </w:tc>
        <w:tc>
          <w:tcPr>
            <w:tcW w:w="1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2019-12-28T05:28:06Z</dcterms:created>
  <dcterms:modified xsi:type="dcterms:W3CDTF">2019-12-28T05:28:06Z</dcterms:modified>
</cp:coreProperties>
</file>