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275830" cy="937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830" cy="937006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Avenue Investments, L.P.</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240"/>
        <w:spacing w:after="0" w:line="347" w:lineRule="auto"/>
        <w:rPr>
          <w:sz w:val="20"/>
          <w:szCs w:val="20"/>
          <w:color w:val="auto"/>
        </w:rPr>
      </w:pPr>
      <w:r>
        <w:rPr>
          <w:rFonts w:ascii="Arial" w:cs="Arial" w:eastAsia="Arial" w:hAnsi="Arial"/>
          <w:sz w:val="17"/>
          <w:szCs w:val="17"/>
          <w:color w:val="0000FF"/>
        </w:rPr>
        <w:t>C/O AVENUE CAPITAL MANAGEMENT II, L.P. 399 PARK AVENUE, 6TH FLOOR</w:t>
      </w:r>
    </w:p>
    <w:p>
      <w:pPr>
        <w:spacing w:after="0" w:line="191"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10022</w:t>
            </w:r>
          </w:p>
        </w:tc>
      </w:tr>
      <w:tr>
        <w:trPr>
          <w:trHeight w:val="153"/>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920" w:type="dxa"/>
            <w:vAlign w:val="bottom"/>
            <w:gridSpan w:val="2"/>
          </w:tcPr>
          <w:p>
            <w:pPr>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MAGNACHIP SEMICONDUCTOR Corp </w:t>
              </w:r>
            </w:hyperlink>
            <w:r>
              <w:rPr>
                <w:rFonts w:ascii="Arial" w:cs="Arial" w:eastAsia="Arial" w:hAnsi="Arial"/>
                <w:sz w:val="16"/>
                <w:szCs w:val="16"/>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3920" w:type="dxa"/>
            <w:vAlign w:val="bottom"/>
            <w:gridSpan w:val="2"/>
          </w:tcPr>
          <w:p>
            <w:pPr>
              <w:spacing w:after="0"/>
              <w:rPr>
                <w:sz w:val="3"/>
                <w:szCs w:val="3"/>
                <w:color w:val="auto"/>
              </w:rPr>
            </w:pPr>
          </w:p>
        </w:tc>
        <w:tc>
          <w:tcPr>
            <w:tcW w:w="500" w:type="dxa"/>
            <w:vAlign w:val="bottom"/>
            <w:vMerge w:val="restart"/>
          </w:tcPr>
          <w:p>
            <w:pPr>
              <w:ind w:left="260"/>
              <w:spacing w:after="0" w:line="54"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vMerge w:val="restart"/>
          </w:tcPr>
          <w:p>
            <w:pPr>
              <w:ind w:left="180"/>
              <w:spacing w:after="0" w:line="54" w:lineRule="exact"/>
              <w:rPr>
                <w:sz w:val="20"/>
                <w:szCs w:val="20"/>
                <w:color w:val="auto"/>
              </w:rPr>
            </w:pPr>
            <w:r>
              <w:rPr>
                <w:rFonts w:ascii="Arial" w:cs="Arial" w:eastAsia="Arial" w:hAnsi="Arial"/>
                <w:sz w:val="6"/>
                <w:szCs w:val="6"/>
                <w:color w:val="0000FF"/>
              </w:rPr>
              <w:t>X</w:t>
            </w: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
        </w:trPr>
        <w:tc>
          <w:tcPr>
            <w:tcW w:w="60" w:type="dxa"/>
            <w:vAlign w:val="bottom"/>
          </w:tcPr>
          <w:p>
            <w:pPr>
              <w:spacing w:after="0" w:line="20" w:lineRule="exact"/>
              <w:rPr>
                <w:sz w:val="1"/>
                <w:szCs w:val="1"/>
                <w:color w:val="auto"/>
              </w:rPr>
            </w:pPr>
          </w:p>
        </w:tc>
        <w:tc>
          <w:tcPr>
            <w:tcW w:w="360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MX </w:t>
              </w:r>
              <w:r>
                <w:rPr>
                  <w:rFonts w:ascii="Arial" w:cs="Arial" w:eastAsia="Arial" w:hAnsi="Arial"/>
                  <w:sz w:val="1"/>
                  <w:szCs w:val="1"/>
                  <w:color w:val="000000"/>
                </w:rPr>
                <w:t>]</w:t>
              </w:r>
            </w:hyperlink>
          </w:p>
        </w:tc>
        <w:tc>
          <w:tcPr>
            <w:tcW w:w="32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19"/>
                <w:szCs w:val="19"/>
                <w:color w:val="auto"/>
              </w:rPr>
            </w:pPr>
          </w:p>
        </w:tc>
        <w:tc>
          <w:tcPr>
            <w:tcW w:w="128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5"/>
        </w:trPr>
        <w:tc>
          <w:tcPr>
            <w:tcW w:w="60" w:type="dxa"/>
            <w:vAlign w:val="bottom"/>
            <w:tcBorders>
              <w:bottom w:val="single" w:sz="8" w:color="2C2C2C"/>
            </w:tcBorders>
          </w:tcPr>
          <w:p>
            <w:pPr>
              <w:spacing w:after="0"/>
              <w:rPr>
                <w:sz w:val="10"/>
                <w:szCs w:val="10"/>
                <w:color w:val="auto"/>
              </w:rPr>
            </w:pPr>
          </w:p>
        </w:tc>
        <w:tc>
          <w:tcPr>
            <w:tcW w:w="3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00" w:type="dxa"/>
            <w:vAlign w:val="bottom"/>
          </w:tcPr>
          <w:p>
            <w:pPr>
              <w:spacing w:after="0"/>
              <w:rPr>
                <w:sz w:val="10"/>
                <w:szCs w:val="10"/>
                <w:color w:val="auto"/>
              </w:rPr>
            </w:pPr>
          </w:p>
        </w:tc>
        <w:tc>
          <w:tcPr>
            <w:tcW w:w="1240" w:type="dxa"/>
            <w:vAlign w:val="bottom"/>
          </w:tcPr>
          <w:p>
            <w:pPr>
              <w:ind w:left="100"/>
              <w:spacing w:after="0" w:line="99" w:lineRule="exact"/>
              <w:rPr>
                <w:sz w:val="20"/>
                <w:szCs w:val="20"/>
                <w:color w:val="auto"/>
              </w:rPr>
            </w:pPr>
            <w:r>
              <w:rPr>
                <w:rFonts w:ascii="Arial" w:cs="Arial" w:eastAsia="Arial" w:hAnsi="Arial"/>
                <w:sz w:val="11"/>
                <w:szCs w:val="11"/>
                <w:color w:val="auto"/>
              </w:rPr>
              <w:t>below)</w:t>
            </w:r>
          </w:p>
        </w:tc>
        <w:tc>
          <w:tcPr>
            <w:tcW w:w="400" w:type="dxa"/>
            <w:vAlign w:val="bottom"/>
          </w:tcPr>
          <w:p>
            <w:pPr>
              <w:spacing w:after="0"/>
              <w:rPr>
                <w:sz w:val="10"/>
                <w:szCs w:val="10"/>
                <w:color w:val="auto"/>
              </w:rPr>
            </w:pPr>
          </w:p>
        </w:tc>
        <w:tc>
          <w:tcPr>
            <w:tcW w:w="1280" w:type="dxa"/>
            <w:vAlign w:val="bottom"/>
          </w:tcPr>
          <w:p>
            <w:pPr>
              <w:ind w:left="100"/>
              <w:spacing w:after="0" w:line="99"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60"/>
              <w:spacing w:after="0"/>
              <w:rPr>
                <w:sz w:val="20"/>
                <w:szCs w:val="20"/>
                <w:color w:val="auto"/>
              </w:rPr>
            </w:pPr>
            <w:r>
              <w:rPr>
                <w:rFonts w:ascii="Arial" w:cs="Arial" w:eastAsia="Arial" w:hAnsi="Arial"/>
                <w:sz w:val="17"/>
                <w:szCs w:val="17"/>
                <w:color w:val="0000FF"/>
              </w:rPr>
              <w:t>03/16/2011</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60" w:type="dxa"/>
            <w:vAlign w:val="bottom"/>
            <w:tcBorders>
              <w:bottom w:val="single" w:sz="8" w:color="2C2C2C"/>
            </w:tcBorders>
          </w:tcPr>
          <w:p>
            <w:pPr>
              <w:spacing w:after="0"/>
              <w:rPr>
                <w:sz w:val="15"/>
                <w:szCs w:val="15"/>
                <w:color w:val="auto"/>
              </w:rPr>
            </w:pPr>
          </w:p>
        </w:tc>
        <w:tc>
          <w:tcPr>
            <w:tcW w:w="36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spacing w:after="0" w:line="34" w:lineRule="exact"/>
        <w:rPr>
          <w:sz w:val="20"/>
          <w:szCs w:val="20"/>
          <w:color w:val="auto"/>
        </w:rPr>
      </w:pPr>
    </w:p>
    <w:tbl>
      <w:tblPr>
        <w:tblLayout w:type="fixed"/>
        <w:tblInd w:w="4240"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238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8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238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17" w:lineRule="exact"/>
        <w:rPr>
          <w:sz w:val="20"/>
          <w:szCs w:val="20"/>
          <w:color w:val="auto"/>
        </w:rPr>
      </w:pPr>
    </w:p>
    <w:p>
      <w:pPr>
        <w:sectPr>
          <w:pgSz w:w="11900" w:h="16838" w:orient="portrait"/>
          <w:cols w:equalWidth="0" w:num="2">
            <w:col w:w="3900" w:space="100"/>
            <w:col w:w="7520"/>
          </w:cols>
          <w:pgMar w:left="240" w:top="223"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1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20" w:type="dxa"/>
            <w:vAlign w:val="bottom"/>
            <w:gridSpan w:val="2"/>
          </w:tcPr>
          <w:p>
            <w:pPr>
              <w:ind w:left="780"/>
              <w:spacing w:after="0" w:line="132"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600" w:type="dxa"/>
            <w:vAlign w:val="bottom"/>
          </w:tcPr>
          <w:p>
            <w:pPr>
              <w:spacing w:after="0"/>
              <w:rPr>
                <w:sz w:val="11"/>
                <w:szCs w:val="11"/>
                <w:color w:val="auto"/>
              </w:rPr>
            </w:pP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62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$0.01 par value</w:t>
            </w:r>
          </w:p>
        </w:tc>
        <w:tc>
          <w:tcPr>
            <w:tcW w:w="182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7"/>
                <w:szCs w:val="17"/>
                <w:color w:val="0000FF"/>
              </w:rPr>
              <w:t>03/10/2011</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91"/>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1,458,684</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1,458,684</w:t>
            </w:r>
            <w:r>
              <w:rPr>
                <w:rFonts w:ascii="Arial" w:cs="Arial" w:eastAsia="Arial" w:hAnsi="Arial"/>
                <w:sz w:val="21"/>
                <w:szCs w:val="21"/>
                <w:color w:val="008000"/>
                <w:w w:val="85"/>
                <w:vertAlign w:val="superscript"/>
              </w:rPr>
              <w:t>(1)(2)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64"/>
              <w:spacing w:after="0" w:line="315"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(3)</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62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$0.01 par value</w:t>
            </w:r>
          </w:p>
        </w:tc>
        <w:tc>
          <w:tcPr>
            <w:tcW w:w="182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7"/>
                <w:szCs w:val="17"/>
                <w:color w:val="0000FF"/>
              </w:rPr>
              <w:t>03/10/2011</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91"/>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1,482,770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1,482,770</w:t>
            </w:r>
            <w:r>
              <w:rPr>
                <w:rFonts w:ascii="Arial" w:cs="Arial" w:eastAsia="Arial" w:hAnsi="Arial"/>
                <w:sz w:val="21"/>
                <w:szCs w:val="21"/>
                <w:color w:val="008000"/>
                <w:w w:val="85"/>
                <w:vertAlign w:val="superscript"/>
              </w:rPr>
              <w:t>(1)(2)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64"/>
              <w:spacing w:after="0" w:line="315"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(4)</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62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$0.01 par value</w:t>
            </w:r>
          </w:p>
        </w:tc>
        <w:tc>
          <w:tcPr>
            <w:tcW w:w="182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7"/>
                <w:szCs w:val="17"/>
                <w:color w:val="0000FF"/>
              </w:rPr>
              <w:t>03/10/2011</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91"/>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4,375,589</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4,375,589</w:t>
            </w:r>
            <w:r>
              <w:rPr>
                <w:rFonts w:ascii="Arial" w:cs="Arial" w:eastAsia="Arial" w:hAnsi="Arial"/>
                <w:sz w:val="21"/>
                <w:szCs w:val="21"/>
                <w:color w:val="008000"/>
                <w:w w:val="85"/>
                <w:vertAlign w:val="superscript"/>
              </w:rPr>
              <w:t>(1)(2)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64"/>
              <w:spacing w:after="0" w:line="315"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(5)</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62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$0.01 par value</w:t>
            </w:r>
          </w:p>
        </w:tc>
        <w:tc>
          <w:tcPr>
            <w:tcW w:w="182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7"/>
                <w:szCs w:val="17"/>
                <w:color w:val="0000FF"/>
              </w:rPr>
              <w:t>03/16/2011</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357,810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13.02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1,100,874</w:t>
            </w:r>
            <w:r>
              <w:rPr>
                <w:rFonts w:ascii="Arial" w:cs="Arial" w:eastAsia="Arial" w:hAnsi="Arial"/>
                <w:sz w:val="21"/>
                <w:szCs w:val="21"/>
                <w:color w:val="008000"/>
                <w:w w:val="88"/>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64"/>
              <w:spacing w:after="0" w:line="315"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(6)</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62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$0.01 par value</w:t>
            </w:r>
          </w:p>
        </w:tc>
        <w:tc>
          <w:tcPr>
            <w:tcW w:w="182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7"/>
                <w:szCs w:val="17"/>
                <w:color w:val="0000FF"/>
              </w:rPr>
              <w:t>03/16/2011</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363,718</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13.02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7"/>
                <w:szCs w:val="17"/>
                <w:color w:val="0000FF"/>
                <w:w w:val="86"/>
              </w:rPr>
              <w:t>1,119,052</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64"/>
              <w:spacing w:after="0" w:line="315"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(7)</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$0.01 par value</w:t>
            </w:r>
          </w:p>
        </w:tc>
        <w:tc>
          <w:tcPr>
            <w:tcW w:w="182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7"/>
                <w:szCs w:val="17"/>
                <w:color w:val="0000FF"/>
              </w:rPr>
              <w:t>03/16/2011</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1,073,316</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13.02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3,302,273</w:t>
            </w:r>
            <w:r>
              <w:rPr>
                <w:rFonts w:ascii="Arial" w:cs="Arial" w:eastAsia="Arial" w:hAnsi="Arial"/>
                <w:sz w:val="21"/>
                <w:szCs w:val="21"/>
                <w:color w:val="008000"/>
                <w:w w:val="88"/>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64"/>
              <w:spacing w:after="0" w:line="315"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(8)</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78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Number of</w:t>
            </w:r>
          </w:p>
        </w:tc>
        <w:tc>
          <w:tcPr>
            <w:tcW w:w="22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center"/>
              <w:ind w:right="14"/>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right"/>
              <w:ind w:right="364"/>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6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center"/>
              <w:ind w:right="14"/>
              <w:spacing w:after="0" w:line="132"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54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6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Disposed 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3, 4 and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154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center"/>
              <w:ind w:right="278"/>
              <w:spacing w:after="0" w:line="132" w:lineRule="exact"/>
              <w:rPr>
                <w:sz w:val="20"/>
                <w:szCs w:val="20"/>
                <w:color w:val="auto"/>
              </w:rPr>
            </w:pPr>
            <w:r>
              <w:rPr>
                <w:rFonts w:ascii="Arial" w:cs="Arial" w:eastAsia="Arial" w:hAnsi="Arial"/>
                <w:sz w:val="12"/>
                <w:szCs w:val="12"/>
                <w:b w:val="1"/>
                <w:bCs w:val="1"/>
                <w:color w:val="auto"/>
                <w:w w:val="99"/>
              </w:rPr>
              <w:t>Date</w:t>
            </w:r>
          </w:p>
        </w:tc>
        <w:tc>
          <w:tcPr>
            <w:tcW w:w="8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Warrants</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15.76</w:t>
            </w:r>
          </w:p>
        </w:tc>
        <w:tc>
          <w:tcPr>
            <w:tcW w:w="1120" w:type="dxa"/>
            <w:vAlign w:val="bottom"/>
            <w:gridSpan w:val="2"/>
            <w:vMerge w:val="restart"/>
          </w:tcPr>
          <w:p>
            <w:pPr>
              <w:ind w:left="240"/>
              <w:spacing w:after="0"/>
              <w:rPr>
                <w:sz w:val="20"/>
                <w:szCs w:val="20"/>
                <w:color w:val="auto"/>
              </w:rPr>
            </w:pPr>
            <w:r>
              <w:rPr>
                <w:rFonts w:ascii="Arial" w:cs="Arial" w:eastAsia="Arial" w:hAnsi="Arial"/>
                <w:sz w:val="13"/>
                <w:szCs w:val="13"/>
                <w:color w:val="0000FF"/>
              </w:rPr>
              <w:t>03/10/2011</w:t>
            </w:r>
          </w:p>
        </w:tc>
        <w:tc>
          <w:tcPr>
            <w:tcW w:w="1080" w:type="dxa"/>
            <w:vAlign w:val="bottom"/>
          </w:tcPr>
          <w:p>
            <w:pPr>
              <w:spacing w:after="0"/>
              <w:rPr>
                <w:sz w:val="12"/>
                <w:szCs w:val="12"/>
                <w:color w:val="auto"/>
              </w:rPr>
            </w:pPr>
          </w:p>
        </w:tc>
        <w:tc>
          <w:tcPr>
            <w:tcW w:w="740" w:type="dxa"/>
            <w:vAlign w:val="bottom"/>
            <w:vMerge w:val="restart"/>
          </w:tcPr>
          <w:p>
            <w:pPr>
              <w:jc w:val="right"/>
              <w:ind w:right="418"/>
              <w:spacing w:after="0"/>
              <w:rPr>
                <w:sz w:val="20"/>
                <w:szCs w:val="20"/>
                <w:color w:val="auto"/>
              </w:rPr>
            </w:pPr>
            <w:r>
              <w:rPr>
                <w:rFonts w:ascii="Arial" w:cs="Arial" w:eastAsia="Arial" w:hAnsi="Arial"/>
                <w:sz w:val="13"/>
                <w:szCs w:val="13"/>
                <w:color w:val="0000FF"/>
              </w:rPr>
              <w:t>A</w:t>
            </w:r>
          </w:p>
        </w:tc>
        <w:tc>
          <w:tcPr>
            <w:tcW w:w="880" w:type="dxa"/>
            <w:vAlign w:val="bottom"/>
            <w:gridSpan w:val="3"/>
            <w:vMerge w:val="restart"/>
          </w:tcPr>
          <w:p>
            <w:pPr>
              <w:ind w:left="160"/>
              <w:spacing w:after="0"/>
              <w:rPr>
                <w:sz w:val="20"/>
                <w:szCs w:val="20"/>
                <w:color w:val="auto"/>
              </w:rPr>
            </w:pPr>
            <w:r>
              <w:rPr>
                <w:rFonts w:ascii="Arial" w:cs="Arial" w:eastAsia="Arial" w:hAnsi="Arial"/>
                <w:sz w:val="13"/>
                <w:szCs w:val="13"/>
                <w:color w:val="0000FF"/>
                <w:w w:val="94"/>
              </w:rPr>
              <w:t>23,573</w:t>
            </w:r>
            <w:r>
              <w:rPr>
                <w:rFonts w:ascii="Arial" w:cs="Arial" w:eastAsia="Arial" w:hAnsi="Arial"/>
                <w:sz w:val="21"/>
                <w:szCs w:val="21"/>
                <w:color w:val="008000"/>
                <w:w w:val="94"/>
                <w:vertAlign w:val="superscript"/>
              </w:rPr>
              <w:t>(1)(2)</w:t>
            </w:r>
          </w:p>
        </w:tc>
        <w:tc>
          <w:tcPr>
            <w:tcW w:w="220" w:type="dxa"/>
            <w:vAlign w:val="bottom"/>
          </w:tcPr>
          <w:p>
            <w:pPr>
              <w:spacing w:after="0"/>
              <w:rPr>
                <w:sz w:val="12"/>
                <w:szCs w:val="1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w w:val="98"/>
              </w:rPr>
              <w:t>03/10/2011</w:t>
            </w:r>
          </w:p>
        </w:tc>
        <w:tc>
          <w:tcPr>
            <w:tcW w:w="800" w:type="dxa"/>
            <w:vAlign w:val="bottom"/>
            <w:vMerge w:val="restart"/>
          </w:tcPr>
          <w:p>
            <w:pPr>
              <w:ind w:left="100"/>
              <w:spacing w:after="0"/>
              <w:rPr>
                <w:sz w:val="20"/>
                <w:szCs w:val="20"/>
                <w:color w:val="auto"/>
              </w:rPr>
            </w:pPr>
            <w:r>
              <w:rPr>
                <w:rFonts w:ascii="Arial" w:cs="Arial" w:eastAsia="Arial" w:hAnsi="Arial"/>
                <w:sz w:val="13"/>
                <w:szCs w:val="13"/>
                <w:color w:val="0000FF"/>
              </w:rPr>
              <w:t>11/09/2014</w:t>
            </w:r>
          </w:p>
        </w:tc>
        <w:tc>
          <w:tcPr>
            <w:tcW w:w="660" w:type="dxa"/>
            <w:vAlign w:val="bottom"/>
          </w:tcPr>
          <w:p>
            <w:pPr>
              <w:jc w:val="center"/>
              <w:ind w:right="12"/>
              <w:spacing w:after="0" w:line="144" w:lineRule="exact"/>
              <w:rPr>
                <w:sz w:val="20"/>
                <w:szCs w:val="20"/>
                <w:color w:val="auto"/>
              </w:rPr>
            </w:pPr>
            <w:r>
              <w:rPr>
                <w:rFonts w:ascii="Arial" w:cs="Arial" w:eastAsia="Arial" w:hAnsi="Arial"/>
                <w:sz w:val="13"/>
                <w:szCs w:val="13"/>
                <w:color w:val="0000FF"/>
                <w:w w:val="93"/>
              </w:rPr>
              <w:t>Stock,</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23,573</w:t>
            </w:r>
          </w:p>
        </w:tc>
        <w:tc>
          <w:tcPr>
            <w:tcW w:w="60" w:type="dxa"/>
            <w:vAlign w:val="bottom"/>
          </w:tcPr>
          <w:p>
            <w:pPr>
              <w:spacing w:after="0"/>
              <w:rPr>
                <w:sz w:val="12"/>
                <w:szCs w:val="12"/>
                <w:color w:val="auto"/>
              </w:rPr>
            </w:pPr>
          </w:p>
        </w:tc>
        <w:tc>
          <w:tcPr>
            <w:tcW w:w="680" w:type="dxa"/>
            <w:vAlign w:val="bottom"/>
            <w:vMerge w:val="restart"/>
          </w:tcPr>
          <w:p>
            <w:pPr>
              <w:jc w:val="center"/>
              <w:ind w:right="14"/>
              <w:spacing w:after="0"/>
              <w:rPr>
                <w:sz w:val="20"/>
                <w:szCs w:val="20"/>
                <w:color w:val="auto"/>
              </w:rPr>
            </w:pPr>
            <w:r>
              <w:rPr>
                <w:rFonts w:ascii="Arial" w:cs="Arial" w:eastAsia="Arial" w:hAnsi="Arial"/>
                <w:sz w:val="11"/>
                <w:szCs w:val="11"/>
                <w:color w:val="008000"/>
                <w:w w:val="88"/>
              </w:rPr>
              <w:t>(1)</w:t>
            </w:r>
          </w:p>
        </w:tc>
        <w:tc>
          <w:tcPr>
            <w:tcW w:w="880" w:type="dxa"/>
            <w:vAlign w:val="bottom"/>
            <w:gridSpan w:val="2"/>
            <w:vMerge w:val="restart"/>
          </w:tcPr>
          <w:p>
            <w:pPr>
              <w:ind w:left="260"/>
              <w:spacing w:after="0"/>
              <w:rPr>
                <w:sz w:val="20"/>
                <w:szCs w:val="20"/>
                <w:color w:val="auto"/>
              </w:rPr>
            </w:pPr>
            <w:r>
              <w:rPr>
                <w:rFonts w:ascii="Arial" w:cs="Arial" w:eastAsia="Arial" w:hAnsi="Arial"/>
                <w:sz w:val="13"/>
                <w:szCs w:val="13"/>
                <w:color w:val="0000FF"/>
              </w:rPr>
              <w:t>23,573</w:t>
            </w:r>
          </w:p>
        </w:tc>
        <w:tc>
          <w:tcPr>
            <w:tcW w:w="680" w:type="dxa"/>
            <w:vAlign w:val="bottom"/>
            <w:vMerge w:val="restart"/>
          </w:tcPr>
          <w:p>
            <w:pPr>
              <w:jc w:val="right"/>
              <w:ind w:right="104"/>
              <w:spacing w:after="0" w:line="288" w:lineRule="exact"/>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(9)</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60" w:type="dxa"/>
            <w:vAlign w:val="bottom"/>
          </w:tcPr>
          <w:p>
            <w:pPr>
              <w:ind w:left="40"/>
              <w:spacing w:after="0" w:line="144" w:lineRule="exact"/>
              <w:rPr>
                <w:sz w:val="20"/>
                <w:szCs w:val="20"/>
                <w:color w:val="auto"/>
              </w:rPr>
            </w:pPr>
            <w:r>
              <w:rPr>
                <w:rFonts w:ascii="Arial" w:cs="Arial" w:eastAsia="Arial" w:hAnsi="Arial"/>
                <w:sz w:val="13"/>
                <w:szCs w:val="13"/>
                <w:color w:val="0000FF"/>
              </w:rPr>
              <w:t>$0.01 par</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jc w:val="center"/>
              <w:ind w:right="32"/>
              <w:spacing w:after="0"/>
              <w:rPr>
                <w:sz w:val="20"/>
                <w:szCs w:val="20"/>
                <w:color w:val="auto"/>
              </w:rPr>
            </w:pPr>
            <w:r>
              <w:rPr>
                <w:rFonts w:ascii="Arial" w:cs="Arial" w:eastAsia="Arial" w:hAnsi="Arial"/>
                <w:sz w:val="13"/>
                <w:szCs w:val="13"/>
                <w:color w:val="0000FF"/>
                <w:w w:val="89"/>
              </w:rPr>
              <w:t>value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Warrants</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15.76</w:t>
            </w:r>
          </w:p>
        </w:tc>
        <w:tc>
          <w:tcPr>
            <w:tcW w:w="1120" w:type="dxa"/>
            <w:vAlign w:val="bottom"/>
            <w:gridSpan w:val="2"/>
            <w:vMerge w:val="restart"/>
          </w:tcPr>
          <w:p>
            <w:pPr>
              <w:ind w:left="240"/>
              <w:spacing w:after="0"/>
              <w:rPr>
                <w:sz w:val="20"/>
                <w:szCs w:val="20"/>
                <w:color w:val="auto"/>
              </w:rPr>
            </w:pPr>
            <w:r>
              <w:rPr>
                <w:rFonts w:ascii="Arial" w:cs="Arial" w:eastAsia="Arial" w:hAnsi="Arial"/>
                <w:sz w:val="13"/>
                <w:szCs w:val="13"/>
                <w:color w:val="0000FF"/>
              </w:rPr>
              <w:t>03/10/2011</w:t>
            </w:r>
          </w:p>
        </w:tc>
        <w:tc>
          <w:tcPr>
            <w:tcW w:w="1080" w:type="dxa"/>
            <w:vAlign w:val="bottom"/>
          </w:tcPr>
          <w:p>
            <w:pPr>
              <w:spacing w:after="0"/>
              <w:rPr>
                <w:sz w:val="12"/>
                <w:szCs w:val="12"/>
                <w:color w:val="auto"/>
              </w:rPr>
            </w:pPr>
          </w:p>
        </w:tc>
        <w:tc>
          <w:tcPr>
            <w:tcW w:w="740" w:type="dxa"/>
            <w:vAlign w:val="bottom"/>
            <w:vMerge w:val="restart"/>
          </w:tcPr>
          <w:p>
            <w:pPr>
              <w:jc w:val="right"/>
              <w:ind w:right="418"/>
              <w:spacing w:after="0"/>
              <w:rPr>
                <w:sz w:val="20"/>
                <w:szCs w:val="20"/>
                <w:color w:val="auto"/>
              </w:rPr>
            </w:pPr>
            <w:r>
              <w:rPr>
                <w:rFonts w:ascii="Arial" w:cs="Arial" w:eastAsia="Arial" w:hAnsi="Arial"/>
                <w:sz w:val="13"/>
                <w:szCs w:val="13"/>
                <w:color w:val="0000FF"/>
              </w:rPr>
              <w:t>A</w:t>
            </w:r>
          </w:p>
        </w:tc>
        <w:tc>
          <w:tcPr>
            <w:tcW w:w="880" w:type="dxa"/>
            <w:vAlign w:val="bottom"/>
            <w:gridSpan w:val="3"/>
            <w:vMerge w:val="restart"/>
          </w:tcPr>
          <w:p>
            <w:pPr>
              <w:ind w:left="160"/>
              <w:spacing w:after="0"/>
              <w:rPr>
                <w:sz w:val="20"/>
                <w:szCs w:val="20"/>
                <w:color w:val="auto"/>
              </w:rPr>
            </w:pPr>
            <w:r>
              <w:rPr>
                <w:rFonts w:ascii="Arial" w:cs="Arial" w:eastAsia="Arial" w:hAnsi="Arial"/>
                <w:sz w:val="13"/>
                <w:szCs w:val="13"/>
                <w:color w:val="0000FF"/>
                <w:w w:val="94"/>
              </w:rPr>
              <w:t>30,315</w:t>
            </w:r>
            <w:r>
              <w:rPr>
                <w:rFonts w:ascii="Arial" w:cs="Arial" w:eastAsia="Arial" w:hAnsi="Arial"/>
                <w:sz w:val="21"/>
                <w:szCs w:val="21"/>
                <w:color w:val="008000"/>
                <w:w w:val="94"/>
                <w:vertAlign w:val="superscript"/>
              </w:rPr>
              <w:t>(1)(2)</w:t>
            </w:r>
          </w:p>
        </w:tc>
        <w:tc>
          <w:tcPr>
            <w:tcW w:w="220" w:type="dxa"/>
            <w:vAlign w:val="bottom"/>
          </w:tcPr>
          <w:p>
            <w:pPr>
              <w:spacing w:after="0"/>
              <w:rPr>
                <w:sz w:val="12"/>
                <w:szCs w:val="1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w w:val="98"/>
              </w:rPr>
              <w:t>03/10/2011</w:t>
            </w:r>
          </w:p>
        </w:tc>
        <w:tc>
          <w:tcPr>
            <w:tcW w:w="800" w:type="dxa"/>
            <w:vAlign w:val="bottom"/>
            <w:vMerge w:val="restart"/>
          </w:tcPr>
          <w:p>
            <w:pPr>
              <w:ind w:left="100"/>
              <w:spacing w:after="0"/>
              <w:rPr>
                <w:sz w:val="20"/>
                <w:szCs w:val="20"/>
                <w:color w:val="auto"/>
              </w:rPr>
            </w:pPr>
            <w:r>
              <w:rPr>
                <w:rFonts w:ascii="Arial" w:cs="Arial" w:eastAsia="Arial" w:hAnsi="Arial"/>
                <w:sz w:val="13"/>
                <w:szCs w:val="13"/>
                <w:color w:val="0000FF"/>
              </w:rPr>
              <w:t>11/09/2014</w:t>
            </w:r>
          </w:p>
        </w:tc>
        <w:tc>
          <w:tcPr>
            <w:tcW w:w="660" w:type="dxa"/>
            <w:vAlign w:val="bottom"/>
          </w:tcPr>
          <w:p>
            <w:pPr>
              <w:jc w:val="center"/>
              <w:ind w:right="12"/>
              <w:spacing w:after="0" w:line="144" w:lineRule="exact"/>
              <w:rPr>
                <w:sz w:val="20"/>
                <w:szCs w:val="20"/>
                <w:color w:val="auto"/>
              </w:rPr>
            </w:pPr>
            <w:r>
              <w:rPr>
                <w:rFonts w:ascii="Arial" w:cs="Arial" w:eastAsia="Arial" w:hAnsi="Arial"/>
                <w:sz w:val="13"/>
                <w:szCs w:val="13"/>
                <w:color w:val="0000FF"/>
                <w:w w:val="93"/>
              </w:rPr>
              <w:t>Stock,</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30,315</w:t>
            </w:r>
          </w:p>
        </w:tc>
        <w:tc>
          <w:tcPr>
            <w:tcW w:w="60" w:type="dxa"/>
            <w:vAlign w:val="bottom"/>
          </w:tcPr>
          <w:p>
            <w:pPr>
              <w:spacing w:after="0"/>
              <w:rPr>
                <w:sz w:val="12"/>
                <w:szCs w:val="12"/>
                <w:color w:val="auto"/>
              </w:rPr>
            </w:pPr>
          </w:p>
        </w:tc>
        <w:tc>
          <w:tcPr>
            <w:tcW w:w="680" w:type="dxa"/>
            <w:vAlign w:val="bottom"/>
            <w:vMerge w:val="restart"/>
          </w:tcPr>
          <w:p>
            <w:pPr>
              <w:jc w:val="center"/>
              <w:ind w:right="14"/>
              <w:spacing w:after="0"/>
              <w:rPr>
                <w:sz w:val="20"/>
                <w:szCs w:val="20"/>
                <w:color w:val="auto"/>
              </w:rPr>
            </w:pPr>
            <w:r>
              <w:rPr>
                <w:rFonts w:ascii="Arial" w:cs="Arial" w:eastAsia="Arial" w:hAnsi="Arial"/>
                <w:sz w:val="11"/>
                <w:szCs w:val="11"/>
                <w:color w:val="008000"/>
                <w:w w:val="88"/>
              </w:rPr>
              <w:t>(1)</w:t>
            </w:r>
          </w:p>
        </w:tc>
        <w:tc>
          <w:tcPr>
            <w:tcW w:w="880" w:type="dxa"/>
            <w:vAlign w:val="bottom"/>
            <w:gridSpan w:val="2"/>
            <w:vMerge w:val="restart"/>
          </w:tcPr>
          <w:p>
            <w:pPr>
              <w:ind w:left="260"/>
              <w:spacing w:after="0"/>
              <w:rPr>
                <w:sz w:val="20"/>
                <w:szCs w:val="20"/>
                <w:color w:val="auto"/>
              </w:rPr>
            </w:pPr>
            <w:r>
              <w:rPr>
                <w:rFonts w:ascii="Arial" w:cs="Arial" w:eastAsia="Arial" w:hAnsi="Arial"/>
                <w:sz w:val="13"/>
                <w:szCs w:val="13"/>
                <w:color w:val="0000FF"/>
              </w:rPr>
              <w:t>30,315</w:t>
            </w:r>
          </w:p>
        </w:tc>
        <w:tc>
          <w:tcPr>
            <w:tcW w:w="680" w:type="dxa"/>
            <w:vAlign w:val="bottom"/>
            <w:vMerge w:val="restart"/>
          </w:tcPr>
          <w:p>
            <w:pPr>
              <w:jc w:val="right"/>
              <w:ind w:right="64"/>
              <w:spacing w:after="0" w:line="288" w:lineRule="exact"/>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(10)</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60" w:type="dxa"/>
            <w:vAlign w:val="bottom"/>
          </w:tcPr>
          <w:p>
            <w:pPr>
              <w:ind w:left="40"/>
              <w:spacing w:after="0" w:line="144" w:lineRule="exact"/>
              <w:rPr>
                <w:sz w:val="20"/>
                <w:szCs w:val="20"/>
                <w:color w:val="auto"/>
              </w:rPr>
            </w:pPr>
            <w:r>
              <w:rPr>
                <w:rFonts w:ascii="Arial" w:cs="Arial" w:eastAsia="Arial" w:hAnsi="Arial"/>
                <w:sz w:val="13"/>
                <w:szCs w:val="13"/>
                <w:color w:val="0000FF"/>
              </w:rPr>
              <w:t>$0.01 par</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jc w:val="center"/>
              <w:ind w:right="32"/>
              <w:spacing w:after="0"/>
              <w:rPr>
                <w:sz w:val="20"/>
                <w:szCs w:val="20"/>
                <w:color w:val="auto"/>
              </w:rPr>
            </w:pPr>
            <w:r>
              <w:rPr>
                <w:rFonts w:ascii="Arial" w:cs="Arial" w:eastAsia="Arial" w:hAnsi="Arial"/>
                <w:sz w:val="13"/>
                <w:szCs w:val="13"/>
                <w:color w:val="0000FF"/>
                <w:w w:val="89"/>
              </w:rPr>
              <w:t>value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Warrants</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15.76</w:t>
            </w:r>
          </w:p>
        </w:tc>
        <w:tc>
          <w:tcPr>
            <w:tcW w:w="1120" w:type="dxa"/>
            <w:vAlign w:val="bottom"/>
            <w:gridSpan w:val="2"/>
            <w:vMerge w:val="restart"/>
          </w:tcPr>
          <w:p>
            <w:pPr>
              <w:ind w:left="240"/>
              <w:spacing w:after="0"/>
              <w:rPr>
                <w:sz w:val="20"/>
                <w:szCs w:val="20"/>
                <w:color w:val="auto"/>
              </w:rPr>
            </w:pPr>
            <w:r>
              <w:rPr>
                <w:rFonts w:ascii="Arial" w:cs="Arial" w:eastAsia="Arial" w:hAnsi="Arial"/>
                <w:sz w:val="13"/>
                <w:szCs w:val="13"/>
                <w:color w:val="0000FF"/>
              </w:rPr>
              <w:t>03/10/2011</w:t>
            </w:r>
          </w:p>
        </w:tc>
        <w:tc>
          <w:tcPr>
            <w:tcW w:w="1080" w:type="dxa"/>
            <w:vAlign w:val="bottom"/>
          </w:tcPr>
          <w:p>
            <w:pPr>
              <w:spacing w:after="0"/>
              <w:rPr>
                <w:sz w:val="12"/>
                <w:szCs w:val="12"/>
                <w:color w:val="auto"/>
              </w:rPr>
            </w:pPr>
          </w:p>
        </w:tc>
        <w:tc>
          <w:tcPr>
            <w:tcW w:w="740" w:type="dxa"/>
            <w:vAlign w:val="bottom"/>
            <w:vMerge w:val="restart"/>
          </w:tcPr>
          <w:p>
            <w:pPr>
              <w:jc w:val="right"/>
              <w:ind w:right="418"/>
              <w:spacing w:after="0"/>
              <w:rPr>
                <w:sz w:val="20"/>
                <w:szCs w:val="20"/>
                <w:color w:val="auto"/>
              </w:rPr>
            </w:pPr>
            <w:r>
              <w:rPr>
                <w:rFonts w:ascii="Arial" w:cs="Arial" w:eastAsia="Arial" w:hAnsi="Arial"/>
                <w:sz w:val="13"/>
                <w:szCs w:val="13"/>
                <w:color w:val="0000FF"/>
              </w:rPr>
              <w:t>A</w:t>
            </w:r>
          </w:p>
        </w:tc>
        <w:tc>
          <w:tcPr>
            <w:tcW w:w="880" w:type="dxa"/>
            <w:vAlign w:val="bottom"/>
            <w:gridSpan w:val="3"/>
            <w:vMerge w:val="restart"/>
          </w:tcPr>
          <w:p>
            <w:pPr>
              <w:ind w:left="160"/>
              <w:spacing w:after="0" w:line="288" w:lineRule="exact"/>
              <w:rPr>
                <w:sz w:val="20"/>
                <w:szCs w:val="20"/>
                <w:color w:val="auto"/>
              </w:rPr>
            </w:pPr>
            <w:r>
              <w:rPr>
                <w:rFonts w:ascii="Arial" w:cs="Arial" w:eastAsia="Arial" w:hAnsi="Arial"/>
                <w:sz w:val="26"/>
                <w:szCs w:val="26"/>
                <w:color w:val="0000FF"/>
                <w:w w:val="87"/>
                <w:vertAlign w:val="subscript"/>
              </w:rPr>
              <w:t>70,448</w:t>
            </w:r>
            <w:r>
              <w:rPr>
                <w:rFonts w:ascii="Arial" w:cs="Arial" w:eastAsia="Arial" w:hAnsi="Arial"/>
                <w:sz w:val="11"/>
                <w:szCs w:val="11"/>
                <w:color w:val="008000"/>
                <w:w w:val="87"/>
              </w:rPr>
              <w:t>(1)(2)</w:t>
            </w:r>
          </w:p>
        </w:tc>
        <w:tc>
          <w:tcPr>
            <w:tcW w:w="220" w:type="dxa"/>
            <w:vAlign w:val="bottom"/>
          </w:tcPr>
          <w:p>
            <w:pPr>
              <w:spacing w:after="0"/>
              <w:rPr>
                <w:sz w:val="12"/>
                <w:szCs w:val="1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w w:val="98"/>
              </w:rPr>
              <w:t>03/10/2011</w:t>
            </w:r>
          </w:p>
        </w:tc>
        <w:tc>
          <w:tcPr>
            <w:tcW w:w="800" w:type="dxa"/>
            <w:vAlign w:val="bottom"/>
            <w:vMerge w:val="restart"/>
          </w:tcPr>
          <w:p>
            <w:pPr>
              <w:ind w:left="100"/>
              <w:spacing w:after="0"/>
              <w:rPr>
                <w:sz w:val="20"/>
                <w:szCs w:val="20"/>
                <w:color w:val="auto"/>
              </w:rPr>
            </w:pPr>
            <w:r>
              <w:rPr>
                <w:rFonts w:ascii="Arial" w:cs="Arial" w:eastAsia="Arial" w:hAnsi="Arial"/>
                <w:sz w:val="13"/>
                <w:szCs w:val="13"/>
                <w:color w:val="0000FF"/>
              </w:rPr>
              <w:t>11/09/2014</w:t>
            </w:r>
          </w:p>
        </w:tc>
        <w:tc>
          <w:tcPr>
            <w:tcW w:w="660" w:type="dxa"/>
            <w:vAlign w:val="bottom"/>
          </w:tcPr>
          <w:p>
            <w:pPr>
              <w:jc w:val="center"/>
              <w:ind w:right="12"/>
              <w:spacing w:after="0" w:line="144" w:lineRule="exact"/>
              <w:rPr>
                <w:sz w:val="20"/>
                <w:szCs w:val="20"/>
                <w:color w:val="auto"/>
              </w:rPr>
            </w:pPr>
            <w:r>
              <w:rPr>
                <w:rFonts w:ascii="Arial" w:cs="Arial" w:eastAsia="Arial" w:hAnsi="Arial"/>
                <w:sz w:val="13"/>
                <w:szCs w:val="13"/>
                <w:color w:val="0000FF"/>
                <w:w w:val="93"/>
              </w:rPr>
              <w:t>Stock,</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70,448</w:t>
            </w:r>
          </w:p>
        </w:tc>
        <w:tc>
          <w:tcPr>
            <w:tcW w:w="60" w:type="dxa"/>
            <w:vAlign w:val="bottom"/>
          </w:tcPr>
          <w:p>
            <w:pPr>
              <w:spacing w:after="0"/>
              <w:rPr>
                <w:sz w:val="12"/>
                <w:szCs w:val="12"/>
                <w:color w:val="auto"/>
              </w:rPr>
            </w:pPr>
          </w:p>
        </w:tc>
        <w:tc>
          <w:tcPr>
            <w:tcW w:w="680" w:type="dxa"/>
            <w:vAlign w:val="bottom"/>
            <w:vMerge w:val="restart"/>
          </w:tcPr>
          <w:p>
            <w:pPr>
              <w:jc w:val="center"/>
              <w:ind w:right="14"/>
              <w:spacing w:after="0"/>
              <w:rPr>
                <w:sz w:val="20"/>
                <w:szCs w:val="20"/>
                <w:color w:val="auto"/>
              </w:rPr>
            </w:pPr>
            <w:r>
              <w:rPr>
                <w:rFonts w:ascii="Arial" w:cs="Arial" w:eastAsia="Arial" w:hAnsi="Arial"/>
                <w:sz w:val="11"/>
                <w:szCs w:val="11"/>
                <w:color w:val="008000"/>
                <w:w w:val="88"/>
              </w:rPr>
              <w:t>(1)</w:t>
            </w:r>
          </w:p>
        </w:tc>
        <w:tc>
          <w:tcPr>
            <w:tcW w:w="880" w:type="dxa"/>
            <w:vAlign w:val="bottom"/>
            <w:gridSpan w:val="2"/>
            <w:vMerge w:val="restart"/>
          </w:tcPr>
          <w:p>
            <w:pPr>
              <w:ind w:left="260"/>
              <w:spacing w:after="0"/>
              <w:rPr>
                <w:sz w:val="20"/>
                <w:szCs w:val="20"/>
                <w:color w:val="auto"/>
              </w:rPr>
            </w:pPr>
            <w:r>
              <w:rPr>
                <w:rFonts w:ascii="Arial" w:cs="Arial" w:eastAsia="Arial" w:hAnsi="Arial"/>
                <w:sz w:val="13"/>
                <w:szCs w:val="13"/>
                <w:color w:val="0000FF"/>
              </w:rPr>
              <w:t>70,448</w:t>
            </w:r>
          </w:p>
        </w:tc>
        <w:tc>
          <w:tcPr>
            <w:tcW w:w="680" w:type="dxa"/>
            <w:vAlign w:val="bottom"/>
            <w:vMerge w:val="restart"/>
          </w:tcPr>
          <w:p>
            <w:pPr>
              <w:jc w:val="right"/>
              <w:ind w:right="84"/>
              <w:spacing w:after="0" w:line="288" w:lineRule="exact"/>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(11)</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60" w:type="dxa"/>
            <w:vAlign w:val="bottom"/>
          </w:tcPr>
          <w:p>
            <w:pPr>
              <w:ind w:left="40"/>
              <w:spacing w:after="0" w:line="144" w:lineRule="exact"/>
              <w:rPr>
                <w:sz w:val="20"/>
                <w:szCs w:val="20"/>
                <w:color w:val="auto"/>
              </w:rPr>
            </w:pPr>
            <w:r>
              <w:rPr>
                <w:rFonts w:ascii="Arial" w:cs="Arial" w:eastAsia="Arial" w:hAnsi="Arial"/>
                <w:sz w:val="13"/>
                <w:szCs w:val="13"/>
                <w:color w:val="0000FF"/>
              </w:rPr>
              <w:t>$0.01 par</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jc w:val="center"/>
              <w:ind w:right="32"/>
              <w:spacing w:after="0"/>
              <w:rPr>
                <w:sz w:val="20"/>
                <w:szCs w:val="20"/>
                <w:color w:val="auto"/>
              </w:rPr>
            </w:pPr>
            <w:r>
              <w:rPr>
                <w:rFonts w:ascii="Arial" w:cs="Arial" w:eastAsia="Arial" w:hAnsi="Arial"/>
                <w:sz w:val="13"/>
                <w:szCs w:val="13"/>
                <w:color w:val="0000FF"/>
                <w:w w:val="89"/>
              </w:rPr>
              <w:t>value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2620" w:type="dxa"/>
            <w:vAlign w:val="bottom"/>
            <w:tcBorders>
              <w:top w:val="single" w:sz="8" w:color="2C2C2C"/>
            </w:tcBorders>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gridSpan w:val="4"/>
          </w:tcPr>
          <w:p>
            <w:pPr>
              <w:spacing w:after="0" w:line="218" w:lineRule="exact"/>
              <w:rPr>
                <w:rFonts w:ascii="Arial" w:cs="Arial" w:eastAsia="Arial" w:hAnsi="Arial"/>
                <w:sz w:val="21"/>
                <w:szCs w:val="21"/>
                <w:color w:val="0000EE"/>
              </w:rPr>
            </w:pPr>
            <w:hyperlink r:id="rId12">
              <w:r>
                <w:rPr>
                  <w:rFonts w:ascii="Arial" w:cs="Arial" w:eastAsia="Arial" w:hAnsi="Arial"/>
                  <w:sz w:val="21"/>
                  <w:szCs w:val="21"/>
                  <w:color w:val="0000EE"/>
                </w:rPr>
                <w:t>Avenue Investments, L.P.</w:t>
              </w:r>
            </w:hyperlink>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tcPr>
          <w:p>
            <w:pPr>
              <w:ind w:left="40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0" w:type="dxa"/>
            <w:vAlign w:val="bottom"/>
            <w:gridSpan w:val="5"/>
          </w:tcPr>
          <w:p>
            <w:pPr>
              <w:spacing w:after="0"/>
              <w:rPr>
                <w:sz w:val="20"/>
                <w:szCs w:val="20"/>
                <w:color w:val="auto"/>
              </w:rPr>
            </w:pPr>
            <w:r>
              <w:rPr>
                <w:rFonts w:ascii="Arial" w:cs="Arial" w:eastAsia="Arial" w:hAnsi="Arial"/>
                <w:sz w:val="17"/>
                <w:szCs w:val="17"/>
                <w:color w:val="0000FF"/>
                <w:w w:val="99"/>
              </w:rPr>
              <w:t>C/O AVENUE CAPITAL MANAGEMENT II, L.P.</w:t>
            </w: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20" w:type="dxa"/>
            <w:vAlign w:val="bottom"/>
            <w:gridSpan w:val="4"/>
          </w:tcPr>
          <w:p>
            <w:pPr>
              <w:spacing w:after="0"/>
              <w:rPr>
                <w:sz w:val="20"/>
                <w:szCs w:val="20"/>
                <w:color w:val="auto"/>
              </w:rPr>
            </w:pPr>
            <w:r>
              <w:rPr>
                <w:rFonts w:ascii="Arial" w:cs="Arial" w:eastAsia="Arial" w:hAnsi="Arial"/>
                <w:sz w:val="17"/>
                <w:szCs w:val="17"/>
                <w:color w:val="0000FF"/>
                <w:w w:val="96"/>
              </w:rPr>
              <w:t>399 PARK AVENUE, 6TH FLOOR</w:t>
            </w: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60"/>
              <w:spacing w:after="0"/>
              <w:rPr>
                <w:sz w:val="20"/>
                <w:szCs w:val="20"/>
                <w:color w:val="auto"/>
              </w:rPr>
            </w:pPr>
            <w:r>
              <w:rPr>
                <w:rFonts w:ascii="Arial" w:cs="Arial" w:eastAsia="Arial" w:hAnsi="Arial"/>
                <w:sz w:val="17"/>
                <w:szCs w:val="17"/>
                <w:color w:val="0000FF"/>
              </w:rPr>
              <w:t>NY</w:t>
            </w:r>
          </w:p>
        </w:tc>
        <w:tc>
          <w:tcPr>
            <w:tcW w:w="1080" w:type="dxa"/>
            <w:vAlign w:val="bottom"/>
          </w:tcPr>
          <w:p>
            <w:pPr>
              <w:ind w:left="400"/>
              <w:spacing w:after="0"/>
              <w:rPr>
                <w:sz w:val="20"/>
                <w:szCs w:val="20"/>
                <w:color w:val="auto"/>
              </w:rPr>
            </w:pPr>
            <w:r>
              <w:rPr>
                <w:rFonts w:ascii="Arial" w:cs="Arial" w:eastAsia="Arial" w:hAnsi="Arial"/>
                <w:sz w:val="17"/>
                <w:szCs w:val="17"/>
                <w:color w:val="0000FF"/>
              </w:rPr>
              <w:t>10022</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tcPr>
          <w:p>
            <w:pPr>
              <w:ind w:left="40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-4586605</wp:posOffset>
            </wp:positionV>
            <wp:extent cx="24130" cy="2892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2892425"/>
                    </a:xfrm>
                    <a:prstGeom prst="rect">
                      <a:avLst/>
                    </a:prstGeom>
                    <a:noFill/>
                  </pic:spPr>
                </pic:pic>
              </a:graphicData>
            </a:graphic>
          </wp:anchor>
        </w:drawing>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Avenue CDP Global Opportunities Fund LP</w:t>
        </w:r>
      </w:hyperlink>
    </w:p>
    <w:p>
      <w:pPr>
        <w:sectPr>
          <w:pgSz w:w="11900" w:h="16838" w:orient="portrait"/>
          <w:cols w:equalWidth="0" w:num="1">
            <w:col w:w="11520"/>
          </w:cols>
          <w:pgMar w:left="240" w:top="223" w:right="139" w:bottom="0" w:gutter="0" w:footer="0" w:header="0"/>
          <w:type w:val="continuous"/>
        </w:sectPr>
      </w:pPr>
    </w:p>
    <w:p>
      <w:pPr>
        <w:spacing w:after="0" w:line="312"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520"/>
          </w:cols>
          <w:pgMar w:left="240" w:top="223" w:right="139" w:bottom="0" w:gutter="0" w:footer="0" w:header="0"/>
          <w:type w:val="continuous"/>
        </w:sectPr>
      </w:pPr>
    </w:p>
    <w:bookmarkStart w:id="1" w:name="page2"/>
    <w:bookmarkEnd w:id="1"/>
    <w:p>
      <w:pPr>
        <w:spacing w:after="0" w:line="12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AVENUE CAPITAL MANAGEMENT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-118110</wp:posOffset>
            </wp:positionV>
            <wp:extent cx="2925445" cy="9896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5445" cy="9896475"/>
                    </a:xfrm>
                    <a:prstGeom prst="rect">
                      <a:avLst/>
                    </a:prstGeom>
                    <a:noFill/>
                  </pic:spPr>
                </pic:pic>
              </a:graphicData>
            </a:graphic>
          </wp:anchor>
        </w:drawing>
      </w:r>
    </w:p>
    <w:p>
      <w:pPr>
        <w:spacing w:after="0" w:line="47"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399 PARK AVENUE, 6TH FLOOR</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5"/>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640" w:type="dxa"/>
            <w:vAlign w:val="bottom"/>
          </w:tcPr>
          <w:p>
            <w:pPr>
              <w:ind w:left="280"/>
              <w:spacing w:after="0"/>
              <w:rPr>
                <w:sz w:val="20"/>
                <w:szCs w:val="20"/>
                <w:color w:val="auto"/>
              </w:rPr>
            </w:pPr>
            <w:r>
              <w:rPr>
                <w:rFonts w:ascii="Arial" w:cs="Arial" w:eastAsia="Arial" w:hAnsi="Arial"/>
                <w:sz w:val="17"/>
                <w:szCs w:val="17"/>
                <w:color w:val="0000FF"/>
              </w:rPr>
              <w:t>NY</w:t>
            </w:r>
          </w:p>
        </w:tc>
        <w:tc>
          <w:tcPr>
            <w:tcW w:w="1520" w:type="dxa"/>
            <w:vAlign w:val="bottom"/>
          </w:tcPr>
          <w:p>
            <w:pPr>
              <w:ind w:left="10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3"/>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6"/>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20" w:type="dxa"/>
            <w:vAlign w:val="bottom"/>
            <w:tcBorders>
              <w:bottom w:val="single" w:sz="8" w:color="2C2C2C"/>
            </w:tcBorders>
            <w:gridSpan w:val="2"/>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4"/>
        </w:trPr>
        <w:tc>
          <w:tcPr>
            <w:tcW w:w="29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tcBorders>
              <w:bottom w:val="single" w:sz="8" w:color="0000EE"/>
            </w:tcBorders>
            <w:gridSpan w:val="2"/>
          </w:tcPr>
          <w:p>
            <w:pPr>
              <w:spacing w:after="0" w:line="218" w:lineRule="exact"/>
              <w:rPr>
                <w:rFonts w:ascii="Arial" w:cs="Arial" w:eastAsia="Arial" w:hAnsi="Arial"/>
                <w:sz w:val="21"/>
                <w:szCs w:val="21"/>
                <w:color w:val="0000EE"/>
                <w:w w:val="89"/>
              </w:rPr>
            </w:pPr>
            <w:hyperlink r:id="rId17">
              <w:r>
                <w:rPr>
                  <w:rFonts w:ascii="Arial" w:cs="Arial" w:eastAsia="Arial" w:hAnsi="Arial"/>
                  <w:sz w:val="21"/>
                  <w:szCs w:val="21"/>
                  <w:color w:val="0000EE"/>
                  <w:w w:val="89"/>
                </w:rPr>
                <w:t>Avenue International Master, L.P.</w:t>
              </w:r>
            </w:hyperlink>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0"/>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tcPr>
          <w:p>
            <w:pPr>
              <w:ind w:left="28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AVENUE CAPITAL MANAGEMENT II, L.P.</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399 PARK AVENUE, 6TH FLOOR</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5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tcPr>
          <w:p>
            <w:pPr>
              <w:ind w:left="280"/>
              <w:spacing w:after="0"/>
              <w:rPr>
                <w:sz w:val="20"/>
                <w:szCs w:val="20"/>
                <w:color w:val="auto"/>
              </w:rPr>
            </w:pPr>
            <w:r>
              <w:rPr>
                <w:rFonts w:ascii="Arial" w:cs="Arial" w:eastAsia="Arial" w:hAnsi="Arial"/>
                <w:sz w:val="17"/>
                <w:szCs w:val="17"/>
                <w:color w:val="0000FF"/>
              </w:rPr>
              <w:t>NY</w:t>
            </w:r>
          </w:p>
        </w:tc>
        <w:tc>
          <w:tcPr>
            <w:tcW w:w="1960" w:type="dxa"/>
            <w:vAlign w:val="bottom"/>
          </w:tcPr>
          <w:p>
            <w:pPr>
              <w:ind w:left="540"/>
              <w:spacing w:after="0"/>
              <w:rPr>
                <w:sz w:val="20"/>
                <w:szCs w:val="20"/>
                <w:color w:val="auto"/>
              </w:rPr>
            </w:pPr>
            <w:r>
              <w:rPr>
                <w:rFonts w:ascii="Arial" w:cs="Arial" w:eastAsia="Arial" w:hAnsi="Arial"/>
                <w:sz w:val="17"/>
                <w:szCs w:val="17"/>
                <w:color w:val="0000FF"/>
              </w:rPr>
              <w:t>10022</w:t>
            </w:r>
          </w:p>
        </w:tc>
      </w:tr>
      <w:tr>
        <w:trPr>
          <w:trHeight w:val="153"/>
        </w:trPr>
        <w:tc>
          <w:tcPr>
            <w:tcW w:w="2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ind w:left="28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3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AVENUE INTERNATIONAL, LTD.</w:t>
        </w:r>
      </w:hyperlink>
    </w:p>
    <w:p>
      <w:pPr>
        <w:spacing w:after="0" w:line="312"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AVENUE CAPITAL MANAGEMENT II, L.P.</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399 PARK AVENUE, 6TH FLOOR</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5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tcPr>
          <w:p>
            <w:pPr>
              <w:ind w:left="280"/>
              <w:spacing w:after="0"/>
              <w:rPr>
                <w:sz w:val="20"/>
                <w:szCs w:val="20"/>
                <w:color w:val="auto"/>
              </w:rPr>
            </w:pPr>
            <w:r>
              <w:rPr>
                <w:rFonts w:ascii="Arial" w:cs="Arial" w:eastAsia="Arial" w:hAnsi="Arial"/>
                <w:sz w:val="17"/>
                <w:szCs w:val="17"/>
                <w:color w:val="0000FF"/>
              </w:rPr>
              <w:t>NY</w:t>
            </w:r>
          </w:p>
        </w:tc>
        <w:tc>
          <w:tcPr>
            <w:tcW w:w="1960" w:type="dxa"/>
            <w:vAlign w:val="bottom"/>
          </w:tcPr>
          <w:p>
            <w:pPr>
              <w:ind w:left="540"/>
              <w:spacing w:after="0"/>
              <w:rPr>
                <w:sz w:val="20"/>
                <w:szCs w:val="20"/>
                <w:color w:val="auto"/>
              </w:rPr>
            </w:pPr>
            <w:r>
              <w:rPr>
                <w:rFonts w:ascii="Arial" w:cs="Arial" w:eastAsia="Arial" w:hAnsi="Arial"/>
                <w:sz w:val="17"/>
                <w:szCs w:val="17"/>
                <w:color w:val="0000FF"/>
              </w:rPr>
              <w:t>10022</w:t>
            </w:r>
          </w:p>
        </w:tc>
      </w:tr>
      <w:tr>
        <w:trPr>
          <w:trHeight w:val="153"/>
        </w:trPr>
        <w:tc>
          <w:tcPr>
            <w:tcW w:w="2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ind w:left="28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3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Avenue International Master GenPar, Ltd.</w:t>
        </w:r>
      </w:hyperlink>
    </w:p>
    <w:p>
      <w:pPr>
        <w:spacing w:after="0" w:line="312"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AVENUE CAPITAL MANAGEMENT II, L.P.</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399 PARK AVENUE, 6TH FLOOR</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5"/>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gridSpan w:val="2"/>
          </w:tcPr>
          <w:p>
            <w:pPr>
              <w:ind w:left="280"/>
              <w:spacing w:after="0"/>
              <w:rPr>
                <w:sz w:val="20"/>
                <w:szCs w:val="20"/>
                <w:color w:val="auto"/>
              </w:rPr>
            </w:pPr>
            <w:r>
              <w:rPr>
                <w:rFonts w:ascii="Arial" w:cs="Arial" w:eastAsia="Arial" w:hAnsi="Arial"/>
                <w:sz w:val="17"/>
                <w:szCs w:val="17"/>
                <w:color w:val="0000FF"/>
              </w:rPr>
              <w:t>NY</w:t>
            </w:r>
          </w:p>
        </w:tc>
        <w:tc>
          <w:tcPr>
            <w:tcW w:w="1640" w:type="dxa"/>
            <w:vAlign w:val="bottom"/>
          </w:tcPr>
          <w:p>
            <w:pPr>
              <w:ind w:left="22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3"/>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6"/>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4"/>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gridSpan w:val="3"/>
          </w:tcPr>
          <w:p>
            <w:pPr>
              <w:spacing w:after="0" w:line="218" w:lineRule="exact"/>
              <w:rPr>
                <w:rFonts w:ascii="Arial" w:cs="Arial" w:eastAsia="Arial" w:hAnsi="Arial"/>
                <w:sz w:val="21"/>
                <w:szCs w:val="21"/>
                <w:color w:val="0000EE"/>
              </w:rPr>
            </w:pPr>
            <w:hyperlink r:id="rId20">
              <w:r>
                <w:rPr>
                  <w:rFonts w:ascii="Arial" w:cs="Arial" w:eastAsia="Arial" w:hAnsi="Arial"/>
                  <w:sz w:val="21"/>
                  <w:szCs w:val="21"/>
                  <w:color w:val="0000EE"/>
                </w:rPr>
                <w:t>Avenue Partners, LLC</w:t>
              </w:r>
            </w:hyperlink>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0"/>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AVENUE CAPITAL MANAGEMENT II, L.P.</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399 PARK AVENUE, 6TH FLOOR</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50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5"/>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300" w:type="dxa"/>
            <w:vAlign w:val="bottom"/>
          </w:tcPr>
          <w:p>
            <w:pPr>
              <w:ind w:left="60"/>
              <w:spacing w:after="0"/>
              <w:rPr>
                <w:sz w:val="20"/>
                <w:szCs w:val="20"/>
                <w:color w:val="auto"/>
              </w:rPr>
            </w:pPr>
            <w:r>
              <w:rPr>
                <w:rFonts w:ascii="Arial" w:cs="Arial" w:eastAsia="Arial" w:hAnsi="Arial"/>
                <w:sz w:val="17"/>
                <w:szCs w:val="17"/>
                <w:color w:val="0000FF"/>
              </w:rPr>
              <w:t>NY</w:t>
            </w:r>
          </w:p>
        </w:tc>
        <w:tc>
          <w:tcPr>
            <w:tcW w:w="1640" w:type="dxa"/>
            <w:vAlign w:val="bottom"/>
          </w:tcPr>
          <w:p>
            <w:pPr>
              <w:ind w:left="22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3"/>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6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6"/>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4"/>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spacing w:after="0" w:line="218" w:lineRule="exact"/>
              <w:rPr>
                <w:rFonts w:ascii="Arial" w:cs="Arial" w:eastAsia="Arial" w:hAnsi="Arial"/>
                <w:sz w:val="21"/>
                <w:szCs w:val="21"/>
                <w:color w:val="0000EE"/>
              </w:rPr>
            </w:pPr>
            <w:hyperlink r:id="rId21">
              <w:r>
                <w:rPr>
                  <w:rFonts w:ascii="Arial" w:cs="Arial" w:eastAsia="Arial" w:hAnsi="Arial"/>
                  <w:sz w:val="21"/>
                  <w:szCs w:val="21"/>
                  <w:color w:val="0000EE"/>
                </w:rPr>
                <w:t>LASRY MARC</w:t>
              </w:r>
            </w:hyperlink>
          </w:p>
        </w:tc>
        <w:tc>
          <w:tcPr>
            <w:tcW w:w="1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0"/>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6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6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AVENUE CAPITAL MANAGEMENT II, L.P.</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399 PARK AVENUE, 6TH FLOOR</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5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tcPr>
          <w:p>
            <w:pPr>
              <w:ind w:left="280"/>
              <w:spacing w:after="0"/>
              <w:rPr>
                <w:sz w:val="20"/>
                <w:szCs w:val="20"/>
                <w:color w:val="auto"/>
              </w:rPr>
            </w:pPr>
            <w:r>
              <w:rPr>
                <w:rFonts w:ascii="Arial" w:cs="Arial" w:eastAsia="Arial" w:hAnsi="Arial"/>
                <w:sz w:val="17"/>
                <w:szCs w:val="17"/>
                <w:color w:val="0000FF"/>
              </w:rPr>
              <w:t>NY</w:t>
            </w:r>
          </w:p>
        </w:tc>
        <w:tc>
          <w:tcPr>
            <w:tcW w:w="1960" w:type="dxa"/>
            <w:vAlign w:val="bottom"/>
          </w:tcPr>
          <w:p>
            <w:pPr>
              <w:ind w:left="540"/>
              <w:spacing w:after="0"/>
              <w:rPr>
                <w:sz w:val="20"/>
                <w:szCs w:val="20"/>
                <w:color w:val="auto"/>
              </w:rPr>
            </w:pPr>
            <w:r>
              <w:rPr>
                <w:rFonts w:ascii="Arial" w:cs="Arial" w:eastAsia="Arial" w:hAnsi="Arial"/>
                <w:sz w:val="17"/>
                <w:szCs w:val="17"/>
                <w:color w:val="0000FF"/>
              </w:rPr>
              <w:t>10022</w:t>
            </w:r>
          </w:p>
        </w:tc>
      </w:tr>
      <w:tr>
        <w:trPr>
          <w:trHeight w:val="153"/>
        </w:trPr>
        <w:tc>
          <w:tcPr>
            <w:tcW w:w="2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ind w:left="28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20" w:firstLine="4"/>
        <w:spacing w:after="0" w:line="274" w:lineRule="auto"/>
        <w:tabs>
          <w:tab w:leader="none" w:pos="15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persons reporting on this Form 4 (the "Reporting Persons") originally acquired common units and warrants exercisable to purchase common units in connection with the reorganization of MagnaChip Semiconductor LLC, which converted into MagnaChip Semiconductor Corporation (the "Issuer"). The conversion, which is exempt under Rule 16b-7, resulted in the Reporting Persons receiving shares of Common Stock, par value $0.01 (the "Common Stock"), and the warrants exercisable to purchase shares of Common Stock. The acquisition was approved in advance in accordance with Rule 16b-3.</w:t>
      </w:r>
    </w:p>
    <w:p>
      <w:pPr>
        <w:spacing w:after="0" w:line="12" w:lineRule="exact"/>
        <w:rPr>
          <w:rFonts w:ascii="Arial" w:cs="Arial" w:eastAsia="Arial" w:hAnsi="Arial"/>
          <w:sz w:val="12"/>
          <w:szCs w:val="12"/>
          <w:color w:val="008000"/>
        </w:rPr>
      </w:pPr>
    </w:p>
    <w:p>
      <w:pPr>
        <w:ind w:left="20" w:right="220" w:firstLine="4"/>
        <w:spacing w:after="0" w:line="297" w:lineRule="auto"/>
        <w:tabs>
          <w:tab w:leader="none" w:pos="15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filing of this Form 4 shall not be construed as an admission that Avenue Global Opportunities GenPar, LLC ("Global GenPar"), Avenue International, Ltd. ("International"), Avenue International Master GenPar, Ltd. ("International GenPar"), Avenue Partners, LLC ("Avenue Partners"), Avenue Capital Management II, L.P. ("Avenue Capital Management"), Avenue Capital Management II GenPar, LLC ("Capital</w:t>
      </w:r>
    </w:p>
    <w:p>
      <w:pPr>
        <w:sectPr>
          <w:pgSz w:w="11900" w:h="16960" w:orient="portrait"/>
          <w:cols w:equalWidth="0" w:num="1">
            <w:col w:w="11260"/>
          </w:cols>
          <w:pgMar w:left="260" w:top="131" w:right="379" w:bottom="0" w:gutter="0" w:footer="0" w:header="0"/>
        </w:sectPr>
      </w:pPr>
    </w:p>
    <w:bookmarkStart w:id="2" w:name="page3"/>
    <w:bookmarkEnd w:id="2"/>
    <w:p>
      <w:pPr>
        <w:ind w:right="180"/>
        <w:spacing w:after="0" w:line="274" w:lineRule="auto"/>
        <w:rPr>
          <w:sz w:val="20"/>
          <w:szCs w:val="20"/>
          <w:color w:val="auto"/>
        </w:rPr>
      </w:pPr>
      <w:r>
        <w:rPr>
          <w:rFonts w:ascii="Arial" w:cs="Arial" w:eastAsia="Arial" w:hAnsi="Arial"/>
          <w:sz w:val="12"/>
          <w:szCs w:val="12"/>
          <w:color w:val="008000"/>
        </w:rPr>
        <w:t>Management GenPar") or Marc Lasry (the "Controlling Persons") is or was for the purposes of Section 16(a) of the Securities Exchange Act of 1934, as amended, or otherwise the beneficial owner of any of the Common Stock, $0.01 par value, of MagnaChip Semiconductor Corporation directly held by Avenue Investments, L.P. ("Avenue Investments"), Avenue-CDP Global Opportunities Fund, L.P. ("Avenue-CDP") and Avenue International Master, L.P. ("International Master"). Pursuant to Rule 16a-1, the Controlling Persons disclaim beneficial ownership except to the extent of their pecuniary interest therein.</w:t>
      </w:r>
    </w:p>
    <w:p>
      <w:pPr>
        <w:spacing w:after="0" w:line="13" w:lineRule="exact"/>
        <w:rPr>
          <w:sz w:val="20"/>
          <w:szCs w:val="20"/>
          <w:color w:val="auto"/>
        </w:rPr>
      </w:pPr>
    </w:p>
    <w:p>
      <w:pPr>
        <w:ind w:right="80" w:firstLine="4"/>
        <w:spacing w:after="0" w:line="244" w:lineRule="auto"/>
        <w:tabs>
          <w:tab w:leader="none" w:pos="1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Avenue Investments received directly 1,458,684 shares of Common Stock of the Issuer as a result of the conversion. Avenue Partners serves as the general partner of Avenue Investments. Avenue Partners holds indirectly the 1,458,684 shares of Common Stock of the Issuer held directly by Avenue Investments. Avenue Partners has a direct performance-based allocation from Avenue Investments. Mr. Lasry owns an interest in Avenue Partners and receives a portion of the profits allocation related to Avenue Investments.</w:t>
      </w:r>
    </w:p>
    <w:p>
      <w:pPr>
        <w:spacing w:after="0" w:line="29" w:lineRule="exact"/>
        <w:rPr>
          <w:rFonts w:ascii="Arial" w:cs="Arial" w:eastAsia="Arial" w:hAnsi="Arial"/>
          <w:sz w:val="13"/>
          <w:szCs w:val="13"/>
          <w:color w:val="008000"/>
        </w:rPr>
      </w:pPr>
    </w:p>
    <w:p>
      <w:pPr>
        <w:ind w:right="20" w:firstLine="4"/>
        <w:spacing w:after="0" w:line="244" w:lineRule="auto"/>
        <w:tabs>
          <w:tab w:leader="none" w:pos="1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Avenue-CDP received directly 1,482,770 shares of Common Stock of the Issuer as a result of the conversion. Global GenPar serves as the general partner of Avenue-CDP. Global GenPar holds indirectly the 1,482,770 shares of Common Stock of the Issuer held directly by Avenue-CDP. Global GenPar has a direct performance-based allocation from Avenue-CDP. Mr. Lasry owns an interest in Global GenPar and receives a portion of the profits allocation related to Avenue-CDP.</w:t>
      </w:r>
    </w:p>
    <w:p>
      <w:pPr>
        <w:spacing w:after="0" w:line="29" w:lineRule="exact"/>
        <w:rPr>
          <w:rFonts w:ascii="Arial" w:cs="Arial" w:eastAsia="Arial" w:hAnsi="Arial"/>
          <w:sz w:val="13"/>
          <w:szCs w:val="13"/>
          <w:color w:val="008000"/>
        </w:rPr>
      </w:pPr>
    </w:p>
    <w:p>
      <w:pPr>
        <w:ind w:right="80" w:firstLine="4"/>
        <w:spacing w:after="0" w:line="298" w:lineRule="auto"/>
        <w:tabs>
          <w:tab w:leader="none" w:pos="13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International Master received directly 4,375,589 shares of Common Stock of the Issuer as a result of the conversion. International is the sole limited partner of International Master, International GenPar serves as the general partner of International Master and Avenue Partners is the sole shareholder of International GenPar. Each of International, International GenPar and Avenue Partners holds indirectly the 4,375,589 shares of Common Stock of the Issuer held directly by International Master. International GenPar has a direct performance-based allocation from International Master, and Avenue Partners, as the sole shareholder of International GenPar, has an indirect interest in such allocation. Mr. Lasry owns an interest in International GenPar and Avenue Partners and receives a portion of the profits allocation related to International Master.</w:t>
      </w:r>
    </w:p>
    <w:p>
      <w:pPr>
        <w:spacing w:after="0" w:line="1" w:lineRule="exact"/>
        <w:rPr>
          <w:rFonts w:ascii="Arial" w:cs="Arial" w:eastAsia="Arial" w:hAnsi="Arial"/>
          <w:sz w:val="11"/>
          <w:szCs w:val="11"/>
          <w:color w:val="008000"/>
        </w:rPr>
      </w:pPr>
    </w:p>
    <w:p>
      <w:pPr>
        <w:jc w:val="both"/>
        <w:ind w:right="80" w:firstLine="4"/>
        <w:spacing w:after="0" w:line="244" w:lineRule="auto"/>
        <w:tabs>
          <w:tab w:leader="none" w:pos="1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Avenue Investments holds directly 1,100,874 shares of Common Stock of the Issuer. Avenue Partners serves as the general partner of Avenue Investments. Avenue Partners holds indirectly the 1,100,874 shares of Common Stock of the Issuer held directly by Avenue Investments. Avenue Partners has a direct performance-based allocation from Avenue Investments. Mr. Lasry owns an interest in Avenue Partners and receives a portion of the profits allocation related to Avenue Investments.</w:t>
      </w:r>
    </w:p>
    <w:p>
      <w:pPr>
        <w:spacing w:after="0" w:line="29" w:lineRule="exact"/>
        <w:rPr>
          <w:rFonts w:ascii="Arial" w:cs="Arial" w:eastAsia="Arial" w:hAnsi="Arial"/>
          <w:sz w:val="13"/>
          <w:szCs w:val="13"/>
          <w:color w:val="008000"/>
        </w:rPr>
      </w:pPr>
    </w:p>
    <w:p>
      <w:pPr>
        <w:ind w:firstLine="4"/>
        <w:spacing w:after="0" w:line="244" w:lineRule="auto"/>
        <w:tabs>
          <w:tab w:leader="none" w:pos="1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Avenue-CDP holds directly 1,119,052 shares of Common Stock of the Issuer. Global GenPar serves as the general partner of Avenue-CDP. Global GenPar holds indirectly the 1,119,052 shares of Common Stock of the Issuer held directly by Avenue-CDP. Global GenPar has a direct performance-based allocation from Avenue-CDP. Mr. Lasry owns an interest in Global GenPar and receives a portion of the profits allocation related to Avenue-CDP.</w:t>
      </w:r>
    </w:p>
    <w:p>
      <w:pPr>
        <w:spacing w:after="0" w:line="29" w:lineRule="exact"/>
        <w:rPr>
          <w:rFonts w:ascii="Arial" w:cs="Arial" w:eastAsia="Arial" w:hAnsi="Arial"/>
          <w:sz w:val="13"/>
          <w:szCs w:val="13"/>
          <w:color w:val="008000"/>
        </w:rPr>
      </w:pPr>
    </w:p>
    <w:p>
      <w:pPr>
        <w:ind w:right="40" w:firstLine="4"/>
        <w:spacing w:after="0" w:line="266" w:lineRule="auto"/>
        <w:tabs>
          <w:tab w:leader="none" w:pos="13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International Master holds directly 3,302,273 shares of Common Stock of the Issuer. International is the sole limited partner of International Master, International GenPar serves as the general partner of International Master and Avenue Partners is the sole shareholder of International GenPar. Each of International, International GenPar and Avenue Partners holds indirectly the 3,302,273 shares of Common Stock of the Issuer held directly by International Master. International GenPar has a direct performance-based allocation from International Master, and Avenue Partners, as the sole shareholder of International GenPar, has an indirect interest in such allocation. Mr. Lasry owns an interest in International GenPar and Avenue Partners and receives a portion of the profits allocation related to International Master.</w:t>
      </w:r>
    </w:p>
    <w:p>
      <w:pPr>
        <w:spacing w:after="0" w:line="18" w:lineRule="exact"/>
        <w:rPr>
          <w:rFonts w:ascii="Arial" w:cs="Arial" w:eastAsia="Arial" w:hAnsi="Arial"/>
          <w:sz w:val="12"/>
          <w:szCs w:val="12"/>
          <w:color w:val="008000"/>
        </w:rPr>
      </w:pPr>
    </w:p>
    <w:p>
      <w:pPr>
        <w:ind w:firstLine="4"/>
        <w:spacing w:after="0" w:line="244" w:lineRule="auto"/>
        <w:tabs>
          <w:tab w:leader="none" w:pos="1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Avenue Investments received directly 23,573 warrants exercisable to purchase shares of Common Stock of the Issuer as a result of the conversion. Avenue Partners serves as the general partner of Avenue Investments. Avenue Partners holds indirectly the 23,573 warrants exercisable to purchase shares of Common Stock of the Issuer held directly by Avenue Investments. Avenue Partners has a direct performance-based allocation from Avenue Investments. Mr. Lasry owns an interest in Avenue Partners and receives a portion of the profits allocation related to Avenue Investments.</w:t>
      </w:r>
    </w:p>
    <w:p>
      <w:pPr>
        <w:spacing w:after="0" w:line="29" w:lineRule="exact"/>
        <w:rPr>
          <w:rFonts w:ascii="Arial" w:cs="Arial" w:eastAsia="Arial" w:hAnsi="Arial"/>
          <w:sz w:val="13"/>
          <w:szCs w:val="13"/>
          <w:color w:val="008000"/>
        </w:rPr>
      </w:pPr>
    </w:p>
    <w:p>
      <w:pPr>
        <w:ind w:right="40" w:firstLine="4"/>
        <w:spacing w:after="0" w:line="244" w:lineRule="auto"/>
        <w:tabs>
          <w:tab w:leader="none" w:pos="19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Avenue-CDP received directly 30,315 warrants exercisable to purchase shares of Common Stock of the Issuer as a result of the conversion. Global GenPar serves as the general partner of Avenue-CDP. Global GenPar holds indirectly the 30,315 warrants exercisable to purchase shares of Common Stock of the Issuer held directly by Avenue-CDP. Global GenPar has a direct performance-based allocation from Avenue-CDP. Mr. Lasry owns an interest in Global GenPar and receives a portion of the profits allocation related to Avenue-CDP.</w:t>
      </w:r>
    </w:p>
    <w:p>
      <w:pPr>
        <w:spacing w:after="0" w:line="29" w:lineRule="exact"/>
        <w:rPr>
          <w:rFonts w:ascii="Arial" w:cs="Arial" w:eastAsia="Arial" w:hAnsi="Arial"/>
          <w:sz w:val="13"/>
          <w:szCs w:val="13"/>
          <w:color w:val="008000"/>
        </w:rPr>
      </w:pPr>
    </w:p>
    <w:p>
      <w:pPr>
        <w:ind w:right="60" w:firstLine="4"/>
        <w:spacing w:after="0" w:line="238" w:lineRule="auto"/>
        <w:tabs>
          <w:tab w:leader="none" w:pos="19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International Master received directly 70,448 warrants exercisable to purchase shares of Common Stock of the Issuer as a result of the conversion. International is the sole limited partner of International Master, International GenPar serves as the general partner of International Master and Avenue Partners is the sole shareholder of International GenPar. Each of International, International GenPar and Avenue Partners holds indirectly the 70,448 warrants exercisable to purchase shares of Common Stock of the Issuer held directly by International Master. International GenPar has a direct performance-based allocation from International Master, and Avenue Partners, as the sole shareholder of International GenPar, has an indirect interest in such allocation. Mr. Lasry owns an interest in International GenPar and Avenue Partners and receives a portion of the profits allocation related to International Master.</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2"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008000"/>
        </w:rPr>
        <w:t>This Form 4 is being filed by the Reporting Persons jointly with an additional Form 4 dated as of the same date with respect to the Common Stock and warrants of the Issuer filed by Avenue Special Situations Fund IV, L.P., Avenue Capital Partners IV, LLC, GL Partners IV, LLC, Avenue Special Situations Fund V, L.P., Avenue Capital Partners V, LLC, GL Partners V, LLC, Avenue Capital Manangement II, L.P., Avenue Capital Management II GenPar, LLC and Marc Lasry due to the limitations on the number of Reporting Persons able to file a single Form 4.</w:t>
      </w:r>
    </w:p>
    <w:p>
      <w:pPr>
        <w:sectPr>
          <w:pgSz w:w="11900" w:h="16838" w:orient="portrait"/>
          <w:cols w:equalWidth="0" w:num="1">
            <w:col w:w="11340"/>
          </w:cols>
          <w:pgMar w:left="280" w:top="131" w:right="279" w:bottom="1440" w:gutter="0" w:footer="0" w:header="0"/>
        </w:sectPr>
      </w:pPr>
    </w:p>
    <w:p>
      <w:pPr>
        <w:spacing w:after="0" w:line="56"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Investments,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-2540</wp:posOffset>
            </wp:positionV>
            <wp:extent cx="1285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Avenue Partners,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126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General Partner, By: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226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2618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Ross, 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-6350</wp:posOffset>
            </wp:positionV>
            <wp:extent cx="1347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127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spacing w:after="0" w:line="4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Avenue-CDP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-9525</wp:posOffset>
            </wp:positionV>
            <wp:extent cx="8978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897890" cy="8255"/>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Opportunities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2522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Avenue Global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2738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Fund GenPar,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-6350</wp:posOffset>
            </wp:positionV>
            <wp:extent cx="13557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spacing w:after="0" w:line="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Partner,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1207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Marc Lasry,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-6350</wp:posOffset>
            </wp:positionV>
            <wp:extent cx="13766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376680" cy="8255"/>
                    </a:xfrm>
                    <a:prstGeom prst="rect">
                      <a:avLst/>
                    </a:prstGeom>
                    <a:noFill/>
                  </pic:spPr>
                </pic:pic>
              </a:graphicData>
            </a:graphic>
          </wp:anchor>
        </w:drawing>
      </w:r>
    </w:p>
    <w:p>
      <w:pPr>
        <w:spacing w:after="0" w:line="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8331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833120" cy="8255"/>
                    </a:xfrm>
                    <a:prstGeom prst="rect">
                      <a:avLst/>
                    </a:prstGeom>
                    <a:noFill/>
                  </pic:spPr>
                </pic:pic>
              </a:graphicData>
            </a:graphic>
          </wp:anchor>
        </w:drawing>
      </w:r>
    </w:p>
    <w:p>
      <w:pPr>
        <w:spacing w:after="0" w:line="4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Avenue International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-9525</wp:posOffset>
            </wp:positionV>
            <wp:extent cx="12598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L.P. By: Avenue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2890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Master GenPar, Ltd.,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635</wp:posOffset>
            </wp:positionV>
            <wp:extent cx="1406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406525" cy="8255"/>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Partner,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1207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Marc Lasry,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-6350</wp:posOffset>
            </wp:positionV>
            <wp:extent cx="13766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376680" cy="8255"/>
                    </a:xfrm>
                    <a:prstGeom prst="rect">
                      <a:avLst/>
                    </a:prstGeom>
                    <a:noFill/>
                  </pic:spPr>
                </pic:pic>
              </a:graphicData>
            </a:graphic>
          </wp:anchor>
        </w:drawing>
      </w:r>
    </w:p>
    <w:p>
      <w:pPr>
        <w:spacing w:after="0" w:line="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3606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International,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-2540</wp:posOffset>
            </wp:positionV>
            <wp:extent cx="13246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Eric Ross,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2757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for Marc Lasry,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0636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063625" cy="8255"/>
                    </a:xfrm>
                    <a:prstGeom prst="rect">
                      <a:avLst/>
                    </a:prstGeom>
                    <a:noFill/>
                  </pic:spPr>
                </pic:pic>
              </a:graphicData>
            </a:graphic>
          </wp:anchor>
        </w:drawing>
      </w:r>
    </w:p>
    <w:p>
      <w:pPr>
        <w:spacing w:after="0" w:line="4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Avenue International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-9525</wp:posOffset>
            </wp:positionV>
            <wp:extent cx="1237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GenPar, Ltd.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-6350</wp:posOffset>
            </wp:positionV>
            <wp:extent cx="13379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6"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attorney-in-fact for Marc Lasry,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-6350</wp:posOffset>
            </wp:positionV>
            <wp:extent cx="13766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376680" cy="8255"/>
                    </a:xfrm>
                    <a:prstGeom prst="rect">
                      <a:avLst/>
                    </a:prstGeom>
                    <a:noFill/>
                  </pic:spPr>
                </pic:pic>
              </a:graphicData>
            </a:graphic>
          </wp:anchor>
        </w:drawing>
      </w:r>
    </w:p>
    <w:p>
      <w:pPr>
        <w:spacing w:after="0" w:line="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3606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4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Avenue Partners,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-9525</wp:posOffset>
            </wp:positionV>
            <wp:extent cx="128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Eric Ross,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2998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Marc 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-6350</wp:posOffset>
            </wp:positionV>
            <wp:extent cx="13830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5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Eric Ross,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-9525</wp:posOffset>
            </wp:positionV>
            <wp:extent cx="12757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for Marc Lasry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6559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655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0000FF"/>
        </w:rPr>
        <w:t>03/17/2011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895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color w:val="0000FF"/>
        </w:rPr>
        <w:t>03/17/2011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895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0000FF"/>
        </w:rPr>
        <w:t>03/17/2011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895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0000FF"/>
        </w:rPr>
        <w:t>03/17/2011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89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0000FF"/>
        </w:rPr>
        <w:t>03/17/2011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895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color w:val="0000FF"/>
        </w:rPr>
        <w:t>03/17/2011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895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color w:val="0000FF"/>
        </w:rPr>
        <w:t>03/17/2011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895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9040" w:space="80"/>
            <w:col w:w="2220"/>
          </w:cols>
          <w:pgMar w:left="280" w:top="131" w:right="27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3760" w:firstLine="4"/>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31"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12" Type="http://schemas.openxmlformats.org/officeDocument/2006/relationships/hyperlink" Target="http://www.sec.gov/cgi-bin/browse-edgar?action=getcompany&amp;CIK=0001003215" TargetMode="External"/><Relationship Id="rId13" Type="http://schemas.openxmlformats.org/officeDocument/2006/relationships/hyperlink" Target="http://www.sec.gov/cgi-bin/browse-edgar?action=getcompany&amp;CIK=0001325702" TargetMode="External"/><Relationship Id="rId15" Type="http://schemas.openxmlformats.org/officeDocument/2006/relationships/hyperlink" Target="http://www.sec.gov/cgi-bin/browse-edgar?action=getcompany&amp;CIK=0001382345" TargetMode="External"/><Relationship Id="rId17" Type="http://schemas.openxmlformats.org/officeDocument/2006/relationships/hyperlink" Target="http://www.sec.gov/cgi-bin/browse-edgar?action=getcompany&amp;CIK=0001450166" TargetMode="External"/><Relationship Id="rId18" Type="http://schemas.openxmlformats.org/officeDocument/2006/relationships/hyperlink" Target="http://www.sec.gov/cgi-bin/browse-edgar?action=getcompany&amp;CIK=0001180908" TargetMode="External"/><Relationship Id="rId19" Type="http://schemas.openxmlformats.org/officeDocument/2006/relationships/hyperlink" Target="http://www.sec.gov/cgi-bin/browse-edgar?action=getcompany&amp;CIK=0001495478" TargetMode="External"/><Relationship Id="rId20" Type="http://schemas.openxmlformats.org/officeDocument/2006/relationships/hyperlink" Target="http://www.sec.gov/cgi-bin/browse-edgar?action=getcompany&amp;CIK=0001495476" TargetMode="External"/><Relationship Id="rId21" Type="http://schemas.openxmlformats.org/officeDocument/2006/relationships/hyperlink" Target="http://www.sec.gov/cgi-bin/browse-edgar?action=getcompany&amp;CIK=00012599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2019-12-18T02:02:01Z</dcterms:created>
  <dcterms:modified xsi:type="dcterms:W3CDTF">2019-12-18T02:02:01Z</dcterms:modified>
</cp:coreProperties>
</file>