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40"/>
        <w:jc w:val="left"/>
        <w:rPr/>
      </w:pPr>
      <w:hyperlink w:anchor="toc">
        <w:bookmarkStart w:id="0" w:name="d183811d10k.htm"/>
        <w:bookmarkStart w:id="1" w:name="ksd183811d10k"/>
        <w:bookmarkEnd w:id="0"/>
        <w:bookmarkEnd w:id="1"/>
        <w:r>
          <w:rPr>
            <w:rStyle w:val="InternetLink"/>
            <w:b/>
            <w:shd w:fill="FFFFFF" w:val="clear"/>
          </w:rPr>
          <w:t>Table of Contents</w:t>
        </w:r>
      </w:hyperlink>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0" w:after="0"/>
        <w:jc w:val="center"/>
        <w:rPr>
          <w:rFonts w:ascii="Times New Roman" w:hAnsi="Times New Roman"/>
          <w:b/>
          <w:spacing w:val="0"/>
          <w:sz w:val="36"/>
          <w:shd w:fill="FFFFFF" w:val="clear"/>
        </w:rPr>
      </w:pPr>
      <w:r>
        <w:rPr>
          <w:rFonts w:ascii="Times New Roman" w:hAnsi="Times New Roman"/>
          <w:b/>
          <w:spacing w:val="0"/>
          <w:sz w:val="36"/>
          <w:shd w:fill="FFFFFF" w:val="clear"/>
        </w:rPr>
        <w:t>10-K</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0" w:after="0"/>
        <w:jc w:val="left"/>
        <w:rPr>
          <w:rFonts w:ascii="Times New Roman" w:hAnsi="Times New Roman"/>
          <w:b/>
          <w:sz w:val="18"/>
          <w:shd w:fill="FFFFFF" w:val="clear"/>
        </w:rPr>
      </w:pPr>
      <w:r>
        <w:rPr>
          <w:rFonts w:ascii="Times New Roman" w:hAnsi="Times New Roman"/>
          <w:b/>
          <w:sz w:val="18"/>
          <w:shd w:fill="FFFFFF" w:val="clear"/>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spacing w:val="0"/>
              </w:rPr>
            </w:pPr>
            <w:r>
              <w:rPr>
                <w:spacing w:val="0"/>
              </w:rPr>
              <w:t>☒</w:t>
            </w:r>
          </w:p>
        </w:tc>
        <w:tc>
          <w:tcPr>
            <w:tcW w:w="9960"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 xml:space="preserve">ANNUAL REPORT PURSUANT TO SECTION 13 OR 15(d) OF THE SECURITIES EXCHANGE ACT OF 1934 </w:t>
            </w:r>
          </w:p>
        </w:tc>
      </w:tr>
    </w:tbl>
    <w:p>
      <w:pPr>
        <w:pStyle w:val="TextBody"/>
        <w:bidi w:val="0"/>
        <w:spacing w:before="20" w:after="0"/>
        <w:jc w:val="center"/>
        <w:rPr>
          <w:rFonts w:ascii="Times New Roman" w:hAnsi="Times New Roman"/>
          <w:b/>
          <w:sz w:val="18"/>
          <w:shd w:fill="FFFFFF" w:val="clear"/>
        </w:rPr>
      </w:pPr>
      <w:r>
        <w:rPr>
          <w:rFonts w:ascii="Times New Roman" w:hAnsi="Times New Roman"/>
          <w:b/>
          <w:sz w:val="18"/>
          <w:shd w:fill="FFFFFF" w:val="clear"/>
        </w:rPr>
        <w:t xml:space="preserve">For the fiscal year ended </w:t>
      </w:r>
    </w:p>
    <w:p>
      <w:pPr>
        <w:pStyle w:val="TextBody"/>
        <w:bidi w:val="0"/>
        <w:spacing w:before="20" w:after="0"/>
        <w:jc w:val="center"/>
        <w:rPr>
          <w:rFonts w:ascii="Times New Roman" w:hAnsi="Times New Roman"/>
          <w:b/>
          <w:spacing w:val="0"/>
          <w:sz w:val="18"/>
          <w:shd w:fill="FFFFFF" w:val="clear"/>
        </w:rPr>
      </w:pPr>
      <w:r>
        <w:rPr>
          <w:rFonts w:ascii="Times New Roman" w:hAnsi="Times New Roman"/>
          <w:b/>
          <w:spacing w:val="0"/>
          <w:sz w:val="18"/>
          <w:shd w:fill="FFFFFF" w:val="clear"/>
        </w:rPr>
        <w:t>December 31, 2023</w:t>
      </w:r>
    </w:p>
    <w:p>
      <w:pPr>
        <w:pStyle w:val="TextBody"/>
        <w:bidi w:val="0"/>
        <w:spacing w:before="0" w:after="0"/>
        <w:jc w:val="center"/>
        <w:rPr>
          <w:rFonts w:ascii="Times New Roman" w:hAnsi="Times New Roman"/>
          <w:b/>
          <w:sz w:val="18"/>
          <w:shd w:fill="FFFFFF" w:val="clear"/>
        </w:rPr>
      </w:pPr>
      <w:r>
        <w:rPr>
          <w:rFonts w:ascii="Times New Roman" w:hAnsi="Times New Roman"/>
          <w:b/>
          <w:sz w:val="18"/>
          <w:shd w:fill="FFFFFF" w:val="clear"/>
        </w:rPr>
        <w:t xml:space="preserve">or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spacing w:val="0"/>
              </w:rPr>
            </w:pPr>
            <w:r>
              <w:rPr>
                <w:spacing w:val="0"/>
              </w:rPr>
              <w:t>☐</w:t>
            </w:r>
          </w:p>
        </w:tc>
        <w:tc>
          <w:tcPr>
            <w:tcW w:w="9960"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 xml:space="preserve">TRANSITION REPORT PURSUANT TO SECTION 13 OR 15(d) OF THE SECURITIES EXCHANGE ACT OF 1934 </w:t>
            </w:r>
          </w:p>
        </w:tc>
      </w:tr>
    </w:tbl>
    <w:p>
      <w:pPr>
        <w:pStyle w:val="TextBody"/>
        <w:bidi w:val="0"/>
        <w:spacing w:before="20" w:after="0"/>
        <w:jc w:val="center"/>
        <w:rPr>
          <w:rFonts w:ascii="Times New Roman" w:hAnsi="Times New Roman"/>
          <w:b/>
          <w:sz w:val="17"/>
          <w:shd w:fill="FFFFFF" w:val="clear"/>
        </w:rPr>
      </w:pPr>
      <w:r>
        <w:rPr>
          <w:rFonts w:ascii="Times New Roman" w:hAnsi="Times New Roman"/>
          <w:b/>
          <w:sz w:val="17"/>
          <w:shd w:fill="FFFFFF" w:val="clear"/>
        </w:rPr>
        <w:t xml:space="preserve">For the transition period from </w:t>
      </w:r>
    </w:p>
    <w:p>
      <w:pPr>
        <w:pStyle w:val="TextBody"/>
        <w:bidi w:val="0"/>
        <w:spacing w:before="2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0" w:after="0"/>
        <w:jc w:val="center"/>
        <w:rPr>
          <w:rFonts w:ascii="Times New Roman" w:hAnsi="Times New Roman"/>
          <w:b/>
          <w:sz w:val="17"/>
          <w:shd w:fill="FFFFFF" w:val="clear"/>
        </w:rPr>
      </w:pPr>
      <w:r>
        <w:rPr>
          <w:rFonts w:ascii="Times New Roman" w:hAnsi="Times New Roman"/>
          <w:b/>
          <w:sz w:val="17"/>
          <w:shd w:fill="FFFFFF" w:val="clear"/>
        </w:rPr>
        <w:t xml:space="preserve">to </w:t>
      </w:r>
    </w:p>
    <w:p>
      <w:pPr>
        <w:pStyle w:val="TextBody"/>
        <w:bidi w:val="0"/>
        <w:spacing w:before="2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40" w:after="0"/>
        <w:jc w:val="center"/>
        <w:rPr>
          <w:rFonts w:ascii="Times New Roman" w:hAnsi="Times New Roman"/>
          <w:b/>
          <w:sz w:val="17"/>
          <w:shd w:fill="FFFFFF" w:val="clear"/>
        </w:rPr>
      </w:pPr>
      <w:r>
        <w:rPr>
          <w:rFonts w:ascii="Times New Roman" w:hAnsi="Times New Roman"/>
          <w:b/>
          <w:sz w:val="17"/>
          <w:shd w:fill="FFFFFF" w:val="clear"/>
        </w:rPr>
        <w:t xml:space="preserve">Commission File Number </w:t>
      </w:r>
    </w:p>
    <w:p>
      <w:pPr>
        <w:pStyle w:val="TextBody"/>
        <w:bidi w:val="0"/>
        <w:spacing w:before="40" w:after="0"/>
        <w:jc w:val="center"/>
        <w:rPr>
          <w:rFonts w:ascii="Times New Roman" w:hAnsi="Times New Roman"/>
          <w:b/>
          <w:spacing w:val="0"/>
          <w:sz w:val="17"/>
          <w:shd w:fill="FFFFFF" w:val="clear"/>
        </w:rPr>
      </w:pPr>
      <w:r>
        <w:rPr>
          <w:rFonts w:ascii="Times New Roman" w:hAnsi="Times New Roman"/>
          <w:b/>
          <w:spacing w:val="0"/>
          <w:sz w:val="17"/>
          <w:shd w:fill="FFFFFF" w:val="clear"/>
        </w:rPr>
        <w:t>001-34791</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lineRule="atLeast" w:line="142" w:before="0" w:after="40"/>
        <w:ind w:left="0" w:right="0" w:hanging="0"/>
        <w:jc w:val="center"/>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color w:val="FF0000"/>
          <w:spacing w:val="0"/>
          <w:shd w:fill="FFFFFF" w:val="clear"/>
        </w:rPr>
      </w:pPr>
      <w:r>
        <w:rPr>
          <w:color w:val="FF0000"/>
          <w:spacing w:val="0"/>
          <w:shd w:fill="FFFFFF" w:val="clear"/>
        </w:rPr>
        <w:drawing>
          <wp:inline distT="0" distB="0" distL="0" distR="0">
            <wp:extent cx="24765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85775"/>
                    </a:xfrm>
                    <a:prstGeom prst="rect">
                      <a:avLst/>
                    </a:prstGeom>
                  </pic:spPr>
                </pic:pic>
              </a:graphicData>
            </a:graphic>
          </wp:inline>
        </w:drawing>
      </w:r>
    </w:p>
    <w:p>
      <w:pPr>
        <w:pStyle w:val="TextBody"/>
        <w:bidi w:val="0"/>
        <w:spacing w:before="40" w:after="0"/>
        <w:ind w:left="0" w:right="0" w:hanging="0"/>
        <w:jc w:val="center"/>
        <w:rPr>
          <w:rFonts w:ascii="Times New Roman" w:hAnsi="Times New Roman"/>
          <w:b/>
          <w:spacing w:val="0"/>
          <w:sz w:val="48"/>
          <w:shd w:fill="FFFFFF" w:val="clear"/>
        </w:rPr>
      </w:pPr>
      <w:r>
        <w:rPr>
          <w:rFonts w:ascii="Times New Roman" w:hAnsi="Times New Roman"/>
          <w:b/>
          <w:spacing w:val="0"/>
          <w:sz w:val="48"/>
          <w:shd w:fill="FFFFFF" w:val="clear"/>
        </w:rPr>
        <w:t>Magnachip Semiconductor Corporation</w:t>
      </w:r>
    </w:p>
    <w:p>
      <w:pPr>
        <w:pStyle w:val="TextBody"/>
        <w:bidi w:val="0"/>
        <w:spacing w:before="20" w:after="0"/>
        <w:jc w:val="center"/>
        <w:rPr>
          <w:rFonts w:ascii="Times New Roman" w:hAnsi="Times New Roman"/>
          <w:b/>
          <w:spacing w:val="0"/>
          <w:sz w:val="18"/>
          <w:shd w:fill="FFFFFF" w:val="clear"/>
        </w:rPr>
      </w:pPr>
      <w:r>
        <w:rPr>
          <w:rFonts w:ascii="Times New Roman" w:hAnsi="Times New Roman"/>
          <w:b/>
          <w:spacing w:val="0"/>
          <w:sz w:val="18"/>
          <w:shd w:fill="FFFFFF" w:val="clear"/>
        </w:rPr>
        <w:t xml:space="preserve">(Exact name of registrant as specified in its charter)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lineRule="atLeast" w:line="142" w:before="0" w:after="40"/>
        <w:ind w:left="0" w:right="0" w:hanging="0"/>
        <w:jc w:val="center"/>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tbl>
      <w:tblPr>
        <w:tblW w:w="99" w:type="dxa"/>
        <w:jc w:val="left"/>
        <w:tblInd w:w="0" w:type="dxa"/>
        <w:tblLayout w:type="fixed"/>
        <w:tblCellMar>
          <w:top w:w="0" w:type="dxa"/>
          <w:left w:w="0" w:type="dxa"/>
          <w:bottom w:w="0" w:type="dxa"/>
          <w:right w:w="0" w:type="dxa"/>
        </w:tblCellMar>
      </w:tblPr>
      <w:tblGrid>
        <w:gridCol w:w="38"/>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tbl>
      <w:tblPr>
        <w:tblW w:w="3940" w:type="dxa"/>
        <w:jc w:val="left"/>
        <w:tblInd w:w="0" w:type="dxa"/>
        <w:tblLayout w:type="fixed"/>
        <w:tblCellMar>
          <w:top w:w="0" w:type="dxa"/>
          <w:left w:w="0" w:type="dxa"/>
          <w:bottom w:w="0" w:type="dxa"/>
          <w:right w:w="0" w:type="dxa"/>
        </w:tblCellMar>
      </w:tblPr>
      <w:tblGrid>
        <w:gridCol w:w="2435"/>
        <w:gridCol w:w="60"/>
        <w:gridCol w:w="1445"/>
      </w:tblGrid>
      <w:tr>
        <w:trPr/>
        <w:tc>
          <w:tcPr>
            <w:tcW w:w="2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center"/>
              <w:rPr>
                <w:b/>
                <w:spacing w:val="0"/>
              </w:rPr>
            </w:pPr>
            <w:r>
              <w:rPr>
                <w:b/>
                <w:spacing w:val="0"/>
              </w:rPr>
              <w:t>83-0406195</w:t>
            </w:r>
          </w:p>
        </w:tc>
      </w:tr>
      <w:tr>
        <w:trPr/>
        <w:tc>
          <w:tcPr>
            <w:tcW w:w="243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(State or Other Jurisdiction of</w:t>
            </w:r>
          </w:p>
          <w:p>
            <w:pPr>
              <w:pStyle w:val="TableContents"/>
              <w:bidi w:val="0"/>
              <w:spacing w:before="0" w:after="20"/>
              <w:jc w:val="center"/>
              <w:rPr>
                <w:rFonts w:ascii="Times New Roman" w:hAnsi="Times New Roman"/>
                <w:b/>
                <w:sz w:val="18"/>
              </w:rPr>
            </w:pPr>
            <w:r>
              <w:rPr>
                <w:rFonts w:ascii="Times New Roman" w:hAnsi="Times New Roman"/>
                <w:b/>
                <w:sz w:val="18"/>
              </w:rPr>
              <w:t>Incorporation or Organization)</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(I.R.S. Employer</w:t>
            </w:r>
          </w:p>
          <w:p>
            <w:pPr>
              <w:pStyle w:val="TableContents"/>
              <w:bidi w:val="0"/>
              <w:spacing w:before="0" w:after="20"/>
              <w:jc w:val="center"/>
              <w:rPr>
                <w:rFonts w:ascii="Times New Roman" w:hAnsi="Times New Roman"/>
                <w:b/>
                <w:sz w:val="18"/>
              </w:rPr>
            </w:pPr>
            <w:r>
              <w:rPr>
                <w:rFonts w:ascii="Times New Roman" w:hAnsi="Times New Roman"/>
                <w:b/>
                <w:sz w:val="18"/>
              </w:rPr>
              <w:t>Identification No.)</w:t>
            </w:r>
          </w:p>
        </w:tc>
      </w:tr>
    </w:tbl>
    <w:p>
      <w:pPr>
        <w:pStyle w:val="TextBody"/>
        <w:bidi w:val="0"/>
        <w:spacing w:before="120" w:after="0"/>
        <w:jc w:val="center"/>
        <w:rPr>
          <w:rFonts w:ascii="Times New Roman" w:hAnsi="Times New Roman"/>
          <w:b/>
          <w:spacing w:val="0"/>
          <w:sz w:val="18"/>
          <w:shd w:fill="FFFFFF" w:val="clear"/>
        </w:rPr>
      </w:pPr>
      <w:r>
        <w:rPr>
          <w:rFonts w:ascii="Times New Roman" w:hAnsi="Times New Roman"/>
          <w:b/>
          <w:spacing w:val="0"/>
          <w:sz w:val="18"/>
          <w:shd w:fill="FFFFFF" w:val="clear"/>
        </w:rPr>
        <w:t>c/o Magnachip Semiconductor, Ltd.</w:t>
      </w:r>
    </w:p>
    <w:p>
      <w:pPr>
        <w:pStyle w:val="TextBody"/>
        <w:bidi w:val="0"/>
        <w:spacing w:before="0" w:after="0"/>
        <w:jc w:val="center"/>
        <w:rPr>
          <w:rFonts w:ascii="Times New Roman" w:hAnsi="Times New Roman"/>
          <w:b/>
          <w:sz w:val="18"/>
          <w:shd w:fill="FFFFFF" w:val="clear"/>
        </w:rPr>
      </w:pPr>
      <w:r>
        <w:rPr>
          <w:rFonts w:ascii="Times New Roman" w:hAnsi="Times New Roman"/>
          <w:b/>
          <w:sz w:val="18"/>
          <w:shd w:fill="FFFFFF" w:val="clear"/>
        </w:rPr>
        <w:t>15F, 76 Jikji-daero 436beon-gil</w:t>
      </w:r>
    </w:p>
    <w:p>
      <w:pPr>
        <w:pStyle w:val="TextBody"/>
        <w:bidi w:val="0"/>
        <w:spacing w:before="0" w:after="0"/>
        <w:jc w:val="center"/>
        <w:rPr>
          <w:rFonts w:ascii="Times New Roman" w:hAnsi="Times New Roman"/>
          <w:b/>
          <w:spacing w:val="0"/>
          <w:sz w:val="18"/>
          <w:shd w:fill="FFFFFF" w:val="clear"/>
        </w:rPr>
      </w:pPr>
      <w:r>
        <w:rPr>
          <w:rFonts w:ascii="Times New Roman" w:hAnsi="Times New Roman"/>
          <w:b/>
          <w:spacing w:val="0"/>
          <w:sz w:val="18"/>
          <w:shd w:fill="FFFFFF" w:val="clear"/>
        </w:rPr>
        <w:t>,</w:t>
      </w:r>
    </w:p>
    <w:p>
      <w:pPr>
        <w:pStyle w:val="TextBody"/>
        <w:bidi w:val="0"/>
        <w:spacing w:before="0" w:after="0"/>
        <w:jc w:val="center"/>
        <w:rPr>
          <w:rFonts w:ascii="Times New Roman" w:hAnsi="Times New Roman"/>
          <w:b/>
          <w:spacing w:val="0"/>
          <w:sz w:val="18"/>
          <w:shd w:fill="FFFFFF" w:val="clear"/>
        </w:rPr>
      </w:pPr>
      <w:r>
        <w:rPr>
          <w:rFonts w:ascii="Times New Roman" w:hAnsi="Times New Roman"/>
          <w:b/>
          <w:spacing w:val="0"/>
          <w:sz w:val="18"/>
          <w:shd w:fill="FFFFFF" w:val="clear"/>
        </w:rPr>
        <w:t>Heungdeok-gu</w:t>
      </w:r>
    </w:p>
    <w:p>
      <w:pPr>
        <w:pStyle w:val="TextBody"/>
        <w:bidi w:val="0"/>
        <w:spacing w:before="0" w:after="0"/>
        <w:jc w:val="center"/>
        <w:rPr>
          <w:rFonts w:ascii="Times New Roman" w:hAnsi="Times New Roman"/>
          <w:b/>
          <w:spacing w:val="0"/>
          <w:sz w:val="18"/>
          <w:shd w:fill="FFFFFF" w:val="clear"/>
        </w:rPr>
      </w:pPr>
      <w:r>
        <w:rPr>
          <w:rFonts w:ascii="Times New Roman" w:hAnsi="Times New Roman"/>
          <w:b/>
          <w:spacing w:val="0"/>
          <w:sz w:val="18"/>
          <w:shd w:fill="FFFFFF" w:val="clear"/>
        </w:rPr>
        <w:t>Cheongju-si,</w:t>
      </w:r>
    </w:p>
    <w:p>
      <w:pPr>
        <w:pStyle w:val="TextBody"/>
        <w:bidi w:val="0"/>
        <w:spacing w:before="0" w:after="0"/>
        <w:jc w:val="center"/>
        <w:rPr>
          <w:rFonts w:ascii="Times New Roman" w:hAnsi="Times New Roman"/>
          <w:b/>
          <w:sz w:val="18"/>
          <w:shd w:fill="FFFFFF" w:val="clear"/>
        </w:rPr>
      </w:pPr>
      <w:r>
        <w:rPr>
          <w:rFonts w:ascii="Times New Roman" w:hAnsi="Times New Roman"/>
          <w:b/>
          <w:sz w:val="18"/>
          <w:shd w:fill="FFFFFF" w:val="clear"/>
        </w:rPr>
        <w:t xml:space="preserve">Chungcheongbuk-do, </w:t>
      </w:r>
    </w:p>
    <w:p>
      <w:pPr>
        <w:pStyle w:val="TextBody"/>
        <w:bidi w:val="0"/>
        <w:spacing w:before="0" w:after="0"/>
        <w:jc w:val="center"/>
        <w:rPr>
          <w:rFonts w:ascii="Times New Roman" w:hAnsi="Times New Roman"/>
          <w:b/>
          <w:spacing w:val="0"/>
          <w:sz w:val="18"/>
          <w:shd w:fill="FFFFFF" w:val="clear"/>
        </w:rPr>
      </w:pPr>
      <w:r>
        <w:rPr>
          <w:rFonts w:ascii="Times New Roman" w:hAnsi="Times New Roman"/>
          <w:b/>
          <w:spacing w:val="0"/>
          <w:sz w:val="18"/>
          <w:shd w:fill="FFFFFF" w:val="clear"/>
        </w:rPr>
        <w:t>Republic of Korea</w:t>
      </w:r>
    </w:p>
    <w:p>
      <w:pPr>
        <w:pStyle w:val="TextBody"/>
        <w:bidi w:val="0"/>
        <w:spacing w:before="0" w:after="0"/>
        <w:jc w:val="center"/>
        <w:rPr>
          <w:rFonts w:ascii="Times New Roman" w:hAnsi="Times New Roman"/>
          <w:b/>
          <w:spacing w:val="0"/>
          <w:sz w:val="18"/>
          <w:shd w:fill="FFFFFF" w:val="clear"/>
        </w:rPr>
      </w:pPr>
      <w:r>
        <w:rPr>
          <w:rFonts w:ascii="Times New Roman" w:hAnsi="Times New Roman"/>
          <w:b/>
          <w:spacing w:val="0"/>
          <w:sz w:val="18"/>
          <w:shd w:fill="FFFFFF" w:val="clear"/>
        </w:rPr>
        <w:t>28581</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(Address of principal executive offices) (Zip Code) </w:t>
      </w:r>
    </w:p>
    <w:p>
      <w:pPr>
        <w:pStyle w:val="TextBody"/>
        <w:bidi w:val="0"/>
        <w:spacing w:before="40" w:after="0"/>
        <w:jc w:val="center"/>
        <w:rPr>
          <w:rFonts w:ascii="Times New Roman" w:hAnsi="Times New Roman"/>
          <w:b/>
          <w:sz w:val="18"/>
          <w:shd w:fill="FFFFFF" w:val="clear"/>
        </w:rPr>
      </w:pPr>
      <w:r>
        <w:rPr>
          <w:rFonts w:ascii="Times New Roman" w:hAnsi="Times New Roman"/>
          <w:b/>
          <w:sz w:val="18"/>
          <w:shd w:fill="FFFFFF" w:val="clear"/>
        </w:rPr>
        <w:t>Registrant’s telephone number, including area code: +</w:t>
      </w:r>
    </w:p>
    <w:p>
      <w:pPr>
        <w:pStyle w:val="TextBody"/>
        <w:bidi w:val="0"/>
        <w:spacing w:before="40" w:after="0"/>
        <w:jc w:val="center"/>
        <w:rPr>
          <w:rFonts w:ascii="Times New Roman" w:hAnsi="Times New Roman"/>
          <w:b/>
          <w:spacing w:val="0"/>
          <w:sz w:val="18"/>
          <w:shd w:fill="FFFFFF" w:val="clear"/>
        </w:rPr>
      </w:pPr>
      <w:r>
        <w:rPr>
          <w:rFonts w:ascii="Times New Roman" w:hAnsi="Times New Roman"/>
          <w:b/>
          <w:spacing w:val="0"/>
          <w:sz w:val="18"/>
          <w:shd w:fill="FFFFFF" w:val="clear"/>
        </w:rPr>
        <w:t>82</w:t>
      </w:r>
    </w:p>
    <w:p>
      <w:pPr>
        <w:pStyle w:val="TextBody"/>
        <w:bidi w:val="0"/>
        <w:spacing w:before="40" w:after="0"/>
        <w:jc w:val="center"/>
        <w:rPr>
          <w:rFonts w:ascii="Times New Roman" w:hAnsi="Times New Roman"/>
          <w:b/>
          <w:spacing w:val="0"/>
          <w:sz w:val="18"/>
          <w:shd w:fill="FFFFFF" w:val="clear"/>
        </w:rPr>
      </w:pPr>
      <w:r>
        <w:rPr>
          <w:rFonts w:ascii="Times New Roman" w:hAnsi="Times New Roman"/>
          <w:b/>
          <w:spacing w:val="0"/>
          <w:sz w:val="18"/>
          <w:shd w:fill="FFFFFF" w:val="clear"/>
        </w:rPr>
        <w:t>(2) 6903-3000</w:t>
      </w:r>
    </w:p>
    <w:p>
      <w:pPr>
        <w:pStyle w:val="TextBody"/>
        <w:bidi w:val="0"/>
        <w:spacing w:before="0" w:after="0"/>
        <w:jc w:val="center"/>
        <w:rPr>
          <w:rFonts w:ascii="Times New Roman" w:hAnsi="Times New Roman"/>
          <w:b/>
          <w:sz w:val="18"/>
          <w:shd w:fill="FFFFFF" w:val="clear"/>
        </w:rPr>
      </w:pPr>
      <w:r>
        <w:rPr>
          <w:rFonts w:ascii="Times New Roman" w:hAnsi="Times New Roman"/>
          <w:b/>
          <w:sz w:val="18"/>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8820" w:type="dxa"/>
        <w:jc w:val="left"/>
        <w:tblInd w:w="0" w:type="dxa"/>
        <w:tblLayout w:type="fixed"/>
        <w:tblCellMar>
          <w:top w:w="0" w:type="dxa"/>
          <w:left w:w="0" w:type="dxa"/>
          <w:bottom w:w="0" w:type="dxa"/>
          <w:right w:w="0" w:type="dxa"/>
        </w:tblCellMar>
      </w:tblPr>
      <w:tblGrid>
        <w:gridCol w:w="4310"/>
        <w:gridCol w:w="60"/>
        <w:gridCol w:w="1190"/>
        <w:gridCol w:w="60"/>
        <w:gridCol w:w="3200"/>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Title of each class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Trading Symbol</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Name of each exchange 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rPr>
            </w:pPr>
            <w:r>
              <w:rPr>
                <w:b/>
                <w:spacing w:val="0"/>
              </w:rPr>
              <w:t>MX</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20" w:after="0"/>
        <w:jc w:val="center"/>
        <w:rPr>
          <w:rFonts w:ascii="Times New Roman" w:hAnsi="Times New Roman"/>
          <w:b/>
          <w:sz w:val="18"/>
          <w:shd w:fill="FFFFFF" w:val="clear"/>
        </w:rPr>
      </w:pPr>
      <w:r>
        <w:rPr>
          <w:rFonts w:ascii="Times New Roman" w:hAnsi="Times New Roman"/>
          <w:b/>
          <w:sz w:val="18"/>
          <w:shd w:fill="FFFFFF" w:val="clear"/>
        </w:rPr>
        <w:t xml:space="preserve">Securities registered pursuant to Section 12(g) of the Act: None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Indicate by check mark if the registrant is a well-known seasoned issuer, as defined in Rule 405 of the Securities Act. ☐  Yes ☒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No</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Indicate by check mark if the registrant is not required to file reports pursuant to Section 13 or Section 15(d) of the Act. ☐  Yes ☒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No</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Yes</w:t>
      </w:r>
    </w:p>
    <w:p>
      <w:pPr>
        <w:pStyle w:val="TextBody"/>
        <w:bidi w:val="0"/>
        <w:spacing w:before="20" w:after="0"/>
        <w:jc w:val="left"/>
        <w:rPr>
          <w:shd w:fill="FFFFFF" w:val="clear"/>
        </w:rPr>
      </w:pPr>
      <w:r>
        <w:rPr>
          <w:shd w:fill="FFFFFF" w:val="clear"/>
        </w:rPr>
        <w:t> ☐  </w:t>
      </w:r>
      <w:r>
        <w:rPr>
          <w:rFonts w:ascii="Times New Roman" w:hAnsi="Times New Roman"/>
          <w:sz w:val="17"/>
          <w:shd w:fill="FFFFFF" w:val="clear"/>
        </w:rPr>
        <w:t xml:space="preserve">No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S-T</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(§232.405 of this chapter) during the preceding 12 months (or for such shorter period that the registrant was required to submit such files. ☒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Yes</w:t>
      </w:r>
    </w:p>
    <w:p>
      <w:pPr>
        <w:pStyle w:val="TextBody"/>
        <w:bidi w:val="0"/>
        <w:spacing w:before="20" w:after="0"/>
        <w:jc w:val="left"/>
        <w:rPr>
          <w:shd w:fill="FFFFFF" w:val="clear"/>
        </w:rPr>
      </w:pPr>
      <w:r>
        <w:rPr>
          <w:shd w:fill="FFFFFF" w:val="clear"/>
        </w:rPr>
        <w:t> ☐  </w:t>
      </w:r>
      <w:r>
        <w:rPr>
          <w:rFonts w:ascii="Times New Roman" w:hAnsi="Times New Roman"/>
          <w:sz w:val="17"/>
          <w:shd w:fill="FFFFFF" w:val="clear"/>
        </w:rPr>
        <w:t xml:space="preserve">No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Indicate by check mark whether the registrant is a large accelerated filer, an accelerated filer, a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non-accelerated</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filer, smaller reporting company, or an emerging growth company. See the definitions of “large accelerated filer,” “accelerated filer,” “smaller reporting company,” and “emerging growth company” in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Rule 12b-2</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of the Exchange Act. </w:t>
      </w:r>
    </w:p>
    <w:p>
      <w:pPr>
        <w:pStyle w:val="TextBody"/>
        <w:bidi w:val="0"/>
        <w:spacing w:before="0" w:after="0"/>
        <w:jc w:val="left"/>
        <w:rPr>
          <w:shd w:fill="FFFFFF" w:val="clear"/>
        </w:rPr>
      </w:pPr>
      <w:r>
        <w:rPr>
          <w:shd w:fill="FFFFFF" w:val="clear"/>
        </w:rPr>
        <w:t> </w:t>
      </w:r>
    </w:p>
    <w:tbl>
      <w:tblPr>
        <w:tblW w:w="5720" w:type="dxa"/>
        <w:jc w:val="left"/>
        <w:tblInd w:w="0" w:type="dxa"/>
        <w:tblLayout w:type="fixed"/>
        <w:tblCellMar>
          <w:top w:w="0" w:type="dxa"/>
          <w:left w:w="0" w:type="dxa"/>
          <w:bottom w:w="0" w:type="dxa"/>
          <w:right w:w="0" w:type="dxa"/>
        </w:tblCellMar>
      </w:tblPr>
      <w:tblGrid>
        <w:gridCol w:w="2270"/>
        <w:gridCol w:w="60"/>
        <w:gridCol w:w="230"/>
        <w:gridCol w:w="120"/>
        <w:gridCol w:w="2735"/>
        <w:gridCol w:w="60"/>
        <w:gridCol w:w="24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0"/>
              <w:jc w:val="left"/>
              <w:rPr>
                <w:spacing w:val="0"/>
              </w:rPr>
            </w:pPr>
            <w:r>
              <w:rPr>
                <w:spacing w:val="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spacing w:val="0"/>
              </w:rPr>
            </w:pPr>
            <w:r>
              <w:rPr>
                <w:spacing w:val="0"/>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spacing w:val="0"/>
              </w:rPr>
            </w:pPr>
            <w:r>
              <w:rPr>
                <w:spacing w:val="0"/>
              </w:rPr>
              <w:t>☐</w:t>
            </w:r>
          </w:p>
        </w:tc>
      </w:tr>
    </w:tbl>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20" w:after="0"/>
        <w:jc w:val="left"/>
        <w:rPr>
          <w:spacing w:val="0"/>
          <w:shd w:fill="FFFFFF" w:val="clear"/>
        </w:rPr>
      </w:pPr>
      <w:r>
        <w:rPr>
          <w:spacing w:val="0"/>
          <w:shd w:fill="FFFFFF" w:val="clear"/>
        </w:rPr>
        <w:t>☒</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§240.10D-1(b). ☐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Indicate by check mark whether the registrant is a shell company (as defined in Rule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12b-2</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of the Act). ☐  Yes </w:t>
      </w:r>
    </w:p>
    <w:p>
      <w:pPr>
        <w:pStyle w:val="TextBody"/>
        <w:bidi w:val="0"/>
        <w:spacing w:before="20" w:after="0"/>
        <w:jc w:val="left"/>
        <w:rPr>
          <w:spacing w:val="0"/>
          <w:shd w:fill="FFFFFF" w:val="clear"/>
        </w:rPr>
      </w:pPr>
      <w:r>
        <w:rPr>
          <w:spacing w:val="0"/>
          <w:shd w:fill="FFFFFF" w:val="clear"/>
        </w:rPr>
        <w:t>☒</w:t>
      </w:r>
    </w:p>
    <w:p>
      <w:pPr>
        <w:pStyle w:val="TextBody"/>
        <w:bidi w:val="0"/>
        <w:spacing w:before="20" w:after="0"/>
        <w:jc w:val="left"/>
        <w:rPr>
          <w:shd w:fill="FFFFFF" w:val="clear"/>
        </w:rPr>
      </w:pPr>
      <w:r>
        <w:rPr>
          <w:shd w:fill="FFFFFF" w:val="clear"/>
        </w:rPr>
        <w:t> </w:t>
      </w:r>
      <w:r>
        <w:rPr>
          <w:rFonts w:ascii="Times New Roman" w:hAnsi="Times New Roman"/>
          <w:sz w:val="17"/>
          <w:shd w:fill="FFFFFF" w:val="clear"/>
        </w:rPr>
        <w:t xml:space="preserve">No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State the aggregate market value of the voting and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non-voting</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common equity held by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non-affiliates</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computed by reference to the price at which the common equity was last sold, or the average bid and asked price of such common equity, as of the last business day of the registrant’s most recently completed second fiscal quarter.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439,134,938</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 </w:t>
      </w:r>
    </w:p>
    <w:p>
      <w:pPr>
        <w:pStyle w:val="TextBody"/>
        <w:bidi w:val="0"/>
        <w:spacing w:before="20" w:after="0"/>
        <w:ind w:left="0" w:right="0" w:hanging="0"/>
        <w:jc w:val="left"/>
        <w:rPr>
          <w:rFonts w:ascii="Times New Roman" w:hAnsi="Times New Roman"/>
          <w:spacing w:val="0"/>
          <w:sz w:val="17"/>
          <w:shd w:fill="FFFFFF" w:val="clear"/>
        </w:rPr>
      </w:pPr>
      <w:r>
        <w:rPr>
          <w:rFonts w:ascii="Times New Roman" w:hAnsi="Times New Roman"/>
          <w:spacing w:val="0"/>
          <w:sz w:val="17"/>
          <w:shd w:fill="FFFFFF" w:val="clear"/>
        </w:rPr>
        <w:t xml:space="preserve">As of February 29, 2024, the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registrant had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38,260,814</w:t>
      </w:r>
    </w:p>
    <w:p>
      <w:pPr>
        <w:pStyle w:val="TextBody"/>
        <w:bidi w:val="0"/>
        <w:spacing w:before="20" w:after="0"/>
        <w:jc w:val="left"/>
        <w:rPr>
          <w:shd w:fill="FFFFFF" w:val="clear"/>
        </w:rPr>
      </w:pPr>
      <w:r>
        <w:rPr>
          <w:shd w:fill="FFFFFF" w:val="clear"/>
        </w:rPr>
        <w:t> </w:t>
      </w:r>
      <w:r>
        <w:rPr>
          <w:rFonts w:ascii="Times New Roman" w:hAnsi="Times New Roman"/>
          <w:sz w:val="17"/>
          <w:shd w:fill="FFFFFF" w:val="clear"/>
        </w:rPr>
        <w:t xml:space="preserve">shares of common stock outstanding.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0" w:after="0"/>
        <w:jc w:val="center"/>
        <w:rPr>
          <w:rFonts w:ascii="Times New Roman" w:hAnsi="Times New Roman"/>
          <w:b/>
          <w:sz w:val="18"/>
          <w:shd w:fill="FFFFFF" w:val="clear"/>
        </w:rPr>
      </w:pPr>
      <w:r>
        <w:rPr>
          <w:rFonts w:ascii="Times New Roman" w:hAnsi="Times New Roman"/>
          <w:b/>
          <w:sz w:val="18"/>
          <w:shd w:fill="FFFFFF" w:val="clear"/>
        </w:rPr>
        <w:t xml:space="preserve">DOCUMENTS INCORPORATED BY REFERENCE </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Portions of the registrant’s definitive proxy statement relating to its 2024 annual meeting of stockholders will be incorporated by reference into Part III of this Annual Report on </w:t>
      </w:r>
    </w:p>
    <w:p>
      <w:pPr>
        <w:pStyle w:val="TextBody"/>
        <w:bidi w:val="0"/>
        <w:spacing w:before="20" w:after="0"/>
        <w:jc w:val="left"/>
        <w:rPr>
          <w:rFonts w:ascii="Times New Roman" w:hAnsi="Times New Roman"/>
          <w:spacing w:val="0"/>
          <w:sz w:val="17"/>
          <w:shd w:fill="FFFFFF" w:val="clear"/>
        </w:rPr>
      </w:pPr>
      <w:r>
        <w:rPr>
          <w:rFonts w:ascii="Times New Roman" w:hAnsi="Times New Roman"/>
          <w:spacing w:val="0"/>
          <w:sz w:val="17"/>
          <w:shd w:fill="FFFFFF" w:val="clear"/>
        </w:rPr>
        <w:t>Form 10-K</w:t>
      </w:r>
    </w:p>
    <w:p>
      <w:pPr>
        <w:pStyle w:val="TextBody"/>
        <w:bidi w:val="0"/>
        <w:spacing w:before="20" w:after="0"/>
        <w:jc w:val="left"/>
        <w:rPr>
          <w:rFonts w:ascii="Times New Roman" w:hAnsi="Times New Roman"/>
          <w:sz w:val="17"/>
          <w:shd w:fill="FFFFFF" w:val="clear"/>
        </w:rPr>
      </w:pPr>
      <w:r>
        <w:rPr>
          <w:rFonts w:ascii="Times New Roman" w:hAnsi="Times New Roman"/>
          <w:sz w:val="17"/>
          <w:shd w:fill="FFFFFF" w:val="clear"/>
        </w:rPr>
        <w:t xml:space="preserve">or included by amendment to this report within 120 days after the end of the fiscal year to which this report relates.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FORM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10-K</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TABLE OF CONTENTS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08"/>
        <w:gridCol w:w="60"/>
        <w:gridCol w:w="860"/>
        <w:gridCol w:w="120"/>
        <w:gridCol w:w="7546"/>
        <w:gridCol w:w="120"/>
        <w:gridCol w:w="70"/>
        <w:gridCol w:w="445"/>
        <w:gridCol w:w="76"/>
      </w:tblGrid>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94" w:type="dxa"/>
            <w:gridSpan w:val="5"/>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0"/>
              <w:jc w:val="center"/>
              <w:rPr>
                <w:b/>
                <w:spacing w:val="0"/>
              </w:rPr>
            </w:pPr>
            <w:r>
              <w:rPr>
                <w:b/>
                <w:spacing w:val="0"/>
              </w:rPr>
              <w:t>Page</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766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vAlign w:val="center"/>
          </w:tcPr>
          <w:p>
            <w:pPr>
              <w:pStyle w:val="TableContents"/>
              <w:bidi w:val="0"/>
              <w:spacing w:before="0" w:after="0"/>
              <w:jc w:val="left"/>
              <w:rPr/>
            </w:pPr>
            <w:hyperlink w:anchor="toc183811_1">
              <w:r>
                <w:rPr>
                  <w:rStyle w:val="InternetLink"/>
                  <w:b/>
                  <w:spacing w:val="0"/>
                </w:rPr>
                <w:t xml:space="preserve">PART I </w:t>
              </w:r>
            </w:hyperlink>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
              <w:r>
                <w:rPr>
                  <w:rStyle w:val="InternetLink"/>
                  <w:rFonts w:ascii="Times New Roman" w:hAnsi="Times New Roman"/>
                  <w:spacing w:val="0"/>
                  <w:sz w:val="20"/>
                </w:rPr>
                <w:t>Business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1A.</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3">
              <w:r>
                <w:rPr>
                  <w:rStyle w:val="InternetLink"/>
                  <w:rFonts w:ascii="Times New Roman" w:hAnsi="Times New Roman"/>
                  <w:spacing w:val="0"/>
                  <w:sz w:val="20"/>
                </w:rPr>
                <w:t>Risk Factors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19</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1B.</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4">
              <w:r>
                <w:rPr>
                  <w:rStyle w:val="InternetLink"/>
                  <w:rFonts w:ascii="Times New Roman" w:hAnsi="Times New Roman"/>
                  <w:spacing w:val="0"/>
                  <w:sz w:val="20"/>
                </w:rPr>
                <w:t>Unresolved Staff Comments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38</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1C.</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5">
              <w:r>
                <w:rPr>
                  <w:rStyle w:val="InternetLink"/>
                  <w:rFonts w:ascii="Times New Roman" w:hAnsi="Times New Roman"/>
                  <w:spacing w:val="0"/>
                  <w:sz w:val="20"/>
                </w:rPr>
                <w:t>Cybersecurity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38</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2.</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6">
              <w:r>
                <w:rPr>
                  <w:rStyle w:val="InternetLink"/>
                  <w:rFonts w:ascii="Times New Roman" w:hAnsi="Times New Roman"/>
                  <w:spacing w:val="0"/>
                  <w:sz w:val="20"/>
                </w:rPr>
                <w:t>Properties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40</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3.</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7">
              <w:r>
                <w:rPr>
                  <w:rStyle w:val="InternetLink"/>
                  <w:rFonts w:ascii="Times New Roman" w:hAnsi="Times New Roman"/>
                  <w:spacing w:val="0"/>
                  <w:sz w:val="20"/>
                </w:rPr>
                <w:t>Legal Proceedings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40</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4.</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8">
              <w:r>
                <w:rPr>
                  <w:rStyle w:val="InternetLink"/>
                  <w:rFonts w:ascii="Times New Roman" w:hAnsi="Times New Roman"/>
                  <w:spacing w:val="0"/>
                  <w:sz w:val="20"/>
                </w:rPr>
                <w:t>Mine Safety Disclosures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40</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0"/>
              <w:jc w:val="left"/>
              <w:rPr/>
            </w:pPr>
            <w:hyperlink w:anchor="toc183811_9">
              <w:r>
                <w:rPr>
                  <w:rStyle w:val="InternetLink"/>
                  <w:rFonts w:ascii="Times New Roman" w:hAnsi="Times New Roman"/>
                  <w:b/>
                  <w:spacing w:val="0"/>
                  <w:sz w:val="20"/>
                </w:rPr>
                <w:t>PART II</w:t>
              </w:r>
            </w:hyperlink>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5.</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0">
              <w:r>
                <w:rPr>
                  <w:rStyle w:val="InternetLink"/>
                  <w:rFonts w:ascii="Times New Roman" w:hAnsi="Times New Roman"/>
                  <w:spacing w:val="0"/>
                  <w:sz w:val="20"/>
                </w:rPr>
                <w:t>Market for Registrant’s Common Equity, Related Stockholder Matters and Issuer Purchases of Equity Securities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41</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6.</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1">
              <w:r>
                <w:rPr>
                  <w:rStyle w:val="InternetLink"/>
                  <w:rFonts w:ascii="Times New Roman" w:hAnsi="Times New Roman"/>
                  <w:spacing w:val="0"/>
                  <w:sz w:val="20"/>
                </w:rPr>
                <w:t>[Reserved]</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43</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7.</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2">
              <w:r>
                <w:rPr>
                  <w:rStyle w:val="InternetLink"/>
                  <w:rFonts w:ascii="Times New Roman" w:hAnsi="Times New Roman"/>
                  <w:spacing w:val="0"/>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43</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7A.</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3">
              <w:r>
                <w:rPr>
                  <w:rStyle w:val="InternetLink"/>
                  <w:rFonts w:ascii="Times New Roman" w:hAnsi="Times New Roman"/>
                  <w:spacing w:val="0"/>
                  <w:sz w:val="20"/>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61</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8.</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4">
              <w:r>
                <w:rPr>
                  <w:rStyle w:val="InternetLink"/>
                  <w:rFonts w:ascii="Times New Roman" w:hAnsi="Times New Roman"/>
                  <w:spacing w:val="0"/>
                  <w:sz w:val="20"/>
                </w:rPr>
                <w:t>Financial Statements and Supplementary Data</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9.</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5">
              <w:r>
                <w:rPr>
                  <w:rStyle w:val="InternetLink"/>
                  <w:rFonts w:ascii="Times New Roman" w:hAnsi="Times New Roman"/>
                  <w:spacing w:val="0"/>
                  <w:sz w:val="20"/>
                </w:rPr>
                <w:t>Changes in and Disagreements with Accountants on Accounting and Financial Disclosure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103</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9A.</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6">
              <w:r>
                <w:rPr>
                  <w:rStyle w:val="InternetLink"/>
                  <w:rFonts w:ascii="Times New Roman" w:hAnsi="Times New Roman"/>
                  <w:spacing w:val="0"/>
                  <w:sz w:val="20"/>
                </w:rPr>
                <w:t>Controls and Procedures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103</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9B.</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7">
              <w:r>
                <w:rPr>
                  <w:rStyle w:val="InternetLink"/>
                  <w:rFonts w:ascii="Times New Roman" w:hAnsi="Times New Roman"/>
                  <w:spacing w:val="0"/>
                  <w:sz w:val="20"/>
                </w:rPr>
                <w:t>Other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104</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9C.</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18">
              <w:r>
                <w:rPr>
                  <w:rStyle w:val="InternetLink"/>
                  <w:rFonts w:ascii="Times New Roman" w:hAnsi="Times New Roman"/>
                  <w:spacing w:val="0"/>
                  <w:sz w:val="20"/>
                </w:rPr>
                <w:t>Disclosure Regarding Foreign Jurisdictions that Prevent Inspections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104</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0"/>
              <w:jc w:val="left"/>
              <w:rPr/>
            </w:pPr>
            <w:hyperlink w:anchor="toc183811_19">
              <w:r>
                <w:rPr>
                  <w:rStyle w:val="InternetLink"/>
                  <w:rFonts w:ascii="Times New Roman" w:hAnsi="Times New Roman"/>
                  <w:b/>
                  <w:spacing w:val="0"/>
                  <w:sz w:val="20"/>
                </w:rPr>
                <w:t>PART III</w:t>
              </w:r>
            </w:hyperlink>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10.</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0">
              <w:r>
                <w:rPr>
                  <w:rStyle w:val="InternetLink"/>
                  <w:rFonts w:ascii="Times New Roman" w:hAnsi="Times New Roman"/>
                  <w:spacing w:val="0"/>
                  <w:sz w:val="20"/>
                </w:rPr>
                <w:t>Directors, Executive Officers and Corporate Governance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105</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11.</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1">
              <w:r>
                <w:rPr>
                  <w:rStyle w:val="InternetLink"/>
                  <w:rFonts w:ascii="Times New Roman" w:hAnsi="Times New Roman"/>
                  <w:spacing w:val="0"/>
                  <w:sz w:val="20"/>
                </w:rPr>
                <w:t>Executive Compensation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105</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12.</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2">
              <w:r>
                <w:rPr>
                  <w:rStyle w:val="InternetLink"/>
                  <w:rFonts w:ascii="Times New Roman" w:hAnsi="Times New Roman"/>
                  <w:spacing w:val="0"/>
                  <w:sz w:val="20"/>
                </w:rPr>
                <w:t>Security Ownership of Certain Beneficial Owners and Management and Related Stockholder Matters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105</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13.</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3">
              <w:r>
                <w:rPr>
                  <w:rStyle w:val="InternetLink"/>
                  <w:rFonts w:ascii="Times New Roman" w:hAnsi="Times New Roman"/>
                  <w:spacing w:val="0"/>
                  <w:sz w:val="20"/>
                </w:rPr>
                <w:t>Certain Relationships and Related Transactions, and Director Independence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105</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14.</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4">
              <w:r>
                <w:rPr>
                  <w:rStyle w:val="InternetLink"/>
                  <w:rFonts w:ascii="Times New Roman" w:hAnsi="Times New Roman"/>
                  <w:spacing w:val="0"/>
                  <w:sz w:val="20"/>
                </w:rPr>
                <w:t>Principal Accounting Fees and Services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105</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0"/>
              <w:jc w:val="left"/>
              <w:rPr/>
            </w:pPr>
            <w:hyperlink w:anchor="toc183811_25">
              <w:r>
                <w:rPr>
                  <w:rStyle w:val="InternetLink"/>
                  <w:rFonts w:ascii="Times New Roman" w:hAnsi="Times New Roman"/>
                  <w:b/>
                  <w:spacing w:val="0"/>
                  <w:sz w:val="20"/>
                </w:rPr>
                <w:t>PART IV</w:t>
              </w:r>
            </w:hyperlink>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15.</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6">
              <w:r>
                <w:rPr>
                  <w:rStyle w:val="InternetLink"/>
                  <w:rFonts w:ascii="Times New Roman" w:hAnsi="Times New Roman"/>
                  <w:spacing w:val="0"/>
                  <w:sz w:val="20"/>
                </w:rPr>
                <w:t>Exhibits and Financial Statement Schedules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106</w:t>
            </w:r>
          </w:p>
        </w:tc>
        <w:tc>
          <w:tcPr>
            <w:tcW w:w="76" w:type="dxa"/>
            <w:tcBorders/>
            <w:vAlign w:val="center"/>
          </w:tcPr>
          <w:p>
            <w:pPr>
              <w:pStyle w:val="TableContents"/>
              <w:bidi w:val="0"/>
              <w:spacing w:before="0" w:after="283"/>
              <w:jc w:val="left"/>
              <w:rPr/>
            </w:pPr>
            <w:r>
              <w:rPr/>
              <w:t> </w:t>
            </w:r>
          </w:p>
        </w:tc>
      </w:tr>
      <w:tr>
        <w:trPr/>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Item 16.</w:t>
            </w:r>
          </w:p>
        </w:tc>
        <w:tc>
          <w:tcPr>
            <w:tcW w:w="120" w:type="dxa"/>
            <w:tcBorders/>
            <w:vAlign w:val="center"/>
          </w:tcPr>
          <w:p>
            <w:pPr>
              <w:pStyle w:val="TableContents"/>
              <w:bidi w:val="0"/>
              <w:spacing w:before="0" w:after="283"/>
              <w:jc w:val="left"/>
              <w:rPr/>
            </w:pPr>
            <w:r>
              <w:rPr/>
              <w:t>  </w:t>
            </w:r>
          </w:p>
        </w:tc>
        <w:tc>
          <w:tcPr>
            <w:tcW w:w="7546" w:type="dxa"/>
            <w:tcBorders/>
            <w:vAlign w:val="center"/>
          </w:tcPr>
          <w:p>
            <w:pPr>
              <w:pStyle w:val="TableContents"/>
              <w:bidi w:val="0"/>
              <w:spacing w:before="0" w:after="0"/>
              <w:jc w:val="left"/>
              <w:rPr/>
            </w:pPr>
            <w:hyperlink w:anchor="toc183811_27">
              <w:r>
                <w:rPr>
                  <w:rStyle w:val="InternetLink"/>
                  <w:rFonts w:ascii="Times New Roman" w:hAnsi="Times New Roman"/>
                  <w:spacing w:val="0"/>
                  <w:sz w:val="20"/>
                </w:rPr>
                <w:t>10-K</w:t>
              </w:r>
            </w:hyperlink>
            <w:hyperlink w:anchor="toc183811_27">
              <w:r>
                <w:rPr>
                  <w:rStyle w:val="InternetLink"/>
                  <w:rFonts w:ascii="Times New Roman" w:hAnsi="Times New Roman"/>
                  <w:sz w:val="20"/>
                </w:rPr>
                <w:t xml:space="preserve"> Summary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110</w:t>
            </w:r>
          </w:p>
        </w:tc>
        <w:tc>
          <w:tcPr>
            <w:tcW w:w="76" w:type="dxa"/>
            <w:tcBorders/>
            <w:vAlign w:val="center"/>
          </w:tcPr>
          <w:p>
            <w:pPr>
              <w:pStyle w:val="TableContents"/>
              <w:bidi w:val="0"/>
              <w:spacing w:before="0" w:after="283"/>
              <w:jc w:val="left"/>
              <w:rPr/>
            </w:pPr>
            <w:r>
              <w:rPr/>
              <w:t> </w:t>
            </w:r>
          </w:p>
        </w:tc>
      </w:tr>
      <w:tr>
        <w:trPr/>
        <w:tc>
          <w:tcPr>
            <w:tcW w:w="9494" w:type="dxa"/>
            <w:gridSpan w:val="5"/>
            <w:tcBorders/>
            <w:vAlign w:val="center"/>
          </w:tcPr>
          <w:p>
            <w:pPr>
              <w:pStyle w:val="TableContents"/>
              <w:bidi w:val="0"/>
              <w:spacing w:before="0" w:after="0"/>
              <w:jc w:val="left"/>
              <w:rPr/>
            </w:pPr>
            <w:hyperlink w:anchor="toc183811_28">
              <w:r>
                <w:rPr>
                  <w:rStyle w:val="InternetLink"/>
                  <w:rFonts w:ascii="Times New Roman" w:hAnsi="Times New Roman"/>
                  <w:b/>
                  <w:spacing w:val="0"/>
                  <w:sz w:val="20"/>
                </w:rPr>
                <w:t>SIGNATURES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111</w:t>
            </w:r>
          </w:p>
        </w:tc>
        <w:tc>
          <w:tcPr>
            <w:tcW w:w="76"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PART I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We have made statements in this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2023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Statements made in this Report, unless the context otherwise requires, include the use of the terms “us,” “we,” “our,” the “Company” and “Magnachip” to refer to Magnachip Semiconductor Corporation and its consolidated subsidiaries. The term “Korea” refers to the Republic of Korea or South Korea. On September 1, 2020, we completed the sale of our Foundry Services Group business and our fabrication facility located in Cheongju, Korea to SK keyfoundry Inc. Unless otherwise noted herein, historical operational metrics presented herein do not include those of the Foundry Services Group. </w:t>
      </w:r>
    </w:p>
    <w:p>
      <w:pPr>
        <w:pStyle w:val="TextBody"/>
        <w:bidi w:val="0"/>
        <w:spacing w:before="480" w:after="0"/>
        <w:jc w:val="center"/>
        <w:rPr>
          <w:rFonts w:ascii="Times New Roman" w:hAnsi="Times New Roman"/>
          <w:b/>
          <w:spacing w:val="0"/>
          <w:sz w:val="20"/>
        </w:rPr>
      </w:pPr>
      <w:r>
        <w:rPr>
          <w:rFonts w:ascii="Times New Roman" w:hAnsi="Times New Roman"/>
          <w:b/>
          <w:spacing w:val="0"/>
          <w:sz w:val="20"/>
        </w:rPr>
        <w:t xml:space="preserve">SPECIAL NOTE REGARDING FORWARD-LOOKING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40" w:after="0"/>
        <w:jc w:val="left"/>
        <w:rPr>
          <w:spacing w:val="0"/>
        </w:rPr>
      </w:pPr>
      <w:r>
        <w:rPr>
          <w:spacing w:val="0"/>
        </w:rPr>
        <w:t>“</w:t>
      </w:r>
      <w:r>
        <w:rPr>
          <w:rFonts w:ascii="Times New Roman" w:hAnsi="Times New Roman"/>
          <w:spacing w:val="0"/>
          <w:sz w:val="20"/>
        </w:rPr>
        <w:t xml:space="preserve">Magnachip” is a registered trademark of us and our subsidiaries and “Magnachip Everywhere” is our registered trademark and service mark. All other product, service and company names mentioned in this Report are the service marks or trademarks of their respective owners.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Item 1. Business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General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a designer and manufacturer of analog and mixed-signal semiconductor platform solutions for communication, Internet of Things (“IoT”), consumer, computing, industrial and automotive applications. We have a proven record with more than 40 years of operating history, a portfolio of approximately 1,100 registered patents and pending applications and extensive engineering and manufacturing process expertise. Our standard products business includes our Display Solutions and Power Solutions business lines. Our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Our Power Solutions products include discrete and integrated circuit solutions for power management in communication, consumer, computing, servers, automotive, and industrial applications.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wide variety of our analog and mixed-signal semiconductor products allows us to address multiple high-growth end markets and rapidly develop and introduce new products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organic light emitting diodes (“OLEDs”) products are produced using external foundries. Through a strategic cooperation with external foundries, we strive to outsource wafers at competitive prices and produce quality products.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a long history of supplying and collaborating on product and technology development with leading innovators in the consumer electronics market. As a result, we have been able to strengthen our technology and develop products that are in high demand by our customers and end consumers. We sold approximately 400 distinct products in the year ended December 31, 2023 with a substantial portion of our revenues derived from a concentrated number of customers.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business is largely driven by innovation in the consumer electronics markets and the growing adoption by consumers of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year ended December 31, 2023, we generated total revenues of $230.1 million, net loss of $36.6 million, operating loss of $57.6 million, Adjusted EBITDA of negative $24.2 million, Adjusted Operating Loss of $41.2 million and Adjusted Net Loss of $22.5 million. See “Item 7. Management’s Discussion and Analysis of Financial Condition and Results of Operations” elsewhere in this Report for an explanation of our use of Adjusted EBITDA, Adjusted Operating Income (Loss) and Adjusted Net Income (Loss) and a reconciliation to net loss and operating loss prepared in accordance with United States Generally Accepted Accounting Principles (“U.S. GAAP”).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Our History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business was named “MagnaChip Semiconductor” when it was acquired from SK hynix Inc., formerly known as Hynix Semiconductor, Inc. (“SK hynix”), in October 2004.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March 10, 2011, we completed our initial public offering. In connection with our initial public offering, we converted from a Delaware limited liability company to a Delaware corporation.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December 30, 2020, we changed our name from “MagnaChip Semiconductor Corporation” to “Magnachip Semiconductor Corporation.”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May 30, 2023, we announced a plan to separate our standard products business, consisting of Display Solutions and Power Solutions business lines, into two different entities to better align our product strategies by enabling each entity to allocate its resources more effectively to the specific needs of its customers, as well as to enhance transparency, accountability and flexibility in business (the “Internal Separation”). To effectuate the Internal Separation, we reorganized our standard products business into two distinct businesses: (i) our Display IC and Power IC businesses, which are fabless businesses, were grouped together to form the Mixed-Signal Solutions (“MSS”) business, and (ii) our Power Discrete business, which is an integrated device manufacturing (“IDM”) business, became the Power Analog Solutions (“PAS”) business. On January 10, 2024, we completed the Internal Separation by forming a new Korean limited liability company named “Magnachip Mixed-Signal, Ltd.” and transferring the MSS business into such subsidiary. Following the Internal Separation, our MSS business is primarily operated by Magnachip Mixed-Signal, Ltd., and our PAS business is primarily operated by Magnachip Semiconductor, Ltd., our already-existing Korean operating company. Both companies are indirect wholly-owned subsidiaries of the Company.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Legacy Foundry Services Group Business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 2020, we completed the sale of our Foundry Services Group business and our fabrication facility located in Cheongju, Korea (known as “Fab 4”) to SK keyfoundry Inc. This sale was part of a strategic shift in our operational focus to our standard products business. The Foundry Services Group business provided specialty analog and mixed-signal foundry services mainly for fabless and Integrated Device Manufacturer semiconductor companies.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Our Products </w:t>
      </w:r>
    </w:p>
    <w:p>
      <w:pPr>
        <w:pStyle w:val="TextBody"/>
        <w:bidi w:val="0"/>
        <w:spacing w:before="120" w:after="0"/>
        <w:jc w:val="left"/>
        <w:rPr>
          <w:rFonts w:ascii="Times New Roman" w:hAnsi="Times New Roman"/>
          <w:sz w:val="20"/>
        </w:rPr>
      </w:pPr>
      <w:r>
        <w:rPr>
          <w:rFonts w:ascii="Times New Roman" w:hAnsi="Times New Roman"/>
          <w:sz w:val="20"/>
        </w:rPr>
        <w:t xml:space="preserve">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OLEDs and micro light emitting diode (“Micro LED”) televisions. Our Display Solutions products support the industry’s most advanced display technologies, such as OLEDs, and low temperature polysilicon thin film transistor (“LTPS TFT”), as well as high-volume display technologies such as amorphous silicon thin film transistors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(a-Si</w:t>
      </w:r>
    </w:p>
    <w:p>
      <w:pPr>
        <w:pStyle w:val="TextBody"/>
        <w:bidi w:val="0"/>
        <w:spacing w:before="120" w:after="0"/>
        <w:jc w:val="left"/>
        <w:rPr>
          <w:rFonts w:ascii="Times New Roman" w:hAnsi="Times New Roman"/>
          <w:sz w:val="20"/>
        </w:rPr>
      </w:pPr>
      <w:r>
        <w:rPr>
          <w:rFonts w:ascii="Times New Roman" w:hAnsi="Times New Roman"/>
          <w:sz w:val="20"/>
        </w:rPr>
        <w:t xml:space="preserve">TFTs). Since 2007, we have designed and manufactured OLED display driver integrated circuit (“IC”) products. Our current portfolio of OLED solutions address a wide range of resolutions ranging from HD (High Definition) to WQHD (Wide Quadruple High Definition) for wide range of applications including smartphones, TVs, automotive applications and IT applications such as monitors, notebook PCs, tablet PCs as well as AR/VRs. Our Display Solutions products represented 14.0%, 21.2% and 43.3% of our total revenues for the fiscal years ended December 31, 2023,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240" w:after="0"/>
        <w:jc w:val="left"/>
        <w:rPr>
          <w:rFonts w:ascii="Times New Roman" w:hAnsi="Times New Roman"/>
          <w:sz w:val="20"/>
        </w:rPr>
      </w:pPr>
      <w:r>
        <w:rPr>
          <w:rFonts w:ascii="Times New Roman" w:hAnsi="Times New Roman"/>
          <w:sz w:val="20"/>
        </w:rPr>
        <w:t xml:space="preserve">converters, LED drivers, regulators and power management integrated circuits (“PMICs”) for a range of devices, including televisions, smartphones, mobile phones, wearable devices, desktop PCs, notebooks, tablet PCs, other consumer electronics, automotive, and industrial applications such as power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photovoltaic inverters, LED lighting and motor drives. Our Power Solutions products represented 71.1%, 68.3% and 48.0% of our total revenues for the fiscal years ended December 31, 2023, 2022 and 2021,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market is large and is expanding its applications. Growth in this market is being driven by consumers seeking to enjoy a wide variety of rich media content, such as high definition audio and video, mobile devices, televisions and games. Recently, industrial applications such as power suppliers,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120" w:after="0"/>
        <w:jc w:val="left"/>
        <w:rPr>
          <w:rFonts w:ascii="Times New Roman" w:hAnsi="Times New Roman"/>
          <w:sz w:val="20"/>
        </w:rPr>
      </w:pPr>
      <w:r>
        <w:rPr>
          <w:rFonts w:ascii="Times New Roman" w:hAnsi="Times New Roman"/>
          <w:sz w:val="20"/>
        </w:rPr>
        <w:t xml:space="preserve">photovoltaic inverters, LED lighting, motor drives, and automotive applications such as on board chargers, electric motor drives, electric pumps, </w:t>
      </w:r>
    </w:p>
    <w:p>
      <w:pPr>
        <w:pStyle w:val="TextBody"/>
        <w:bidi w:val="0"/>
        <w:spacing w:before="120" w:after="0"/>
        <w:jc w:val="left"/>
        <w:rPr>
          <w:rFonts w:ascii="Times New Roman" w:hAnsi="Times New Roman"/>
          <w:spacing w:val="0"/>
          <w:sz w:val="20"/>
        </w:rPr>
      </w:pPr>
      <w:r>
        <w:rPr>
          <w:rFonts w:ascii="Times New Roman" w:hAnsi="Times New Roman"/>
          <w:spacing w:val="0"/>
          <w:sz w:val="20"/>
        </w:rPr>
        <w:t>DC-DC</w:t>
      </w:r>
    </w:p>
    <w:p>
      <w:pPr>
        <w:pStyle w:val="TextBody"/>
        <w:bidi w:val="0"/>
        <w:spacing w:before="120" w:after="0"/>
        <w:jc w:val="left"/>
        <w:rPr>
          <w:rFonts w:ascii="Times New Roman" w:hAnsi="Times New Roman"/>
          <w:sz w:val="20"/>
        </w:rPr>
      </w:pPr>
      <w:r>
        <w:rPr>
          <w:rFonts w:ascii="Times New Roman" w:hAnsi="Times New Roman"/>
          <w:sz w:val="20"/>
        </w:rPr>
        <w:t xml:space="preserve">converters and powertrain inverters in hybrid &amp; battery electric vehicle (HEV &amp; BEV) are also driving growth in the semiconductor market.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 These advanced generations of consumer devices are growing faster than the overall electronics device market.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semiconductors such as voltage regulators, converters and switches.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Requirements of Leading Electronic Devices Manufacturers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believe our target customers view the following characteristics and capabilities as key differentiating factors among available analog and mixed-signal semiconductor suppliers: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Broad Offering of Differentiated Products with Advanced System-Level Features and Functions.</w:t>
            </w:r>
          </w:p>
          <w:p>
            <w:pPr>
              <w:pStyle w:val="TableContents"/>
              <w:bidi w:val="0"/>
              <w:spacing w:before="0" w:after="0"/>
              <w:jc w:val="left"/>
              <w:rPr>
                <w:rFonts w:ascii="Times New Roman" w:hAnsi="Times New Roman"/>
                <w:sz w:val="20"/>
              </w:rPr>
            </w:pPr>
            <w:r>
              <w:rPr>
                <w:rFonts w:ascii="Times New Roman" w:hAnsi="Times New Roman"/>
                <w:sz w:val="20"/>
              </w:rPr>
              <w:t xml:space="preserve">Leading electronic devices manufacturers seek to 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and technologies that enable state of the art features and functions, such as bright and thin displays, small form factor and energy efficiency.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Fast </w:t>
            </w:r>
          </w:p>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Time-to-Market</w:t>
            </w:r>
          </w:p>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with New Products.</w:t>
            </w:r>
          </w:p>
          <w:p>
            <w:pPr>
              <w:pStyle w:val="TableContents"/>
              <w:bidi w:val="0"/>
              <w:spacing w:before="0" w:after="0"/>
              <w:jc w:val="left"/>
              <w:rPr>
                <w:rFonts w:ascii="Times New Roman" w:hAnsi="Times New Roman"/>
                <w:sz w:val="20"/>
              </w:rPr>
            </w:pPr>
            <w:r>
              <w:rPr>
                <w:rFonts w:ascii="Times New Roman" w:hAnsi="Times New Roman"/>
                <w:sz w:val="20"/>
              </w:rPr>
              <w:t xml:space="preserve">As a result of rapid technological advancements and short product lifecycles, our target customers typically prefer suppliers who have a compelling pipeline of new products and capacity to leverage a substantial intellectual property and technology base to accelerate product design and manufacturing when needed.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Ability to Deliver Cost Competitive Solutions.</w:t>
            </w:r>
          </w:p>
          <w:p>
            <w:pPr>
              <w:pStyle w:val="TableContents"/>
              <w:bidi w:val="0"/>
              <w:spacing w:before="0" w:after="0"/>
              <w:jc w:val="left"/>
              <w:rPr>
                <w:rFonts w:ascii="Times New Roman" w:hAnsi="Times New Roman"/>
                <w:sz w:val="20"/>
              </w:rPr>
            </w:pPr>
            <w:r>
              <w:rPr>
                <w:rFonts w:ascii="Times New Roman" w:hAnsi="Times New Roman"/>
                <w:sz w:val="20"/>
              </w:rPr>
              <w:t xml:space="preserve">Electronics manufacturers are under constant pressure to deliver cost-competitive solutions. To 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Focus on Delivering Highly Energy-Efficient Products.</w:t>
            </w:r>
          </w:p>
          <w:p>
            <w:pPr>
              <w:pStyle w:val="TableContents"/>
              <w:bidi w:val="0"/>
              <w:spacing w:before="0" w:after="0"/>
              <w:jc w:val="left"/>
              <w:rPr>
                <w:rFonts w:ascii="Times New Roman" w:hAnsi="Times New Roman"/>
                <w:sz w:val="20"/>
              </w:rPr>
            </w:pPr>
            <w:r>
              <w:rPr>
                <w:rFonts w:ascii="Times New Roman" w:hAnsi="Times New Roman"/>
                <w:sz w:val="20"/>
              </w:rPr>
              <w:t xml:space="preserve">Consumers increasingly seek longer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run-time,</w:t>
            </w:r>
          </w:p>
          <w:p>
            <w:pPr>
              <w:pStyle w:val="TableContents"/>
              <w:bidi w:val="0"/>
              <w:spacing w:before="0" w:after="0"/>
              <w:jc w:val="left"/>
              <w:rPr>
                <w:rFonts w:ascii="Times New Roman" w:hAnsi="Times New Roman"/>
                <w:sz w:val="20"/>
              </w:rPr>
            </w:pPr>
            <w:r>
              <w:rPr>
                <w:rFonts w:ascii="Times New Roman" w:hAnsi="Times New Roman"/>
                <w:sz w:val="20"/>
              </w:rPr>
              <w:t xml:space="preserve">environmentally friendly and energy-efficient consumer electronic products. In addition, there is an increasing regulatory focus on reducing energy consumption of consumer electronic products. As a result of a global focus on more environmentally friendly products, our customers are seeking analog and mixed-signal semiconductor suppliers that have the technological expertise to deliver solutions that satisfy these ever increasing regulatory and consumer power efficiency demands.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Our Competitive Strengths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Advanced Analog and Mixed-Signal Semiconductor Technology.</w:t>
            </w:r>
          </w:p>
          <w:p>
            <w:pPr>
              <w:pStyle w:val="TableContents"/>
              <w:bidi w:val="0"/>
              <w:spacing w:before="0" w:after="0"/>
              <w:jc w:val="left"/>
              <w:rPr>
                <w:rFonts w:ascii="Times New Roman" w:hAnsi="Times New Roman"/>
                <w:sz w:val="20"/>
              </w:rPr>
            </w:pPr>
            <w:r>
              <w:rPr>
                <w:rFonts w:ascii="Times New Roman" w:hAnsi="Times New Roman"/>
                <w:sz w:val="20"/>
              </w:rPr>
              <w:t xml:space="preserve">Our long operating history, large patent portfolio, extensive engineering and manufacturing process expertise and analog and mixed-signal intellectual property allow us to leverage our technology and develop new products across multiple end markets. Our product development efforts are supported by a team of over 220 engineers as of the date of this Annual Report. Our platform allows us to develop and introduce new products quickly and integrate numerous functions into a single product. For example, we were one of the first companies to introduce a commercial OLED display driver for mobile phones.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Established Relationships and Close Collaboration with Leading Global Electronics Companies. </w:t>
            </w:r>
          </w:p>
          <w:p>
            <w:pPr>
              <w:pStyle w:val="TableContents"/>
              <w:bidi w:val="0"/>
              <w:spacing w:before="0" w:after="0"/>
              <w:jc w:val="left"/>
              <w:rPr>
                <w:rFonts w:ascii="Times New Roman" w:hAnsi="Times New Roman"/>
                <w:sz w:val="20"/>
              </w:rPr>
            </w:pPr>
            <w:r>
              <w:rPr>
                <w:rFonts w:ascii="Times New Roman" w:hAnsi="Times New Roman"/>
                <w:sz w:val="20"/>
              </w:rPr>
              <w:t xml:space="preserve">We have a long history of supplying and collaborating on product and technology development with leading innovators in the consumer electronics market. Our close customer relationships have been built based on many years of close collaborative product development, which provides us with deep system-level knowledge and key insights into our customers’ needs. As a result, we are able to continuously strengthen our technology in areas of strategic interest for our customers and focus on those products that our customers and end consumers demand the most.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Longstanding Presence in Asia and Proximity to Global Electronics Devices Supply Chain. </w:t>
            </w:r>
          </w:p>
          <w:p>
            <w:pPr>
              <w:pStyle w:val="TableContents"/>
              <w:bidi w:val="0"/>
              <w:spacing w:before="0" w:after="0"/>
              <w:jc w:val="left"/>
              <w:rPr>
                <w:rFonts w:ascii="Times New Roman" w:hAnsi="Times New Roman"/>
                <w:sz w:val="20"/>
              </w:rPr>
            </w:pPr>
            <w:r>
              <w:rPr>
                <w:rFonts w:ascii="Times New Roman" w:hAnsi="Times New Roman"/>
                <w:sz w:val="20"/>
              </w:rPr>
              <w:t xml:space="preserve">Our presence in Asia facilitates close contact with 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Broad Portfolio of Product Offerings Targeting Large, High-Growth Markets. </w:t>
            </w:r>
          </w:p>
          <w:p>
            <w:pPr>
              <w:pStyle w:val="TableContents"/>
              <w:bidi w:val="0"/>
              <w:spacing w:before="0" w:after="0"/>
              <w:jc w:val="left"/>
              <w:rPr>
                <w:rFonts w:ascii="Times New Roman" w:hAnsi="Times New Roman"/>
                <w:sz w:val="20"/>
              </w:rPr>
            </w:pPr>
            <w:r>
              <w:rPr>
                <w:rFonts w:ascii="Times New Roman" w:hAnsi="Times New Roman"/>
                <w:sz w:val="20"/>
              </w:rPr>
              <w:t xml:space="preserve">We continue to develop a wide variety of analog and mixed-signal semiconductor solutions for multiple high-growth electronics device end markets. We believe our expanding product offerings allow us to provide additional products to new and existing customers and to cross-sell our products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Highly Efficient Manufacturing Capabilities.</w:t>
            </w:r>
          </w:p>
          <w:p>
            <w:pPr>
              <w:pStyle w:val="TableContents"/>
              <w:bidi w:val="0"/>
              <w:spacing w:before="0" w:after="0"/>
              <w:jc w:val="left"/>
              <w:rPr>
                <w:rFonts w:ascii="Times New Roman" w:hAnsi="Times New Roman"/>
                <w:sz w:val="20"/>
              </w:rPr>
            </w:pPr>
            <w:r>
              <w:rPr>
                <w:rFonts w:ascii="Times New Roman" w:hAnsi="Times New Roman"/>
                <w:sz w:val="20"/>
              </w:rPr>
              <w:t xml:space="preserve">Our manufacturing strategy is focused on optimizing our asset utilization across our display driver and power management products, which enables us to maintain the price competitiveness of our products through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low-cost</w:t>
            </w:r>
          </w:p>
          <w:p>
            <w:pPr>
              <w:pStyle w:val="TableContents"/>
              <w:bidi w:val="0"/>
              <w:spacing w:before="0" w:after="0"/>
              <w:jc w:val="left"/>
              <w:rPr>
                <w:rFonts w:ascii="Times New Roman" w:hAnsi="Times New Roman"/>
                <w:sz w:val="20"/>
              </w:rPr>
            </w:pPr>
            <w:r>
              <w:rPr>
                <w:rFonts w:ascii="Times New Roman" w:hAnsi="Times New Roman"/>
                <w:sz w:val="20"/>
              </w:rPr>
              <w:t xml:space="preserve">operating structure and improve our operational efficiency. We believe the location of our primary manufacturing and research and development facilities in Asia and the relatively low need for ongoing capital expenditures provide us with a number of cost advantages. Since 2007, we design and manufacture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12-inch</w:t>
            </w:r>
          </w:p>
          <w:p>
            <w:pPr>
              <w:pStyle w:val="TableContents"/>
              <w:bidi w:val="0"/>
              <w:spacing w:before="0" w:after="0"/>
              <w:jc w:val="left"/>
              <w:rPr>
                <w:rFonts w:ascii="Times New Roman" w:hAnsi="Times New Roman"/>
                <w:sz w:val="20"/>
              </w:rPr>
            </w:pPr>
            <w:r>
              <w:rPr>
                <w:rFonts w:ascii="Times New Roman" w:hAnsi="Times New Roman"/>
                <w:sz w:val="20"/>
              </w:rPr>
              <w:t xml:space="preserve">foundries starting in the second half of 2015 and we started outsourcing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8-inch</w:t>
            </w:r>
          </w:p>
          <w:p>
            <w:pPr>
              <w:pStyle w:val="TableContents"/>
              <w:bidi w:val="0"/>
              <w:spacing w:before="0" w:after="0"/>
              <w:jc w:val="left"/>
              <w:rPr>
                <w:rFonts w:ascii="Times New Roman" w:hAnsi="Times New Roman"/>
                <w:sz w:val="20"/>
              </w:rPr>
            </w:pPr>
            <w:r>
              <w:rPr>
                <w:rFonts w:ascii="Times New Roman" w:hAnsi="Times New Roman"/>
                <w:sz w:val="20"/>
              </w:rPr>
              <w:t xml:space="preserve">wafer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for OLED TV ICs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Our Strategy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objective is to grow our business, cash flow and profitability and to continue strengthening our position in the semiconductor industry as a leading provider of analog and mixed-signal semiconductor products for high-volume markets. Our business strategy emphasizes the following key elements: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Increase Business with Existing Customers. </w:t>
            </w:r>
          </w:p>
          <w:p>
            <w:pPr>
              <w:pStyle w:val="TableContents"/>
              <w:bidi w:val="0"/>
              <w:spacing w:before="0" w:after="0"/>
              <w:jc w:val="left"/>
              <w:rPr>
                <w:rFonts w:ascii="Times New Roman" w:hAnsi="Times New Roman"/>
                <w:sz w:val="20"/>
              </w:rPr>
            </w:pPr>
            <w:r>
              <w:rPr>
                <w:rFonts w:ascii="Times New Roman" w:hAnsi="Times New Roman"/>
                <w:sz w:val="20"/>
              </w:rPr>
              <w:t xml:space="preserve">We have a global customer base consisting of leading consumer electronics original equipment manufacturers (“OEMs”) that sell to multiple end markets. We intend to continue to strengthen our relationships with our customers by collaborating on critical design and product development in order to improve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design-win</w:t>
            </w:r>
          </w:p>
          <w:p>
            <w:pPr>
              <w:pStyle w:val="TableContents"/>
              <w:bidi w:val="0"/>
              <w:spacing w:before="0" w:after="0"/>
              <w:jc w:val="left"/>
              <w:rPr>
                <w:rFonts w:ascii="Times New Roman" w:hAnsi="Times New Roman"/>
                <w:sz w:val="20"/>
              </w:rPr>
            </w:pPr>
            <w:r>
              <w:rPr>
                <w:rFonts w:ascii="Times New Roman" w:hAnsi="Times New Roman"/>
                <w:sz w:val="20"/>
              </w:rPr>
              <w:t xml:space="preserve">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Broaden Our Customer Base.</w:t>
            </w:r>
          </w:p>
          <w:p>
            <w:pPr>
              <w:pStyle w:val="TableContents"/>
              <w:bidi w:val="0"/>
              <w:spacing w:before="0" w:after="0"/>
              <w:jc w:val="left"/>
              <w:rPr>
                <w:rFonts w:ascii="Times New Roman" w:hAnsi="Times New Roman"/>
                <w:sz w:val="20"/>
              </w:rPr>
            </w:pPr>
            <w:r>
              <w:rPr>
                <w:rFonts w:ascii="Times New Roman" w:hAnsi="Times New Roman"/>
                <w:sz w:val="20"/>
              </w:rPr>
              <w:t xml:space="preserve">We expect to continue to expand our global customer base, particularly in China, Hong Kong, and Taiwan,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with a particular focus on the growth of our power management business.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Drive Execution Excellence.</w:t>
            </w:r>
          </w:p>
          <w:p>
            <w:pPr>
              <w:pStyle w:val="TableContents"/>
              <w:bidi w:val="0"/>
              <w:spacing w:before="0" w:after="0"/>
              <w:jc w:val="left"/>
              <w:rPr/>
            </w:pPr>
            <w:r>
              <w:rPr/>
              <w:t> </w:t>
            </w:r>
            <w:r>
              <w:rPr>
                <w:rFonts w:ascii="Times New Roman" w:hAnsi="Times New Roman"/>
                <w:sz w:val="20"/>
              </w:rPr>
              <w:t xml:space="preserve">We intend to improve our execution through a number of management initiatives, new processes for product 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Return on Capital Investments and Cash Flow Generation. </w:t>
            </w:r>
          </w:p>
          <w:p>
            <w:pPr>
              <w:pStyle w:val="TableContents"/>
              <w:bidi w:val="0"/>
              <w:spacing w:before="0" w:after="0"/>
              <w:jc w:val="left"/>
              <w:rPr>
                <w:rFonts w:ascii="Times New Roman" w:hAnsi="Times New Roman"/>
                <w:sz w:val="20"/>
              </w:rPr>
            </w:pPr>
            <w:r>
              <w:rPr>
                <w:rFonts w:ascii="Times New Roman" w:hAnsi="Times New Roman"/>
                <w:sz w:val="20"/>
              </w:rPr>
              <w:t xml:space="preserve">We manufacture most of our Display Solutions products at external foundries. Through strategic cooperation with external foundries, we are able to adapt dynamically to changing customer requirements and address growing markets without substantial capital investments. We manufacture our Power Solutions products by utilizing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in-house</w:t>
            </w:r>
          </w:p>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facility and external foundry to address a broad portfolio of power products while we seek to maximize return on capital investments and our cash flow generation. We intend to keep our capital expenditures relatively low by maintaining our focus on specialty process technologies that do not require substantial investment in frequent upgrades to the latest manufacturing equipment. However, from time to time, we make special investments to enhance our manufacturing capabilities by investing in new equipment and expanding our facility, which we expect will have a positive impact on our future new product development and revenue, particularly during the period of global shortage of capacity.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Our Technology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Our goal is to leverage our experience and development initiatives across multiple end markets and utilize our understanding of system-level issues our customers face to introduce new technologies that enable our customers to develop more advanced, higher performance products. </w:t>
      </w:r>
    </w:p>
    <w:p>
      <w:pPr>
        <w:pStyle w:val="TextBody"/>
        <w:bidi w:val="0"/>
        <w:spacing w:before="240" w:after="0"/>
        <w:jc w:val="left"/>
        <w:rPr>
          <w:rFonts w:ascii="Times New Roman" w:hAnsi="Times New Roman"/>
          <w:sz w:val="20"/>
        </w:rPr>
      </w:pPr>
      <w:r>
        <w:rPr>
          <w:rFonts w:ascii="Times New Roman" w:hAnsi="Times New Roman"/>
          <w:sz w:val="20"/>
        </w:rPr>
        <w:t xml:space="preserve">Our display technology portfolio includes building blocks for display drivers and timing controllers, processor and interface technologies, as well as sophisticated production techniques, such 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chip-on-glass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(COG), </w:t>
      </w:r>
    </w:p>
    <w:p>
      <w:pPr>
        <w:pStyle w:val="TextBody"/>
        <w:bidi w:val="0"/>
        <w:spacing w:before="0" w:after="0"/>
        <w:jc w:val="left"/>
        <w:rPr>
          <w:rFonts w:ascii="Times New Roman" w:hAnsi="Times New Roman"/>
          <w:spacing w:val="0"/>
          <w:sz w:val="20"/>
        </w:rPr>
      </w:pPr>
      <w:r>
        <w:rPr>
          <w:rFonts w:ascii="Times New Roman" w:hAnsi="Times New Roman"/>
          <w:spacing w:val="0"/>
          <w:sz w:val="20"/>
        </w:rPr>
        <w:t>chip-on-film</w:t>
      </w:r>
    </w:p>
    <w:p>
      <w:pPr>
        <w:pStyle w:val="TextBody"/>
        <w:bidi w:val="0"/>
        <w:spacing w:before="0" w:after="0"/>
        <w:jc w:val="left"/>
        <w:rPr>
          <w:rFonts w:ascii="Times New Roman" w:hAnsi="Times New Roman"/>
          <w:sz w:val="20"/>
        </w:rPr>
      </w:pPr>
      <w:r>
        <w:rPr>
          <w:rFonts w:ascii="Times New Roman" w:hAnsi="Times New Roman"/>
          <w:sz w:val="20"/>
        </w:rPr>
        <w:t xml:space="preserve">(COF)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chip-on-plastic</w:t>
      </w:r>
    </w:p>
    <w:p>
      <w:pPr>
        <w:pStyle w:val="TextBody"/>
        <w:bidi w:val="0"/>
        <w:spacing w:before="0" w:after="0"/>
        <w:jc w:val="left"/>
        <w:rPr>
          <w:rFonts w:ascii="Times New Roman" w:hAnsi="Times New Roman"/>
          <w:sz w:val="20"/>
        </w:rPr>
      </w:pPr>
      <w:r>
        <w:rPr>
          <w:rFonts w:ascii="Times New Roman" w:hAnsi="Times New Roman"/>
          <w:sz w:val="20"/>
        </w:rPr>
        <w:t xml:space="preserve">(COP) for rigid and flexible OLED displays. Our advanced display drivers incorporate Oxide, </w:t>
      </w:r>
    </w:p>
    <w:p>
      <w:pPr>
        <w:pStyle w:val="TextBody"/>
        <w:bidi w:val="0"/>
        <w:spacing w:before="0" w:after="0"/>
        <w:jc w:val="left"/>
        <w:rPr>
          <w:rFonts w:ascii="Times New Roman" w:hAnsi="Times New Roman"/>
          <w:spacing w:val="0"/>
          <w:sz w:val="20"/>
        </w:rPr>
      </w:pPr>
      <w:r>
        <w:rPr>
          <w:rFonts w:ascii="Times New Roman" w:hAnsi="Times New Roman"/>
          <w:spacing w:val="0"/>
          <w:sz w:val="20"/>
        </w:rPr>
        <w:t>Low-Temperature</w:t>
      </w:r>
    </w:p>
    <w:p>
      <w:pPr>
        <w:pStyle w:val="TextBody"/>
        <w:bidi w:val="0"/>
        <w:spacing w:before="0" w:after="0"/>
        <w:jc w:val="left"/>
        <w:rPr>
          <w:rFonts w:ascii="Times New Roman" w:hAnsi="Times New Roman"/>
          <w:sz w:val="20"/>
        </w:rPr>
      </w:pPr>
      <w:r>
        <w:rPr>
          <w:rFonts w:ascii="Times New Roman" w:hAnsi="Times New Roman"/>
          <w:sz w:val="20"/>
        </w:rPr>
        <w:t xml:space="preserve">Poly Silicon (LTPS), </w:t>
      </w:r>
    </w:p>
    <w:p>
      <w:pPr>
        <w:pStyle w:val="TextBody"/>
        <w:bidi w:val="0"/>
        <w:spacing w:before="0" w:after="0"/>
        <w:jc w:val="left"/>
        <w:rPr>
          <w:rFonts w:ascii="Times New Roman" w:hAnsi="Times New Roman"/>
          <w:spacing w:val="0"/>
          <w:sz w:val="20"/>
        </w:rPr>
      </w:pPr>
      <w:r>
        <w:rPr>
          <w:rFonts w:ascii="Times New Roman" w:hAnsi="Times New Roman"/>
          <w:spacing w:val="0"/>
          <w:sz w:val="20"/>
        </w:rPr>
        <w:t>Low-Temperature</w:t>
      </w:r>
    </w:p>
    <w:p>
      <w:pPr>
        <w:pStyle w:val="TextBody"/>
        <w:bidi w:val="0"/>
        <w:spacing w:before="0" w:after="0"/>
        <w:jc w:val="left"/>
        <w:rPr>
          <w:rFonts w:ascii="Times New Roman" w:hAnsi="Times New Roman"/>
          <w:sz w:val="20"/>
        </w:rPr>
      </w:pPr>
      <w:r>
        <w:rPr>
          <w:rFonts w:ascii="Times New Roman" w:hAnsi="Times New Roman"/>
          <w:sz w:val="20"/>
        </w:rPr>
        <w:t xml:space="preserve">Polycrystalline Oxide (LTPO) OLED panel technologies that enable the highest resolution displays. Furthermore, we are developing a broad intellectual property portfolio to improve the quality and the power efficiency of displays, including the development of our high speed interface, high quality image enhancement display data compression and optical compensation technology for OLED displays. </w:t>
      </w:r>
    </w:p>
    <w:p>
      <w:pPr>
        <w:pStyle w:val="TextBody"/>
        <w:bidi w:val="0"/>
        <w:spacing w:before="240" w:after="0"/>
        <w:jc w:val="left"/>
        <w:rPr>
          <w:rFonts w:ascii="Times New Roman" w:hAnsi="Times New Roman"/>
          <w:sz w:val="20"/>
        </w:rPr>
      </w:pPr>
      <w:r>
        <w:rPr>
          <w:rFonts w:ascii="Times New Roman" w:hAnsi="Times New Roman"/>
          <w:sz w:val="20"/>
        </w:rPr>
        <w:t xml:space="preserve">Expertise in ultra-high voltage (UHV), high voltage and deep trench BCDMOS process technologies, low power analog and mixed-signal design capabilities and packaging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240" w:after="0"/>
        <w:jc w:val="left"/>
        <w:rPr>
          <w:rFonts w:ascii="Times New Roman" w:hAnsi="Times New Roman"/>
          <w:sz w:val="20"/>
        </w:rPr>
      </w:pPr>
      <w:r>
        <w:rPr>
          <w:rFonts w:ascii="Times New Roman" w:hAnsi="Times New Roman"/>
          <w:sz w:val="20"/>
        </w:rPr>
        <w:t xml:space="preserve">are key requirements in the power management market. We are currently leveraging our capabilities in these areas with products such 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240" w:after="0"/>
        <w:jc w:val="left"/>
        <w:rPr>
          <w:rFonts w:ascii="Times New Roman" w:hAnsi="Times New Roman"/>
          <w:sz w:val="20"/>
        </w:rPr>
      </w:pPr>
      <w:r>
        <w:rPr>
          <w:rFonts w:ascii="Times New Roman" w:hAnsi="Times New Roman"/>
          <w:sz w:val="20"/>
        </w:rPr>
        <w:t xml:space="preserve">converters, LED drivers, regulators, PMICs, power MOSFETs and IGBTs. We believe our system-level understanding of applications such as LCD televisions, smartphones, computing, and servers, automotive, and industrial applications will allow us to more quickly develop and customize power management solutions for our customers in these markets.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Products by Business Line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broad portfolio of products addresses multiple high-growth, consumer-focused end markets. A key component of our product strategy is to supply multiple related product offerings to each of the end markets that we serve.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Display Solutions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Display Driver Characteristics.</w:t>
      </w:r>
    </w:p>
    <w:p>
      <w:pPr>
        <w:pStyle w:val="TextBody"/>
        <w:bidi w:val="0"/>
        <w:spacing w:before="120" w:after="0"/>
        <w:jc w:val="left"/>
        <w:rPr>
          <w:rFonts w:ascii="Times New Roman" w:hAnsi="Times New Roman"/>
          <w:sz w:val="20"/>
        </w:rPr>
      </w:pPr>
      <w:r>
        <w:rPr>
          <w:rFonts w:ascii="Times New Roman" w:hAnsi="Times New Roman"/>
          <w:sz w:val="20"/>
        </w:rPr>
        <w:t xml:space="preserve">Display drivers deliver defined analog voltages and currents that activate pixels to exhibit images on displays. The following key characteristics determine display driver performance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end-market</w:t>
      </w:r>
    </w:p>
    <w:p>
      <w:pPr>
        <w:pStyle w:val="TextBody"/>
        <w:bidi w:val="0"/>
        <w:spacing w:before="120" w:after="0"/>
        <w:jc w:val="left"/>
        <w:rPr>
          <w:rFonts w:ascii="Times New Roman" w:hAnsi="Times New Roman"/>
          <w:sz w:val="20"/>
        </w:rPr>
      </w:pPr>
      <w:r>
        <w:rPr>
          <w:rFonts w:ascii="Times New Roman" w:hAnsi="Times New Roman"/>
          <w:sz w:val="20"/>
        </w:rPr>
        <w:t xml:space="preserve">application: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Resolution and Number of Channels.</w:t>
            </w:r>
          </w:p>
          <w:p>
            <w:pPr>
              <w:pStyle w:val="TableContents"/>
              <w:bidi w:val="0"/>
              <w:spacing w:before="0" w:after="0"/>
              <w:jc w:val="left"/>
              <w:rPr>
                <w:rFonts w:ascii="Times New Roman" w:hAnsi="Times New Roman"/>
                <w:sz w:val="20"/>
              </w:rPr>
            </w:pPr>
            <w:r>
              <w:rPr>
                <w:rFonts w:ascii="Times New Roman" w:hAnsi="Times New Roman"/>
                <w:sz w:val="20"/>
              </w:rPr>
              <w:t xml:space="preserve">Resolution determines the level of detail displayed within an image and is defined by the number of pixels 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 </w:t>
            </w:r>
          </w:p>
        </w:tc>
      </w:tr>
    </w:tbl>
    <w:p>
      <w:pPr>
        <w:pStyle w:val="TextBody"/>
        <w:bidi w:val="0"/>
        <w:spacing w:before="0" w:after="0"/>
        <w:jc w:val="left"/>
        <w:rPr>
          <w:spacing w:val="0"/>
        </w:rPr>
      </w:pPr>
      <w:r>
        <w:rPr>
          <w:spacing w:val="0"/>
        </w:rPr>
        <w:t> </w:t>
      </w:r>
    </w:p>
    <w:tbl>
      <w:tblPr>
        <w:tblW w:w="7195" w:type="dxa"/>
        <w:jc w:val="left"/>
        <w:tblInd w:w="0" w:type="dxa"/>
        <w:tblLayout w:type="fixed"/>
        <w:tblCellMar>
          <w:top w:w="0" w:type="dxa"/>
          <w:left w:w="0" w:type="dxa"/>
          <w:bottom w:w="0" w:type="dxa"/>
          <w:right w:w="0" w:type="dxa"/>
        </w:tblCellMar>
      </w:tblPr>
      <w:tblGrid>
        <w:gridCol w:w="125"/>
        <w:gridCol w:w="60"/>
        <w:gridCol w:w="70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Color Depth. </w:t>
            </w:r>
          </w:p>
          <w:p>
            <w:pPr>
              <w:pStyle w:val="TableContents"/>
              <w:bidi w:val="0"/>
              <w:spacing w:before="0" w:after="0"/>
              <w:jc w:val="left"/>
              <w:rPr>
                <w:rFonts w:ascii="Times New Roman" w:hAnsi="Times New Roman"/>
                <w:sz w:val="20"/>
              </w:rPr>
            </w:pPr>
            <w:r>
              <w:rPr>
                <w:rFonts w:ascii="Times New Roman" w:hAnsi="Times New Roman"/>
                <w:sz w:val="20"/>
              </w:rPr>
              <w:t xml:space="preserve">Color depth is the number of colors that can be displayed on a panel. For example,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TFT-LCD</w:t>
            </w:r>
          </w:p>
          <w:p>
            <w:pPr>
              <w:pStyle w:val="TableContents"/>
              <w:bidi w:val="0"/>
              <w:spacing w:before="0" w:after="0"/>
              <w:jc w:val="left"/>
              <w:rPr>
                <w:rFonts w:ascii="Times New Roman" w:hAnsi="Times New Roman"/>
                <w:sz w:val="20"/>
              </w:rPr>
            </w:pPr>
            <w:r>
              <w:rPr>
                <w:rFonts w:ascii="Times New Roman" w:hAnsi="Times New Roman"/>
                <w:sz w:val="20"/>
              </w:rPr>
              <w:t xml:space="preserve">panels, 262 thousand colors are supported by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6-bit</w:t>
            </w:r>
          </w:p>
          <w:p>
            <w:pPr>
              <w:pStyle w:val="TableContents"/>
              <w:bidi w:val="0"/>
              <w:spacing w:before="0" w:after="0"/>
              <w:jc w:val="left"/>
              <w:rPr>
                <w:rFonts w:ascii="Times New Roman" w:hAnsi="Times New Roman"/>
                <w:sz w:val="20"/>
              </w:rPr>
            </w:pPr>
            <w:r>
              <w:rPr>
                <w:rFonts w:ascii="Times New Roman" w:hAnsi="Times New Roman"/>
                <w:sz w:val="20"/>
              </w:rPr>
              <w:t xml:space="preserve">source drivers; 16 million colors are supported by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8-bit</w:t>
            </w:r>
          </w:p>
          <w:p>
            <w:pPr>
              <w:pStyle w:val="TableContents"/>
              <w:bidi w:val="0"/>
              <w:spacing w:before="0" w:after="0"/>
              <w:jc w:val="left"/>
              <w:rPr>
                <w:rFonts w:ascii="Times New Roman" w:hAnsi="Times New Roman"/>
                <w:sz w:val="20"/>
              </w:rPr>
            </w:pPr>
            <w:r>
              <w:rPr>
                <w:rFonts w:ascii="Times New Roman" w:hAnsi="Times New Roman"/>
                <w:sz w:val="20"/>
              </w:rPr>
              <w:t xml:space="preserve">source drivers; and 1 billion colors are supported by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10-bit</w:t>
            </w:r>
          </w:p>
          <w:p>
            <w:pPr>
              <w:pStyle w:val="TableContents"/>
              <w:bidi w:val="0"/>
              <w:spacing w:before="0" w:after="0"/>
              <w:jc w:val="left"/>
              <w:rPr>
                <w:rFonts w:ascii="Times New Roman" w:hAnsi="Times New Roman"/>
                <w:sz w:val="20"/>
              </w:rPr>
            </w:pPr>
            <w:r>
              <w:rPr>
                <w:rFonts w:ascii="Times New Roman" w:hAnsi="Times New Roman"/>
                <w:sz w:val="20"/>
              </w:rPr>
              <w:t xml:space="preserve">source drivers.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Operational Voltage.</w:t>
            </w:r>
          </w:p>
          <w:p>
            <w:pPr>
              <w:pStyle w:val="TableContents"/>
              <w:bidi w:val="0"/>
              <w:spacing w:before="0" w:after="0"/>
              <w:jc w:val="left"/>
              <w:rPr>
                <w:rFonts w:ascii="Times New Roman" w:hAnsi="Times New Roman"/>
                <w:sz w:val="20"/>
              </w:rPr>
            </w:pPr>
            <w:r>
              <w:rPr>
                <w:rFonts w:ascii="Times New Roman" w:hAnsi="Times New Roman"/>
                <w:sz w:val="20"/>
              </w:rPr>
              <w:t xml:space="preserve">Display drivers are characterized by input and output voltages. Source drivers typically operate at input voltages from 1.62 to 3.6 volts and output voltages between 9 and 18 volts. Gate drivers typically operate at input voltages from 1.62 to 3.6 volts and output voltages from 30 to 45 volts. Lower input voltage results in lower power consumption and electromagnetic interference (EMI).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Gamma Curve. </w:t>
            </w:r>
          </w:p>
          <w:p>
            <w:pPr>
              <w:pStyle w:val="TableContents"/>
              <w:bidi w:val="0"/>
              <w:spacing w:before="0" w:after="0"/>
              <w:jc w:val="left"/>
              <w:rPr>
                <w:rFonts w:ascii="Times New Roman" w:hAnsi="Times New Roman"/>
                <w:sz w:val="20"/>
              </w:rPr>
            </w:pPr>
            <w:r>
              <w:rPr>
                <w:rFonts w:ascii="Times New Roman" w:hAnsi="Times New Roman"/>
                <w:sz w:val="20"/>
              </w:rPr>
              <w:t xml:space="preserve">The relationship between the light passing through a pixel and the voltage applied to the pixel by the source driver is referred to as the gamma curve. The gamma curve of the source driver can correct some imperfections in picture quality in a process generally known as gamma correction. Some advanced display drivers feature up to three independent gamma curves to facilitate this correction.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Driver Interface. </w:t>
            </w:r>
          </w:p>
          <w:p>
            <w:pPr>
              <w:pStyle w:val="TableContents"/>
              <w:bidi w:val="0"/>
              <w:spacing w:before="0" w:after="0"/>
              <w:jc w:val="left"/>
              <w:rPr>
                <w:rFonts w:ascii="Times New Roman" w:hAnsi="Times New Roman"/>
                <w:sz w:val="20"/>
              </w:rPr>
            </w:pPr>
            <w:r>
              <w:rPr>
                <w:rFonts w:ascii="Times New Roman" w:hAnsi="Times New Roman"/>
                <w:sz w:val="20"/>
              </w:rPr>
              <w:t xml:space="preserve">Driver interface refers to the connection between the timing controller and the display drivers. Display drivers increasingly require higher bandwidth interface technology to address the larger data transfer rate necessary for higher definition images. The principal types of interface technologies are embedded clock point to point interface (EPI),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mini-low</w:t>
            </w:r>
          </w:p>
          <w:p>
            <w:pPr>
              <w:pStyle w:val="TableContents"/>
              <w:bidi w:val="0"/>
              <w:spacing w:before="0" w:after="0"/>
              <w:jc w:val="left"/>
              <w:rPr>
                <w:rFonts w:ascii="Times New Roman" w:hAnsi="Times New Roman"/>
                <w:sz w:val="20"/>
              </w:rPr>
            </w:pPr>
            <w:r>
              <w:rPr>
                <w:rFonts w:ascii="Times New Roman" w:hAnsi="Times New Roman"/>
                <w:sz w:val="20"/>
              </w:rPr>
              <w:t xml:space="preserve">voltage differential signaling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(m-LVDS),</w:t>
            </w:r>
          </w:p>
          <w:p>
            <w:pPr>
              <w:pStyle w:val="TableContents"/>
              <w:bidi w:val="0"/>
              <w:spacing w:before="0" w:after="0"/>
              <w:jc w:val="left"/>
              <w:rPr>
                <w:rFonts w:ascii="Times New Roman" w:hAnsi="Times New Roman"/>
                <w:sz w:val="20"/>
              </w:rPr>
            </w:pPr>
            <w:r>
              <w:rPr>
                <w:rFonts w:ascii="Times New Roman" w:hAnsi="Times New Roman"/>
                <w:sz w:val="20"/>
              </w:rPr>
              <w:t xml:space="preserve">unified standard interface (USI) and mobile industry processor interface (“MIPI”). </w:t>
            </w:r>
          </w:p>
        </w:tc>
      </w:tr>
    </w:tbl>
    <w:p>
      <w:pPr>
        <w:pStyle w:val="TextBody"/>
        <w:bidi w:val="0"/>
        <w:spacing w:before="0" w:after="0"/>
        <w:jc w:val="left"/>
        <w:rPr>
          <w:spacing w:val="0"/>
        </w:rPr>
      </w:pPr>
      <w:r>
        <w:rPr>
          <w:spacing w:val="0"/>
        </w:rPr>
        <w:t> </w:t>
      </w:r>
    </w:p>
    <w:tbl>
      <w:tblPr>
        <w:tblW w:w="6925" w:type="dxa"/>
        <w:jc w:val="left"/>
        <w:tblInd w:w="0" w:type="dxa"/>
        <w:tblLayout w:type="fixed"/>
        <w:tblCellMar>
          <w:top w:w="0" w:type="dxa"/>
          <w:left w:w="0" w:type="dxa"/>
          <w:bottom w:w="0" w:type="dxa"/>
          <w:right w:w="0" w:type="dxa"/>
        </w:tblCellMar>
      </w:tblPr>
      <w:tblGrid>
        <w:gridCol w:w="125"/>
        <w:gridCol w:w="60"/>
        <w:gridCol w:w="67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Package Type. </w:t>
            </w:r>
          </w:p>
          <w:p>
            <w:pPr>
              <w:pStyle w:val="TableContents"/>
              <w:bidi w:val="0"/>
              <w:spacing w:before="0" w:after="0"/>
              <w:jc w:val="left"/>
              <w:rPr>
                <w:rFonts w:ascii="Times New Roman" w:hAnsi="Times New Roman"/>
                <w:sz w:val="20"/>
              </w:rPr>
            </w:pPr>
            <w:r>
              <w:rPr>
                <w:rFonts w:ascii="Times New Roman" w:hAnsi="Times New Roman"/>
                <w:sz w:val="20"/>
              </w:rPr>
              <w:t xml:space="preserve">The assembly of display drivers typically uses COF, COG and COP package types.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Large Display Solutions. </w:t>
            </w:r>
          </w:p>
          <w:p>
            <w:pPr>
              <w:pStyle w:val="TableContents"/>
              <w:bidi w:val="0"/>
              <w:spacing w:before="0" w:after="0"/>
              <w:jc w:val="left"/>
              <w:rPr>
                <w:rFonts w:ascii="Times New Roman" w:hAnsi="Times New Roman"/>
                <w:sz w:val="20"/>
              </w:rPr>
            </w:pPr>
            <w:r>
              <w:rPr>
                <w:rFonts w:ascii="Times New Roman" w:hAnsi="Times New Roman"/>
                <w:sz w:val="20"/>
              </w:rPr>
              <w:t xml:space="preserve">We provide display solutions for a wide range of flat panel display sizes used in LCD TVs, OLED TVs, Micro LED TVs as well as IT applications such as monitors, notebook PCs, tablet PCs, automobiles and public information displays.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have focused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features of our products, both in mass production and in customer qualification, which is the final stage of product development,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large-sized</w:t>
      </w:r>
    </w:p>
    <w:p>
      <w:pPr>
        <w:pStyle w:val="TextBody"/>
        <w:bidi w:val="0"/>
        <w:spacing w:before="240" w:after="0"/>
        <w:jc w:val="left"/>
        <w:rPr>
          <w:rFonts w:ascii="Times New Roman" w:hAnsi="Times New Roman"/>
          <w:sz w:val="20"/>
        </w:rPr>
      </w:pPr>
      <w:r>
        <w:rPr>
          <w:rFonts w:ascii="Times New Roman" w:hAnsi="Times New Roman"/>
          <w:sz w:val="20"/>
        </w:rPr>
        <w:t xml:space="preserve">displays: </w:t>
      </w:r>
    </w:p>
    <w:p>
      <w:pPr>
        <w:pStyle w:val="TextBody"/>
        <w:bidi w:val="0"/>
        <w:spacing w:before="0" w:after="0"/>
        <w:jc w:val="left"/>
        <w:rPr>
          <w:spacing w:val="0"/>
        </w:rPr>
      </w:pPr>
      <w:r>
        <w:rPr>
          <w:spacing w:val="0"/>
        </w:rPr>
        <w:t> </w:t>
      </w:r>
    </w:p>
    <w:tbl>
      <w:tblPr>
        <w:tblW w:w="8130" w:type="dxa"/>
        <w:jc w:val="left"/>
        <w:tblInd w:w="0" w:type="dxa"/>
        <w:tblLayout w:type="fixed"/>
        <w:tblCellMar>
          <w:top w:w="0" w:type="dxa"/>
          <w:left w:w="0" w:type="dxa"/>
          <w:bottom w:w="0" w:type="dxa"/>
          <w:right w:w="0" w:type="dxa"/>
        </w:tblCellMar>
      </w:tblPr>
      <w:tblGrid>
        <w:gridCol w:w="1775"/>
        <w:gridCol w:w="60"/>
        <w:gridCol w:w="3680"/>
        <w:gridCol w:w="60"/>
        <w:gridCol w:w="2555"/>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Product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Key Features</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Applications</w:t>
            </w:r>
          </w:p>
        </w:tc>
      </w:tr>
      <w:tr>
        <w:trPr/>
        <w:tc>
          <w:tcPr>
            <w:tcW w:w="17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TFT-LCD</w:t>
            </w:r>
          </w:p>
          <w:p>
            <w:pPr>
              <w:pStyle w:val="TableContents"/>
              <w:bidi w:val="0"/>
              <w:spacing w:before="0" w:after="0"/>
              <w:jc w:val="left"/>
              <w:rPr>
                <w:rFonts w:ascii="Times New Roman" w:hAnsi="Times New Roman"/>
                <w:sz w:val="20"/>
              </w:rPr>
            </w:pPr>
            <w:r>
              <w:rPr>
                <w:rFonts w:ascii="Times New Roman" w:hAnsi="Times New Roman"/>
                <w:sz w:val="20"/>
              </w:rPr>
              <w:t>Source Drivers</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480 to 1,542 output channels</w:t>
            </w:r>
          </w:p>
          <w:p>
            <w:pPr>
              <w:pStyle w:val="TableContents"/>
              <w:bidi w:val="0"/>
              <w:spacing w:before="0" w:after="0"/>
              <w:jc w:val="left"/>
              <w:rPr>
                <w:spacing w:val="0"/>
              </w:rPr>
            </w:pPr>
            <w:r>
              <w:rPr>
                <w:spacing w:val="0"/>
              </w:rPr>
              <w:t>•  </w:t>
            </w:r>
            <w:r>
              <w:rPr>
                <w:rFonts w:ascii="Times New Roman" w:hAnsi="Times New Roman"/>
                <w:spacing w:val="0"/>
                <w:sz w:val="20"/>
              </w:rPr>
              <w:t>6-bit</w:t>
            </w:r>
          </w:p>
          <w:p>
            <w:pPr>
              <w:pStyle w:val="TableContents"/>
              <w:bidi w:val="0"/>
              <w:spacing w:before="0" w:after="0"/>
              <w:jc w:val="left"/>
              <w:rPr>
                <w:rFonts w:ascii="Times New Roman" w:hAnsi="Times New Roman"/>
                <w:sz w:val="20"/>
              </w:rPr>
            </w:pPr>
            <w:r>
              <w:rPr>
                <w:rFonts w:ascii="Times New Roman" w:hAnsi="Times New Roman"/>
                <w:sz w:val="20"/>
              </w:rPr>
              <w:t xml:space="preserve">(262 thousand colors),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8-bit</w:t>
            </w:r>
          </w:p>
          <w:p>
            <w:pPr>
              <w:pStyle w:val="TableContents"/>
              <w:bidi w:val="0"/>
              <w:spacing w:before="0" w:after="0"/>
              <w:jc w:val="left"/>
              <w:rPr>
                <w:rFonts w:ascii="Times New Roman" w:hAnsi="Times New Roman"/>
                <w:sz w:val="20"/>
              </w:rPr>
            </w:pPr>
            <w:r>
              <w:rPr>
                <w:rFonts w:ascii="Times New Roman" w:hAnsi="Times New Roman"/>
                <w:sz w:val="20"/>
              </w:rPr>
              <w:t xml:space="preserve">(16 million colors),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10-bit</w:t>
            </w:r>
          </w:p>
          <w:p>
            <w:pPr>
              <w:pStyle w:val="TableContents"/>
              <w:bidi w:val="0"/>
              <w:spacing w:before="0" w:after="0"/>
              <w:jc w:val="left"/>
              <w:rPr>
                <w:rFonts w:ascii="Times New Roman" w:hAnsi="Times New Roman"/>
                <w:sz w:val="20"/>
              </w:rPr>
            </w:pPr>
            <w:r>
              <w:rPr>
                <w:rFonts w:ascii="Times New Roman" w:hAnsi="Times New Roman"/>
                <w:sz w:val="20"/>
              </w:rPr>
              <w:t>(1 billion colors)</w:t>
            </w:r>
          </w:p>
          <w:p>
            <w:pPr>
              <w:pStyle w:val="TableContents"/>
              <w:bidi w:val="0"/>
              <w:spacing w:before="0" w:after="0"/>
              <w:jc w:val="left"/>
              <w:rPr>
                <w:spacing w:val="0"/>
              </w:rPr>
            </w:pPr>
            <w:r>
              <w:rPr>
                <w:spacing w:val="0"/>
              </w:rPr>
              <w:t>•  </w:t>
            </w:r>
            <w:r>
              <w:rPr>
                <w:rFonts w:ascii="Times New Roman" w:hAnsi="Times New Roman"/>
                <w:spacing w:val="0"/>
                <w:sz w:val="20"/>
              </w:rPr>
              <w:t>Output voltage ranging from 9V to 18V</w:t>
            </w:r>
          </w:p>
          <w:p>
            <w:pPr>
              <w:pStyle w:val="TableContents"/>
              <w:bidi w:val="0"/>
              <w:spacing w:before="0" w:after="0"/>
              <w:jc w:val="left"/>
              <w:rPr>
                <w:spacing w:val="0"/>
              </w:rPr>
            </w:pPr>
            <w:r>
              <w:rPr>
                <w:spacing w:val="0"/>
              </w:rPr>
              <w:t>•  </w:t>
            </w:r>
            <w:r>
              <w:rPr>
                <w:rFonts w:ascii="Times New Roman" w:hAnsi="Times New Roman"/>
                <w:spacing w:val="0"/>
                <w:sz w:val="20"/>
              </w:rPr>
              <w:t>Low power consumption and low EMI</w:t>
            </w:r>
          </w:p>
          <w:p>
            <w:pPr>
              <w:pStyle w:val="TableContents"/>
              <w:bidi w:val="0"/>
              <w:spacing w:before="0" w:after="0"/>
              <w:jc w:val="left"/>
              <w:rPr>
                <w:spacing w:val="0"/>
              </w:rPr>
            </w:pPr>
            <w:r>
              <w:rPr>
                <w:spacing w:val="0"/>
              </w:rPr>
              <w:t>•  </w:t>
            </w:r>
            <w:r>
              <w:rPr>
                <w:rFonts w:ascii="Times New Roman" w:hAnsi="Times New Roman"/>
                <w:spacing w:val="0"/>
                <w:sz w:val="20"/>
              </w:rPr>
              <w:t>COF package types</w:t>
            </w:r>
          </w:p>
          <w:p>
            <w:pPr>
              <w:pStyle w:val="TableContents"/>
              <w:bidi w:val="0"/>
              <w:spacing w:before="0" w:after="20"/>
              <w:jc w:val="left"/>
              <w:rPr/>
            </w:pPr>
            <w:r>
              <w:rPr/>
              <w:t>•  </w:t>
            </w:r>
            <w:r>
              <w:rPr>
                <w:rFonts w:ascii="Times New Roman" w:hAnsi="Times New Roman"/>
                <w:sz w:val="20"/>
              </w:rPr>
              <w:t xml:space="preserve">EPI,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m-LVDS,</w:t>
            </w:r>
          </w:p>
          <w:p>
            <w:pPr>
              <w:pStyle w:val="TableContents"/>
              <w:bidi w:val="0"/>
              <w:spacing w:before="0" w:after="20"/>
              <w:jc w:val="left"/>
              <w:rPr>
                <w:rFonts w:ascii="Times New Roman" w:hAnsi="Times New Roman"/>
                <w:sz w:val="20"/>
              </w:rPr>
            </w:pPr>
            <w:r>
              <w:rPr>
                <w:rFonts w:ascii="Times New Roman" w:hAnsi="Times New Roman"/>
                <w:sz w:val="20"/>
              </w:rPr>
              <w:t>USI interface technologies</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LCD/LED TVs</w:t>
            </w:r>
          </w:p>
          <w:p>
            <w:pPr>
              <w:pStyle w:val="TableContents"/>
              <w:bidi w:val="0"/>
              <w:spacing w:before="0" w:after="0"/>
              <w:jc w:val="left"/>
              <w:rPr>
                <w:spacing w:val="0"/>
              </w:rPr>
            </w:pPr>
            <w:r>
              <w:rPr>
                <w:spacing w:val="0"/>
              </w:rPr>
              <w:t>•  </w:t>
            </w:r>
            <w:r>
              <w:rPr>
                <w:rFonts w:ascii="Times New Roman" w:hAnsi="Times New Roman"/>
                <w:spacing w:val="0"/>
                <w:sz w:val="20"/>
              </w:rPr>
              <w:t>Notebooks</w:t>
            </w:r>
          </w:p>
          <w:p>
            <w:pPr>
              <w:pStyle w:val="TableContents"/>
              <w:bidi w:val="0"/>
              <w:spacing w:before="0" w:after="0"/>
              <w:jc w:val="left"/>
              <w:rPr>
                <w:spacing w:val="0"/>
              </w:rPr>
            </w:pPr>
            <w:r>
              <w:rPr>
                <w:spacing w:val="0"/>
              </w:rPr>
              <w:t>•  </w:t>
            </w:r>
            <w:r>
              <w:rPr>
                <w:rFonts w:ascii="Times New Roman" w:hAnsi="Times New Roman"/>
                <w:spacing w:val="0"/>
                <w:sz w:val="20"/>
              </w:rPr>
              <w:t>LCD/LED monitors</w:t>
            </w:r>
          </w:p>
          <w:p>
            <w:pPr>
              <w:pStyle w:val="TableContents"/>
              <w:bidi w:val="0"/>
              <w:spacing w:before="0" w:after="20"/>
              <w:jc w:val="left"/>
              <w:rPr>
                <w:spacing w:val="0"/>
              </w:rPr>
            </w:pPr>
            <w:r>
              <w:rPr>
                <w:spacing w:val="0"/>
              </w:rPr>
              <w:t>•  </w:t>
            </w:r>
            <w:r>
              <w:rPr>
                <w:rFonts w:ascii="Times New Roman" w:hAnsi="Times New Roman"/>
                <w:spacing w:val="0"/>
                <w:sz w:val="20"/>
              </w:rPr>
              <w:t>Automotive</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TFT-LCD</w:t>
            </w:r>
          </w:p>
          <w:p>
            <w:pPr>
              <w:pStyle w:val="TableContents"/>
              <w:bidi w:val="0"/>
              <w:spacing w:before="0" w:after="0"/>
              <w:jc w:val="left"/>
              <w:rPr>
                <w:rFonts w:ascii="Times New Roman" w:hAnsi="Times New Roman"/>
                <w:sz w:val="20"/>
              </w:rPr>
            </w:pPr>
            <w:r>
              <w:rPr>
                <w:rFonts w:ascii="Times New Roman" w:hAnsi="Times New Roman"/>
                <w:sz w:val="20"/>
              </w:rPr>
              <w:t>Gate Drivers</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272 to 960 output channels</w:t>
            </w:r>
          </w:p>
          <w:p>
            <w:pPr>
              <w:pStyle w:val="TableContents"/>
              <w:bidi w:val="0"/>
              <w:spacing w:before="0" w:after="0"/>
              <w:jc w:val="left"/>
              <w:rPr>
                <w:spacing w:val="0"/>
              </w:rPr>
            </w:pPr>
            <w:r>
              <w:rPr>
                <w:spacing w:val="0"/>
              </w:rPr>
              <w:t>•  </w:t>
            </w:r>
            <w:r>
              <w:rPr>
                <w:rFonts w:ascii="Times New Roman" w:hAnsi="Times New Roman"/>
                <w:spacing w:val="0"/>
                <w:sz w:val="20"/>
              </w:rPr>
              <w:t>Output voltage ranging from 30V to 45V</w:t>
            </w:r>
          </w:p>
          <w:p>
            <w:pPr>
              <w:pStyle w:val="TableContents"/>
              <w:bidi w:val="0"/>
              <w:spacing w:before="0" w:after="20"/>
              <w:jc w:val="left"/>
              <w:rPr>
                <w:spacing w:val="0"/>
              </w:rPr>
            </w:pPr>
            <w:r>
              <w:rPr>
                <w:spacing w:val="0"/>
              </w:rPr>
              <w:t>•  </w:t>
            </w:r>
            <w:r>
              <w:rPr>
                <w:rFonts w:ascii="Times New Roman" w:hAnsi="Times New Roman"/>
                <w:spacing w:val="0"/>
                <w:sz w:val="20"/>
              </w:rPr>
              <w:t>COF and COG package types</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Tablet PCs</w:t>
            </w:r>
          </w:p>
          <w:p>
            <w:pPr>
              <w:pStyle w:val="TableContents"/>
              <w:bidi w:val="0"/>
              <w:spacing w:before="0" w:after="0"/>
              <w:jc w:val="left"/>
              <w:rPr>
                <w:spacing w:val="0"/>
              </w:rPr>
            </w:pPr>
            <w:r>
              <w:rPr>
                <w:spacing w:val="0"/>
              </w:rPr>
              <w:t>•  </w:t>
            </w:r>
            <w:r>
              <w:rPr>
                <w:rFonts w:ascii="Times New Roman" w:hAnsi="Times New Roman"/>
                <w:spacing w:val="0"/>
                <w:sz w:val="20"/>
              </w:rPr>
              <w:t>LCD/LED TVs</w:t>
            </w:r>
          </w:p>
          <w:p>
            <w:pPr>
              <w:pStyle w:val="TableContents"/>
              <w:bidi w:val="0"/>
              <w:spacing w:before="0" w:after="0"/>
              <w:jc w:val="left"/>
              <w:rPr>
                <w:spacing w:val="0"/>
              </w:rPr>
            </w:pPr>
            <w:r>
              <w:rPr>
                <w:spacing w:val="0"/>
              </w:rPr>
              <w:t>•  </w:t>
            </w:r>
            <w:r>
              <w:rPr>
                <w:rFonts w:ascii="Times New Roman" w:hAnsi="Times New Roman"/>
                <w:spacing w:val="0"/>
                <w:sz w:val="20"/>
              </w:rPr>
              <w:t>Notebooks</w:t>
            </w:r>
          </w:p>
          <w:p>
            <w:pPr>
              <w:pStyle w:val="TableContents"/>
              <w:bidi w:val="0"/>
              <w:spacing w:before="0" w:after="20"/>
              <w:jc w:val="left"/>
              <w:rPr>
                <w:spacing w:val="0"/>
              </w:rPr>
            </w:pPr>
            <w:r>
              <w:rPr>
                <w:spacing w:val="0"/>
              </w:rPr>
              <w:t>•  </w:t>
            </w:r>
            <w:r>
              <w:rPr>
                <w:rFonts w:ascii="Times New Roman" w:hAnsi="Times New Roman"/>
                <w:spacing w:val="0"/>
                <w:sz w:val="20"/>
              </w:rPr>
              <w:t>Automotive</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Timing Controllers</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Wide range of resolutions</w:t>
            </w:r>
          </w:p>
          <w:p>
            <w:pPr>
              <w:pStyle w:val="TableContents"/>
              <w:bidi w:val="0"/>
              <w:spacing w:before="0" w:after="0"/>
              <w:jc w:val="left"/>
              <w:rPr/>
            </w:pPr>
            <w:r>
              <w:rPr/>
              <w:t>•  </w:t>
            </w:r>
            <w:r>
              <w:rPr>
                <w:rFonts w:ascii="Times New Roman" w:hAnsi="Times New Roman"/>
                <w:sz w:val="20"/>
              </w:rPr>
              <w:t xml:space="preserve">EPI,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m-LVDS,</w:t>
            </w:r>
          </w:p>
          <w:p>
            <w:pPr>
              <w:pStyle w:val="TableContents"/>
              <w:bidi w:val="0"/>
              <w:spacing w:before="0" w:after="0"/>
              <w:jc w:val="left"/>
              <w:rPr>
                <w:rFonts w:ascii="Times New Roman" w:hAnsi="Times New Roman"/>
                <w:sz w:val="20"/>
              </w:rPr>
            </w:pPr>
            <w:r>
              <w:rPr>
                <w:rFonts w:ascii="Times New Roman" w:hAnsi="Times New Roman"/>
                <w:sz w:val="20"/>
              </w:rPr>
              <w:t xml:space="preserve">MIPI,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USI-T</w:t>
            </w:r>
          </w:p>
          <w:p>
            <w:pPr>
              <w:pStyle w:val="TableContents"/>
              <w:bidi w:val="0"/>
              <w:spacing w:before="0" w:after="0"/>
              <w:jc w:val="left"/>
              <w:rPr>
                <w:rFonts w:ascii="Times New Roman" w:hAnsi="Times New Roman"/>
                <w:sz w:val="20"/>
              </w:rPr>
            </w:pPr>
            <w:r>
              <w:rPr>
                <w:rFonts w:ascii="Times New Roman" w:hAnsi="Times New Roman"/>
                <w:sz w:val="20"/>
              </w:rPr>
              <w:t>interface technologies</w:t>
            </w:r>
          </w:p>
          <w:p>
            <w:pPr>
              <w:pStyle w:val="TableContents"/>
              <w:bidi w:val="0"/>
              <w:spacing w:before="0" w:after="20"/>
              <w:jc w:val="left"/>
              <w:rPr>
                <w:spacing w:val="0"/>
              </w:rPr>
            </w:pPr>
            <w:r>
              <w:rPr>
                <w:spacing w:val="0"/>
              </w:rPr>
              <w:t>•  </w:t>
            </w:r>
            <w:r>
              <w:rPr>
                <w:rFonts w:ascii="Times New Roman" w:hAnsi="Times New Roman"/>
                <w:spacing w:val="0"/>
                <w:sz w:val="20"/>
              </w:rPr>
              <w:t>Input voltage ranging from 1.6V to 3.6V</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Tablet PCs</w:t>
            </w:r>
          </w:p>
          <w:p>
            <w:pPr>
              <w:pStyle w:val="TableContents"/>
              <w:bidi w:val="0"/>
              <w:spacing w:before="0" w:after="20"/>
              <w:jc w:val="left"/>
              <w:rPr>
                <w:spacing w:val="0"/>
              </w:rPr>
            </w:pPr>
            <w:r>
              <w:rPr>
                <w:spacing w:val="0"/>
              </w:rPr>
              <w:t>•  </w:t>
            </w:r>
            <w:r>
              <w:rPr>
                <w:rFonts w:ascii="Times New Roman" w:hAnsi="Times New Roman"/>
                <w:spacing w:val="0"/>
                <w:sz w:val="20"/>
              </w:rPr>
              <w:t>Public information display</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OLED Source Drivers</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960 output channels</w:t>
            </w:r>
          </w:p>
          <w:p>
            <w:pPr>
              <w:pStyle w:val="TableContents"/>
              <w:bidi w:val="0"/>
              <w:spacing w:before="0" w:after="0"/>
              <w:jc w:val="left"/>
              <w:rPr>
                <w:spacing w:val="0"/>
              </w:rPr>
            </w:pPr>
            <w:r>
              <w:rPr>
                <w:spacing w:val="0"/>
              </w:rPr>
              <w:t>•  </w:t>
            </w:r>
            <w:r>
              <w:rPr>
                <w:rFonts w:ascii="Times New Roman" w:hAnsi="Times New Roman"/>
                <w:spacing w:val="0"/>
                <w:sz w:val="20"/>
              </w:rPr>
              <w:t>10 bit (1 billion colors)</w:t>
            </w:r>
          </w:p>
          <w:p>
            <w:pPr>
              <w:pStyle w:val="TableContents"/>
              <w:bidi w:val="0"/>
              <w:spacing w:before="0" w:after="0"/>
              <w:jc w:val="left"/>
              <w:rPr>
                <w:spacing w:val="0"/>
              </w:rPr>
            </w:pPr>
            <w:r>
              <w:rPr>
                <w:spacing w:val="0"/>
              </w:rPr>
              <w:t>•  </w:t>
            </w:r>
            <w:r>
              <w:rPr>
                <w:rFonts w:ascii="Times New Roman" w:hAnsi="Times New Roman"/>
                <w:spacing w:val="0"/>
                <w:sz w:val="20"/>
              </w:rPr>
              <w:t>Output voltage: 18V</w:t>
            </w:r>
          </w:p>
          <w:p>
            <w:pPr>
              <w:pStyle w:val="TableContents"/>
              <w:bidi w:val="0"/>
              <w:spacing w:before="0" w:after="0"/>
              <w:jc w:val="left"/>
              <w:rPr>
                <w:spacing w:val="0"/>
              </w:rPr>
            </w:pPr>
            <w:r>
              <w:rPr>
                <w:spacing w:val="0"/>
              </w:rPr>
              <w:t>•  </w:t>
            </w:r>
            <w:r>
              <w:rPr>
                <w:rFonts w:ascii="Times New Roman" w:hAnsi="Times New Roman"/>
                <w:spacing w:val="0"/>
                <w:sz w:val="20"/>
              </w:rPr>
              <w:t>COF package type</w:t>
            </w:r>
          </w:p>
          <w:p>
            <w:pPr>
              <w:pStyle w:val="TableContents"/>
              <w:bidi w:val="0"/>
              <w:spacing w:before="0" w:after="20"/>
              <w:jc w:val="left"/>
              <w:rPr>
                <w:spacing w:val="0"/>
              </w:rPr>
            </w:pPr>
            <w:r>
              <w:rPr>
                <w:spacing w:val="0"/>
              </w:rPr>
              <w:t>•  </w:t>
            </w:r>
            <w:r>
              <w:rPr>
                <w:rFonts w:ascii="Times New Roman" w:hAnsi="Times New Roman"/>
                <w:spacing w:val="0"/>
                <w:sz w:val="20"/>
              </w:rPr>
              <w:t>EPI interface technology</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OLED TVs</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Micro LED Drivers</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480 to 552 output channels (3 Mux)</w:t>
            </w:r>
          </w:p>
          <w:p>
            <w:pPr>
              <w:pStyle w:val="TableContents"/>
              <w:bidi w:val="0"/>
              <w:spacing w:before="0" w:after="0"/>
              <w:jc w:val="left"/>
              <w:rPr>
                <w:spacing w:val="0"/>
              </w:rPr>
            </w:pPr>
            <w:r>
              <w:rPr>
                <w:spacing w:val="0"/>
              </w:rPr>
              <w:t>•  </w:t>
            </w:r>
            <w:r>
              <w:rPr>
                <w:rFonts w:ascii="Times New Roman" w:hAnsi="Times New Roman"/>
                <w:spacing w:val="0"/>
                <w:sz w:val="20"/>
              </w:rPr>
              <w:t>10 bit (1 billion colors)</w:t>
            </w:r>
          </w:p>
          <w:p>
            <w:pPr>
              <w:pStyle w:val="TableContents"/>
              <w:bidi w:val="0"/>
              <w:spacing w:before="0" w:after="0"/>
              <w:jc w:val="left"/>
              <w:rPr>
                <w:spacing w:val="0"/>
              </w:rPr>
            </w:pPr>
            <w:r>
              <w:rPr>
                <w:spacing w:val="0"/>
              </w:rPr>
              <w:t>•  </w:t>
            </w:r>
            <w:r>
              <w:rPr>
                <w:rFonts w:ascii="Times New Roman" w:hAnsi="Times New Roman"/>
                <w:spacing w:val="0"/>
                <w:sz w:val="20"/>
              </w:rPr>
              <w:t>Output voltage: max 18V</w:t>
            </w:r>
          </w:p>
          <w:p>
            <w:pPr>
              <w:pStyle w:val="TableContents"/>
              <w:bidi w:val="0"/>
              <w:spacing w:before="0" w:after="0"/>
              <w:jc w:val="left"/>
              <w:rPr>
                <w:spacing w:val="0"/>
              </w:rPr>
            </w:pPr>
            <w:r>
              <w:rPr>
                <w:spacing w:val="0"/>
              </w:rPr>
              <w:t>•  </w:t>
            </w:r>
            <w:r>
              <w:rPr>
                <w:rFonts w:ascii="Times New Roman" w:hAnsi="Times New Roman"/>
                <w:spacing w:val="0"/>
                <w:sz w:val="20"/>
              </w:rPr>
              <w:t>COF package type</w:t>
            </w:r>
          </w:p>
          <w:p>
            <w:pPr>
              <w:pStyle w:val="TableContents"/>
              <w:bidi w:val="0"/>
              <w:spacing w:before="0" w:after="20"/>
              <w:jc w:val="left"/>
              <w:rPr>
                <w:spacing w:val="0"/>
              </w:rPr>
            </w:pPr>
            <w:r>
              <w:rPr>
                <w:spacing w:val="0"/>
              </w:rPr>
              <w:t>•  </w:t>
            </w:r>
            <w:r>
              <w:rPr>
                <w:rFonts w:ascii="Times New Roman" w:hAnsi="Times New Roman"/>
                <w:spacing w:val="0"/>
                <w:sz w:val="20"/>
              </w:rPr>
              <w:t>USI interface technology</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Micro LED TVs</w:t>
            </w:r>
          </w:p>
        </w:tc>
      </w:tr>
    </w:tbl>
    <w:p>
      <w:pPr>
        <w:pStyle w:val="TextBody"/>
        <w:bidi w:val="0"/>
        <w:spacing w:lineRule="atLeast" w:line="160" w:before="0" w:after="40"/>
        <w:jc w:val="left"/>
        <w:rPr>
          <w:spacing w:val="0"/>
        </w:rPr>
      </w:pPr>
      <w:r>
        <w:rPr>
          <w:spacing w:val="0"/>
        </w:rPr>
        <w:t>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Mobile Display Solutions.</w:t>
      </w:r>
    </w:p>
    <w:p>
      <w:pPr>
        <w:pStyle w:val="TextBody"/>
        <w:bidi w:val="0"/>
        <w:spacing w:before="240" w:after="0"/>
        <w:jc w:val="left"/>
        <w:rPr>
          <w:rFonts w:ascii="Times New Roman" w:hAnsi="Times New Roman"/>
          <w:sz w:val="20"/>
        </w:rPr>
      </w:pPr>
      <w:r>
        <w:rPr>
          <w:rFonts w:ascii="Times New Roman" w:hAnsi="Times New Roman"/>
          <w:sz w:val="20"/>
        </w:rPr>
        <w:t xml:space="preserve">Our mobile display solutions incorporate the industry’s most advanced display technologies, such as OLED and LTPS, as well as high-volume technologies such 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a-Si</w:t>
      </w:r>
    </w:p>
    <w:p>
      <w:pPr>
        <w:pStyle w:val="TextBody"/>
        <w:bidi w:val="0"/>
        <w:spacing w:before="240" w:after="0"/>
        <w:jc w:val="left"/>
        <w:rPr>
          <w:rFonts w:ascii="Times New Roman" w:hAnsi="Times New Roman"/>
          <w:sz w:val="20"/>
        </w:rPr>
      </w:pPr>
      <w:r>
        <w:rPr>
          <w:rFonts w:ascii="Times New Roman" w:hAnsi="Times New Roman"/>
          <w:sz w:val="20"/>
        </w:rPr>
        <w:t xml:space="preserve">TFT. Our mobile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 will also support our power management product development initiatives, as we leverage our system level understanding of power efficiency. Our OLED driver ICs can support various configurations such as high resolution from FHD+(2,880x1,284) to QHD+(3,360x1,440), wide aspect ratio from 16:9 to 21:9 and rigid and flexible OLED displays. In the transition to, and adoption of, 5G, fast responses and high frame rates such as 90Hz, 120Hz and 144Hz are becoming essential product offerings. To meet this new and evolving demand, we have developed and mass produced our OLED display driver IC, which supports 90Hz/120Hz/144Hz high frame rates.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features of our products, both in mass production and in customer qualification, which is the final stage of product development, for mobile displays: </w:t>
      </w:r>
    </w:p>
    <w:p>
      <w:pPr>
        <w:pStyle w:val="TextBody"/>
        <w:bidi w:val="0"/>
        <w:spacing w:before="0" w:after="0"/>
        <w:jc w:val="left"/>
        <w:rPr>
          <w:spacing w:val="0"/>
        </w:rPr>
      </w:pPr>
      <w:r>
        <w:rPr>
          <w:spacing w:val="0"/>
        </w:rPr>
        <w:t> </w:t>
      </w:r>
    </w:p>
    <w:tbl>
      <w:tblPr>
        <w:tblW w:w="8160" w:type="dxa"/>
        <w:jc w:val="left"/>
        <w:tblInd w:w="0" w:type="dxa"/>
        <w:tblLayout w:type="fixed"/>
        <w:tblCellMar>
          <w:top w:w="0" w:type="dxa"/>
          <w:left w:w="0" w:type="dxa"/>
          <w:bottom w:w="0" w:type="dxa"/>
          <w:right w:w="0" w:type="dxa"/>
        </w:tblCellMar>
      </w:tblPr>
      <w:tblGrid>
        <w:gridCol w:w="620"/>
        <w:gridCol w:w="120"/>
        <w:gridCol w:w="5165"/>
        <w:gridCol w:w="120"/>
        <w:gridCol w:w="213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Product</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Key Features</w:t>
            </w:r>
          </w:p>
        </w:tc>
        <w:tc>
          <w:tcPr>
            <w:tcW w:w="1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Applications</w:t>
            </w:r>
          </w:p>
        </w:tc>
      </w:tr>
      <w:tr>
        <w:trPr/>
        <w:tc>
          <w:tcPr>
            <w:tcW w:w="6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OLED</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Resolutions of HD720, WXGA, FHD, FHD+, QHD and QHD+</w:t>
            </w:r>
          </w:p>
          <w:p>
            <w:pPr>
              <w:pStyle w:val="TableContents"/>
              <w:bidi w:val="0"/>
              <w:spacing w:before="0" w:after="0"/>
              <w:jc w:val="left"/>
              <w:rPr>
                <w:spacing w:val="0"/>
              </w:rPr>
            </w:pPr>
            <w:r>
              <w:rPr>
                <w:spacing w:val="0"/>
              </w:rPr>
              <w:t>•  </w:t>
            </w:r>
            <w:r>
              <w:rPr>
                <w:rFonts w:ascii="Times New Roman" w:hAnsi="Times New Roman"/>
                <w:spacing w:val="0"/>
                <w:sz w:val="20"/>
              </w:rPr>
              <w:t>Aspect ratio from 16:9 to 21:9</w:t>
            </w:r>
          </w:p>
          <w:p>
            <w:pPr>
              <w:pStyle w:val="TableContents"/>
              <w:bidi w:val="0"/>
              <w:spacing w:before="0" w:after="0"/>
              <w:jc w:val="left"/>
              <w:rPr>
                <w:spacing w:val="0"/>
              </w:rPr>
            </w:pPr>
            <w:r>
              <w:rPr>
                <w:spacing w:val="0"/>
              </w:rPr>
              <w:t>•  </w:t>
            </w:r>
            <w:r>
              <w:rPr>
                <w:rFonts w:ascii="Times New Roman" w:hAnsi="Times New Roman"/>
                <w:spacing w:val="0"/>
                <w:sz w:val="20"/>
              </w:rPr>
              <w:t>Color depth of 1 billion</w:t>
            </w:r>
          </w:p>
          <w:p>
            <w:pPr>
              <w:pStyle w:val="TableContents"/>
              <w:bidi w:val="0"/>
              <w:spacing w:before="0" w:after="0"/>
              <w:jc w:val="left"/>
              <w:rPr>
                <w:spacing w:val="0"/>
              </w:rPr>
            </w:pPr>
            <w:r>
              <w:rPr>
                <w:spacing w:val="0"/>
              </w:rPr>
              <w:t>•  </w:t>
            </w:r>
            <w:r>
              <w:rPr>
                <w:rFonts w:ascii="Times New Roman" w:hAnsi="Times New Roman"/>
                <w:spacing w:val="0"/>
                <w:sz w:val="20"/>
              </w:rPr>
              <w:t>MIPI, eRVDS interface</w:t>
            </w:r>
          </w:p>
          <w:p>
            <w:pPr>
              <w:pStyle w:val="TableContents"/>
              <w:bidi w:val="0"/>
              <w:spacing w:before="0" w:after="0"/>
              <w:jc w:val="left"/>
              <w:rPr>
                <w:spacing w:val="0"/>
              </w:rPr>
            </w:pPr>
            <w:r>
              <w:rPr>
                <w:spacing w:val="0"/>
              </w:rPr>
              <w:t>•  </w:t>
            </w:r>
            <w:r>
              <w:rPr>
                <w:rFonts w:ascii="Times New Roman" w:hAnsi="Times New Roman"/>
                <w:spacing w:val="0"/>
                <w:sz w:val="20"/>
              </w:rPr>
              <w:t>Logic-based OTP</w:t>
            </w:r>
          </w:p>
          <w:p>
            <w:pPr>
              <w:pStyle w:val="TableContents"/>
              <w:bidi w:val="0"/>
              <w:spacing w:before="0" w:after="0"/>
              <w:jc w:val="left"/>
              <w:rPr>
                <w:spacing w:val="0"/>
              </w:rPr>
            </w:pPr>
            <w:r>
              <w:rPr>
                <w:spacing w:val="0"/>
              </w:rPr>
              <w:t>•  </w:t>
            </w:r>
            <w:r>
              <w:rPr>
                <w:rFonts w:ascii="Times New Roman" w:hAnsi="Times New Roman"/>
                <w:spacing w:val="0"/>
                <w:sz w:val="20"/>
              </w:rPr>
              <w:t>Image enhancement IP</w:t>
            </w:r>
          </w:p>
          <w:p>
            <w:pPr>
              <w:pStyle w:val="TableContents"/>
              <w:bidi w:val="0"/>
              <w:spacing w:before="0" w:after="20"/>
              <w:jc w:val="left"/>
              <w:rPr>
                <w:spacing w:val="0"/>
              </w:rPr>
            </w:pPr>
            <w:r>
              <w:rPr>
                <w:spacing w:val="0"/>
              </w:rPr>
              <w:t>•  </w:t>
            </w:r>
            <w:r>
              <w:rPr>
                <w:rFonts w:ascii="Times New Roman" w:hAnsi="Times New Roman"/>
                <w:spacing w:val="0"/>
                <w:sz w:val="20"/>
              </w:rPr>
              <w:t>Display data compression IP</w:t>
            </w:r>
          </w:p>
        </w:tc>
        <w:tc>
          <w:tcPr>
            <w:tcW w:w="1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Smartphones</w:t>
            </w:r>
          </w:p>
          <w:p>
            <w:pPr>
              <w:pStyle w:val="TableContents"/>
              <w:bidi w:val="0"/>
              <w:spacing w:before="0" w:after="0"/>
              <w:jc w:val="left"/>
              <w:rPr>
                <w:spacing w:val="0"/>
              </w:rPr>
            </w:pPr>
            <w:r>
              <w:rPr>
                <w:spacing w:val="0"/>
              </w:rPr>
              <w:t>•  </w:t>
            </w:r>
            <w:r>
              <w:rPr>
                <w:rFonts w:ascii="Times New Roman" w:hAnsi="Times New Roman"/>
                <w:spacing w:val="0"/>
                <w:sz w:val="20"/>
              </w:rPr>
              <w:t>Game consoles</w:t>
            </w:r>
          </w:p>
          <w:p>
            <w:pPr>
              <w:pStyle w:val="TableContents"/>
              <w:bidi w:val="0"/>
              <w:spacing w:before="0" w:after="0"/>
              <w:jc w:val="left"/>
              <w:rPr>
                <w:spacing w:val="0"/>
              </w:rPr>
            </w:pPr>
            <w:r>
              <w:rPr>
                <w:spacing w:val="0"/>
              </w:rPr>
              <w:t>•  </w:t>
            </w:r>
            <w:r>
              <w:rPr>
                <w:rFonts w:ascii="Times New Roman" w:hAnsi="Times New Roman"/>
                <w:spacing w:val="0"/>
                <w:sz w:val="20"/>
              </w:rPr>
              <w:t>Digital still cameras</w:t>
            </w:r>
          </w:p>
          <w:p>
            <w:pPr>
              <w:pStyle w:val="TableContents"/>
              <w:bidi w:val="0"/>
              <w:spacing w:before="0" w:after="0"/>
              <w:jc w:val="left"/>
              <w:rPr>
                <w:spacing w:val="0"/>
              </w:rPr>
            </w:pPr>
            <w:r>
              <w:rPr>
                <w:spacing w:val="0"/>
              </w:rPr>
              <w:t>•  </w:t>
            </w:r>
            <w:r>
              <w:rPr>
                <w:rFonts w:ascii="Times New Roman" w:hAnsi="Times New Roman"/>
                <w:spacing w:val="0"/>
                <w:sz w:val="20"/>
              </w:rPr>
              <w:t>Tablet PCs</w:t>
            </w:r>
          </w:p>
          <w:p>
            <w:pPr>
              <w:pStyle w:val="TableContents"/>
              <w:bidi w:val="0"/>
              <w:spacing w:before="0" w:after="0"/>
              <w:jc w:val="left"/>
              <w:rPr>
                <w:spacing w:val="0"/>
              </w:rPr>
            </w:pPr>
            <w:r>
              <w:rPr>
                <w:spacing w:val="0"/>
              </w:rPr>
              <w:t>•  </w:t>
            </w:r>
            <w:r>
              <w:rPr>
                <w:rFonts w:ascii="Times New Roman" w:hAnsi="Times New Roman"/>
                <w:spacing w:val="0"/>
                <w:sz w:val="20"/>
              </w:rPr>
              <w:t>Virtual reality headsets</w:t>
            </w:r>
          </w:p>
          <w:p>
            <w:pPr>
              <w:pStyle w:val="TableContents"/>
              <w:bidi w:val="0"/>
              <w:spacing w:before="0" w:after="20"/>
              <w:jc w:val="left"/>
              <w:rPr>
                <w:spacing w:val="0"/>
              </w:rPr>
            </w:pPr>
            <w:r>
              <w:rPr>
                <w:spacing w:val="0"/>
              </w:rPr>
              <w:t>•  </w:t>
            </w:r>
            <w:r>
              <w:rPr>
                <w:rFonts w:ascii="Times New Roman" w:hAnsi="Times New Roman"/>
                <w:spacing w:val="0"/>
                <w:sz w:val="20"/>
              </w:rPr>
              <w:t>Automotive</w:t>
            </w:r>
          </w:p>
        </w:tc>
      </w:tr>
      <w:tr>
        <w:trPr/>
        <w:tc>
          <w:tcPr>
            <w:tcW w:w="620" w:type="dxa"/>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LTPS</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Resolutions of VGA, WSVGA, WVGA and DVGA</w:t>
            </w:r>
          </w:p>
          <w:p>
            <w:pPr>
              <w:pStyle w:val="TableContents"/>
              <w:bidi w:val="0"/>
              <w:spacing w:before="0" w:after="0"/>
              <w:jc w:val="left"/>
              <w:rPr>
                <w:spacing w:val="0"/>
              </w:rPr>
            </w:pPr>
            <w:r>
              <w:rPr>
                <w:spacing w:val="0"/>
              </w:rPr>
              <w:t>•  </w:t>
            </w:r>
            <w:r>
              <w:rPr>
                <w:rFonts w:ascii="Times New Roman" w:hAnsi="Times New Roman"/>
                <w:spacing w:val="0"/>
                <w:sz w:val="20"/>
              </w:rPr>
              <w:t>Color depth of 16 million</w:t>
            </w:r>
          </w:p>
          <w:p>
            <w:pPr>
              <w:pStyle w:val="TableContents"/>
              <w:bidi w:val="0"/>
              <w:spacing w:before="0" w:after="0"/>
              <w:jc w:val="left"/>
              <w:rPr>
                <w:spacing w:val="0"/>
              </w:rPr>
            </w:pPr>
            <w:r>
              <w:rPr>
                <w:spacing w:val="0"/>
              </w:rPr>
              <w:t>•  </w:t>
            </w:r>
            <w:r>
              <w:rPr>
                <w:rFonts w:ascii="Times New Roman" w:hAnsi="Times New Roman"/>
                <w:spacing w:val="0"/>
                <w:sz w:val="20"/>
              </w:rPr>
              <w:t>MDDI, MIPI interface</w:t>
            </w:r>
          </w:p>
          <w:p>
            <w:pPr>
              <w:pStyle w:val="TableContents"/>
              <w:bidi w:val="0"/>
              <w:spacing w:before="0" w:after="0"/>
              <w:jc w:val="left"/>
              <w:rPr>
                <w:spacing w:val="0"/>
              </w:rPr>
            </w:pPr>
            <w:r>
              <w:rPr>
                <w:spacing w:val="0"/>
              </w:rPr>
              <w:t>•  </w:t>
            </w:r>
            <w:r>
              <w:rPr>
                <w:rFonts w:ascii="Times New Roman" w:hAnsi="Times New Roman"/>
                <w:spacing w:val="0"/>
                <w:sz w:val="20"/>
              </w:rPr>
              <w:t>Logic-based OTP</w:t>
            </w:r>
          </w:p>
          <w:p>
            <w:pPr>
              <w:pStyle w:val="TableContents"/>
              <w:bidi w:val="0"/>
              <w:spacing w:before="0" w:after="20"/>
              <w:jc w:val="left"/>
              <w:rPr>
                <w:spacing w:val="0"/>
              </w:rPr>
            </w:pPr>
            <w:r>
              <w:rPr>
                <w:spacing w:val="0"/>
              </w:rPr>
              <w:t>•  </w:t>
            </w:r>
            <w:r>
              <w:rPr>
                <w:rFonts w:ascii="Times New Roman" w:hAnsi="Times New Roman"/>
                <w:spacing w:val="0"/>
                <w:sz w:val="20"/>
              </w:rPr>
              <w:t>Separated gamma control</w:t>
            </w:r>
          </w:p>
        </w:tc>
        <w:tc>
          <w:tcPr>
            <w:tcW w:w="1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Smartphones</w:t>
            </w:r>
          </w:p>
          <w:p>
            <w:pPr>
              <w:pStyle w:val="TableContents"/>
              <w:bidi w:val="0"/>
              <w:spacing w:before="0" w:after="20"/>
              <w:jc w:val="left"/>
              <w:rPr>
                <w:spacing w:val="0"/>
              </w:rPr>
            </w:pPr>
            <w:r>
              <w:rPr>
                <w:spacing w:val="0"/>
              </w:rPr>
              <w:t>•  </w:t>
            </w:r>
            <w:r>
              <w:rPr>
                <w:rFonts w:ascii="Times New Roman" w:hAnsi="Times New Roman"/>
                <w:spacing w:val="0"/>
                <w:sz w:val="20"/>
              </w:rPr>
              <w:t>Digital still cameras</w:t>
            </w:r>
          </w:p>
        </w:tc>
      </w:tr>
      <w:tr>
        <w:trPr/>
        <w:tc>
          <w:tcPr>
            <w:tcW w:w="620" w:type="dxa"/>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a-Si</w:t>
            </w:r>
          </w:p>
          <w:p>
            <w:pPr>
              <w:pStyle w:val="TableContents"/>
              <w:bidi w:val="0"/>
              <w:spacing w:before="0" w:after="0"/>
              <w:jc w:val="left"/>
              <w:rPr>
                <w:rFonts w:ascii="Times New Roman" w:hAnsi="Times New Roman"/>
                <w:sz w:val="20"/>
              </w:rPr>
            </w:pPr>
            <w:r>
              <w:rPr>
                <w:rFonts w:ascii="Times New Roman" w:hAnsi="Times New Roman"/>
                <w:sz w:val="20"/>
              </w:rPr>
              <w:t>TFT</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Resolutions of WQVGA and HVGA</w:t>
            </w:r>
          </w:p>
          <w:p>
            <w:pPr>
              <w:pStyle w:val="TableContents"/>
              <w:bidi w:val="0"/>
              <w:spacing w:before="0" w:after="0"/>
              <w:jc w:val="left"/>
              <w:rPr>
                <w:spacing w:val="0"/>
              </w:rPr>
            </w:pPr>
            <w:r>
              <w:rPr>
                <w:spacing w:val="0"/>
              </w:rPr>
              <w:t>•  </w:t>
            </w:r>
            <w:r>
              <w:rPr>
                <w:rFonts w:ascii="Times New Roman" w:hAnsi="Times New Roman"/>
                <w:spacing w:val="0"/>
                <w:sz w:val="20"/>
              </w:rPr>
              <w:t>Color depth of 16 million</w:t>
            </w:r>
          </w:p>
          <w:p>
            <w:pPr>
              <w:pStyle w:val="TableContents"/>
              <w:bidi w:val="0"/>
              <w:spacing w:before="0" w:after="0"/>
              <w:jc w:val="left"/>
              <w:rPr>
                <w:spacing w:val="0"/>
              </w:rPr>
            </w:pPr>
            <w:r>
              <w:rPr>
                <w:spacing w:val="0"/>
              </w:rPr>
              <w:t>•  </w:t>
            </w:r>
            <w:r>
              <w:rPr>
                <w:rFonts w:ascii="Times New Roman" w:hAnsi="Times New Roman"/>
                <w:spacing w:val="0"/>
                <w:sz w:val="20"/>
              </w:rPr>
              <w:t>RSDS, MDDI, MIPI interface</w:t>
            </w:r>
          </w:p>
          <w:p>
            <w:pPr>
              <w:pStyle w:val="TableContents"/>
              <w:bidi w:val="0"/>
              <w:spacing w:before="0" w:after="0"/>
              <w:jc w:val="left"/>
              <w:rPr>
                <w:spacing w:val="0"/>
              </w:rPr>
            </w:pPr>
            <w:r>
              <w:rPr>
                <w:spacing w:val="0"/>
              </w:rPr>
              <w:t>•  </w:t>
            </w:r>
            <w:r>
              <w:rPr>
                <w:rFonts w:ascii="Times New Roman" w:hAnsi="Times New Roman"/>
                <w:spacing w:val="0"/>
                <w:sz w:val="20"/>
              </w:rPr>
              <w:t>CABC</w:t>
            </w:r>
          </w:p>
          <w:p>
            <w:pPr>
              <w:pStyle w:val="TableContents"/>
              <w:bidi w:val="0"/>
              <w:spacing w:before="0" w:after="20"/>
              <w:jc w:val="left"/>
              <w:rPr>
                <w:spacing w:val="0"/>
              </w:rPr>
            </w:pPr>
            <w:r>
              <w:rPr>
                <w:spacing w:val="0"/>
              </w:rPr>
              <w:t>•  </w:t>
            </w:r>
            <w:r>
              <w:rPr>
                <w:rFonts w:ascii="Times New Roman" w:hAnsi="Times New Roman"/>
                <w:spacing w:val="0"/>
                <w:sz w:val="20"/>
              </w:rPr>
              <w:t>Separated gamma control</w:t>
            </w:r>
          </w:p>
        </w:tc>
        <w:tc>
          <w:tcPr>
            <w:tcW w:w="1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Mobile phones</w:t>
            </w:r>
          </w:p>
          <w:p>
            <w:pPr>
              <w:pStyle w:val="TableContents"/>
              <w:bidi w:val="0"/>
              <w:spacing w:before="0" w:after="0"/>
              <w:jc w:val="left"/>
              <w:rPr>
                <w:spacing w:val="0"/>
              </w:rPr>
            </w:pPr>
            <w:r>
              <w:rPr>
                <w:spacing w:val="0"/>
              </w:rPr>
              <w:t>•  </w:t>
            </w:r>
            <w:r>
              <w:rPr>
                <w:rFonts w:ascii="Times New Roman" w:hAnsi="Times New Roman"/>
                <w:spacing w:val="0"/>
                <w:sz w:val="20"/>
              </w:rPr>
              <w:t>Digital still cameras</w:t>
            </w:r>
          </w:p>
          <w:p>
            <w:pPr>
              <w:pStyle w:val="TableContents"/>
              <w:bidi w:val="0"/>
              <w:spacing w:before="0" w:after="20"/>
              <w:jc w:val="left"/>
              <w:rPr>
                <w:spacing w:val="0"/>
              </w:rPr>
            </w:pPr>
            <w:r>
              <w:rPr>
                <w:spacing w:val="0"/>
              </w:rPr>
              <w:t>•  </w:t>
            </w:r>
            <w:r>
              <w:rPr>
                <w:rFonts w:ascii="Times New Roman" w:hAnsi="Times New Roman"/>
                <w:spacing w:val="0"/>
                <w:sz w:val="20"/>
              </w:rPr>
              <w:t>Automotive</w:t>
            </w:r>
          </w:p>
        </w:tc>
      </w:tr>
    </w:tbl>
    <w:p>
      <w:pPr>
        <w:pStyle w:val="TextBody"/>
        <w:bidi w:val="0"/>
        <w:spacing w:lineRule="atLeast" w:line="160" w:before="0" w:after="40"/>
        <w:jc w:val="left"/>
        <w:rPr>
          <w:spacing w:val="0"/>
        </w:rPr>
      </w:pPr>
      <w:r>
        <w:rPr>
          <w:spacing w:val="0"/>
        </w:rPr>
        <w: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Power Solutions </w:t>
      </w:r>
    </w:p>
    <w:p>
      <w:pPr>
        <w:pStyle w:val="TextBody"/>
        <w:bidi w:val="0"/>
        <w:spacing w:before="120" w:after="0"/>
        <w:jc w:val="left"/>
        <w:rPr>
          <w:rFonts w:ascii="Times New Roman" w:hAnsi="Times New Roman"/>
          <w:sz w:val="20"/>
        </w:rPr>
      </w:pPr>
      <w:r>
        <w:rPr>
          <w:rFonts w:ascii="Times New Roman" w:hAnsi="Times New Roman"/>
          <w:sz w:val="20"/>
        </w:rPr>
        <w:t xml:space="preserve">We develop, manufacture and market power management solutions for a wide range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end-market</w:t>
      </w:r>
    </w:p>
    <w:p>
      <w:pPr>
        <w:pStyle w:val="TextBody"/>
        <w:bidi w:val="0"/>
        <w:spacing w:before="120" w:after="0"/>
        <w:jc w:val="left"/>
        <w:rPr>
          <w:rFonts w:ascii="Times New Roman" w:hAnsi="Times New Roman"/>
          <w:sz w:val="20"/>
        </w:rPr>
      </w:pPr>
      <w:r>
        <w:rPr>
          <w:rFonts w:ascii="Times New Roman" w:hAnsi="Times New Roman"/>
          <w:sz w:val="20"/>
        </w:rPr>
        <w:t xml:space="preserve">customers. The products include MOSFETs, IGBTs,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120" w:after="0"/>
        <w:jc w:val="left"/>
        <w:rPr>
          <w:rFonts w:ascii="Times New Roman" w:hAnsi="Times New Roman"/>
          <w:sz w:val="20"/>
        </w:rPr>
      </w:pPr>
      <w:r>
        <w:rPr>
          <w:rFonts w:ascii="Times New Roman" w:hAnsi="Times New Roman"/>
          <w:sz w:val="20"/>
        </w:rPr>
        <w:t xml:space="preserve">converters, LED drivers, regulators, PMICs for a range of devices, including LCD, LED, and UHD televisions, digital signage, smartphones, mobile phones, wearable devices, desktop PCs, notebooks, tablet PCs, other consumer electronics, consumer appliances, automotive, and industrial applications such as power suppliers,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120" w:after="0"/>
        <w:jc w:val="left"/>
        <w:rPr>
          <w:rFonts w:ascii="Times New Roman" w:hAnsi="Times New Roman"/>
          <w:sz w:val="20"/>
        </w:rPr>
      </w:pPr>
      <w:r>
        <w:rPr>
          <w:rFonts w:ascii="Times New Roman" w:hAnsi="Times New Roman"/>
          <w:sz w:val="20"/>
        </w:rPr>
        <w:t xml:space="preserve">photovoltaic inverters, LED lighting and motor drives.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MOSFETs.</w:t>
            </w:r>
          </w:p>
          <w:p>
            <w:pPr>
              <w:pStyle w:val="TableContents"/>
              <w:bidi w:val="0"/>
              <w:spacing w:before="0" w:after="0"/>
              <w:jc w:val="left"/>
              <w:rPr>
                <w:rFonts w:ascii="Times New Roman" w:hAnsi="Times New Roman"/>
                <w:sz w:val="20"/>
              </w:rPr>
            </w:pPr>
            <w:r>
              <w:rPr>
                <w:rFonts w:ascii="Times New Roman" w:hAnsi="Times New Roman"/>
                <w:sz w:val="20"/>
              </w:rPr>
              <w:t xml:space="preserve">Our MOSFETs include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low-voltage</w:t>
            </w:r>
          </w:p>
          <w:p>
            <w:pPr>
              <w:pStyle w:val="TableContents"/>
              <w:bidi w:val="0"/>
              <w:spacing w:before="0" w:after="0"/>
              <w:jc w:val="left"/>
              <w:rPr>
                <w:rFonts w:ascii="Times New Roman" w:hAnsi="Times New Roman"/>
                <w:sz w:val="20"/>
              </w:rPr>
            </w:pPr>
            <w:r>
              <w:rPr>
                <w:rFonts w:ascii="Times New Roman" w:hAnsi="Times New Roman"/>
                <w:sz w:val="20"/>
              </w:rPr>
              <w:t xml:space="preserve">from 12V to 30V, medium-voltage from 40V to 200V, high-voltage planar MOSFETs, 200V through 650V, and super junction MOSFETs, 250V through 900V.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MOSFETs are used in applications to switch, shape or transfer electricity under varying power requirements. The key application segments are smartphones, mobile phones, wearable devices, LCD, LED, and UHD televisions, desktop PCs, notebooks, tablet PCs, servers, lighting and power supplies for consumer electronics automotive (electric vehicles)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IGBTs.</w:t>
            </w:r>
          </w:p>
          <w:p>
            <w:pPr>
              <w:pStyle w:val="TableContents"/>
              <w:bidi w:val="0"/>
              <w:spacing w:before="0" w:after="0"/>
              <w:jc w:val="left"/>
              <w:rPr>
                <w:rFonts w:ascii="Times New Roman" w:hAnsi="Times New Roman"/>
                <w:sz w:val="20"/>
              </w:rPr>
            </w:pPr>
            <w:r>
              <w:rPr>
                <w:rFonts w:ascii="Times New Roman" w:hAnsi="Times New Roman"/>
                <w:sz w:val="20"/>
              </w:rPr>
              <w:t xml:space="preserve">Our IGBTs include 650V to 1200V field stop trench IGBTs. IGBTs are used in automotive and high power industrial applications, such as UPSs, power supplies, motor drives, solar inverters, welding machines and consumer appliances.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AC-DC/DC-DC</w:t>
            </w:r>
          </w:p>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Converters.</w:t>
            </w:r>
          </w:p>
          <w:p>
            <w:pPr>
              <w:pStyle w:val="TableContents"/>
              <w:bidi w:val="0"/>
              <w:spacing w:before="0" w:after="0"/>
              <w:jc w:val="left"/>
              <w:rPr>
                <w:rFonts w:ascii="Times New Roman" w:hAnsi="Times New Roman"/>
                <w:sz w:val="20"/>
              </w:rPr>
            </w:pPr>
            <w:r>
              <w:rPr>
                <w:rFonts w:ascii="Times New Roman" w:hAnsi="Times New Roman"/>
                <w:sz w:val="20"/>
              </w:rPr>
              <w:t xml:space="preserve">We offer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AC-DC/DC-DC</w:t>
            </w:r>
          </w:p>
          <w:p>
            <w:pPr>
              <w:pStyle w:val="TableContents"/>
              <w:bidi w:val="0"/>
              <w:spacing w:before="0" w:after="0"/>
              <w:jc w:val="left"/>
              <w:rPr>
                <w:rFonts w:ascii="Times New Roman" w:hAnsi="Times New Roman"/>
                <w:sz w:val="20"/>
              </w:rPr>
            </w:pPr>
            <w:r>
              <w:rPr>
                <w:rFonts w:ascii="Times New Roman" w:hAnsi="Times New Roman"/>
                <w:sz w:val="20"/>
              </w:rPr>
              <w:t xml:space="preserve">converters targeting mobile applications and high power applications like LCD, LED, and UHD televisions, notebooks, smartphones, mobile phones,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set-top</w:t>
            </w:r>
          </w:p>
          <w:p>
            <w:pPr>
              <w:pStyle w:val="TableContents"/>
              <w:bidi w:val="0"/>
              <w:spacing w:before="0" w:after="0"/>
              <w:jc w:val="left"/>
              <w:rPr>
                <w:rFonts w:ascii="Times New Roman" w:hAnsi="Times New Roman"/>
                <w:sz w:val="20"/>
              </w:rPr>
            </w:pPr>
            <w:r>
              <w:rPr>
                <w:rFonts w:ascii="Times New Roman" w:hAnsi="Times New Roman"/>
                <w:sz w:val="20"/>
              </w:rPr>
              <w:t xml:space="preserve">boxes and display modules. We expect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AC-DC/DC-DC</w:t>
            </w:r>
          </w:p>
          <w:p>
            <w:pPr>
              <w:pStyle w:val="TableContents"/>
              <w:bidi w:val="0"/>
              <w:spacing w:before="0" w:after="0"/>
              <w:jc w:val="left"/>
              <w:rPr>
                <w:rFonts w:ascii="Times New Roman" w:hAnsi="Times New Roman"/>
                <w:sz w:val="20"/>
              </w:rPr>
            </w:pPr>
            <w:r>
              <w:rPr>
                <w:rFonts w:ascii="Times New Roman" w:hAnsi="Times New Roman"/>
                <w:sz w:val="20"/>
              </w:rPr>
              <w:t xml:space="preserve">converters will meet customer’s green power requirements by featuring wide input voltage ranges, high efficiency and small size.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LED Drivers.</w:t>
            </w:r>
          </w:p>
          <w:p>
            <w:pPr>
              <w:pStyle w:val="TableContents"/>
              <w:bidi w:val="0"/>
              <w:spacing w:before="0" w:after="0"/>
              <w:jc w:val="left"/>
              <w:rPr>
                <w:rFonts w:ascii="Times New Roman" w:hAnsi="Times New Roman"/>
                <w:sz w:val="20"/>
              </w:rPr>
            </w:pPr>
            <w:r>
              <w:rPr>
                <w:rFonts w:ascii="Times New Roman" w:hAnsi="Times New Roman"/>
                <w:sz w:val="20"/>
              </w:rPr>
              <w:t xml:space="preserve">LED backlighting drivers serve the fast-growing LCD and LED panel backlighting market for LCD and LED televisions, LCD monitors, digital signage, notebooks, smartphones and tablet PCs. Our 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Regulators.</w:t>
            </w:r>
          </w:p>
          <w:p>
            <w:pPr>
              <w:pStyle w:val="TableContents"/>
              <w:bidi w:val="0"/>
              <w:spacing w:before="0" w:after="0"/>
              <w:jc w:val="left"/>
              <w:rPr>
                <w:rFonts w:ascii="Times New Roman" w:hAnsi="Times New Roman"/>
                <w:sz w:val="20"/>
              </w:rPr>
            </w:pPr>
            <w:r>
              <w:rPr>
                <w:rFonts w:ascii="Times New Roman" w:hAnsi="Times New Roman"/>
                <w:sz w:val="20"/>
              </w:rPr>
              <w:t xml:space="preserve">We also provide analog regulators for mobile, computing and consumer applications. Our products are designed for high efficiency and low power consumption in mobile applications.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SSD PMICs.</w:t>
            </w:r>
          </w:p>
          <w:p>
            <w:pPr>
              <w:pStyle w:val="TableContents"/>
              <w:bidi w:val="0"/>
              <w:spacing w:before="0" w:after="0"/>
              <w:jc w:val="left"/>
              <w:rPr>
                <w:rFonts w:ascii="Times New Roman" w:hAnsi="Times New Roman"/>
                <w:sz w:val="20"/>
              </w:rPr>
            </w:pPr>
            <w:r>
              <w:rPr>
                <w:rFonts w:ascii="Times New Roman" w:hAnsi="Times New Roman"/>
                <w:sz w:val="20"/>
              </w:rPr>
              <w:t xml:space="preserve">We also provide solid state drive power management integrated circuits (SSD PMICs) for the computing segment. Our product is designed for high frequency switching, high efficiency and pulse frequency modulation (PFM) function to reduce power consumption in low load converters.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Logic PMICs.</w:t>
            </w:r>
          </w:p>
          <w:p>
            <w:pPr>
              <w:pStyle w:val="TableContents"/>
              <w:bidi w:val="0"/>
              <w:spacing w:before="0" w:after="0"/>
              <w:jc w:val="left"/>
              <w:rPr>
                <w:rFonts w:ascii="Times New Roman" w:hAnsi="Times New Roman"/>
                <w:sz w:val="20"/>
              </w:rPr>
            </w:pPr>
            <w:r>
              <w:rPr>
                <w:rFonts w:ascii="Times New Roman" w:hAnsi="Times New Roman"/>
                <w:sz w:val="20"/>
              </w:rPr>
              <w:t xml:space="preserve">We also provide logic PMICs for organic light-emitting diode (OLED) display panel. Our PMICs provide optimized power to source driver, gate driver and timing controller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(T-CON)</w:t>
            </w:r>
          </w:p>
          <w:p>
            <w:pPr>
              <w:pStyle w:val="TableContents"/>
              <w:bidi w:val="0"/>
              <w:spacing w:before="0" w:after="0"/>
              <w:jc w:val="left"/>
              <w:rPr>
                <w:rFonts w:ascii="Times New Roman" w:hAnsi="Times New Roman"/>
                <w:sz w:val="20"/>
              </w:rPr>
            </w:pPr>
            <w:r>
              <w:rPr>
                <w:rFonts w:ascii="Times New Roman" w:hAnsi="Times New Roman"/>
                <w:sz w:val="20"/>
              </w:rPr>
              <w:t xml:space="preserve">of OLED display panel with multi-channel power block (boost converter, buck converter,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Op-Amps</w:t>
            </w:r>
          </w:p>
          <w:p>
            <w:pPr>
              <w:pStyle w:val="TableContents"/>
              <w:bidi w:val="0"/>
              <w:spacing w:before="0" w:after="0"/>
              <w:jc w:val="left"/>
              <w:rPr>
                <w:rFonts w:ascii="Times New Roman" w:hAnsi="Times New Roman"/>
                <w:sz w:val="20"/>
              </w:rPr>
            </w:pPr>
            <w:r>
              <w:rPr>
                <w:rFonts w:ascii="Times New Roman" w:hAnsi="Times New Roman"/>
                <w:sz w:val="20"/>
              </w:rPr>
              <w:t xml:space="preserve">and positive/negative LDOs.)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power management solutions enable customers to increase system stability and improve heat dissipation and energy use, resulting in cost savings for our customers and consumers, as well as environmental benefits.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in-house</w:t>
      </w:r>
    </w:p>
    <w:p>
      <w:pPr>
        <w:pStyle w:val="TextBody"/>
        <w:bidi w:val="0"/>
        <w:spacing w:before="240" w:after="0"/>
        <w:jc w:val="left"/>
        <w:rPr>
          <w:rFonts w:ascii="Times New Roman" w:hAnsi="Times New Roman"/>
          <w:sz w:val="20"/>
        </w:rPr>
      </w:pPr>
      <w:r>
        <w:rPr>
          <w:rFonts w:ascii="Times New Roman" w:hAnsi="Times New Roman"/>
          <w:sz w:val="20"/>
        </w:rPr>
        <w:t xml:space="preserve">process technology capabilities and eight-inch wafer production lines increase efficiency and contribute to the competitiveness of our products.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features of our products, both in mass production and in customer qualification, which is the final stage of product development: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914"/>
        <w:gridCol w:w="120"/>
        <w:gridCol w:w="4352"/>
        <w:gridCol w:w="120"/>
        <w:gridCol w:w="3699"/>
      </w:tblGrid>
      <w:tr>
        <w:trPr/>
        <w:tc>
          <w:tcPr>
            <w:tcW w:w="1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1914"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Product</w:t>
            </w:r>
          </w:p>
        </w:tc>
        <w:tc>
          <w:tcPr>
            <w:tcW w:w="120" w:type="dxa"/>
            <w:tcBorders/>
            <w:vAlign w:val="center"/>
          </w:tcPr>
          <w:p>
            <w:pPr>
              <w:pStyle w:val="TableContents"/>
              <w:bidi w:val="0"/>
              <w:spacing w:before="0" w:after="283"/>
              <w:jc w:val="left"/>
              <w:rPr/>
            </w:pPr>
            <w:r>
              <w:rPr/>
              <w:t>  </w:t>
            </w:r>
          </w:p>
        </w:tc>
        <w:tc>
          <w:tcPr>
            <w:tcW w:w="4352"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Key Features</w:t>
            </w:r>
          </w:p>
        </w:tc>
        <w:tc>
          <w:tcPr>
            <w:tcW w:w="120"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Applications</w:t>
            </w:r>
          </w:p>
        </w:tc>
      </w:tr>
      <w:tr>
        <w:trPr/>
        <w:tc>
          <w:tcPr>
            <w:tcW w:w="191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Low Voltage MOSFET</w:t>
            </w:r>
          </w:p>
        </w:tc>
        <w:tc>
          <w:tcPr>
            <w:tcW w:w="120" w:type="dxa"/>
            <w:tcBorders/>
            <w:vAlign w:val="center"/>
          </w:tcPr>
          <w:p>
            <w:pPr>
              <w:pStyle w:val="TableContents"/>
              <w:bidi w:val="0"/>
              <w:spacing w:before="0" w:after="283"/>
              <w:jc w:val="left"/>
              <w:rPr/>
            </w:pPr>
            <w:r>
              <w:rPr/>
              <w:t>  </w:t>
            </w:r>
          </w:p>
        </w:tc>
        <w:tc>
          <w:tcPr>
            <w:tcW w:w="4352" w:type="dxa"/>
            <w:tcBorders/>
            <w:vAlign w:val="center"/>
          </w:tcPr>
          <w:p>
            <w:pPr>
              <w:pStyle w:val="TableContents"/>
              <w:bidi w:val="0"/>
              <w:spacing w:before="0" w:after="0"/>
              <w:jc w:val="left"/>
              <w:rPr/>
            </w:pPr>
            <w:r>
              <w:rPr/>
              <w:t>•  </w:t>
            </w:r>
            <w:r>
              <w:rPr>
                <w:rFonts w:ascii="Times New Roman" w:hAnsi="Times New Roman"/>
                <w:sz w:val="20"/>
              </w:rPr>
              <w:t xml:space="preserve">Voltage options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12V-30V</w:t>
            </w:r>
          </w:p>
          <w:p>
            <w:pPr>
              <w:pStyle w:val="TableContents"/>
              <w:bidi w:val="0"/>
              <w:spacing w:before="0" w:after="0"/>
              <w:jc w:val="left"/>
              <w:rPr>
                <w:spacing w:val="0"/>
              </w:rPr>
            </w:pPr>
            <w:r>
              <w:rPr>
                <w:spacing w:val="0"/>
              </w:rPr>
              <w:t>•  </w:t>
            </w:r>
            <w:r>
              <w:rPr>
                <w:rFonts w:ascii="Times New Roman" w:hAnsi="Times New Roman"/>
                <w:spacing w:val="0"/>
                <w:sz w:val="20"/>
              </w:rPr>
              <w:t>Advanced Trench MOSFET Process</w:t>
            </w:r>
          </w:p>
          <w:p>
            <w:pPr>
              <w:pStyle w:val="TableContents"/>
              <w:bidi w:val="0"/>
              <w:spacing w:before="0" w:after="0"/>
              <w:jc w:val="left"/>
              <w:rPr>
                <w:spacing w:val="0"/>
              </w:rPr>
            </w:pPr>
            <w:r>
              <w:rPr>
                <w:spacing w:val="0"/>
              </w:rPr>
              <w:t>•  </w:t>
            </w:r>
            <w:r>
              <w:rPr>
                <w:rFonts w:ascii="Times New Roman" w:hAnsi="Times New Roman"/>
                <w:spacing w:val="0"/>
                <w:sz w:val="20"/>
              </w:rPr>
              <w:t>High cell density</w:t>
            </w:r>
          </w:p>
          <w:p>
            <w:pPr>
              <w:pStyle w:val="TableContents"/>
              <w:bidi w:val="0"/>
              <w:spacing w:before="0" w:after="20"/>
              <w:jc w:val="left"/>
              <w:rPr>
                <w:spacing w:val="0"/>
              </w:rPr>
            </w:pPr>
            <w:r>
              <w:rPr>
                <w:spacing w:val="0"/>
              </w:rPr>
              <w:t>•  </w:t>
            </w:r>
            <w:r>
              <w:rPr>
                <w:rFonts w:ascii="Times New Roman" w:hAnsi="Times New Roman"/>
                <w:spacing w:val="0"/>
                <w:sz w:val="20"/>
              </w:rPr>
              <w:t>Advanced packages to enable reduction of PCB mounting area</w:t>
            </w:r>
          </w:p>
        </w:tc>
        <w:tc>
          <w:tcPr>
            <w:tcW w:w="120"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Smartphones, mobile phones, and wearable devices</w:t>
            </w:r>
          </w:p>
          <w:p>
            <w:pPr>
              <w:pStyle w:val="TableContents"/>
              <w:bidi w:val="0"/>
              <w:spacing w:before="0" w:after="0"/>
              <w:jc w:val="left"/>
              <w:rPr>
                <w:spacing w:val="0"/>
              </w:rPr>
            </w:pPr>
            <w:r>
              <w:rPr>
                <w:spacing w:val="0"/>
              </w:rPr>
              <w:t>•  </w:t>
            </w:r>
            <w:r>
              <w:rPr>
                <w:rFonts w:ascii="Times New Roman" w:hAnsi="Times New Roman"/>
                <w:spacing w:val="0"/>
                <w:sz w:val="20"/>
              </w:rPr>
              <w:t>Tablet PCs, Notebooks</w:t>
            </w:r>
          </w:p>
          <w:p>
            <w:pPr>
              <w:pStyle w:val="TableContents"/>
              <w:bidi w:val="0"/>
              <w:spacing w:before="0" w:after="0"/>
              <w:jc w:val="left"/>
              <w:rPr>
                <w:spacing w:val="0"/>
              </w:rPr>
            </w:pPr>
            <w:r>
              <w:rPr>
                <w:spacing w:val="0"/>
              </w:rPr>
              <w:t>•  </w:t>
            </w:r>
            <w:r>
              <w:rPr>
                <w:rFonts w:ascii="Times New Roman" w:hAnsi="Times New Roman"/>
                <w:spacing w:val="0"/>
                <w:sz w:val="20"/>
              </w:rPr>
              <w:t>Desktop PCs, Servers</w:t>
            </w:r>
          </w:p>
          <w:p>
            <w:pPr>
              <w:pStyle w:val="TableContents"/>
              <w:bidi w:val="0"/>
              <w:spacing w:before="0" w:after="0"/>
              <w:jc w:val="left"/>
              <w:rPr>
                <w:spacing w:val="0"/>
              </w:rPr>
            </w:pPr>
            <w:r>
              <w:rPr>
                <w:spacing w:val="0"/>
              </w:rPr>
              <w:t>•  </w:t>
            </w:r>
            <w:r>
              <w:rPr>
                <w:rFonts w:ascii="Times New Roman" w:hAnsi="Times New Roman"/>
                <w:spacing w:val="0"/>
                <w:sz w:val="20"/>
              </w:rPr>
              <w:t>LCD/LED TVs</w:t>
            </w:r>
          </w:p>
          <w:p>
            <w:pPr>
              <w:pStyle w:val="TableContents"/>
              <w:bidi w:val="0"/>
              <w:spacing w:before="0" w:after="0"/>
              <w:jc w:val="left"/>
              <w:rPr>
                <w:spacing w:val="0"/>
              </w:rPr>
            </w:pPr>
            <w:r>
              <w:rPr>
                <w:spacing w:val="0"/>
              </w:rPr>
              <w:t>•  </w:t>
            </w:r>
            <w:r>
              <w:rPr>
                <w:rFonts w:ascii="Times New Roman" w:hAnsi="Times New Roman"/>
                <w:spacing w:val="0"/>
                <w:sz w:val="20"/>
              </w:rPr>
              <w:t>Industrial applications</w:t>
            </w:r>
          </w:p>
          <w:p>
            <w:pPr>
              <w:pStyle w:val="TableContents"/>
              <w:bidi w:val="0"/>
              <w:spacing w:before="0" w:after="20"/>
              <w:jc w:val="left"/>
              <w:rPr>
                <w:spacing w:val="0"/>
              </w:rPr>
            </w:pPr>
            <w:r>
              <w:rPr>
                <w:spacing w:val="0"/>
              </w:rPr>
              <w:t>•  </w:t>
            </w:r>
            <w:r>
              <w:rPr>
                <w:rFonts w:ascii="Times New Roman" w:hAnsi="Times New Roman"/>
                <w:spacing w:val="0"/>
                <w:sz w:val="20"/>
              </w:rPr>
              <w:t>Automotive</w:t>
            </w:r>
          </w:p>
        </w:tc>
      </w:tr>
      <w:tr>
        <w:trPr/>
        <w:tc>
          <w:tcPr>
            <w:tcW w:w="1914" w:type="dxa"/>
            <w:tcBorders/>
            <w:vAlign w:val="center"/>
          </w:tcPr>
          <w:p>
            <w:pPr>
              <w:pStyle w:val="TableContents"/>
              <w:bidi w:val="0"/>
              <w:spacing w:before="0" w:after="283"/>
              <w:jc w:val="left"/>
              <w:rPr>
                <w:sz w:val="4"/>
                <w:szCs w:val="4"/>
              </w:rPr>
            </w:pPr>
            <w:r>
              <w:rPr>
                <w:sz w:val="4"/>
                <w:szCs w:val="4"/>
              </w:rPr>
            </w:r>
          </w:p>
        </w:tc>
        <w:tc>
          <w:tcPr>
            <w:tcW w:w="4472" w:type="dxa"/>
            <w:gridSpan w:val="2"/>
            <w:tcBorders/>
            <w:vAlign w:val="center"/>
          </w:tcPr>
          <w:p>
            <w:pPr>
              <w:pStyle w:val="TableContents"/>
              <w:bidi w:val="0"/>
              <w:spacing w:before="0" w:after="283"/>
              <w:jc w:val="left"/>
              <w:rPr>
                <w:sz w:val="4"/>
                <w:szCs w:val="4"/>
              </w:rPr>
            </w:pPr>
            <w:r>
              <w:rPr>
                <w:sz w:val="4"/>
                <w:szCs w:val="4"/>
              </w:rPr>
            </w:r>
          </w:p>
        </w:tc>
        <w:tc>
          <w:tcPr>
            <w:tcW w:w="3819" w:type="dxa"/>
            <w:gridSpan w:val="2"/>
            <w:tcBorders/>
            <w:vAlign w:val="center"/>
          </w:tcPr>
          <w:p>
            <w:pPr>
              <w:pStyle w:val="TableContents"/>
              <w:bidi w:val="0"/>
              <w:spacing w:before="0" w:after="283"/>
              <w:jc w:val="left"/>
              <w:rPr>
                <w:sz w:val="4"/>
                <w:szCs w:val="4"/>
              </w:rPr>
            </w:pPr>
            <w:r>
              <w:rPr>
                <w:sz w:val="4"/>
                <w:szCs w:val="4"/>
              </w:rPr>
            </w:r>
          </w:p>
        </w:tc>
      </w:tr>
      <w:tr>
        <w:trPr/>
        <w:tc>
          <w:tcPr>
            <w:tcW w:w="191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Medium Voltage MOSFET</w:t>
            </w:r>
          </w:p>
        </w:tc>
        <w:tc>
          <w:tcPr>
            <w:tcW w:w="120" w:type="dxa"/>
            <w:tcBorders/>
            <w:vAlign w:val="center"/>
          </w:tcPr>
          <w:p>
            <w:pPr>
              <w:pStyle w:val="TableContents"/>
              <w:bidi w:val="0"/>
              <w:spacing w:before="0" w:after="283"/>
              <w:jc w:val="left"/>
              <w:rPr/>
            </w:pPr>
            <w:r>
              <w:rPr/>
              <w:t>  </w:t>
            </w:r>
          </w:p>
        </w:tc>
        <w:tc>
          <w:tcPr>
            <w:tcW w:w="4352" w:type="dxa"/>
            <w:tcBorders/>
            <w:vAlign w:val="center"/>
          </w:tcPr>
          <w:p>
            <w:pPr>
              <w:pStyle w:val="TableContents"/>
              <w:bidi w:val="0"/>
              <w:spacing w:before="0" w:after="0"/>
              <w:jc w:val="left"/>
              <w:rPr/>
            </w:pPr>
            <w:r>
              <w:rPr/>
              <w:t>•  </w:t>
            </w:r>
            <w:r>
              <w:rPr>
                <w:rFonts w:ascii="Times New Roman" w:hAnsi="Times New Roman"/>
                <w:sz w:val="20"/>
              </w:rPr>
              <w:t xml:space="preserve">Voltage options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40V-200V</w:t>
            </w:r>
          </w:p>
          <w:p>
            <w:pPr>
              <w:pStyle w:val="TableContents"/>
              <w:bidi w:val="0"/>
              <w:spacing w:before="0" w:after="0"/>
              <w:jc w:val="left"/>
              <w:rPr>
                <w:spacing w:val="0"/>
              </w:rPr>
            </w:pPr>
            <w:r>
              <w:rPr>
                <w:spacing w:val="0"/>
              </w:rPr>
              <w:t>•  </w:t>
            </w:r>
            <w:r>
              <w:rPr>
                <w:rFonts w:ascii="Times New Roman" w:hAnsi="Times New Roman"/>
                <w:spacing w:val="0"/>
                <w:sz w:val="20"/>
              </w:rPr>
              <w:t>Advanced Trench MOSFET Process</w:t>
            </w:r>
          </w:p>
          <w:p>
            <w:pPr>
              <w:pStyle w:val="TableContents"/>
              <w:bidi w:val="0"/>
              <w:spacing w:before="0" w:after="20"/>
              <w:jc w:val="left"/>
              <w:rPr>
                <w:spacing w:val="0"/>
              </w:rPr>
            </w:pPr>
            <w:r>
              <w:rPr>
                <w:spacing w:val="0"/>
              </w:rPr>
              <w:t>•  </w:t>
            </w:r>
            <w:r>
              <w:rPr>
                <w:rFonts w:ascii="Times New Roman" w:hAnsi="Times New Roman"/>
                <w:spacing w:val="0"/>
                <w:sz w:val="20"/>
              </w:rPr>
              <w:t>High cell density</w:t>
            </w:r>
          </w:p>
        </w:tc>
        <w:tc>
          <w:tcPr>
            <w:tcW w:w="120"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e-Bikes</w:t>
            </w:r>
          </w:p>
          <w:p>
            <w:pPr>
              <w:pStyle w:val="TableContents"/>
              <w:bidi w:val="0"/>
              <w:spacing w:before="0" w:after="0"/>
              <w:jc w:val="left"/>
              <w:rPr>
                <w:rFonts w:ascii="Times New Roman" w:hAnsi="Times New Roman"/>
                <w:sz w:val="20"/>
              </w:rPr>
            </w:pPr>
            <w:r>
              <w:rPr>
                <w:rFonts w:ascii="Times New Roman" w:hAnsi="Times New Roman"/>
                <w:sz w:val="20"/>
              </w:rPr>
              <w:t>and Motor controls</w:t>
            </w:r>
          </w:p>
          <w:p>
            <w:pPr>
              <w:pStyle w:val="TableContents"/>
              <w:bidi w:val="0"/>
              <w:spacing w:before="0" w:after="0"/>
              <w:jc w:val="left"/>
              <w:rPr>
                <w:spacing w:val="0"/>
              </w:rPr>
            </w:pPr>
            <w:r>
              <w:rPr>
                <w:spacing w:val="0"/>
              </w:rPr>
              <w:t>•  </w:t>
            </w:r>
            <w:r>
              <w:rPr>
                <w:rFonts w:ascii="Times New Roman" w:hAnsi="Times New Roman"/>
                <w:spacing w:val="0"/>
                <w:sz w:val="20"/>
              </w:rPr>
              <w:t>Battery Management Systems</w:t>
            </w:r>
          </w:p>
          <w:p>
            <w:pPr>
              <w:pStyle w:val="TableContents"/>
              <w:bidi w:val="0"/>
              <w:spacing w:before="0" w:after="20"/>
              <w:jc w:val="left"/>
              <w:rPr>
                <w:spacing w:val="0"/>
              </w:rPr>
            </w:pPr>
            <w:r>
              <w:rPr>
                <w:spacing w:val="0"/>
              </w:rPr>
              <w:t>•  </w:t>
            </w:r>
            <w:r>
              <w:rPr>
                <w:rFonts w:ascii="Times New Roman" w:hAnsi="Times New Roman"/>
                <w:spacing w:val="0"/>
                <w:sz w:val="20"/>
              </w:rPr>
              <w:t>Power tools and Servers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50"/>
        <w:gridCol w:w="120"/>
        <w:gridCol w:w="4266"/>
        <w:gridCol w:w="120"/>
        <w:gridCol w:w="4049"/>
      </w:tblGrid>
      <w:tr>
        <w:trPr/>
        <w:tc>
          <w:tcPr>
            <w:tcW w:w="1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Product</w:t>
            </w:r>
          </w:p>
        </w:tc>
        <w:tc>
          <w:tcPr>
            <w:tcW w:w="120" w:type="dxa"/>
            <w:tcBorders/>
            <w:vAlign w:val="center"/>
          </w:tcPr>
          <w:p>
            <w:pPr>
              <w:pStyle w:val="TableContents"/>
              <w:bidi w:val="0"/>
              <w:spacing w:before="0" w:after="283"/>
              <w:jc w:val="left"/>
              <w:rPr/>
            </w:pPr>
            <w:r>
              <w:rPr/>
              <w:t>  </w:t>
            </w:r>
          </w:p>
        </w:tc>
        <w:tc>
          <w:tcPr>
            <w:tcW w:w="4266"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Key Features</w:t>
            </w:r>
          </w:p>
        </w:tc>
        <w:tc>
          <w:tcPr>
            <w:tcW w:w="120"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Applications</w:t>
            </w:r>
          </w:p>
        </w:tc>
      </w:tr>
      <w:tr>
        <w:trPr/>
        <w:tc>
          <w:tcPr>
            <w:tcW w:w="1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66"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High system efficiency</w:t>
            </w:r>
          </w:p>
          <w:p>
            <w:pPr>
              <w:pStyle w:val="TableContents"/>
              <w:bidi w:val="0"/>
              <w:spacing w:before="0" w:after="20"/>
              <w:jc w:val="left"/>
              <w:rPr>
                <w:spacing w:val="0"/>
              </w:rPr>
            </w:pPr>
            <w:r>
              <w:rPr>
                <w:spacing w:val="0"/>
              </w:rPr>
              <w:t>•  </w:t>
            </w:r>
            <w:r>
              <w:rPr>
                <w:rFonts w:ascii="Times New Roman" w:hAnsi="Times New Roman"/>
                <w:spacing w:val="0"/>
                <w:sz w:val="20"/>
              </w:rPr>
              <w:t>Advanced packages to enable reduction of PCB mounting area</w:t>
            </w:r>
          </w:p>
        </w:tc>
        <w:tc>
          <w:tcPr>
            <w:tcW w:w="120"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Energy Storage System</w:t>
            </w:r>
          </w:p>
          <w:p>
            <w:pPr>
              <w:pStyle w:val="TableContents"/>
              <w:bidi w:val="0"/>
              <w:spacing w:before="0" w:after="0"/>
              <w:jc w:val="left"/>
              <w:rPr>
                <w:spacing w:val="0"/>
              </w:rPr>
            </w:pPr>
            <w:r>
              <w:rPr>
                <w:spacing w:val="0"/>
              </w:rPr>
              <w:t>•  </w:t>
            </w:r>
            <w:r>
              <w:rPr>
                <w:rFonts w:ascii="Times New Roman" w:hAnsi="Times New Roman"/>
                <w:spacing w:val="0"/>
                <w:sz w:val="20"/>
              </w:rPr>
              <w:t>Other computing applications (Tablet PCs, Notebooks, Desktops)</w:t>
            </w:r>
          </w:p>
          <w:p>
            <w:pPr>
              <w:pStyle w:val="TableContents"/>
              <w:bidi w:val="0"/>
              <w:spacing w:before="0" w:after="0"/>
              <w:jc w:val="left"/>
              <w:rPr>
                <w:spacing w:val="0"/>
              </w:rPr>
            </w:pPr>
            <w:r>
              <w:rPr>
                <w:spacing w:val="0"/>
              </w:rPr>
              <w:t>•  </w:t>
            </w:r>
            <w:r>
              <w:rPr>
                <w:rFonts w:ascii="Times New Roman" w:hAnsi="Times New Roman"/>
                <w:spacing w:val="0"/>
                <w:sz w:val="20"/>
              </w:rPr>
              <w:t>Consumer applications (TV)</w:t>
            </w:r>
          </w:p>
          <w:p>
            <w:pPr>
              <w:pStyle w:val="TableContents"/>
              <w:bidi w:val="0"/>
              <w:spacing w:before="0" w:after="0"/>
              <w:jc w:val="left"/>
              <w:rPr>
                <w:spacing w:val="0"/>
              </w:rPr>
            </w:pPr>
            <w:r>
              <w:rPr>
                <w:spacing w:val="0"/>
              </w:rPr>
              <w:t>•  </w:t>
            </w:r>
            <w:r>
              <w:rPr>
                <w:rFonts w:ascii="Times New Roman" w:hAnsi="Times New Roman"/>
                <w:spacing w:val="0"/>
                <w:sz w:val="20"/>
              </w:rPr>
              <w:t>Industrial applications</w:t>
            </w:r>
          </w:p>
          <w:p>
            <w:pPr>
              <w:pStyle w:val="TableContents"/>
              <w:bidi w:val="0"/>
              <w:spacing w:before="0" w:after="20"/>
              <w:jc w:val="left"/>
              <w:rPr>
                <w:spacing w:val="0"/>
              </w:rPr>
            </w:pPr>
            <w:r>
              <w:rPr>
                <w:spacing w:val="0"/>
              </w:rPr>
              <w:t>•  </w:t>
            </w:r>
            <w:r>
              <w:rPr>
                <w:rFonts w:ascii="Times New Roman" w:hAnsi="Times New Roman"/>
                <w:spacing w:val="0"/>
                <w:sz w:val="20"/>
              </w:rPr>
              <w:t>Automotive</w:t>
            </w:r>
          </w:p>
        </w:tc>
      </w:tr>
      <w:tr>
        <w:trPr/>
        <w:tc>
          <w:tcPr>
            <w:tcW w:w="1650" w:type="dxa"/>
            <w:tcBorders/>
            <w:vAlign w:val="center"/>
          </w:tcPr>
          <w:p>
            <w:pPr>
              <w:pStyle w:val="TableContents"/>
              <w:bidi w:val="0"/>
              <w:spacing w:before="0" w:after="283"/>
              <w:jc w:val="left"/>
              <w:rPr>
                <w:sz w:val="4"/>
                <w:szCs w:val="4"/>
              </w:rPr>
            </w:pPr>
            <w:r>
              <w:rPr>
                <w:sz w:val="4"/>
                <w:szCs w:val="4"/>
              </w:rPr>
            </w:r>
          </w:p>
        </w:tc>
        <w:tc>
          <w:tcPr>
            <w:tcW w:w="4386" w:type="dxa"/>
            <w:gridSpan w:val="2"/>
            <w:tcBorders/>
            <w:vAlign w:val="center"/>
          </w:tcPr>
          <w:p>
            <w:pPr>
              <w:pStyle w:val="TableContents"/>
              <w:bidi w:val="0"/>
              <w:spacing w:before="0" w:after="283"/>
              <w:jc w:val="left"/>
              <w:rPr>
                <w:sz w:val="4"/>
                <w:szCs w:val="4"/>
              </w:rPr>
            </w:pPr>
            <w:r>
              <w:rPr>
                <w:sz w:val="4"/>
                <w:szCs w:val="4"/>
              </w:rPr>
            </w:r>
          </w:p>
        </w:tc>
        <w:tc>
          <w:tcPr>
            <w:tcW w:w="4169"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High Voltage MOSFET</w:t>
            </w:r>
          </w:p>
        </w:tc>
        <w:tc>
          <w:tcPr>
            <w:tcW w:w="120" w:type="dxa"/>
            <w:tcBorders/>
            <w:vAlign w:val="center"/>
          </w:tcPr>
          <w:p>
            <w:pPr>
              <w:pStyle w:val="TableContents"/>
              <w:bidi w:val="0"/>
              <w:spacing w:before="0" w:after="283"/>
              <w:jc w:val="left"/>
              <w:rPr/>
            </w:pPr>
            <w:r>
              <w:rPr/>
              <w:t>  </w:t>
            </w:r>
          </w:p>
        </w:tc>
        <w:tc>
          <w:tcPr>
            <w:tcW w:w="4266"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Voltage options of 200V-650V</w:t>
            </w:r>
          </w:p>
          <w:p>
            <w:pPr>
              <w:pStyle w:val="TableContents"/>
              <w:bidi w:val="0"/>
              <w:spacing w:before="0" w:after="0"/>
              <w:jc w:val="left"/>
              <w:rPr>
                <w:spacing w:val="0"/>
              </w:rPr>
            </w:pPr>
            <w:r>
              <w:rPr>
                <w:spacing w:val="0"/>
              </w:rPr>
              <w:t>•  </w:t>
            </w:r>
            <w:r>
              <w:rPr>
                <w:rFonts w:ascii="Times New Roman" w:hAnsi="Times New Roman"/>
                <w:spacing w:val="0"/>
                <w:sz w:val="20"/>
              </w:rPr>
              <w:t>R2FET (rapid recovery) option to shorten reverse diode recovery time</w:t>
            </w:r>
          </w:p>
          <w:p>
            <w:pPr>
              <w:pStyle w:val="TableContents"/>
              <w:bidi w:val="0"/>
              <w:spacing w:before="0" w:after="0"/>
              <w:jc w:val="left"/>
              <w:rPr>
                <w:spacing w:val="0"/>
              </w:rPr>
            </w:pPr>
            <w:r>
              <w:rPr>
                <w:spacing w:val="0"/>
              </w:rPr>
              <w:t>•  </w:t>
            </w:r>
            <w:r>
              <w:rPr>
                <w:rFonts w:ascii="Times New Roman" w:hAnsi="Times New Roman"/>
                <w:spacing w:val="0"/>
                <w:sz w:val="20"/>
              </w:rPr>
              <w:t>Zener diode option for MOSFET protection for abnormal input</w:t>
            </w:r>
          </w:p>
          <w:p>
            <w:pPr>
              <w:pStyle w:val="TableContents"/>
              <w:bidi w:val="0"/>
              <w:spacing w:before="0" w:after="0"/>
              <w:jc w:val="left"/>
              <w:rPr>
                <w:spacing w:val="0"/>
              </w:rPr>
            </w:pPr>
            <w:r>
              <w:rPr>
                <w:spacing w:val="0"/>
              </w:rPr>
              <w:t>•  </w:t>
            </w:r>
            <w:r>
              <w:rPr>
                <w:rFonts w:ascii="Times New Roman" w:hAnsi="Times New Roman"/>
                <w:spacing w:val="0"/>
                <w:sz w:val="20"/>
              </w:rPr>
              <w:t>Advanced Planar MOSFET Process</w:t>
            </w:r>
          </w:p>
          <w:p>
            <w:pPr>
              <w:pStyle w:val="TableContents"/>
              <w:bidi w:val="0"/>
              <w:spacing w:before="0" w:after="20"/>
              <w:jc w:val="left"/>
              <w:rPr>
                <w:spacing w:val="0"/>
              </w:rPr>
            </w:pPr>
            <w:r>
              <w:rPr>
                <w:spacing w:val="0"/>
              </w:rPr>
              <w:t>•  </w:t>
            </w:r>
            <w:r>
              <w:rPr>
                <w:rFonts w:ascii="Times New Roman" w:hAnsi="Times New Roman"/>
                <w:spacing w:val="0"/>
                <w:sz w:val="20"/>
              </w:rPr>
              <w:t>Advanced packages to enable reduction of PCB mounting area</w:t>
            </w:r>
          </w:p>
        </w:tc>
        <w:tc>
          <w:tcPr>
            <w:tcW w:w="120"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Adaptors for tablet PC/mobile phone/smartphone</w:t>
            </w:r>
          </w:p>
          <w:p>
            <w:pPr>
              <w:pStyle w:val="TableContents"/>
              <w:bidi w:val="0"/>
              <w:spacing w:before="0" w:after="0"/>
              <w:jc w:val="left"/>
              <w:rPr>
                <w:spacing w:val="0"/>
              </w:rPr>
            </w:pPr>
            <w:r>
              <w:rPr>
                <w:spacing w:val="0"/>
              </w:rPr>
              <w:t>•  </w:t>
            </w:r>
            <w:r>
              <w:rPr>
                <w:rFonts w:ascii="Times New Roman" w:hAnsi="Times New Roman"/>
                <w:spacing w:val="0"/>
                <w:sz w:val="20"/>
              </w:rPr>
              <w:t>Power supplies</w:t>
            </w:r>
          </w:p>
          <w:p>
            <w:pPr>
              <w:pStyle w:val="TableContents"/>
              <w:bidi w:val="0"/>
              <w:spacing w:before="0" w:after="0"/>
              <w:jc w:val="left"/>
              <w:rPr>
                <w:spacing w:val="0"/>
              </w:rPr>
            </w:pPr>
            <w:r>
              <w:rPr>
                <w:spacing w:val="0"/>
              </w:rPr>
              <w:t>•  </w:t>
            </w:r>
            <w:r>
              <w:rPr>
                <w:rFonts w:ascii="Times New Roman" w:hAnsi="Times New Roman"/>
                <w:spacing w:val="0"/>
                <w:sz w:val="20"/>
              </w:rPr>
              <w:t>Lighting (ballast, HID, LED)</w:t>
            </w:r>
          </w:p>
          <w:p>
            <w:pPr>
              <w:pStyle w:val="TableContents"/>
              <w:bidi w:val="0"/>
              <w:spacing w:before="0" w:after="0"/>
              <w:jc w:val="left"/>
              <w:rPr>
                <w:spacing w:val="0"/>
              </w:rPr>
            </w:pPr>
            <w:r>
              <w:rPr>
                <w:spacing w:val="0"/>
              </w:rPr>
              <w:t>•  </w:t>
            </w:r>
            <w:r>
              <w:rPr>
                <w:rFonts w:ascii="Times New Roman" w:hAnsi="Times New Roman"/>
                <w:spacing w:val="0"/>
                <w:sz w:val="20"/>
              </w:rPr>
              <w:t>Industrial applications</w:t>
            </w:r>
          </w:p>
          <w:p>
            <w:pPr>
              <w:pStyle w:val="TableContents"/>
              <w:bidi w:val="0"/>
              <w:spacing w:before="0" w:after="0"/>
              <w:jc w:val="left"/>
              <w:rPr>
                <w:spacing w:val="0"/>
              </w:rPr>
            </w:pPr>
            <w:r>
              <w:rPr>
                <w:spacing w:val="0"/>
              </w:rPr>
              <w:t>•  </w:t>
            </w:r>
            <w:r>
              <w:rPr>
                <w:rFonts w:ascii="Times New Roman" w:hAnsi="Times New Roman"/>
                <w:spacing w:val="0"/>
                <w:sz w:val="20"/>
              </w:rPr>
              <w:t>LCD/LEDTVs</w:t>
            </w:r>
          </w:p>
          <w:p>
            <w:pPr>
              <w:pStyle w:val="TableContents"/>
              <w:bidi w:val="0"/>
              <w:spacing w:before="0" w:after="20"/>
              <w:jc w:val="left"/>
              <w:rPr>
                <w:spacing w:val="0"/>
              </w:rPr>
            </w:pPr>
            <w:r>
              <w:rPr>
                <w:spacing w:val="0"/>
              </w:rPr>
              <w:t>•  </w:t>
            </w:r>
            <w:r>
              <w:rPr>
                <w:rFonts w:ascii="Times New Roman" w:hAnsi="Times New Roman"/>
                <w:spacing w:val="0"/>
                <w:sz w:val="20"/>
              </w:rPr>
              <w:t>Automotive</w:t>
            </w:r>
          </w:p>
        </w:tc>
      </w:tr>
      <w:tr>
        <w:trPr/>
        <w:tc>
          <w:tcPr>
            <w:tcW w:w="1650" w:type="dxa"/>
            <w:tcBorders/>
            <w:vAlign w:val="center"/>
          </w:tcPr>
          <w:p>
            <w:pPr>
              <w:pStyle w:val="TableContents"/>
              <w:bidi w:val="0"/>
              <w:spacing w:before="0" w:after="283"/>
              <w:jc w:val="left"/>
              <w:rPr>
                <w:sz w:val="4"/>
                <w:szCs w:val="4"/>
              </w:rPr>
            </w:pPr>
            <w:r>
              <w:rPr>
                <w:sz w:val="4"/>
                <w:szCs w:val="4"/>
              </w:rPr>
            </w:r>
          </w:p>
        </w:tc>
        <w:tc>
          <w:tcPr>
            <w:tcW w:w="4386" w:type="dxa"/>
            <w:gridSpan w:val="2"/>
            <w:tcBorders/>
            <w:vAlign w:val="center"/>
          </w:tcPr>
          <w:p>
            <w:pPr>
              <w:pStyle w:val="TableContents"/>
              <w:bidi w:val="0"/>
              <w:spacing w:before="0" w:after="283"/>
              <w:jc w:val="left"/>
              <w:rPr>
                <w:sz w:val="4"/>
                <w:szCs w:val="4"/>
              </w:rPr>
            </w:pPr>
            <w:r>
              <w:rPr>
                <w:sz w:val="4"/>
                <w:szCs w:val="4"/>
              </w:rPr>
            </w:r>
          </w:p>
        </w:tc>
        <w:tc>
          <w:tcPr>
            <w:tcW w:w="4169"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Super Junction MOSFET</w:t>
            </w:r>
          </w:p>
        </w:tc>
        <w:tc>
          <w:tcPr>
            <w:tcW w:w="120" w:type="dxa"/>
            <w:tcBorders/>
            <w:vAlign w:val="center"/>
          </w:tcPr>
          <w:p>
            <w:pPr>
              <w:pStyle w:val="TableContents"/>
              <w:bidi w:val="0"/>
              <w:spacing w:before="0" w:after="283"/>
              <w:jc w:val="left"/>
              <w:rPr/>
            </w:pPr>
            <w:r>
              <w:rPr/>
              <w:t>  </w:t>
            </w:r>
          </w:p>
        </w:tc>
        <w:tc>
          <w:tcPr>
            <w:tcW w:w="4266"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Voltage options of 250V-900V</w:t>
            </w:r>
          </w:p>
          <w:p>
            <w:pPr>
              <w:pStyle w:val="TableContents"/>
              <w:bidi w:val="0"/>
              <w:spacing w:before="0" w:after="0"/>
              <w:jc w:val="left"/>
              <w:rPr>
                <w:spacing w:val="0"/>
              </w:rPr>
            </w:pPr>
            <w:r>
              <w:rPr>
                <w:spacing w:val="0"/>
              </w:rPr>
              <w:t>•  </w:t>
            </w:r>
            <w:r>
              <w:rPr>
                <w:rFonts w:ascii="Times New Roman" w:hAnsi="Times New Roman"/>
                <w:spacing w:val="0"/>
                <w:sz w:val="20"/>
              </w:rPr>
              <w:t>Low R</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DS(ON)</w:t>
            </w:r>
          </w:p>
          <w:p>
            <w:pPr>
              <w:pStyle w:val="TableContents"/>
              <w:bidi w:val="0"/>
              <w:spacing w:before="0" w:after="0"/>
              <w:jc w:val="left"/>
              <w:rPr>
                <w:spacing w:val="0"/>
              </w:rPr>
            </w:pPr>
            <w:r>
              <w:rPr>
                <w:spacing w:val="0"/>
              </w:rPr>
              <w:t>•  </w:t>
            </w:r>
            <w:r>
              <w:rPr>
                <w:rFonts w:ascii="Times New Roman" w:hAnsi="Times New Roman"/>
                <w:spacing w:val="0"/>
                <w:sz w:val="20"/>
              </w:rPr>
              <w:t>Epi stack process</w:t>
            </w:r>
          </w:p>
          <w:p>
            <w:pPr>
              <w:pStyle w:val="TableContents"/>
              <w:bidi w:val="0"/>
              <w:spacing w:before="0" w:after="0"/>
              <w:jc w:val="left"/>
              <w:rPr>
                <w:spacing w:val="0"/>
              </w:rPr>
            </w:pPr>
            <w:r>
              <w:rPr>
                <w:spacing w:val="0"/>
              </w:rPr>
              <w:t>•  </w:t>
            </w:r>
            <w:r>
              <w:rPr>
                <w:rFonts w:ascii="Times New Roman" w:hAnsi="Times New Roman"/>
                <w:spacing w:val="0"/>
                <w:sz w:val="20"/>
              </w:rPr>
              <w:t>Zener diode option for MOSFET protection for abnormal input</w:t>
            </w:r>
          </w:p>
          <w:p>
            <w:pPr>
              <w:pStyle w:val="TableContents"/>
              <w:bidi w:val="0"/>
              <w:spacing w:before="0" w:after="0"/>
              <w:jc w:val="left"/>
              <w:rPr>
                <w:spacing w:val="0"/>
              </w:rPr>
            </w:pPr>
            <w:r>
              <w:rPr>
                <w:spacing w:val="0"/>
              </w:rPr>
              <w:t>•  </w:t>
            </w:r>
            <w:r>
              <w:rPr>
                <w:rFonts w:ascii="Times New Roman" w:hAnsi="Times New Roman"/>
                <w:spacing w:val="0"/>
                <w:sz w:val="20"/>
              </w:rPr>
              <w:t>Advanced SJ MOSFET process</w:t>
            </w:r>
          </w:p>
          <w:p>
            <w:pPr>
              <w:pStyle w:val="TableContents"/>
              <w:bidi w:val="0"/>
              <w:spacing w:before="0" w:after="0"/>
              <w:jc w:val="left"/>
              <w:rPr>
                <w:spacing w:val="0"/>
              </w:rPr>
            </w:pPr>
            <w:r>
              <w:rPr>
                <w:spacing w:val="0"/>
              </w:rPr>
              <w:t>•  </w:t>
            </w:r>
            <w:r>
              <w:rPr>
                <w:rFonts w:ascii="Times New Roman" w:hAnsi="Times New Roman"/>
                <w:spacing w:val="0"/>
                <w:sz w:val="20"/>
              </w:rPr>
              <w:t>Advanced packages to enable reduction of PCB mounting area</w:t>
            </w:r>
          </w:p>
          <w:p>
            <w:pPr>
              <w:pStyle w:val="TableContents"/>
              <w:bidi w:val="0"/>
              <w:spacing w:before="0" w:after="20"/>
              <w:jc w:val="left"/>
              <w:rPr>
                <w:spacing w:val="0"/>
              </w:rPr>
            </w:pPr>
            <w:r>
              <w:rPr>
                <w:spacing w:val="0"/>
              </w:rPr>
              <w:t>•  </w:t>
            </w:r>
            <w:r>
              <w:rPr>
                <w:rFonts w:ascii="Times New Roman" w:hAnsi="Times New Roman"/>
                <w:spacing w:val="0"/>
                <w:sz w:val="20"/>
              </w:rPr>
              <w:t>Low power loss by high speed switching</w:t>
            </w:r>
          </w:p>
        </w:tc>
        <w:tc>
          <w:tcPr>
            <w:tcW w:w="120"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LCD/LED/UHD TVs</w:t>
            </w:r>
          </w:p>
          <w:p>
            <w:pPr>
              <w:pStyle w:val="TableContents"/>
              <w:bidi w:val="0"/>
              <w:spacing w:before="0" w:after="0"/>
              <w:jc w:val="left"/>
              <w:rPr>
                <w:spacing w:val="0"/>
              </w:rPr>
            </w:pPr>
            <w:r>
              <w:rPr>
                <w:spacing w:val="0"/>
              </w:rPr>
              <w:t>•  </w:t>
            </w:r>
            <w:r>
              <w:rPr>
                <w:rFonts w:ascii="Times New Roman" w:hAnsi="Times New Roman"/>
                <w:spacing w:val="0"/>
                <w:sz w:val="20"/>
              </w:rPr>
              <w:t>Lightings applications (ballast, HID, LED)</w:t>
            </w:r>
          </w:p>
          <w:p>
            <w:pPr>
              <w:pStyle w:val="TableContents"/>
              <w:bidi w:val="0"/>
              <w:spacing w:before="0" w:after="0"/>
              <w:jc w:val="left"/>
              <w:rPr>
                <w:spacing w:val="0"/>
              </w:rPr>
            </w:pPr>
            <w:r>
              <w:rPr>
                <w:spacing w:val="0"/>
              </w:rPr>
              <w:t>•  </w:t>
            </w:r>
            <w:r>
              <w:rPr>
                <w:rFonts w:ascii="Times New Roman" w:hAnsi="Times New Roman"/>
                <w:spacing w:val="0"/>
                <w:sz w:val="20"/>
              </w:rPr>
              <w:t>Smartphones</w:t>
            </w:r>
          </w:p>
          <w:p>
            <w:pPr>
              <w:pStyle w:val="TableContents"/>
              <w:bidi w:val="0"/>
              <w:spacing w:before="0" w:after="0"/>
              <w:jc w:val="left"/>
              <w:rPr>
                <w:spacing w:val="0"/>
              </w:rPr>
            </w:pPr>
            <w:r>
              <w:rPr>
                <w:spacing w:val="0"/>
              </w:rPr>
              <w:t>•  </w:t>
            </w:r>
            <w:r>
              <w:rPr>
                <w:rFonts w:ascii="Times New Roman" w:hAnsi="Times New Roman"/>
                <w:spacing w:val="0"/>
                <w:sz w:val="20"/>
              </w:rPr>
              <w:t>Power supplies</w:t>
            </w:r>
          </w:p>
          <w:p>
            <w:pPr>
              <w:pStyle w:val="TableContents"/>
              <w:bidi w:val="0"/>
              <w:spacing w:before="0" w:after="0"/>
              <w:jc w:val="left"/>
              <w:rPr>
                <w:spacing w:val="0"/>
              </w:rPr>
            </w:pPr>
            <w:r>
              <w:rPr>
                <w:spacing w:val="0"/>
              </w:rPr>
              <w:t>•  </w:t>
            </w:r>
            <w:r>
              <w:rPr>
                <w:rFonts w:ascii="Times New Roman" w:hAnsi="Times New Roman"/>
                <w:spacing w:val="0"/>
                <w:sz w:val="20"/>
              </w:rPr>
              <w:t>Servers and Telecom powers</w:t>
            </w:r>
          </w:p>
          <w:p>
            <w:pPr>
              <w:pStyle w:val="TableContents"/>
              <w:bidi w:val="0"/>
              <w:spacing w:before="0" w:after="0"/>
              <w:jc w:val="left"/>
              <w:rPr>
                <w:spacing w:val="0"/>
              </w:rPr>
            </w:pPr>
            <w:r>
              <w:rPr>
                <w:spacing w:val="0"/>
              </w:rPr>
              <w:t>•  </w:t>
            </w:r>
            <w:r>
              <w:rPr>
                <w:rFonts w:ascii="Times New Roman" w:hAnsi="Times New Roman"/>
                <w:spacing w:val="0"/>
                <w:sz w:val="20"/>
              </w:rPr>
              <w:t>Industrial applications</w:t>
            </w:r>
          </w:p>
          <w:p>
            <w:pPr>
              <w:pStyle w:val="TableContents"/>
              <w:bidi w:val="0"/>
              <w:spacing w:before="0" w:after="0"/>
              <w:jc w:val="left"/>
              <w:rPr>
                <w:spacing w:val="0"/>
              </w:rPr>
            </w:pPr>
            <w:r>
              <w:rPr>
                <w:spacing w:val="0"/>
              </w:rPr>
              <w:t>•  </w:t>
            </w:r>
            <w:r>
              <w:rPr>
                <w:rFonts w:ascii="Times New Roman" w:hAnsi="Times New Roman"/>
                <w:spacing w:val="0"/>
                <w:sz w:val="20"/>
              </w:rPr>
              <w:t>EV charging station</w:t>
            </w:r>
          </w:p>
          <w:p>
            <w:pPr>
              <w:pStyle w:val="TableContents"/>
              <w:bidi w:val="0"/>
              <w:spacing w:before="0" w:after="20"/>
              <w:jc w:val="left"/>
              <w:rPr>
                <w:spacing w:val="0"/>
              </w:rPr>
            </w:pPr>
            <w:r>
              <w:rPr>
                <w:spacing w:val="0"/>
              </w:rPr>
              <w:t>•  </w:t>
            </w:r>
            <w:r>
              <w:rPr>
                <w:rFonts w:ascii="Times New Roman" w:hAnsi="Times New Roman"/>
                <w:spacing w:val="0"/>
                <w:sz w:val="20"/>
              </w:rPr>
              <w:t>On board charger</w:t>
            </w:r>
          </w:p>
        </w:tc>
      </w:tr>
      <w:tr>
        <w:trPr/>
        <w:tc>
          <w:tcPr>
            <w:tcW w:w="1650" w:type="dxa"/>
            <w:tcBorders/>
            <w:vAlign w:val="center"/>
          </w:tcPr>
          <w:p>
            <w:pPr>
              <w:pStyle w:val="TableContents"/>
              <w:bidi w:val="0"/>
              <w:spacing w:before="0" w:after="283"/>
              <w:jc w:val="left"/>
              <w:rPr>
                <w:sz w:val="4"/>
                <w:szCs w:val="4"/>
              </w:rPr>
            </w:pPr>
            <w:r>
              <w:rPr>
                <w:sz w:val="4"/>
                <w:szCs w:val="4"/>
              </w:rPr>
            </w:r>
          </w:p>
        </w:tc>
        <w:tc>
          <w:tcPr>
            <w:tcW w:w="4386" w:type="dxa"/>
            <w:gridSpan w:val="2"/>
            <w:tcBorders/>
            <w:vAlign w:val="center"/>
          </w:tcPr>
          <w:p>
            <w:pPr>
              <w:pStyle w:val="TableContents"/>
              <w:bidi w:val="0"/>
              <w:spacing w:before="0" w:after="283"/>
              <w:jc w:val="left"/>
              <w:rPr>
                <w:sz w:val="4"/>
                <w:szCs w:val="4"/>
              </w:rPr>
            </w:pPr>
            <w:r>
              <w:rPr>
                <w:sz w:val="4"/>
                <w:szCs w:val="4"/>
              </w:rPr>
            </w:r>
          </w:p>
        </w:tc>
        <w:tc>
          <w:tcPr>
            <w:tcW w:w="4169"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IGBTs</w:t>
            </w:r>
          </w:p>
        </w:tc>
        <w:tc>
          <w:tcPr>
            <w:tcW w:w="120" w:type="dxa"/>
            <w:tcBorders/>
            <w:vAlign w:val="center"/>
          </w:tcPr>
          <w:p>
            <w:pPr>
              <w:pStyle w:val="TableContents"/>
              <w:bidi w:val="0"/>
              <w:spacing w:before="0" w:after="283"/>
              <w:jc w:val="left"/>
              <w:rPr/>
            </w:pPr>
            <w:r>
              <w:rPr/>
              <w:t>  </w:t>
            </w:r>
          </w:p>
        </w:tc>
        <w:tc>
          <w:tcPr>
            <w:tcW w:w="4266"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Voltage options of 650V/1200V</w:t>
            </w:r>
          </w:p>
          <w:p>
            <w:pPr>
              <w:pStyle w:val="TableContents"/>
              <w:bidi w:val="0"/>
              <w:spacing w:before="0" w:after="0"/>
              <w:jc w:val="left"/>
              <w:rPr>
                <w:spacing w:val="0"/>
              </w:rPr>
            </w:pPr>
            <w:r>
              <w:rPr>
                <w:spacing w:val="0"/>
              </w:rPr>
              <w:t>•  </w:t>
            </w:r>
            <w:r>
              <w:rPr>
                <w:rFonts w:ascii="Times New Roman" w:hAnsi="Times New Roman"/>
                <w:spacing w:val="0"/>
                <w:sz w:val="20"/>
              </w:rPr>
              <w:t>Field Stop Trench IGBT</w:t>
            </w:r>
          </w:p>
          <w:p>
            <w:pPr>
              <w:pStyle w:val="TableContents"/>
              <w:bidi w:val="0"/>
              <w:spacing w:before="0" w:after="20"/>
              <w:jc w:val="left"/>
              <w:rPr>
                <w:spacing w:val="0"/>
              </w:rPr>
            </w:pPr>
            <w:r>
              <w:rPr>
                <w:spacing w:val="0"/>
              </w:rPr>
              <w:t>•  </w:t>
            </w:r>
            <w:r>
              <w:rPr>
                <w:rFonts w:ascii="Times New Roman" w:hAnsi="Times New Roman"/>
                <w:spacing w:val="0"/>
                <w:sz w:val="20"/>
              </w:rPr>
              <w:t>Current options from 15A to 100A</w:t>
            </w:r>
          </w:p>
        </w:tc>
        <w:tc>
          <w:tcPr>
            <w:tcW w:w="120"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Automotive</w:t>
            </w:r>
          </w:p>
          <w:p>
            <w:pPr>
              <w:pStyle w:val="TableContents"/>
              <w:bidi w:val="0"/>
              <w:spacing w:before="0" w:after="0"/>
              <w:jc w:val="left"/>
              <w:rPr>
                <w:spacing w:val="0"/>
              </w:rPr>
            </w:pPr>
            <w:r>
              <w:rPr>
                <w:spacing w:val="0"/>
              </w:rPr>
              <w:t>•  </w:t>
            </w:r>
            <w:r>
              <w:rPr>
                <w:rFonts w:ascii="Times New Roman" w:hAnsi="Times New Roman"/>
                <w:spacing w:val="0"/>
                <w:sz w:val="20"/>
              </w:rPr>
              <w:t>Solar inverters</w:t>
            </w:r>
          </w:p>
          <w:p>
            <w:pPr>
              <w:pStyle w:val="TableContents"/>
              <w:bidi w:val="0"/>
              <w:spacing w:before="0" w:after="0"/>
              <w:jc w:val="left"/>
              <w:rPr>
                <w:spacing w:val="0"/>
              </w:rPr>
            </w:pPr>
            <w:r>
              <w:rPr>
                <w:spacing w:val="0"/>
              </w:rPr>
              <w:t>•  </w:t>
            </w:r>
            <w:r>
              <w:rPr>
                <w:rFonts w:ascii="Times New Roman" w:hAnsi="Times New Roman"/>
                <w:spacing w:val="0"/>
                <w:sz w:val="20"/>
              </w:rPr>
              <w:t>Industrial applications</w:t>
            </w:r>
          </w:p>
          <w:p>
            <w:pPr>
              <w:pStyle w:val="TableContents"/>
              <w:bidi w:val="0"/>
              <w:spacing w:before="0" w:after="20"/>
              <w:jc w:val="left"/>
              <w:rPr>
                <w:spacing w:val="0"/>
              </w:rPr>
            </w:pPr>
            <w:r>
              <w:rPr>
                <w:spacing w:val="0"/>
              </w:rPr>
              <w:t>•  </w:t>
            </w:r>
            <w:r>
              <w:rPr>
                <w:rFonts w:ascii="Times New Roman" w:hAnsi="Times New Roman"/>
                <w:spacing w:val="0"/>
                <w:sz w:val="20"/>
              </w:rPr>
              <w:t>Consumer appliances</w:t>
            </w:r>
          </w:p>
        </w:tc>
      </w:tr>
      <w:tr>
        <w:trPr/>
        <w:tc>
          <w:tcPr>
            <w:tcW w:w="1650" w:type="dxa"/>
            <w:tcBorders/>
            <w:vAlign w:val="center"/>
          </w:tcPr>
          <w:p>
            <w:pPr>
              <w:pStyle w:val="TableContents"/>
              <w:bidi w:val="0"/>
              <w:spacing w:before="0" w:after="283"/>
              <w:jc w:val="left"/>
              <w:rPr>
                <w:sz w:val="4"/>
                <w:szCs w:val="4"/>
              </w:rPr>
            </w:pPr>
            <w:r>
              <w:rPr>
                <w:sz w:val="4"/>
                <w:szCs w:val="4"/>
              </w:rPr>
            </w:r>
          </w:p>
        </w:tc>
        <w:tc>
          <w:tcPr>
            <w:tcW w:w="4386" w:type="dxa"/>
            <w:gridSpan w:val="2"/>
            <w:tcBorders/>
            <w:vAlign w:val="center"/>
          </w:tcPr>
          <w:p>
            <w:pPr>
              <w:pStyle w:val="TableContents"/>
              <w:bidi w:val="0"/>
              <w:spacing w:before="0" w:after="283"/>
              <w:jc w:val="left"/>
              <w:rPr>
                <w:sz w:val="4"/>
                <w:szCs w:val="4"/>
              </w:rPr>
            </w:pPr>
            <w:r>
              <w:rPr>
                <w:sz w:val="4"/>
                <w:szCs w:val="4"/>
              </w:rPr>
            </w:r>
          </w:p>
        </w:tc>
        <w:tc>
          <w:tcPr>
            <w:tcW w:w="4169"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AC-DC/DC-DC</w:t>
            </w:r>
          </w:p>
          <w:p>
            <w:pPr>
              <w:pStyle w:val="TableContents"/>
              <w:bidi w:val="0"/>
              <w:spacing w:before="0" w:after="0"/>
              <w:jc w:val="left"/>
              <w:rPr>
                <w:rFonts w:ascii="Times New Roman" w:hAnsi="Times New Roman"/>
                <w:sz w:val="20"/>
              </w:rPr>
            </w:pPr>
            <w:r>
              <w:rPr>
                <w:rFonts w:ascii="Times New Roman" w:hAnsi="Times New Roman"/>
                <w:sz w:val="20"/>
              </w:rPr>
              <w:t>Converter</w:t>
            </w:r>
          </w:p>
        </w:tc>
        <w:tc>
          <w:tcPr>
            <w:tcW w:w="120" w:type="dxa"/>
            <w:tcBorders/>
            <w:vAlign w:val="center"/>
          </w:tcPr>
          <w:p>
            <w:pPr>
              <w:pStyle w:val="TableContents"/>
              <w:bidi w:val="0"/>
              <w:spacing w:before="0" w:after="283"/>
              <w:jc w:val="left"/>
              <w:rPr/>
            </w:pPr>
            <w:r>
              <w:rPr/>
              <w:t>  </w:t>
            </w:r>
          </w:p>
        </w:tc>
        <w:tc>
          <w:tcPr>
            <w:tcW w:w="4266"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Wide control range for high power application (&gt;150W)</w:t>
            </w:r>
          </w:p>
          <w:p>
            <w:pPr>
              <w:pStyle w:val="TableContents"/>
              <w:bidi w:val="0"/>
              <w:spacing w:before="0" w:after="0"/>
              <w:jc w:val="left"/>
              <w:rPr>
                <w:spacing w:val="0"/>
              </w:rPr>
            </w:pPr>
            <w:r>
              <w:rPr>
                <w:spacing w:val="0"/>
              </w:rPr>
              <w:t>•  </w:t>
            </w:r>
            <w:r>
              <w:rPr>
                <w:rFonts w:ascii="Times New Roman" w:hAnsi="Times New Roman"/>
                <w:spacing w:val="0"/>
                <w:sz w:val="20"/>
              </w:rPr>
              <w:t>Advanced BCDMOS process</w:t>
            </w:r>
          </w:p>
          <w:p>
            <w:pPr>
              <w:pStyle w:val="TableContents"/>
              <w:bidi w:val="0"/>
              <w:spacing w:before="0" w:after="0"/>
              <w:jc w:val="left"/>
              <w:rPr>
                <w:spacing w:val="0"/>
              </w:rPr>
            </w:pPr>
            <w:r>
              <w:rPr>
                <w:spacing w:val="0"/>
              </w:rPr>
              <w:t>•  </w:t>
            </w:r>
            <w:r>
              <w:rPr>
                <w:rFonts w:ascii="Times New Roman" w:hAnsi="Times New Roman"/>
                <w:spacing w:val="0"/>
                <w:sz w:val="20"/>
              </w:rPr>
              <w:t>High Precision Voltage Reference</w:t>
            </w:r>
          </w:p>
          <w:p>
            <w:pPr>
              <w:pStyle w:val="TableContents"/>
              <w:bidi w:val="0"/>
              <w:spacing w:before="0" w:after="0"/>
              <w:jc w:val="left"/>
              <w:rPr>
                <w:spacing w:val="0"/>
              </w:rPr>
            </w:pPr>
            <w:r>
              <w:rPr>
                <w:spacing w:val="0"/>
              </w:rPr>
              <w:t>•  </w:t>
            </w:r>
            <w:r>
              <w:rPr>
                <w:rFonts w:ascii="Times New Roman" w:hAnsi="Times New Roman"/>
                <w:spacing w:val="0"/>
                <w:sz w:val="20"/>
              </w:rPr>
              <w:t>Very low startup current consumption</w:t>
            </w:r>
          </w:p>
          <w:p>
            <w:pPr>
              <w:pStyle w:val="TableContents"/>
              <w:bidi w:val="0"/>
              <w:spacing w:before="0" w:after="0"/>
              <w:jc w:val="left"/>
              <w:rPr>
                <w:spacing w:val="0"/>
              </w:rPr>
            </w:pPr>
            <w:r>
              <w:rPr>
                <w:spacing w:val="0"/>
              </w:rPr>
              <w:t>•  </w:t>
            </w:r>
            <w:r>
              <w:rPr>
                <w:rFonts w:ascii="Times New Roman" w:hAnsi="Times New Roman"/>
                <w:spacing w:val="0"/>
                <w:sz w:val="20"/>
              </w:rPr>
              <w:t>Fast load and line regulation</w:t>
            </w:r>
          </w:p>
          <w:p>
            <w:pPr>
              <w:pStyle w:val="TableContents"/>
              <w:bidi w:val="0"/>
              <w:spacing w:before="0" w:after="0"/>
              <w:jc w:val="left"/>
              <w:rPr>
                <w:spacing w:val="0"/>
              </w:rPr>
            </w:pPr>
            <w:r>
              <w:rPr>
                <w:spacing w:val="0"/>
              </w:rPr>
              <w:t>•  </w:t>
            </w:r>
            <w:r>
              <w:rPr>
                <w:rFonts w:ascii="Times New Roman" w:hAnsi="Times New Roman"/>
                <w:spacing w:val="0"/>
                <w:sz w:val="20"/>
              </w:rPr>
              <w:t>Accurate output voltage</w:t>
            </w:r>
          </w:p>
          <w:p>
            <w:pPr>
              <w:pStyle w:val="TableContents"/>
              <w:bidi w:val="0"/>
              <w:spacing w:before="0" w:after="20"/>
              <w:jc w:val="left"/>
              <w:rPr>
                <w:spacing w:val="0"/>
              </w:rPr>
            </w:pPr>
            <w:r>
              <w:rPr>
                <w:spacing w:val="0"/>
              </w:rPr>
              <w:t>•  </w:t>
            </w:r>
            <w:r>
              <w:rPr>
                <w:rFonts w:ascii="Times New Roman" w:hAnsi="Times New Roman"/>
                <w:spacing w:val="0"/>
                <w:sz w:val="20"/>
              </w:rPr>
              <w:t>OCP, SCP and thermal protections</w:t>
            </w:r>
          </w:p>
        </w:tc>
        <w:tc>
          <w:tcPr>
            <w:tcW w:w="120" w:type="dxa"/>
            <w:tcBorders/>
            <w:vAlign w:val="center"/>
          </w:tcPr>
          <w:p>
            <w:pPr>
              <w:pStyle w:val="TableContents"/>
              <w:bidi w:val="0"/>
              <w:spacing w:before="0" w:after="283"/>
              <w:jc w:val="left"/>
              <w:rPr/>
            </w:pPr>
            <w:r>
              <w:rPr/>
              <w:t>  </w:t>
            </w:r>
          </w:p>
        </w:tc>
        <w:tc>
          <w:tcPr>
            <w:tcW w:w="4049"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LCD/LED/UHD TVs</w:t>
            </w:r>
          </w:p>
          <w:p>
            <w:pPr>
              <w:pStyle w:val="TableContents"/>
              <w:bidi w:val="0"/>
              <w:spacing w:before="0" w:after="0"/>
              <w:jc w:val="left"/>
              <w:rPr>
                <w:spacing w:val="0"/>
              </w:rPr>
            </w:pPr>
            <w:r>
              <w:rPr>
                <w:spacing w:val="0"/>
              </w:rPr>
              <w:t>•  </w:t>
            </w:r>
            <w:r>
              <w:rPr>
                <w:rFonts w:ascii="Times New Roman" w:hAnsi="Times New Roman"/>
                <w:spacing w:val="0"/>
                <w:sz w:val="20"/>
              </w:rPr>
              <w:t>Power supplies</w:t>
            </w:r>
          </w:p>
          <w:p>
            <w:pPr>
              <w:pStyle w:val="TableContents"/>
              <w:bidi w:val="0"/>
              <w:spacing w:before="0" w:after="0"/>
              <w:jc w:val="left"/>
              <w:rPr>
                <w:spacing w:val="0"/>
              </w:rPr>
            </w:pPr>
            <w:r>
              <w:rPr>
                <w:spacing w:val="0"/>
              </w:rPr>
              <w:t>•  </w:t>
            </w:r>
            <w:r>
              <w:rPr>
                <w:rFonts w:ascii="Times New Roman" w:hAnsi="Times New Roman"/>
                <w:spacing w:val="0"/>
                <w:sz w:val="20"/>
              </w:rPr>
              <w:t>Smartphones</w:t>
            </w:r>
          </w:p>
          <w:p>
            <w:pPr>
              <w:pStyle w:val="TableContents"/>
              <w:bidi w:val="0"/>
              <w:spacing w:before="0" w:after="0"/>
              <w:jc w:val="left"/>
              <w:rPr>
                <w:spacing w:val="0"/>
              </w:rPr>
            </w:pPr>
            <w:r>
              <w:rPr>
                <w:spacing w:val="0"/>
              </w:rPr>
              <w:t>•  </w:t>
            </w:r>
            <w:r>
              <w:rPr>
                <w:rFonts w:ascii="Times New Roman" w:hAnsi="Times New Roman"/>
                <w:spacing w:val="0"/>
                <w:sz w:val="20"/>
              </w:rPr>
              <w:t>Mobile phones</w:t>
            </w:r>
          </w:p>
          <w:p>
            <w:pPr>
              <w:pStyle w:val="TableContents"/>
              <w:bidi w:val="0"/>
              <w:spacing w:before="0" w:after="0"/>
              <w:jc w:val="left"/>
              <w:rPr>
                <w:spacing w:val="0"/>
              </w:rPr>
            </w:pPr>
            <w:r>
              <w:rPr>
                <w:spacing w:val="0"/>
              </w:rPr>
              <w:t>•  </w:t>
            </w:r>
            <w:r>
              <w:rPr>
                <w:rFonts w:ascii="Times New Roman" w:hAnsi="Times New Roman"/>
                <w:spacing w:val="0"/>
                <w:sz w:val="20"/>
              </w:rPr>
              <w:t>Notebooks</w:t>
            </w:r>
          </w:p>
          <w:p>
            <w:pPr>
              <w:pStyle w:val="TableContents"/>
              <w:bidi w:val="0"/>
              <w:spacing w:before="0" w:after="20"/>
              <w:jc w:val="left"/>
              <w:rPr>
                <w:spacing w:val="0"/>
              </w:rPr>
            </w:pPr>
            <w:r>
              <w:rPr>
                <w:spacing w:val="0"/>
              </w:rPr>
              <w:t>•  </w:t>
            </w:r>
            <w:r>
              <w:rPr>
                <w:rFonts w:ascii="Times New Roman" w:hAnsi="Times New Roman"/>
                <w:spacing w:val="0"/>
                <w:sz w:val="20"/>
              </w:rPr>
              <w:t>Set-top</w:t>
            </w:r>
          </w:p>
          <w:p>
            <w:pPr>
              <w:pStyle w:val="TableContents"/>
              <w:bidi w:val="0"/>
              <w:spacing w:before="0" w:after="20"/>
              <w:jc w:val="left"/>
              <w:rPr>
                <w:rFonts w:ascii="Times New Roman" w:hAnsi="Times New Roman"/>
                <w:sz w:val="20"/>
              </w:rPr>
            </w:pPr>
            <w:r>
              <w:rPr>
                <w:rFonts w:ascii="Times New Roman" w:hAnsi="Times New Roman"/>
                <w:sz w:val="20"/>
              </w:rPr>
              <w:t>boxes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285"/>
        <w:gridCol w:w="120"/>
        <w:gridCol w:w="4887"/>
        <w:gridCol w:w="120"/>
        <w:gridCol w:w="2793"/>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Product</w:t>
            </w:r>
          </w:p>
        </w:tc>
        <w:tc>
          <w:tcPr>
            <w:tcW w:w="120" w:type="dxa"/>
            <w:tcBorders/>
            <w:vAlign w:val="center"/>
          </w:tcPr>
          <w:p>
            <w:pPr>
              <w:pStyle w:val="TableContents"/>
              <w:bidi w:val="0"/>
              <w:spacing w:before="0" w:after="283"/>
              <w:jc w:val="left"/>
              <w:rPr/>
            </w:pPr>
            <w:r>
              <w:rPr/>
              <w:t>  </w:t>
            </w:r>
          </w:p>
        </w:tc>
        <w:tc>
          <w:tcPr>
            <w:tcW w:w="4887"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Key Features</w:t>
            </w:r>
          </w:p>
        </w:tc>
        <w:tc>
          <w:tcPr>
            <w:tcW w:w="12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Applications</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c>
          <w:tcPr>
            <w:tcW w:w="2913"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LED Backlighting Drivers</w:t>
            </w:r>
          </w:p>
        </w:tc>
        <w:tc>
          <w:tcPr>
            <w:tcW w:w="120" w:type="dxa"/>
            <w:tcBorders/>
            <w:vAlign w:val="center"/>
          </w:tcPr>
          <w:p>
            <w:pPr>
              <w:pStyle w:val="TableContents"/>
              <w:bidi w:val="0"/>
              <w:spacing w:before="0" w:after="283"/>
              <w:jc w:val="left"/>
              <w:rPr/>
            </w:pPr>
            <w:r>
              <w:rPr/>
              <w:t>  </w:t>
            </w:r>
          </w:p>
        </w:tc>
        <w:tc>
          <w:tcPr>
            <w:tcW w:w="4887"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High efficiency, wide input voltage range</w:t>
            </w:r>
          </w:p>
          <w:p>
            <w:pPr>
              <w:pStyle w:val="TableContents"/>
              <w:bidi w:val="0"/>
              <w:spacing w:before="0" w:after="0"/>
              <w:jc w:val="left"/>
              <w:rPr>
                <w:spacing w:val="0"/>
              </w:rPr>
            </w:pPr>
            <w:r>
              <w:rPr>
                <w:spacing w:val="0"/>
              </w:rPr>
              <w:t>•  </w:t>
            </w:r>
            <w:r>
              <w:rPr>
                <w:rFonts w:ascii="Times New Roman" w:hAnsi="Times New Roman"/>
                <w:spacing w:val="0"/>
                <w:sz w:val="20"/>
              </w:rPr>
              <w:t>Advanced BCDMOS process</w:t>
            </w:r>
          </w:p>
          <w:p>
            <w:pPr>
              <w:pStyle w:val="TableContents"/>
              <w:bidi w:val="0"/>
              <w:spacing w:before="0" w:after="0"/>
              <w:jc w:val="left"/>
              <w:rPr>
                <w:spacing w:val="0"/>
              </w:rPr>
            </w:pPr>
            <w:r>
              <w:rPr>
                <w:spacing w:val="0"/>
              </w:rPr>
              <w:t>•  </w:t>
            </w:r>
            <w:r>
              <w:rPr>
                <w:rFonts w:ascii="Times New Roman" w:hAnsi="Times New Roman"/>
                <w:spacing w:val="0"/>
                <w:sz w:val="20"/>
              </w:rPr>
              <w:t>OCP, SCP, OVP and UVLO protections</w:t>
            </w:r>
          </w:p>
          <w:p>
            <w:pPr>
              <w:pStyle w:val="TableContents"/>
              <w:bidi w:val="0"/>
              <w:spacing w:before="0" w:after="0"/>
              <w:jc w:val="left"/>
              <w:rPr>
                <w:spacing w:val="0"/>
              </w:rPr>
            </w:pPr>
            <w:r>
              <w:rPr>
                <w:spacing w:val="0"/>
              </w:rPr>
              <w:t>•  </w:t>
            </w:r>
            <w:r>
              <w:rPr>
                <w:rFonts w:ascii="Times New Roman" w:hAnsi="Times New Roman"/>
                <w:spacing w:val="0"/>
                <w:sz w:val="20"/>
              </w:rPr>
              <w:t>Accurate LED current control and multi-channel matching</w:t>
            </w:r>
          </w:p>
          <w:p>
            <w:pPr>
              <w:pStyle w:val="TableContents"/>
              <w:bidi w:val="0"/>
              <w:spacing w:before="0" w:after="20"/>
              <w:jc w:val="left"/>
              <w:rPr>
                <w:spacing w:val="0"/>
              </w:rPr>
            </w:pPr>
            <w:r>
              <w:rPr>
                <w:spacing w:val="0"/>
              </w:rPr>
              <w:t>•  </w:t>
            </w:r>
            <w:r>
              <w:rPr>
                <w:rFonts w:ascii="Times New Roman" w:hAnsi="Times New Roman"/>
                <w:spacing w:val="0"/>
                <w:sz w:val="20"/>
              </w:rPr>
              <w:t>Programmable current limit, boost up frequency</w:t>
            </w:r>
          </w:p>
        </w:tc>
        <w:tc>
          <w:tcPr>
            <w:tcW w:w="12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Tablet PCs</w:t>
            </w:r>
          </w:p>
          <w:p>
            <w:pPr>
              <w:pStyle w:val="TableContents"/>
              <w:bidi w:val="0"/>
              <w:spacing w:before="0" w:after="0"/>
              <w:jc w:val="left"/>
              <w:rPr>
                <w:spacing w:val="0"/>
              </w:rPr>
            </w:pPr>
            <w:r>
              <w:rPr>
                <w:spacing w:val="0"/>
              </w:rPr>
              <w:t>•  </w:t>
            </w:r>
            <w:r>
              <w:rPr>
                <w:rFonts w:ascii="Times New Roman" w:hAnsi="Times New Roman"/>
                <w:spacing w:val="0"/>
                <w:sz w:val="20"/>
              </w:rPr>
              <w:t>Notebooks</w:t>
            </w:r>
          </w:p>
          <w:p>
            <w:pPr>
              <w:pStyle w:val="TableContents"/>
              <w:bidi w:val="0"/>
              <w:spacing w:before="0" w:after="0"/>
              <w:jc w:val="left"/>
              <w:rPr>
                <w:spacing w:val="0"/>
              </w:rPr>
            </w:pPr>
            <w:r>
              <w:rPr>
                <w:spacing w:val="0"/>
              </w:rPr>
              <w:t>•  </w:t>
            </w:r>
            <w:r>
              <w:rPr>
                <w:rFonts w:ascii="Times New Roman" w:hAnsi="Times New Roman"/>
                <w:spacing w:val="0"/>
                <w:sz w:val="20"/>
              </w:rPr>
              <w:t>Smartphones</w:t>
            </w:r>
          </w:p>
          <w:p>
            <w:pPr>
              <w:pStyle w:val="TableContents"/>
              <w:bidi w:val="0"/>
              <w:spacing w:before="0" w:after="0"/>
              <w:jc w:val="left"/>
              <w:rPr>
                <w:spacing w:val="0"/>
              </w:rPr>
            </w:pPr>
            <w:r>
              <w:rPr>
                <w:spacing w:val="0"/>
              </w:rPr>
              <w:t>•  </w:t>
            </w:r>
            <w:r>
              <w:rPr>
                <w:rFonts w:ascii="Times New Roman" w:hAnsi="Times New Roman"/>
                <w:spacing w:val="0"/>
                <w:sz w:val="20"/>
              </w:rPr>
              <w:t>LED/UHD TVs</w:t>
            </w:r>
          </w:p>
          <w:p>
            <w:pPr>
              <w:pStyle w:val="TableContents"/>
              <w:bidi w:val="0"/>
              <w:spacing w:before="0" w:after="20"/>
              <w:jc w:val="left"/>
              <w:rPr>
                <w:spacing w:val="0"/>
              </w:rPr>
            </w:pPr>
            <w:r>
              <w:rPr>
                <w:spacing w:val="0"/>
              </w:rPr>
              <w:t>•  </w:t>
            </w:r>
            <w:r>
              <w:rPr>
                <w:rFonts w:ascii="Times New Roman" w:hAnsi="Times New Roman"/>
                <w:spacing w:val="0"/>
                <w:sz w:val="20"/>
              </w:rPr>
              <w:t>LED monitors</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c>
          <w:tcPr>
            <w:tcW w:w="2913"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Digital Controlled LED Driver</w:t>
            </w:r>
          </w:p>
        </w:tc>
        <w:tc>
          <w:tcPr>
            <w:tcW w:w="120" w:type="dxa"/>
            <w:tcBorders/>
            <w:vAlign w:val="center"/>
          </w:tcPr>
          <w:p>
            <w:pPr>
              <w:pStyle w:val="TableContents"/>
              <w:bidi w:val="0"/>
              <w:spacing w:before="0" w:after="283"/>
              <w:jc w:val="left"/>
              <w:rPr/>
            </w:pPr>
            <w:r>
              <w:rPr/>
              <w:t>  </w:t>
            </w:r>
          </w:p>
        </w:tc>
        <w:tc>
          <w:tcPr>
            <w:tcW w:w="4887"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Multi-channel constant current control</w:t>
            </w:r>
          </w:p>
          <w:p>
            <w:pPr>
              <w:pStyle w:val="TableContents"/>
              <w:bidi w:val="0"/>
              <w:spacing w:before="0" w:after="20"/>
              <w:jc w:val="left"/>
              <w:rPr>
                <w:spacing w:val="0"/>
              </w:rPr>
            </w:pPr>
            <w:r>
              <w:rPr>
                <w:spacing w:val="0"/>
              </w:rPr>
              <w:t>•  </w:t>
            </w:r>
            <w:r>
              <w:rPr>
                <w:rFonts w:ascii="Times New Roman" w:hAnsi="Times New Roman"/>
                <w:spacing w:val="0"/>
                <w:sz w:val="20"/>
              </w:rPr>
              <w:t>12Bit gray scale with SPI</w:t>
            </w:r>
          </w:p>
        </w:tc>
        <w:tc>
          <w:tcPr>
            <w:tcW w:w="12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Digital signage</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c>
          <w:tcPr>
            <w:tcW w:w="2913"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LED Lighting Drivers</w:t>
            </w:r>
          </w:p>
        </w:tc>
        <w:tc>
          <w:tcPr>
            <w:tcW w:w="120" w:type="dxa"/>
            <w:tcBorders/>
            <w:vAlign w:val="center"/>
          </w:tcPr>
          <w:p>
            <w:pPr>
              <w:pStyle w:val="TableContents"/>
              <w:bidi w:val="0"/>
              <w:spacing w:before="0" w:after="283"/>
              <w:jc w:val="left"/>
              <w:rPr/>
            </w:pPr>
            <w:r>
              <w:rPr/>
              <w:t>  </w:t>
            </w:r>
          </w:p>
        </w:tc>
        <w:tc>
          <w:tcPr>
            <w:tcW w:w="4887"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High efficiency, wide input voltage range</w:t>
            </w:r>
          </w:p>
          <w:p>
            <w:pPr>
              <w:pStyle w:val="TableContents"/>
              <w:bidi w:val="0"/>
              <w:spacing w:before="0" w:after="0"/>
              <w:jc w:val="left"/>
              <w:rPr>
                <w:spacing w:val="0"/>
              </w:rPr>
            </w:pPr>
            <w:r>
              <w:rPr>
                <w:spacing w:val="0"/>
              </w:rPr>
              <w:t>•  </w:t>
            </w:r>
            <w:r>
              <w:rPr>
                <w:rFonts w:ascii="Times New Roman" w:hAnsi="Times New Roman"/>
                <w:spacing w:val="0"/>
                <w:sz w:val="20"/>
              </w:rPr>
              <w:t>Simple solutions with external components fully integrated</w:t>
            </w:r>
          </w:p>
          <w:p>
            <w:pPr>
              <w:pStyle w:val="TableContents"/>
              <w:bidi w:val="0"/>
              <w:spacing w:before="0" w:after="0"/>
              <w:jc w:val="left"/>
              <w:rPr>
                <w:spacing w:val="0"/>
              </w:rPr>
            </w:pPr>
            <w:r>
              <w:rPr>
                <w:spacing w:val="0"/>
              </w:rPr>
              <w:t>•  </w:t>
            </w:r>
            <w:r>
              <w:rPr>
                <w:rFonts w:ascii="Times New Roman" w:hAnsi="Times New Roman"/>
                <w:spacing w:val="0"/>
                <w:sz w:val="20"/>
              </w:rPr>
              <w:t>Advanced high voltage BCDMOS process</w:t>
            </w:r>
          </w:p>
          <w:p>
            <w:pPr>
              <w:pStyle w:val="TableContents"/>
              <w:bidi w:val="0"/>
              <w:spacing w:before="0" w:after="20"/>
              <w:jc w:val="left"/>
              <w:rPr>
                <w:spacing w:val="0"/>
              </w:rPr>
            </w:pPr>
            <w:r>
              <w:rPr>
                <w:spacing w:val="0"/>
              </w:rPr>
              <w:t>•  </w:t>
            </w:r>
            <w:r>
              <w:rPr>
                <w:rFonts w:ascii="Times New Roman" w:hAnsi="Times New Roman"/>
                <w:spacing w:val="0"/>
                <w:sz w:val="20"/>
              </w:rPr>
              <w:t>Accurate LED current control and high power factor and low THB</w:t>
            </w:r>
          </w:p>
        </w:tc>
        <w:tc>
          <w:tcPr>
            <w:tcW w:w="12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AC and DC LED lighting</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c>
          <w:tcPr>
            <w:tcW w:w="2913"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Regulators</w:t>
            </w:r>
          </w:p>
        </w:tc>
        <w:tc>
          <w:tcPr>
            <w:tcW w:w="120" w:type="dxa"/>
            <w:tcBorders/>
            <w:vAlign w:val="center"/>
          </w:tcPr>
          <w:p>
            <w:pPr>
              <w:pStyle w:val="TableContents"/>
              <w:bidi w:val="0"/>
              <w:spacing w:before="0" w:after="283"/>
              <w:jc w:val="left"/>
              <w:rPr/>
            </w:pPr>
            <w:r>
              <w:rPr/>
              <w:t>  </w:t>
            </w:r>
          </w:p>
        </w:tc>
        <w:tc>
          <w:tcPr>
            <w:tcW w:w="4887"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Single and multi-regulators</w:t>
            </w:r>
          </w:p>
          <w:p>
            <w:pPr>
              <w:pStyle w:val="TableContents"/>
              <w:bidi w:val="0"/>
              <w:spacing w:before="0" w:after="0"/>
              <w:jc w:val="left"/>
              <w:rPr>
                <w:spacing w:val="0"/>
              </w:rPr>
            </w:pPr>
            <w:r>
              <w:rPr>
                <w:spacing w:val="0"/>
              </w:rPr>
              <w:t>•  </w:t>
            </w:r>
            <w:r>
              <w:rPr>
                <w:rFonts w:ascii="Times New Roman" w:hAnsi="Times New Roman"/>
                <w:spacing w:val="0"/>
                <w:sz w:val="20"/>
              </w:rPr>
              <w:t>Low Noise Output regulators</w:t>
            </w:r>
          </w:p>
          <w:p>
            <w:pPr>
              <w:pStyle w:val="TableContents"/>
              <w:bidi w:val="0"/>
              <w:spacing w:before="0" w:after="0"/>
              <w:jc w:val="left"/>
              <w:rPr>
                <w:spacing w:val="0"/>
              </w:rPr>
            </w:pPr>
            <w:r>
              <w:rPr>
                <w:spacing w:val="0"/>
              </w:rPr>
              <w:t>•  </w:t>
            </w:r>
            <w:r>
              <w:rPr>
                <w:rFonts w:ascii="Times New Roman" w:hAnsi="Times New Roman"/>
                <w:spacing w:val="0"/>
                <w:sz w:val="20"/>
              </w:rPr>
              <w:t>Wide range of input voltage and various output current</w:t>
            </w:r>
          </w:p>
          <w:p>
            <w:pPr>
              <w:pStyle w:val="TableContents"/>
              <w:bidi w:val="0"/>
              <w:spacing w:before="0" w:after="0"/>
              <w:jc w:val="left"/>
              <w:rPr>
                <w:spacing w:val="0"/>
              </w:rPr>
            </w:pPr>
            <w:r>
              <w:rPr>
                <w:spacing w:val="0"/>
              </w:rPr>
              <w:t>•  </w:t>
            </w:r>
            <w:r>
              <w:rPr>
                <w:rFonts w:ascii="Times New Roman" w:hAnsi="Times New Roman"/>
                <w:spacing w:val="0"/>
                <w:sz w:val="20"/>
              </w:rPr>
              <w:t>CMOS and BCDMOS processes</w:t>
            </w:r>
          </w:p>
          <w:p>
            <w:pPr>
              <w:pStyle w:val="TableContents"/>
              <w:bidi w:val="0"/>
              <w:spacing w:before="0" w:after="20"/>
              <w:jc w:val="left"/>
              <w:rPr>
                <w:spacing w:val="0"/>
              </w:rPr>
            </w:pPr>
            <w:r>
              <w:rPr>
                <w:spacing w:val="0"/>
              </w:rPr>
              <w:t>•  </w:t>
            </w:r>
            <w:r>
              <w:rPr>
                <w:rFonts w:ascii="Times New Roman" w:hAnsi="Times New Roman"/>
                <w:spacing w:val="0"/>
                <w:sz w:val="20"/>
              </w:rPr>
              <w:t>LDO (Low Drop Out — Linear Regulator)</w:t>
            </w:r>
          </w:p>
        </w:tc>
        <w:tc>
          <w:tcPr>
            <w:tcW w:w="12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Smartphones and Mobile phones</w:t>
            </w:r>
          </w:p>
          <w:p>
            <w:pPr>
              <w:pStyle w:val="TableContents"/>
              <w:bidi w:val="0"/>
              <w:spacing w:before="0" w:after="0"/>
              <w:jc w:val="left"/>
              <w:rPr>
                <w:spacing w:val="0"/>
              </w:rPr>
            </w:pPr>
            <w:r>
              <w:rPr>
                <w:spacing w:val="0"/>
              </w:rPr>
              <w:t>•  </w:t>
            </w:r>
            <w:r>
              <w:rPr>
                <w:rFonts w:ascii="Times New Roman" w:hAnsi="Times New Roman"/>
                <w:spacing w:val="0"/>
                <w:sz w:val="20"/>
              </w:rPr>
              <w:t>Notebooks</w:t>
            </w:r>
          </w:p>
          <w:p>
            <w:pPr>
              <w:pStyle w:val="TableContents"/>
              <w:bidi w:val="0"/>
              <w:spacing w:before="0" w:after="20"/>
              <w:jc w:val="left"/>
              <w:rPr>
                <w:spacing w:val="0"/>
              </w:rPr>
            </w:pPr>
            <w:r>
              <w:rPr>
                <w:spacing w:val="0"/>
              </w:rPr>
              <w:t>•  </w:t>
            </w:r>
            <w:r>
              <w:rPr>
                <w:rFonts w:ascii="Times New Roman" w:hAnsi="Times New Roman"/>
                <w:spacing w:val="0"/>
                <w:sz w:val="20"/>
              </w:rPr>
              <w:t>Computing applications</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c>
          <w:tcPr>
            <w:tcW w:w="2913"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SSD PMIC</w:t>
            </w:r>
          </w:p>
        </w:tc>
        <w:tc>
          <w:tcPr>
            <w:tcW w:w="120" w:type="dxa"/>
            <w:tcBorders/>
            <w:vAlign w:val="center"/>
          </w:tcPr>
          <w:p>
            <w:pPr>
              <w:pStyle w:val="TableContents"/>
              <w:bidi w:val="0"/>
              <w:spacing w:before="0" w:after="283"/>
              <w:jc w:val="left"/>
              <w:rPr/>
            </w:pPr>
            <w:r>
              <w:rPr/>
              <w:t>  </w:t>
            </w:r>
          </w:p>
        </w:tc>
        <w:tc>
          <w:tcPr>
            <w:tcW w:w="4887"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High current buck</w:t>
            </w:r>
          </w:p>
          <w:p>
            <w:pPr>
              <w:pStyle w:val="TableContents"/>
              <w:bidi w:val="0"/>
              <w:spacing w:before="0" w:after="0"/>
              <w:jc w:val="left"/>
              <w:rPr>
                <w:spacing w:val="0"/>
              </w:rPr>
            </w:pPr>
            <w:r>
              <w:rPr>
                <w:spacing w:val="0"/>
              </w:rPr>
              <w:t>•  </w:t>
            </w:r>
            <w:r>
              <w:rPr>
                <w:rFonts w:ascii="Times New Roman" w:hAnsi="Times New Roman"/>
                <w:spacing w:val="0"/>
                <w:sz w:val="20"/>
              </w:rPr>
              <w:t>PFM function</w:t>
            </w:r>
          </w:p>
          <w:p>
            <w:pPr>
              <w:pStyle w:val="TableContents"/>
              <w:bidi w:val="0"/>
              <w:spacing w:before="0" w:after="0"/>
              <w:jc w:val="left"/>
              <w:rPr>
                <w:spacing w:val="0"/>
              </w:rPr>
            </w:pPr>
            <w:r>
              <w:rPr>
                <w:spacing w:val="0"/>
              </w:rPr>
              <w:t>•  </w:t>
            </w:r>
            <w:r>
              <w:rPr>
                <w:rFonts w:ascii="Times New Roman" w:hAnsi="Times New Roman"/>
                <w:spacing w:val="0"/>
                <w:sz w:val="20"/>
              </w:rPr>
              <w:t>High frequency switching</w:t>
            </w:r>
          </w:p>
          <w:p>
            <w:pPr>
              <w:pStyle w:val="TableContents"/>
              <w:bidi w:val="0"/>
              <w:spacing w:before="0" w:after="0"/>
              <w:jc w:val="left"/>
              <w:rPr>
                <w:spacing w:val="0"/>
              </w:rPr>
            </w:pPr>
            <w:r>
              <w:rPr>
                <w:spacing w:val="0"/>
              </w:rPr>
              <w:t>•  </w:t>
            </w:r>
            <w:r>
              <w:rPr>
                <w:rFonts w:ascii="Times New Roman" w:hAnsi="Times New Roman"/>
                <w:spacing w:val="0"/>
                <w:sz w:val="20"/>
              </w:rPr>
              <w:t>High efficiency</w:t>
            </w:r>
          </w:p>
          <w:p>
            <w:pPr>
              <w:pStyle w:val="TableContents"/>
              <w:bidi w:val="0"/>
              <w:spacing w:before="0" w:after="0"/>
              <w:jc w:val="left"/>
              <w:rPr>
                <w:spacing w:val="0"/>
              </w:rPr>
            </w:pPr>
            <w:r>
              <w:rPr>
                <w:spacing w:val="0"/>
              </w:rPr>
              <w:t>•  </w:t>
            </w:r>
            <w:r>
              <w:rPr>
                <w:rFonts w:ascii="Times New Roman" w:hAnsi="Times New Roman"/>
                <w:spacing w:val="0"/>
                <w:sz w:val="20"/>
              </w:rPr>
              <w:t>High integration technology</w:t>
            </w:r>
          </w:p>
          <w:p>
            <w:pPr>
              <w:pStyle w:val="TableContents"/>
              <w:bidi w:val="0"/>
              <w:spacing w:before="0" w:after="20"/>
              <w:jc w:val="left"/>
              <w:rPr>
                <w:spacing w:val="0"/>
              </w:rPr>
            </w:pPr>
            <w:r>
              <w:rPr>
                <w:spacing w:val="0"/>
              </w:rPr>
              <w:t>•  </w:t>
            </w:r>
            <w:r>
              <w:rPr>
                <w:rFonts w:ascii="Times New Roman" w:hAnsi="Times New Roman"/>
                <w:spacing w:val="0"/>
                <w:sz w:val="20"/>
              </w:rPr>
              <w:t>Small QFN package</w:t>
            </w:r>
          </w:p>
        </w:tc>
        <w:tc>
          <w:tcPr>
            <w:tcW w:w="12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Computing applications</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c>
          <w:tcPr>
            <w:tcW w:w="2913"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Logic PMIC</w:t>
            </w:r>
          </w:p>
        </w:tc>
        <w:tc>
          <w:tcPr>
            <w:tcW w:w="120" w:type="dxa"/>
            <w:tcBorders/>
            <w:vAlign w:val="center"/>
          </w:tcPr>
          <w:p>
            <w:pPr>
              <w:pStyle w:val="TableContents"/>
              <w:bidi w:val="0"/>
              <w:spacing w:before="0" w:after="283"/>
              <w:jc w:val="left"/>
              <w:rPr/>
            </w:pPr>
            <w:r>
              <w:rPr/>
              <w:t>  </w:t>
            </w:r>
          </w:p>
        </w:tc>
        <w:tc>
          <w:tcPr>
            <w:tcW w:w="4887"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High current boost</w:t>
            </w:r>
          </w:p>
          <w:p>
            <w:pPr>
              <w:pStyle w:val="TableContents"/>
              <w:bidi w:val="0"/>
              <w:spacing w:before="0" w:after="0"/>
              <w:jc w:val="left"/>
              <w:rPr>
                <w:spacing w:val="0"/>
              </w:rPr>
            </w:pPr>
            <w:r>
              <w:rPr>
                <w:spacing w:val="0"/>
              </w:rPr>
              <w:t>•  </w:t>
            </w:r>
            <w:r>
              <w:rPr>
                <w:rFonts w:ascii="Times New Roman" w:hAnsi="Times New Roman"/>
                <w:spacing w:val="0"/>
                <w:sz w:val="20"/>
              </w:rPr>
              <w:t>Integrated pass transistor</w:t>
            </w:r>
          </w:p>
          <w:p>
            <w:pPr>
              <w:pStyle w:val="TableContents"/>
              <w:bidi w:val="0"/>
              <w:spacing w:before="0" w:after="0"/>
              <w:jc w:val="left"/>
              <w:rPr>
                <w:spacing w:val="0"/>
              </w:rPr>
            </w:pPr>
            <w:r>
              <w:rPr>
                <w:spacing w:val="0"/>
              </w:rPr>
              <w:t>•  </w:t>
            </w:r>
            <w:r>
              <w:rPr>
                <w:rFonts w:ascii="Times New Roman" w:hAnsi="Times New Roman"/>
                <w:spacing w:val="0"/>
                <w:sz w:val="20"/>
              </w:rPr>
              <w:t>LDO</w:t>
            </w:r>
          </w:p>
          <w:p>
            <w:pPr>
              <w:pStyle w:val="TableContents"/>
              <w:bidi w:val="0"/>
              <w:spacing w:before="0" w:after="0"/>
              <w:jc w:val="left"/>
              <w:rPr>
                <w:spacing w:val="0"/>
              </w:rPr>
            </w:pPr>
            <w:r>
              <w:rPr>
                <w:spacing w:val="0"/>
              </w:rPr>
              <w:t>•  </w:t>
            </w:r>
            <w:r>
              <w:rPr>
                <w:rFonts w:ascii="Times New Roman" w:hAnsi="Times New Roman"/>
                <w:spacing w:val="0"/>
                <w:sz w:val="20"/>
              </w:rPr>
              <w:t>3channel high current buck</w:t>
            </w:r>
          </w:p>
          <w:p>
            <w:pPr>
              <w:pStyle w:val="TableContents"/>
              <w:bidi w:val="0"/>
              <w:spacing w:before="0" w:after="0"/>
              <w:jc w:val="left"/>
              <w:rPr>
                <w:spacing w:val="0"/>
              </w:rPr>
            </w:pPr>
            <w:r>
              <w:rPr>
                <w:spacing w:val="0"/>
              </w:rPr>
              <w:t>•  </w:t>
            </w:r>
            <w:r>
              <w:rPr>
                <w:rFonts w:ascii="Times New Roman" w:hAnsi="Times New Roman"/>
                <w:spacing w:val="0"/>
                <w:sz w:val="20"/>
              </w:rPr>
              <w:t>Negative Charge Pump</w:t>
            </w:r>
          </w:p>
          <w:p>
            <w:pPr>
              <w:pStyle w:val="TableContents"/>
              <w:bidi w:val="0"/>
              <w:spacing w:before="0" w:after="0"/>
              <w:jc w:val="left"/>
              <w:rPr/>
            </w:pPr>
            <w:r>
              <w:rPr/>
              <w:t>•  </w:t>
            </w:r>
            <w:r>
              <w:rPr>
                <w:rFonts w:ascii="Times New Roman" w:hAnsi="Times New Roman"/>
                <w:sz w:val="20"/>
              </w:rPr>
              <w:t xml:space="preserve">2channel buffer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Op-Amp.</w:t>
            </w:r>
          </w:p>
          <w:p>
            <w:pPr>
              <w:pStyle w:val="TableContents"/>
              <w:bidi w:val="0"/>
              <w:spacing w:before="0" w:after="20"/>
              <w:jc w:val="left"/>
              <w:rPr>
                <w:spacing w:val="0"/>
              </w:rPr>
            </w:pPr>
            <w:r>
              <w:rPr>
                <w:spacing w:val="0"/>
              </w:rPr>
              <w:t>•  </w:t>
            </w:r>
            <w:r>
              <w:rPr>
                <w:rFonts w:ascii="Times New Roman" w:hAnsi="Times New Roman"/>
                <w:spacing w:val="0"/>
                <w:sz w:val="20"/>
              </w:rPr>
              <w:t>Tiny Wafer Level CSP</w:t>
            </w:r>
          </w:p>
        </w:tc>
        <w:tc>
          <w:tcPr>
            <w:tcW w:w="120"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0"/>
              <w:jc w:val="left"/>
              <w:rPr>
                <w:spacing w:val="0"/>
              </w:rPr>
            </w:pPr>
            <w:r>
              <w:rPr>
                <w:spacing w:val="0"/>
              </w:rPr>
              <w:t>•  </w:t>
            </w:r>
            <w:r>
              <w:rPr>
                <w:rFonts w:ascii="Times New Roman" w:hAnsi="Times New Roman"/>
                <w:spacing w:val="0"/>
                <w:sz w:val="20"/>
              </w:rPr>
              <w:t>Notebooks</w:t>
            </w:r>
          </w:p>
          <w:p>
            <w:pPr>
              <w:pStyle w:val="TableContents"/>
              <w:bidi w:val="0"/>
              <w:spacing w:before="0" w:after="20"/>
              <w:jc w:val="left"/>
              <w:rPr>
                <w:spacing w:val="0"/>
              </w:rPr>
            </w:pPr>
            <w:r>
              <w:rPr>
                <w:spacing w:val="0"/>
              </w:rPr>
              <w:t>•  </w:t>
            </w:r>
            <w:r>
              <w:rPr>
                <w:rFonts w:ascii="Times New Roman" w:hAnsi="Times New Roman"/>
                <w:spacing w:val="0"/>
                <w:sz w:val="20"/>
              </w:rPr>
              <w:t>Tablet PCs</w:t>
            </w:r>
          </w:p>
        </w:tc>
      </w:tr>
    </w:tbl>
    <w:p>
      <w:pPr>
        <w:pStyle w:val="TextBody"/>
        <w:bidi w:val="0"/>
        <w:spacing w:lineRule="atLeast" w:line="160" w:before="0" w:after="40"/>
        <w:jc w:val="left"/>
        <w:rPr>
          <w:spacing w:val="0"/>
        </w:rPr>
      </w:pPr>
      <w:r>
        <w:rPr>
          <w:spacing w:val="0"/>
        </w:rPr>
        <w: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Sales and Marketing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focus our sales and marketing strategy on continuing to grow and leverage our existing relationships with leading consumer electronics OEMs, while expanding into industrial and automotive end markets. We believe our close collaboration with customers allows us to align our product and technology development with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customers’ existing and future needs. Because our customers often service multiple end markets, our product sales teams are organized by customers within the major geographies. We believe this facilitates the sale of products that address multiple </w:t>
      </w:r>
    </w:p>
    <w:p>
      <w:pPr>
        <w:pStyle w:val="TextBody"/>
        <w:bidi w:val="0"/>
        <w:spacing w:before="0" w:after="0"/>
        <w:jc w:val="left"/>
        <w:rPr>
          <w:rFonts w:ascii="Times New Roman" w:hAnsi="Times New Roman"/>
          <w:spacing w:val="0"/>
          <w:sz w:val="20"/>
        </w:rPr>
      </w:pPr>
      <w:r>
        <w:rPr>
          <w:rFonts w:ascii="Times New Roman" w:hAnsi="Times New Roman"/>
          <w:spacing w:val="0"/>
          <w:sz w:val="20"/>
        </w:rPr>
        <w:t>end-market</w:t>
      </w:r>
    </w:p>
    <w:p>
      <w:pPr>
        <w:pStyle w:val="TextBody"/>
        <w:bidi w:val="0"/>
        <w:spacing w:before="0" w:after="0"/>
        <w:jc w:val="left"/>
        <w:rPr>
          <w:rFonts w:ascii="Times New Roman" w:hAnsi="Times New Roman"/>
          <w:sz w:val="20"/>
        </w:rPr>
      </w:pPr>
      <w:r>
        <w:rPr>
          <w:rFonts w:ascii="Times New Roman" w:hAnsi="Times New Roman"/>
          <w:sz w:val="20"/>
        </w:rPr>
        <w:t xml:space="preserve">applications to each of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We sell our products through a direct sales force and a network of authorized agents and distributors. We have strategically located our sales and technical support offices near our customers. Our direct sales force consists primarily of representatives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co-located</w:t>
      </w:r>
    </w:p>
    <w:p>
      <w:pPr>
        <w:pStyle w:val="TextBody"/>
        <w:bidi w:val="0"/>
        <w:spacing w:before="240" w:after="0"/>
        <w:jc w:val="left"/>
        <w:rPr>
          <w:rFonts w:ascii="Times New Roman" w:hAnsi="Times New Roman"/>
          <w:sz w:val="20"/>
        </w:rPr>
      </w:pPr>
      <w:r>
        <w:rPr>
          <w:rFonts w:ascii="Times New Roman" w:hAnsi="Times New Roman"/>
          <w:sz w:val="20"/>
        </w:rPr>
        <w:t xml:space="preserve">with our design center in Korea, as well as our local sales and support offices and sales liaisons in Japan, Greater China, Taiwan and Europe. We have a network of agents and distributors in the U.S., Europe and the Asia Pacific region. For the years ended December 31, 2023, 2022 and 2021, we derived 34%, 48% and 62% of net sales from our standard products business through our direct sales force, respectively, and 66%, 52% and 38% of net sales from our standard products business through our network of authorized agents and distributors,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Customers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sell our Display Solutions and Power Solutions products to consumer, computing, communication, automotive and industrial electronics OEMs, original design manufacturers and electronics manufacturing services companies, as well as subsystem designers. For the years ended December 31, 2023, 2022 and 2021, our ten largest customers accounted for 69.2%, 69.4% and 79.8% of net sales from our standard products business, respectively. Our arrangements with and reliance on key customers, particularly customers for our display products, may make it less practicable to pursue certain opportunities with other potential new and existing customers. For the year ended December 31, 2023, sales to SAMT represented 16.7% of net sales from our standard products business, and Samsung Display represented 13.4% of net sales from our standard products business. For the year ended December 31, 2022, sales to Samsung Display represented 19.0% of net sales from our standard products business, and SAMT represented 13.8% of net sales from our standard products business. For the year ended December 31, 2021, sales to Samsung Display represented 42.5% of net sales from our standard products business, and SAMT represented 10.4% of net sales from our standard products business. For the year ended December 31, 2023, we recorded revenues of $2.8 million from customers in the U.S. and $192.9 million from all foreign countries, of which 41.4% was from Greater China and 34.6% was from Korea. For the year ended December 31, 2022, we recorded revenues of $10.4 million from customers in the U.S. and $291.5 million from all foreign countries, of which 42.2% was from Greater China and 36.1% was from Korea. For the year ended December 31, 2021, we recorded revenues of $6.1 million from customers in the U.S. and $427.0 million from all foreign countries, of which 47.2% was from Greater China, 26.6% from Korea and 18.9% from Vietnam. All information pertaining to the geographic source of revenues is with respect to the geographic location to which our products are billed.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Intellectual Property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2023, our portfolio of intellectual property assets included approximately 927 registered patents and 170 pending applications. Approximately 394 and 54 of our registered patents and pending applications, respectively, are novel in that they are not a foreign counterpart of an existing registered patent or pending application. Because we file patents in multiple jurisdictions, we additionally have approximately 533 registered patents and 116 pending applications that relate to identical technical claims in our base patent portfolio. Our registered patents expire at various times approximately over the next 19 years. While these patents are, in the aggregate, important to our competitive position, we do not believe that any single registered patent or pending application is material to us. </w:t>
      </w:r>
    </w:p>
    <w:p>
      <w:pPr>
        <w:pStyle w:val="TextBody"/>
        <w:bidi w:val="0"/>
        <w:spacing w:before="240" w:after="0"/>
        <w:jc w:val="left"/>
        <w:rPr>
          <w:rFonts w:ascii="Times New Roman" w:hAnsi="Times New Roman"/>
          <w:sz w:val="20"/>
        </w:rPr>
      </w:pPr>
      <w:r>
        <w:rPr>
          <w:rFonts w:ascii="Times New Roman" w:hAnsi="Times New Roman"/>
          <w:sz w:val="20"/>
        </w:rPr>
        <w:t xml:space="preserve">See “Item 1A. Risk Factors—Risks Related to Our Business—Our ability to compete successfully and achieve future growth will depend, in part, on our ability to protect our intellectual property, proprietary technology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240" w:after="0"/>
        <w:jc w:val="left"/>
        <w:rPr>
          <w:rFonts w:ascii="Times New Roman" w:hAnsi="Times New Roman"/>
          <w:sz w:val="20"/>
        </w:rPr>
      </w:pPr>
      <w:r>
        <w:rPr>
          <w:rFonts w:ascii="Times New Roman" w:hAnsi="Times New Roman"/>
          <w:sz w:val="20"/>
        </w:rPr>
        <w:t xml:space="preserve">as well as our ability to operate without infringing the proprietary rights of others.”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National Core Technology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Under the Act on Prevention of Leakage and Protection of Industrial Technology of Korea (the “ITA”), any export (including various means of outflow such as sale or transfer outside Korea) of technology designated as “national core technology” (“National Core Technology” or “NCT”) by the Korean Ministry of Trade, Industry and Energy (the “MOTIE”) requires the filing of a prior-report with, and the acceptance of the same by, the MOTIE. Any such export of NCT without the acceptance of the prior report with the MOTIE may be subject to corrective orders by the relevant authorities, and failure to comply with such corrective orders may potentially result in criminal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Notification Regarding Designation of National Core Technologies issued by the MOTIE was amended on July 14, 2021 to add certain technologies to the list of National Core Technology designated by the MOTIE, and the amended list includes the OLED Display Driver IC (“OLED DDI”) design technology for driving display panels. Since then, the Act on Special Measures for Strengthening and Protecting the Competitiveness of the National High-Tech Strategic Industry (the “Special Act”) was enacted and became effective on August 4, 2022, and more recently, on June 2, 2023, the MOTIE designated 17 technologies, including the OLED DDI design technology for driving display panels, as National High-Tech Strategic Technology (“NHST”) under the Special Act. Under the Special Act, any export of NHST requires prior approval from the MOTIE. Any such export of NHST without the approval of the MOTIE may be subject to corrective orders by the relevant authorities and may also be subject to criminal sanctions.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our Korean subsidiary may provide certain information relating to its products, including OLED DDI, to customers, suppliers or vendors, and such disclosure of information may be subject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NCT-related</w:t>
      </w:r>
    </w:p>
    <w:p>
      <w:pPr>
        <w:pStyle w:val="TextBody"/>
        <w:bidi w:val="0"/>
        <w:spacing w:before="240" w:after="0"/>
        <w:jc w:val="left"/>
        <w:rPr>
          <w:rFonts w:ascii="Times New Roman" w:hAnsi="Times New Roman"/>
          <w:sz w:val="20"/>
        </w:rPr>
      </w:pPr>
      <w:r>
        <w:rPr>
          <w:rFonts w:ascii="Times New Roman" w:hAnsi="Times New Roman"/>
          <w:sz w:val="20"/>
        </w:rPr>
        <w:t xml:space="preserve">regulations under the ITA and NHST-related regulations under the Special Act, and therefore the MOTIE’s acceptance of prior-reports (under the ITA) and the MOTIE’s prior approval (under the Special Act). Since the amendment of the foregoing NCT list in July 2021, we have filed prior-reports with the MOTIE for the export of our OLED DDI product-related information to certain overseas vendors that manufacture our products, and all such reports have thus far been accepted by the MOTIE.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Competition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compete based on design experience, manufacturing capabilities, the ability to satisfy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Human Capital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worldwide workforce consisted of 891 employees (full- and part-time) as of December 31, 2023, of which 201 were involved in sales, marketing, general and administrative, 228 in research and development (including 78 with advanced degrees), 40 in quality, reliability and assurance, and 422 in manufacturing (comprised of 40 in engineering and 382 in operations, maintenance and others). Our employees leverage their extensive expertise in engineering, design and process to accelerate the advancement of technology and be leaders in our industry. We pride our company on being a great workplace where employees from diverse backgrounds can reach their full potential.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Labor Unions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disclosed in previous reports, we have a labor union at our Korean subsidiary (the “First Union”). On September 16, 2021, the formation of a second labor union at our Korean subsidiary (the “Second Union”) was approved by local authorities (the First Union and the Second Union are collectively referred to as the “Magnachip Semiconductor Labor Unions”). Both the First Union and the Second Union are members of a supervisory association named “Federation of Korean Trade Unions.” The First Union represents member employees who are factory workers and the Second Union represents member employees who are office workers, in both cases at our Korean subsidiary.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2023, of the 857 employees at our Korean subsidiary, 387 were represented by the First Union, and 83 employees were represented by the Second Union. Approximately 55% of our employees at our Korean subsidiary were represented by the Magnachip Semiconductor Labor Unions.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“Item 1A. Risk Factors—Risks Related to Our Business—If we encounter future labor problems, we may fail to deliver our products and services in a timely manner, which would adversely affect our revenues and profitability.”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Values and Culture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core values represent a commitment to building an environment of trust with our employees, customers, investors and the communities in which we operate. Through our values and culture, we strive to shape a better future not only for ourselves and our customers, but for humanity as a whole. At Magnachip, we strive to foster effective collaboration by respecting different perspectives, giving and receiving constructive feedback, and supporting one another.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Inclusion and Diversity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support all employees, regardless of gender, gender identity or expression, age, veteran status, race, ethnicity, national origin, religion or disability. We place great importance on inclusion and diversity within the workplace, and believe that an inclusive and diverse culture creates a happier, more relaxed work environment.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Labor and Ethics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Magnachip strives to provide and maintain a working environment where management and employees are happy and treated with dignity and respect. Magnachip adheres to human rights and labor standards of international labor organizations, such as the United Nations and the International Labor Organization. Magnachip prohibits all forms of discrimination based on gender, race, nationality, religion and age to ensure all employees work in a safe and fair environment.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Empowering Great Talent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offer a variety of offline training programs, including courses in the areas of design, engineering and technology, as well as courses at different job levels and leadership education. We also offer a number of online training programs, including in the areas of management/leadership and business skills such as presentation, negotiation, reporting, Information Technology and foreign language, which allow employees to improve their capabilities without time and space constraints. Every year, a majority of our employees are required to complete certain educational programs in the areas of information security, industrial safety and health, and sexual harassment prevention.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believe the foundation of Magnachip is our research and development (“R&amp;D”) talent. To ensure R&amp;D technical professionals continue to advance their skills and knowledge, we have technology committees that attend regular seminars and conduct periodic research. We have a reward program for exemplary research.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We also offer a Vision Seminar, which is led by our CEO and is designed to share our company’s vision, strategy and the management’s key messages to employees. Additionally, the CEO and management regularly communicate with employees through CEO letters and town hall meetings.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Compensation and Benefits </w:t>
      </w:r>
    </w:p>
    <w:p>
      <w:pPr>
        <w:pStyle w:val="TextBody"/>
        <w:bidi w:val="0"/>
        <w:spacing w:before="120" w:after="0"/>
        <w:jc w:val="left"/>
        <w:rPr>
          <w:rFonts w:ascii="Times New Roman" w:hAnsi="Times New Roman"/>
          <w:sz w:val="20"/>
        </w:rPr>
      </w:pPr>
      <w:r>
        <w:rPr>
          <w:rFonts w:ascii="Times New Roman" w:hAnsi="Times New Roman"/>
          <w:sz w:val="20"/>
        </w:rPr>
        <w:t xml:space="preserve">We strive to reward employees with competitive compensation based on contribution and performance. We periodically evaluate market practices for compensation and benefits, including with respect to job function, role and responsibility, job level and region, and regularly review whether our compensation levels and distribution methods are fair and equitable. Additionally, we have long-and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mid-term</w:t>
      </w:r>
    </w:p>
    <w:p>
      <w:pPr>
        <w:pStyle w:val="TextBody"/>
        <w:bidi w:val="0"/>
        <w:spacing w:before="120" w:after="0"/>
        <w:jc w:val="left"/>
        <w:rPr>
          <w:rFonts w:ascii="Times New Roman" w:hAnsi="Times New Roman"/>
          <w:sz w:val="20"/>
        </w:rPr>
      </w:pPr>
      <w:r>
        <w:rPr>
          <w:rFonts w:ascii="Times New Roman" w:hAnsi="Times New Roman"/>
          <w:sz w:val="20"/>
        </w:rPr>
        <w:t xml:space="preserve">retention programs to attract and retain high-performing key talent.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offer various employee benefits under the company philosophy that ensuring employees enjoy a happier life with their families is as critical as promoting their own health and well-being. All employees and their family members have access to annual medical checkup programs. Employees also have access to other benefits such as personal pensions, housing assistance, medical reimbursement plans and educational assistance programs.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Safety and Wellness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appreciate the fact that our employees constitute one of the most critical assets of Magnachip, and therefore, their safety and wellness are key factors to our success. We have a dedicated Environmental Health &amp; Safety (“EHS”) team that establishes and reviews internal EHS regulations based on international agreements as well as local laws and regulations. Our EHS team is also responsible for identifying, evaluating and improving EHS issues within the overall manufacturing process to ensure a safe and comfortable work environment. Magnachip has implemented and maintains an Occupational Health and Safety Management System as well as an Environmental Management System. Our sites are certified to the internationally recognized ISO 45001 and ISO 14001 standards.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January 2021, the Korean legislature enacted the Serious Accident Punishment Act (“SAPA”), which imposes criminal liability on individuals and entities responsible for “serious accidents,” including industrial accidents that cause death, serious injury or occupational illness. SAPA essentially requires enterprises to establish relevant standards and measures to ensure a certain level of operational safety, including the health and safety of all employees. SAPA went into effect in January 2022, and in connection therewith, we appointed Mr. Seunghoon Lee as the Chief Safety Officer of Magnachip Semiconductor, Ltd. (“MSK”), who then formed a dedicated team to evaluate, improve and monitor the policies, practices, standards and systems relating to health and safety to ensure compliance with SAPA. Mr. Lee, who has over 35 years of manufacturing and industrial EHS experience at Magnachip, concurrently serves as the Chief of Manufacturing of MSK.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Environmental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K-ETS,</w:t>
      </w:r>
    </w:p>
    <w:p>
      <w:pPr>
        <w:pStyle w:val="TextBody"/>
        <w:bidi w:val="0"/>
        <w:spacing w:before="120" w:after="0"/>
        <w:jc w:val="left"/>
        <w:rPr>
          <w:rFonts w:ascii="Times New Roman" w:hAnsi="Times New Roman"/>
          <w:sz w:val="20"/>
        </w:rPr>
      </w:pPr>
      <w:r>
        <w:rPr>
          <w:rFonts w:ascii="Times New Roman" w:hAnsi="Times New Roman"/>
          <w:sz w:val="20"/>
        </w:rPr>
        <w:t xml:space="preserve">under the Act on Allocation and Trading of Greenhouse Gas Emission Allowances. Under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K-ETS,</w:t>
      </w:r>
    </w:p>
    <w:p>
      <w:pPr>
        <w:pStyle w:val="TextBody"/>
        <w:bidi w:val="0"/>
        <w:spacing w:before="120" w:after="0"/>
        <w:jc w:val="left"/>
        <w:rPr>
          <w:rFonts w:ascii="Times New Roman" w:hAnsi="Times New Roman"/>
          <w:sz w:val="20"/>
        </w:rPr>
      </w:pPr>
      <w:r>
        <w:rPr>
          <w:rFonts w:ascii="Times New Roman" w:hAnsi="Times New Roman"/>
          <w:sz w:val="20"/>
        </w:rPr>
        <w:t xml:space="preserve">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Another example is the newly reinforced regulations on chemicals under Chemicals Control Act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K-REACH,</w:t>
      </w:r>
    </w:p>
    <w:p>
      <w:pPr>
        <w:pStyle w:val="TextBody"/>
        <w:bidi w:val="0"/>
        <w:spacing w:before="240" w:after="0"/>
        <w:jc w:val="left"/>
        <w:rPr>
          <w:rFonts w:ascii="Times New Roman" w:hAnsi="Times New Roman"/>
          <w:sz w:val="20"/>
        </w:rPr>
      </w:pPr>
      <w:r>
        <w:rPr>
          <w:rFonts w:ascii="Times New Roman" w:hAnsi="Times New Roman"/>
          <w:sz w:val="20"/>
        </w:rPr>
        <w:t xml:space="preserve">which came into effect on January 1, 2015. Under these laws, our Korean subsidiary is required to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Raw Materials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has adopted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requirements could adversely affect the sourcing, availability and pricing of metals used in the manufacture of our products. See “Item 1A. Risk Factors—Risks Related to Our Business—Compliance with regulations regarding the use of “conflict minerals” could limit the supply and increase the cost of certain raw materials used in manufacturing our products.”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 is located at: c/o Magnachip Semiconductor, Ltd., 15F, 76, Jikji-daero </w:t>
      </w:r>
    </w:p>
    <w:p>
      <w:pPr>
        <w:pStyle w:val="TextBody"/>
        <w:bidi w:val="0"/>
        <w:spacing w:before="120" w:after="0"/>
        <w:jc w:val="left"/>
        <w:rPr>
          <w:rFonts w:ascii="Times New Roman" w:hAnsi="Times New Roman"/>
          <w:spacing w:val="0"/>
          <w:sz w:val="20"/>
        </w:rPr>
      </w:pPr>
      <w:r>
        <w:rPr>
          <w:rFonts w:ascii="Times New Roman" w:hAnsi="Times New Roman"/>
          <w:spacing w:val="0"/>
          <w:sz w:val="20"/>
        </w:rPr>
        <w:t>436beon-gil,</w:t>
      </w:r>
    </w:p>
    <w:p>
      <w:pPr>
        <w:pStyle w:val="TextBody"/>
        <w:bidi w:val="0"/>
        <w:spacing w:before="120" w:after="0"/>
        <w:jc w:val="left"/>
        <w:rPr>
          <w:rFonts w:ascii="Times New Roman" w:hAnsi="Times New Roman"/>
          <w:spacing w:val="0"/>
          <w:sz w:val="20"/>
        </w:rPr>
      </w:pPr>
      <w:r>
        <w:rPr>
          <w:rFonts w:ascii="Times New Roman" w:hAnsi="Times New Roman"/>
          <w:spacing w:val="0"/>
          <w:sz w:val="20"/>
        </w:rPr>
        <w:t>Heungdeok-gu,</w:t>
      </w:r>
    </w:p>
    <w:p>
      <w:pPr>
        <w:pStyle w:val="TextBody"/>
        <w:bidi w:val="0"/>
        <w:spacing w:before="120" w:after="0"/>
        <w:jc w:val="left"/>
        <w:rPr>
          <w:rFonts w:ascii="Times New Roman" w:hAnsi="Times New Roman"/>
          <w:spacing w:val="0"/>
          <w:sz w:val="20"/>
        </w:rPr>
      </w:pPr>
      <w:r>
        <w:rPr>
          <w:rFonts w:ascii="Times New Roman" w:hAnsi="Times New Roman"/>
          <w:spacing w:val="0"/>
          <w:sz w:val="20"/>
        </w:rPr>
        <w:t>Cheongju-si,</w:t>
      </w:r>
    </w:p>
    <w:p>
      <w:pPr>
        <w:pStyle w:val="TextBody"/>
        <w:bidi w:val="0"/>
        <w:spacing w:before="120" w:after="0"/>
        <w:jc w:val="left"/>
        <w:rPr>
          <w:rFonts w:ascii="Times New Roman" w:hAnsi="Times New Roman"/>
          <w:sz w:val="20"/>
        </w:rPr>
      </w:pPr>
      <w:r>
        <w:rPr>
          <w:rFonts w:ascii="Times New Roman" w:hAnsi="Times New Roman"/>
          <w:sz w:val="20"/>
        </w:rPr>
        <w:t xml:space="preserve">Chungcheongbuk-do, 28581, Republic of Korea, and our email address is investors@magnachip.com. Our website address is www.magnachip.com. Our annual, quarterly and current reports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Forms 10-K,</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Compensation Recovery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respectively, and all amendments to these materials after such reports and amendments are filed with the SEC. You may also request a copy of these filings, at no cost, by writing or telephoning us at the following address or phone number: c/o Magnachip Semiconductor, Ltd., 15F, 76 Jikji-daero </w:t>
      </w:r>
    </w:p>
    <w:p>
      <w:pPr>
        <w:pStyle w:val="TextBody"/>
        <w:bidi w:val="0"/>
        <w:spacing w:before="120" w:after="0"/>
        <w:jc w:val="left"/>
        <w:rPr>
          <w:rFonts w:ascii="Times New Roman" w:hAnsi="Times New Roman"/>
          <w:spacing w:val="0"/>
          <w:sz w:val="20"/>
        </w:rPr>
      </w:pPr>
      <w:r>
        <w:rPr>
          <w:rFonts w:ascii="Times New Roman" w:hAnsi="Times New Roman"/>
          <w:spacing w:val="0"/>
          <w:sz w:val="20"/>
        </w:rPr>
        <w:t>436beon-gil,</w:t>
      </w:r>
    </w:p>
    <w:p>
      <w:pPr>
        <w:pStyle w:val="TextBody"/>
        <w:bidi w:val="0"/>
        <w:spacing w:before="120" w:after="0"/>
        <w:jc w:val="left"/>
        <w:rPr>
          <w:rFonts w:ascii="Times New Roman" w:hAnsi="Times New Roman"/>
          <w:spacing w:val="0"/>
          <w:sz w:val="20"/>
        </w:rPr>
      </w:pPr>
      <w:r>
        <w:rPr>
          <w:rFonts w:ascii="Times New Roman" w:hAnsi="Times New Roman"/>
          <w:spacing w:val="0"/>
          <w:sz w:val="20"/>
        </w:rPr>
        <w:t>Heungdeok-gu,</w:t>
      </w:r>
    </w:p>
    <w:p>
      <w:pPr>
        <w:pStyle w:val="TextBody"/>
        <w:bidi w:val="0"/>
        <w:spacing w:before="120" w:after="0"/>
        <w:jc w:val="left"/>
        <w:rPr>
          <w:rFonts w:ascii="Times New Roman" w:hAnsi="Times New Roman"/>
          <w:spacing w:val="0"/>
          <w:sz w:val="20"/>
        </w:rPr>
      </w:pPr>
      <w:r>
        <w:rPr>
          <w:rFonts w:ascii="Times New Roman" w:hAnsi="Times New Roman"/>
          <w:spacing w:val="0"/>
          <w:sz w:val="20"/>
        </w:rPr>
        <w:t>Cheongju-si,</w:t>
      </w:r>
    </w:p>
    <w:p>
      <w:pPr>
        <w:pStyle w:val="TextBody"/>
        <w:bidi w:val="0"/>
        <w:spacing w:before="120" w:after="0"/>
        <w:jc w:val="left"/>
        <w:rPr>
          <w:rFonts w:ascii="Times New Roman" w:hAnsi="Times New Roman"/>
          <w:sz w:val="20"/>
        </w:rPr>
      </w:pPr>
      <w:r>
        <w:rPr>
          <w:rFonts w:ascii="Times New Roman" w:hAnsi="Times New Roman"/>
          <w:sz w:val="20"/>
        </w:rPr>
        <w:t xml:space="preserve">Chungcheongbuk-do, 28581, Republic of Korea; Attention: Investor Relations; email address: investors@magnachip.com.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Information About Our Executive Officers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certain information regarding our current executive officers: </w:t>
      </w:r>
    </w:p>
    <w:p>
      <w:pPr>
        <w:pStyle w:val="TextBody"/>
        <w:bidi w:val="0"/>
        <w:spacing w:before="0" w:after="0"/>
        <w:jc w:val="left"/>
        <w:rPr>
          <w:spacing w:val="0"/>
        </w:rPr>
      </w:pPr>
      <w:r>
        <w:rPr>
          <w:spacing w:val="0"/>
        </w:rPr>
        <w:t> </w:t>
      </w:r>
    </w:p>
    <w:tbl>
      <w:tblPr>
        <w:tblW w:w="8085" w:type="dxa"/>
        <w:jc w:val="left"/>
        <w:tblInd w:w="0" w:type="dxa"/>
        <w:tblLayout w:type="fixed"/>
        <w:tblCellMar>
          <w:top w:w="0" w:type="dxa"/>
          <w:left w:w="0" w:type="dxa"/>
          <w:bottom w:w="0" w:type="dxa"/>
          <w:right w:w="0" w:type="dxa"/>
        </w:tblCellMar>
      </w:tblPr>
      <w:tblGrid>
        <w:gridCol w:w="1805"/>
        <w:gridCol w:w="120"/>
        <w:gridCol w:w="79"/>
        <w:gridCol w:w="346"/>
        <w:gridCol w:w="60"/>
        <w:gridCol w:w="120"/>
        <w:gridCol w:w="555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425" w:type="dxa"/>
            <w:gridSpan w:val="2"/>
            <w:tcBorders/>
            <w:vAlign w:val="center"/>
          </w:tcPr>
          <w:p>
            <w:pPr>
              <w:pStyle w:val="TableContents"/>
              <w:bidi w:val="0"/>
              <w:spacing w:before="0" w:after="0"/>
              <w:jc w:val="center"/>
              <w:rPr>
                <w:b/>
                <w:spacing w:val="0"/>
              </w:rPr>
            </w:pPr>
            <w:r>
              <w:rPr>
                <w:b/>
                <w:spacing w:val="0"/>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Position</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Young-Joon (YJ) Kim</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555" w:type="dxa"/>
            <w:tcBorders/>
            <w:shd w:fill="CCEEFF" w:val="clear"/>
            <w:vAlign w:val="center"/>
          </w:tcPr>
          <w:p>
            <w:pPr>
              <w:pStyle w:val="TableContents"/>
              <w:bidi w:val="0"/>
              <w:spacing w:before="0" w:after="283"/>
              <w:jc w:val="left"/>
              <w:rPr/>
            </w:pPr>
            <w:r>
              <w:rPr/>
              <w:t>Director and Chief Executive Officer</w:t>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Shin Young Park</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Financial Officer</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Theodore Kim</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555" w:type="dxa"/>
            <w:tcBorders/>
            <w:shd w:fill="CCEEFF" w:val="clear"/>
            <w:vAlign w:val="center"/>
          </w:tcPr>
          <w:p>
            <w:pPr>
              <w:pStyle w:val="TableContents"/>
              <w:bidi w:val="0"/>
              <w:spacing w:before="0" w:after="283"/>
              <w:jc w:val="left"/>
              <w:rPr/>
            </w:pPr>
            <w:r>
              <w:rPr/>
              <w:t>Chief Compliance Officer, General Counsel and Secretary</w:t>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Woung Moo Lee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General Manager of Mixed-Signal Solutions</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 Ho Park</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555" w:type="dxa"/>
            <w:tcBorders/>
            <w:shd w:fill="CCEEFF" w:val="clear"/>
            <w:vAlign w:val="center"/>
          </w:tcPr>
          <w:p>
            <w:pPr>
              <w:pStyle w:val="TableContents"/>
              <w:bidi w:val="0"/>
              <w:spacing w:before="0" w:after="0"/>
              <w:jc w:val="left"/>
              <w:rPr>
                <w:spacing w:val="0"/>
              </w:rPr>
            </w:pPr>
            <w:r>
              <w:rPr>
                <w:spacing w:val="0"/>
              </w:rPr>
              <w:t>Co-General</w:t>
            </w:r>
          </w:p>
          <w:p>
            <w:pPr>
              <w:pStyle w:val="TableContents"/>
              <w:bidi w:val="0"/>
              <w:spacing w:before="0" w:after="0"/>
              <w:jc w:val="left"/>
              <w:rPr/>
            </w:pPr>
            <w:r>
              <w:rPr/>
              <w:t>Manager of Power Analog Solutions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Young-Joon (YJ) Kim, Director on the Board of Directors, Member of the Risk Committee and Chief Executive Officer.</w:t>
      </w:r>
    </w:p>
    <w:p>
      <w:pPr>
        <w:pStyle w:val="TextBody"/>
        <w:bidi w:val="0"/>
        <w:spacing w:before="0" w:after="0"/>
        <w:jc w:val="left"/>
        <w:rPr>
          <w:rFonts w:ascii="Times New Roman" w:hAnsi="Times New Roman"/>
          <w:sz w:val="20"/>
        </w:rPr>
      </w:pPr>
      <w:r>
        <w:rPr>
          <w:rFonts w:ascii="Times New Roman" w:hAnsi="Times New Roman"/>
          <w:sz w:val="20"/>
        </w:rPr>
        <w:t xml:space="preserve">Mr. YJ Kim became our Chief Executive Officer in May 2015 and has also served as a director on our Board since that time. In February 2023, Mr. Kim held the additional role of Acting </w:t>
      </w:r>
    </w:p>
    <w:p>
      <w:pPr>
        <w:pStyle w:val="TextBody"/>
        <w:bidi w:val="0"/>
        <w:spacing w:before="0" w:after="0"/>
        <w:jc w:val="left"/>
        <w:rPr>
          <w:rFonts w:ascii="Times New Roman" w:hAnsi="Times New Roman"/>
          <w:spacing w:val="0"/>
          <w:sz w:val="20"/>
        </w:rPr>
      </w:pPr>
      <w:r>
        <w:rPr>
          <w:rFonts w:ascii="Times New Roman" w:hAnsi="Times New Roman"/>
          <w:spacing w:val="0"/>
          <w:sz w:val="20"/>
        </w:rPr>
        <w:t>Co-General</w:t>
      </w:r>
    </w:p>
    <w:p>
      <w:pPr>
        <w:pStyle w:val="TextBody"/>
        <w:bidi w:val="0"/>
        <w:spacing w:before="0" w:after="0"/>
        <w:jc w:val="left"/>
        <w:rPr>
          <w:rFonts w:ascii="Times New Roman" w:hAnsi="Times New Roman"/>
          <w:sz w:val="20"/>
        </w:rPr>
      </w:pPr>
      <w:r>
        <w:rPr>
          <w:rFonts w:ascii="Times New Roman" w:hAnsi="Times New Roman"/>
          <w:sz w:val="20"/>
        </w:rPr>
        <w:t xml:space="preserve">Manager of our Power business to capitalize on the attractive growth opportunities in the Power sector. In February 2020 to February 2023, Mr. Kim assumed the additional role of General Manager of the Display business to capitalize on the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His past roles include marketing, engineering, product development and strategic planning, and his product expertise includes microprocessors, network processors, multi-core processors, FLASH, EPROM, analog, mixed-signal, sensors, 3G/4G/5G base stations,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w:t>
      </w:r>
    </w:p>
    <w:p>
      <w:pPr>
        <w:pStyle w:val="TextBody"/>
        <w:bidi w:val="0"/>
        <w:spacing w:before="0" w:after="0"/>
        <w:jc w:val="left"/>
        <w:rPr>
          <w:rFonts w:ascii="Times New Roman" w:hAnsi="Times New Roman"/>
          <w:spacing w:val="0"/>
          <w:sz w:val="20"/>
        </w:rPr>
      </w:pPr>
      <w:r>
        <w:rPr>
          <w:rFonts w:ascii="Times New Roman" w:hAnsi="Times New Roman"/>
          <w:spacing w:val="0"/>
          <w:sz w:val="20"/>
        </w:rPr>
        <w:t>co-founded</w:t>
      </w:r>
    </w:p>
    <w:p>
      <w:pPr>
        <w:pStyle w:val="TextBody"/>
        <w:bidi w:val="0"/>
        <w:spacing w:before="0" w:after="0"/>
        <w:jc w:val="left"/>
        <w:rPr>
          <w:rFonts w:ascii="Times New Roman" w:hAnsi="Times New Roman"/>
          <w:sz w:val="20"/>
        </w:rPr>
      </w:pPr>
      <w:r>
        <w:rPr>
          <w:rFonts w:ascii="Times New Roman" w:hAnsi="Times New Roman"/>
          <w:sz w:val="20"/>
        </w:rPr>
        <w:t xml:space="preserve">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Shin Young Park, Chief Financial Officer</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Ms. Shin Young Park became our Chief Financial Officer in January 2022 and became our Chief Accounting Officer in March 2020. Ms. Park previously served as the Company’s Corporate Controller from November 2018 to February 2020. Prior to that, she served as the SEC Reporting and Accounting Director from April 2015 to October 2018. Before joining the Company in April 2014, from 2005 to March 2014, Ms. Park served in various senior advisory and audit service positions at Deloitte, a public accounting firm. From 2005 to 2009, she worked at Deloitte &amp; Touche in Chicago, Illinois; from 2009 to 2011 and then from 2013 to March 2014, she worked at Deloitte Anjin in Seoul, South Korea; and from 2011 to 2013, she worked at Deloitte in London, U.K. Ms. Park holds a B.A. degree in business administration from Sogang University, Seoul, Korea, and a Master’s degree in hospitality industry studies from New York University.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Theodore Kim, Chief Compliance Officer, 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Mr. Theodore (“Ted”) Kim became our Chief Compliance Officer in May 2015 and became our General Counsel and Secretary in November 2013. Mr. Kim previously served as our Senior Vice President from November 2013 to May 2015. Prior to joining Magnachip, Mr. Kim served as Head Lawyer, Global Business Development at Samsung Fire &amp; Marine Insurance from October 2012 to October 2013. Mr. Kim was employed by Gibson Dunn, a law firm, from October 2005 to July 2012, serving most recently as Of Counsel. Prior to that, he served as Foreign Legal Consultant at Kim &amp; Chang, a law firm in Korea, from 2001 to 2005, and prior to that, he worked as an associate attorney at Morrison &amp; Foerster, a law firm, from 1997 to 2001. Mr. Kim holds a B.A. degree in Economics and a B.S. degree in Mechanical Engineering from University of California, Irvine, and a J.D. degree from University of California, Los Angeles, School of Law.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Woung Moo Lee, General Manager of Mixed-Signal Solutions. </w:t>
      </w:r>
    </w:p>
    <w:p>
      <w:pPr>
        <w:pStyle w:val="TextBody"/>
        <w:bidi w:val="0"/>
        <w:spacing w:before="240" w:after="0"/>
        <w:jc w:val="left"/>
        <w:rPr>
          <w:rFonts w:ascii="Times New Roman" w:hAnsi="Times New Roman"/>
          <w:sz w:val="20"/>
        </w:rPr>
      </w:pPr>
      <w:r>
        <w:rPr>
          <w:rFonts w:ascii="Times New Roman" w:hAnsi="Times New Roman"/>
          <w:sz w:val="20"/>
        </w:rPr>
        <w:t xml:space="preserve">Mr. Woung Moo Lee was named General Manager of Mixed-Signal Solutions in tandem with the Internal Separation. Prior to that, Mr. Lee served as General Manager of Worldwide Sales, to which position he was appointed in February 2020. Prior to that, Mr. Lee served as General Manager of Power Solutions from February 2020 to June 2020 and as General Manager of the Standard Products Group from 2015 to 2020. Prior to that, he served as our Senior Vice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President, Korea Sales from 2013 to 2015. Before joining Magnachip, he was one of the founding executives and served as Vice President of Global Strategy and Marketing, Samsung LED Co., Ltd. from 2009 to 2011. In 1984, Mr. Lee began his career as a memory semiconductor design engineer and served as Vice President of Memory Strategy &amp; Marketing Team at Samsung Electronics Co., Ltd. until 2009. Mr. Lee received the prestigious “Proud Samsung Employee Award” in 2005 and holds a B.S. degree in Electronic Engineering from Inha University.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Chan Ho Park</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Co-</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General Manager of Power Analog Solutions.</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 xml:space="preserve">Dr. Chan Ho Park was named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Co-General</w:t>
      </w:r>
    </w:p>
    <w:p>
      <w:pPr>
        <w:pStyle w:val="TextBody"/>
        <w:bidi w:val="0"/>
        <w:spacing w:before="240" w:after="0"/>
        <w:jc w:val="left"/>
        <w:rPr>
          <w:rFonts w:ascii="Times New Roman" w:hAnsi="Times New Roman"/>
          <w:sz w:val="20"/>
        </w:rPr>
      </w:pPr>
      <w:r>
        <w:rPr>
          <w:rFonts w:ascii="Times New Roman" w:hAnsi="Times New Roman"/>
          <w:sz w:val="20"/>
        </w:rPr>
        <w:t xml:space="preserve">Manager of Power Analog Solutions in tandem with the Internal Separation. Prior to that, Mr. Park served as General Manager of Power Solutions from June 2020. Mr. Park has over 30 years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hands-on</w:t>
      </w:r>
    </w:p>
    <w:p>
      <w:pPr>
        <w:pStyle w:val="TextBody"/>
        <w:bidi w:val="0"/>
        <w:spacing w:before="240" w:after="0"/>
        <w:jc w:val="left"/>
        <w:rPr>
          <w:rFonts w:ascii="Times New Roman" w:hAnsi="Times New Roman"/>
          <w:sz w:val="20"/>
        </w:rPr>
      </w:pPr>
      <w:r>
        <w:rPr>
          <w:rFonts w:ascii="Times New Roman" w:hAnsi="Times New Roman"/>
          <w:sz w:val="20"/>
        </w:rPr>
        <w:t xml:space="preserve">experience in the development of discrete power devices and market insights throughout the power semiconductor industry. Prior to joining Magnachip, he was a senior staff at Vishay Intertechnology Inc. since March, 2014. He developed cutting-edge technology platforms for low voltage MOSFETs having 1.5 giga-cell density and provided high and low side MOSFETs for DrMOS to various power stage solutions. Mr. Park started his professional career in 1986 as a design engineer in the field of BJT, </w:t>
      </w:r>
    </w:p>
    <w:p>
      <w:pPr>
        <w:pStyle w:val="TextBody"/>
        <w:bidi w:val="0"/>
        <w:spacing w:before="240" w:after="0"/>
        <w:jc w:val="left"/>
        <w:rPr>
          <w:rFonts w:ascii="Times New Roman" w:hAnsi="Times New Roman"/>
          <w:spacing w:val="0"/>
          <w:sz w:val="20"/>
        </w:rPr>
      </w:pPr>
      <w:r>
        <w:rPr>
          <w:rFonts w:ascii="Times New Roman" w:hAnsi="Times New Roman"/>
          <w:spacing w:val="0"/>
          <w:sz w:val="20"/>
        </w:rPr>
        <w:t>J-FET</w:t>
      </w:r>
    </w:p>
    <w:p>
      <w:pPr>
        <w:pStyle w:val="TextBody"/>
        <w:bidi w:val="0"/>
        <w:spacing w:before="240" w:after="0"/>
        <w:jc w:val="left"/>
        <w:rPr>
          <w:rFonts w:ascii="Times New Roman" w:hAnsi="Times New Roman"/>
          <w:sz w:val="20"/>
        </w:rPr>
      </w:pPr>
      <w:r>
        <w:rPr>
          <w:rFonts w:ascii="Times New Roman" w:hAnsi="Times New Roman"/>
          <w:sz w:val="20"/>
        </w:rPr>
        <w:t xml:space="preserve">and Schottky Diode at Samsung Electronics, located in Bucheon, Korea. Afterwards, he worked for Fairchild Semiconductor in West Jordan, Utah and for Vishay Siliconix in San Jose, California. He rejoined Samsung Electronics, System LSI Business in 2011 as the Vice President of Discrete Development Team, where he led R&amp;D, PE, FAE and high voltage power IC technologies for IGBTs, super-junction MOSFETs, split gate MOSFETs and driver ICs. He received a Ph.D. in Electrical Engineering from KAIST (Korea Advanced Institute of Science and Technology) and a B.S. in Physics from Seoul National University. He is a member of IEEE and a peer reviewer for IEEE transactions on Electron Devices and Electron Device Letters.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1A. 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Risk Factors Summary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is a summary of the risk factors included herein.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We manufacture our products based on our estimates of customer demand, and if our estimates are incorrect, our financial results could be negatively impacted.</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 significant portion of our sales comes from a relatively limited number of customers, the loss of which could adversely affect our financial results.</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average selling prices of our semiconductor products have at times declined rapidly and will likely do so in the future, which could harm our revenue and gross profit.</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We are subject to risks associated with currency fluctuations, and changes in the exchange rates of applicable currencies could impact our results of operations.</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Global shortages in manufacturing capacities could interrupt or negatively affect our operations, increase cost to manufacture and negatively impact our results of operations.</w:t>
            </w:r>
          </w:p>
        </w:tc>
      </w:tr>
    </w:tbl>
    <w:p>
      <w:pPr>
        <w:pStyle w:val="TextBody"/>
        <w:bidi w:val="0"/>
        <w:spacing w:before="0" w:after="0"/>
        <w:jc w:val="left"/>
        <w:rPr>
          <w:spacing w:val="0"/>
        </w:rPr>
      </w:pPr>
      <w:r>
        <w:rPr>
          <w:spacing w:val="0"/>
        </w:rPr>
        <w:t> </w:t>
      </w:r>
    </w:p>
    <w:tbl>
      <w:tblPr>
        <w:tblW w:w="6565" w:type="dxa"/>
        <w:jc w:val="left"/>
        <w:tblInd w:w="0" w:type="dxa"/>
        <w:tblLayout w:type="fixed"/>
        <w:tblCellMar>
          <w:top w:w="0" w:type="dxa"/>
          <w:left w:w="0" w:type="dxa"/>
          <w:bottom w:w="0" w:type="dxa"/>
          <w:right w:w="0" w:type="dxa"/>
        </w:tblCellMar>
      </w:tblPr>
      <w:tblGrid>
        <w:gridCol w:w="125"/>
        <w:gridCol w:w="60"/>
        <w:gridCol w:w="63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Expanded trade restrictions may limit our ability to sell to certain customers.</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Recent changes in international trade policy and the imposition and threats of international tariffs, including tariffs applied to goods traded between the United States and China, could materially and adversely affect our business and results of operations.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Our Korean subsidiary has been designated as a regulated business under Korean environmental law, and such designation could have an adverse effect on our financial position and results of operations.</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Our compliance with the Serious Accidents Punishment Act (the “SAPA”) could require significant expenditures and management time and expose us to liability for violations.</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Our business depends on international customers, suppliers and operations in Asia, and as a result we are subject to regulatory, operational, financial and political risks, which could adversely affect our financial results.</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We cannot guarantee that our share repurchase program will be successfully consummated, or that it will enhance shareholder value, and share repurchases could affect the price of our common stock.</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Provisions in our charter documents and Delaware Law may make it difficult for a third party to acquire us and could depress the price of our common stock.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We have not historically paid dividends and do not currently have any dividend or distribution policy, and therefore, investors may need to rely on sales of their common stock as the only way to realize any future gains on their investments.</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Risks Related to Our Business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operate in the highly cyclical semiconductor industry, which is subject to significant downturns that may negatively impact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is highly cyclical and is characterized by constant and rapid technological change and price erosion, evolving technical standards, short product life cycles (for semiconductors and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w:t>
      </w:r>
    </w:p>
    <w:p>
      <w:pPr>
        <w:pStyle w:val="TextBody"/>
        <w:bidi w:val="0"/>
        <w:spacing w:before="120" w:after="0"/>
        <w:jc w:val="left"/>
        <w:rPr>
          <w:rFonts w:ascii="Times New Roman" w:hAnsi="Times New Roman"/>
          <w:sz w:val="20"/>
        </w:rPr>
      </w:pPr>
      <w:r>
        <w:rPr>
          <w:rFonts w:ascii="Times New Roman" w:hAnsi="Times New Roman"/>
          <w:sz w:val="20"/>
        </w:rPr>
        <w:t xml:space="preserve">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w:t>
      </w:r>
    </w:p>
    <w:p>
      <w:pPr>
        <w:pStyle w:val="TextBody"/>
        <w:bidi w:val="0"/>
        <w:spacing w:before="120" w:after="0"/>
        <w:jc w:val="left"/>
        <w:rPr>
          <w:rFonts w:ascii="Times New Roman" w:hAnsi="Times New Roman"/>
          <w:sz w:val="20"/>
        </w:rPr>
      </w:pPr>
      <w:r>
        <w:rPr>
          <w:rFonts w:ascii="Times New Roman" w:hAnsi="Times New Roman"/>
          <w:sz w:val="20"/>
        </w:rPr>
        <w:t xml:space="preserve">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 Current global macroeconomic conditions, including higher inflation and interest rates and uncertainty caused by the Russian-Ukraine war, Israel-Hamas war, sustained military action and conflict in the Red Sea, and trade tensions between the U.S. and China have led to weaker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end-market</w:t>
      </w:r>
    </w:p>
    <w:p>
      <w:pPr>
        <w:pStyle w:val="TextBody"/>
        <w:bidi w:val="0"/>
        <w:spacing w:before="120" w:after="0"/>
        <w:jc w:val="left"/>
        <w:rPr>
          <w:rFonts w:ascii="Times New Roman" w:hAnsi="Times New Roman"/>
          <w:sz w:val="20"/>
        </w:rPr>
      </w:pPr>
      <w:r>
        <w:rPr>
          <w:rFonts w:ascii="Times New Roman" w:hAnsi="Times New Roman"/>
          <w:sz w:val="20"/>
        </w:rPr>
        <w:t xml:space="preserve">demand and unstable supply chain. We continue to monitor these trends and uncertainties, and any decline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end-market</w:t>
      </w:r>
    </w:p>
    <w:p>
      <w:pPr>
        <w:pStyle w:val="TextBody"/>
        <w:bidi w:val="0"/>
        <w:spacing w:before="120" w:after="0"/>
        <w:jc w:val="left"/>
        <w:rPr>
          <w:rFonts w:ascii="Times New Roman" w:hAnsi="Times New Roman"/>
          <w:sz w:val="20"/>
        </w:rPr>
      </w:pPr>
      <w:r>
        <w:rPr>
          <w:rFonts w:ascii="Times New Roman" w:hAnsi="Times New Roman"/>
          <w:sz w:val="20"/>
        </w:rPr>
        <w:t xml:space="preserve">demand and increase in inventory levels could negatively impact our financial condition and results of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restructuring activities and dispositions of assets and businesses could result in lost business and other costs that could have a material adverse effect on our results of operations.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associated with transitioning or eliminating certain employee positions and modifying or terminating vendor relationships in connection with those exit activities.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fail to develop new products and technologies or enhance our existing products in order to react to rapid technological change and market demands, our business will suffer.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must develop new products and enhance our existing products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Customer and market requirements can change during the development of a product. There is a risk that these developments and enhancements will be late, fail to meet customer or market specifications or not be competitive with products from our competitors that offer comparable or superior performance and functionality. Any new products, such as our expanding line of power management solutions, or product enhancements, may not be accepted in new or existing markets. Our business will suffer if we fail to develop and introduce new products or product enhancements on a timely and cost-effective 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manufacture our products based on our estimates of customer demand, and if our estimates are incorrect, our financial results could be negatively impacted.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customers may cancel their orders, reduce quantities or delay production, which would adversely affect our margins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write-off</w:t>
      </w:r>
    </w:p>
    <w:p>
      <w:pPr>
        <w:pStyle w:val="TextBody"/>
        <w:bidi w:val="0"/>
        <w:spacing w:before="120" w:after="0"/>
        <w:jc w:val="left"/>
        <w:rPr>
          <w:rFonts w:ascii="Times New Roman" w:hAnsi="Times New Roman"/>
          <w:sz w:val="20"/>
        </w:rPr>
      </w:pPr>
      <w:r>
        <w:rPr>
          <w:rFonts w:ascii="Times New Roman" w:hAnsi="Times New Roman"/>
          <w:sz w:val="20"/>
        </w:rPr>
        <w:t xml:space="preserve">of obsolete inventory. In addition, while we do not obtain long-term purchase commitments, we generally agree to the pricing of a particular product over a set period of time. If we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underestimate our costs when determining pricing, our margins and results of operations would be adversely affected.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fab manufacturing depends on high utilization of our manufacturing capacity, a reduction of which could have a material adverse effect on our business, financial condition and the results of our operations.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 important factor in our success is the extent to which we are able to utilize the available capacity in our fabrication facility.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the inability to source sufficient materials necessary for manufacturing,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significant portion of our sales comes from a relatively limited number of customers, the loss of which could adversely affect our financial results.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Historically, we have relied on a limited number of customers for a substantial portion of our total revenue. If we were to lose key customers or if customers cease to place orders for our high-volume products, particularly our display products, our financial results could be adversely affected. In addition, our arrangements with and reliance on key customers may make it less practicable to pursue certain opportunities with other potential new and existing customers. For the years ended December 31, 2023, 2022 and 2021, our ten largest customers accounted for 69.2%, 69.4% and 79.8% of net sales from our standard products business, respectively. For the year ended December 31, 2023, sales to SAMT represented 16.7% of net sales from our standard products business, and Samsung Display represented 13.4% of net sales from our standard products business. For the year ended December 31, 2022, sales to Samsung Display represented 19.0% of net sales from our standard products business, and SAMT represented 13.8% of net sales from our standard products business. For the year ended December 31, 2021, sales to Samsung Display represented 42.5% of net sales from our standard products business, and SAMT represented 10.4% of net sales from our standard products business. Significant reductions in sales to any of these customers, especially our few largest customers, the loss of other major customers or a general curtailment in orders for our high-volume products within a short period of time could adversely affect our business.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average selling prices of our semiconductor products have at times declined rapidly and will likely do so in the future, which could harm our revenue and gross profit.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industry is highly competitive, and our ability to compete could be negatively impacted by a variety of factors.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Any consolidation among our competitors could enhance their product offerings and financial resources, further enhancing their competitive position. Our ability to compete will depend on a number of factors, including the following: </w:t>
      </w:r>
    </w:p>
    <w:p>
      <w:pPr>
        <w:pStyle w:val="TextBody"/>
        <w:bidi w:val="0"/>
        <w:spacing w:before="0" w:after="0"/>
        <w:jc w:val="left"/>
        <w:rPr>
          <w:spacing w:val="0"/>
        </w:rPr>
      </w:pPr>
      <w:r>
        <w:rPr>
          <w:spacing w:val="0"/>
        </w:rPr>
        <w:t> </w:t>
      </w:r>
    </w:p>
    <w:tbl>
      <w:tblPr>
        <w:tblW w:w="9445" w:type="dxa"/>
        <w:jc w:val="left"/>
        <w:tblInd w:w="0" w:type="dxa"/>
        <w:tblLayout w:type="fixed"/>
        <w:tblCellMar>
          <w:top w:w="0" w:type="dxa"/>
          <w:left w:w="0" w:type="dxa"/>
          <w:bottom w:w="0" w:type="dxa"/>
          <w:right w:w="0" w:type="dxa"/>
        </w:tblCellMar>
      </w:tblPr>
      <w:tblGrid>
        <w:gridCol w:w="125"/>
        <w:gridCol w:w="60"/>
        <w:gridCol w:w="92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offer cost-effective and high quality products and services on a timely basis using our technologies;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accurately identify and respond to emerging technological trends and demand for product features and performance characteristics; </w:t>
            </w:r>
          </w:p>
        </w:tc>
      </w:tr>
    </w:tbl>
    <w:p>
      <w:pPr>
        <w:pStyle w:val="TextBody"/>
        <w:bidi w:val="0"/>
        <w:spacing w:before="0" w:after="0"/>
        <w:jc w:val="left"/>
        <w:rPr>
          <w:spacing w:val="0"/>
        </w:rPr>
      </w:pPr>
      <w:r>
        <w:rPr>
          <w:spacing w:val="0"/>
        </w:rPr>
        <w:t> </w:t>
      </w:r>
    </w:p>
    <w:tbl>
      <w:tblPr>
        <w:tblW w:w="7510" w:type="dxa"/>
        <w:jc w:val="left"/>
        <w:tblInd w:w="0" w:type="dxa"/>
        <w:tblLayout w:type="fixed"/>
        <w:tblCellMar>
          <w:top w:w="0" w:type="dxa"/>
          <w:left w:w="0" w:type="dxa"/>
          <w:bottom w:w="0" w:type="dxa"/>
          <w:right w:w="0" w:type="dxa"/>
        </w:tblCellMar>
      </w:tblPr>
      <w:tblGrid>
        <w:gridCol w:w="125"/>
        <w:gridCol w:w="60"/>
        <w:gridCol w:w="73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continue to rapidly introduce new products that are accepted by the market; </w:t>
            </w:r>
          </w:p>
        </w:tc>
      </w:tr>
    </w:tbl>
    <w:p>
      <w:pPr>
        <w:pStyle w:val="TextBody"/>
        <w:bidi w:val="0"/>
        <w:spacing w:before="0" w:after="0"/>
        <w:jc w:val="left"/>
        <w:rPr>
          <w:spacing w:val="0"/>
        </w:rPr>
      </w:pPr>
      <w:r>
        <w:rPr>
          <w:spacing w:val="0"/>
        </w:rPr>
        <w:t> </w:t>
      </w:r>
    </w:p>
    <w:tbl>
      <w:tblPr>
        <w:tblW w:w="5155" w:type="dxa"/>
        <w:jc w:val="left"/>
        <w:tblInd w:w="0" w:type="dxa"/>
        <w:tblLayout w:type="fixed"/>
        <w:tblCellMar>
          <w:top w:w="0" w:type="dxa"/>
          <w:left w:w="0" w:type="dxa"/>
          <w:bottom w:w="0" w:type="dxa"/>
          <w:right w:w="0" w:type="dxa"/>
        </w:tblCellMar>
      </w:tblPr>
      <w:tblGrid>
        <w:gridCol w:w="125"/>
        <w:gridCol w:w="60"/>
        <w:gridCol w:w="49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adopt or adapt to emerging industry standards; </w:t>
            </w:r>
          </w:p>
        </w:tc>
      </w:tr>
    </w:tbl>
    <w:p>
      <w:pPr>
        <w:pStyle w:val="TextBody"/>
        <w:bidi w:val="0"/>
        <w:spacing w:before="0" w:after="0"/>
        <w:jc w:val="left"/>
        <w:rPr>
          <w:spacing w:val="0"/>
        </w:rPr>
      </w:pPr>
      <w:r>
        <w:rPr>
          <w:spacing w:val="0"/>
        </w:rPr>
        <w:t> </w:t>
      </w:r>
    </w:p>
    <w:tbl>
      <w:tblPr>
        <w:tblW w:w="9250" w:type="dxa"/>
        <w:jc w:val="left"/>
        <w:tblInd w:w="0" w:type="dxa"/>
        <w:tblLayout w:type="fixed"/>
        <w:tblCellMar>
          <w:top w:w="0" w:type="dxa"/>
          <w:left w:w="0" w:type="dxa"/>
          <w:bottom w:w="0" w:type="dxa"/>
          <w:right w:w="0" w:type="dxa"/>
        </w:tblCellMar>
      </w:tblPr>
      <w:tblGrid>
        <w:gridCol w:w="125"/>
        <w:gridCol w:w="60"/>
        <w:gridCol w:w="90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number and nature of our competitors and competitiveness of their products and services in a given market; </w:t>
            </w:r>
          </w:p>
        </w:tc>
      </w:tr>
    </w:tbl>
    <w:p>
      <w:pPr>
        <w:pStyle w:val="TextBody"/>
        <w:bidi w:val="0"/>
        <w:spacing w:before="0" w:after="0"/>
        <w:jc w:val="left"/>
        <w:rPr>
          <w:spacing w:val="0"/>
        </w:rPr>
      </w:pPr>
      <w:r>
        <w:rPr>
          <w:spacing w:val="0"/>
        </w:rPr>
        <w:t> </w:t>
      </w:r>
    </w:p>
    <w:tbl>
      <w:tblPr>
        <w:tblW w:w="3970" w:type="dxa"/>
        <w:jc w:val="left"/>
        <w:tblInd w:w="0" w:type="dxa"/>
        <w:tblLayout w:type="fixed"/>
        <w:tblCellMar>
          <w:top w:w="0" w:type="dxa"/>
          <w:left w:w="0" w:type="dxa"/>
          <w:bottom w:w="0" w:type="dxa"/>
          <w:right w:w="0" w:type="dxa"/>
        </w:tblCellMar>
      </w:tblPr>
      <w:tblGrid>
        <w:gridCol w:w="125"/>
        <w:gridCol w:w="60"/>
        <w:gridCol w:w="37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entrance of new competitors into our markets; </w:t>
            </w:r>
          </w:p>
        </w:tc>
      </w:tr>
    </w:tbl>
    <w:p>
      <w:pPr>
        <w:pStyle w:val="TextBody"/>
        <w:bidi w:val="0"/>
        <w:spacing w:before="0" w:after="0"/>
        <w:jc w:val="left"/>
        <w:rPr>
          <w:spacing w:val="0"/>
        </w:rPr>
      </w:pPr>
      <w:r>
        <w:rPr>
          <w:spacing w:val="0"/>
        </w:rPr>
        <w:t> </w:t>
      </w:r>
    </w:p>
    <w:tbl>
      <w:tblPr>
        <w:tblW w:w="6310" w:type="dxa"/>
        <w:jc w:val="left"/>
        <w:tblInd w:w="0" w:type="dxa"/>
        <w:tblLayout w:type="fixed"/>
        <w:tblCellMar>
          <w:top w:w="0" w:type="dxa"/>
          <w:left w:w="0" w:type="dxa"/>
          <w:bottom w:w="0" w:type="dxa"/>
          <w:right w:w="0" w:type="dxa"/>
        </w:tblCellMar>
      </w:tblPr>
      <w:tblGrid>
        <w:gridCol w:w="125"/>
        <w:gridCol w:w="60"/>
        <w:gridCol w:w="61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enter the highly competitive power management market; and </w:t>
            </w:r>
          </w:p>
        </w:tc>
      </w:tr>
    </w:tbl>
    <w:p>
      <w:pPr>
        <w:pStyle w:val="TextBody"/>
        <w:bidi w:val="0"/>
        <w:spacing w:before="0" w:after="0"/>
        <w:jc w:val="left"/>
        <w:rPr>
          <w:spacing w:val="0"/>
        </w:rPr>
      </w:pPr>
      <w:r>
        <w:rPr>
          <w:spacing w:val="0"/>
        </w:rPr>
        <w:t> </w:t>
      </w:r>
    </w:p>
    <w:tbl>
      <w:tblPr>
        <w:tblW w:w="8275" w:type="dxa"/>
        <w:jc w:val="left"/>
        <w:tblInd w:w="0" w:type="dxa"/>
        <w:tblLayout w:type="fixed"/>
        <w:tblCellMar>
          <w:top w:w="0" w:type="dxa"/>
          <w:left w:w="0" w:type="dxa"/>
          <w:bottom w:w="0" w:type="dxa"/>
          <w:right w:w="0" w:type="dxa"/>
        </w:tblCellMar>
      </w:tblPr>
      <w:tblGrid>
        <w:gridCol w:w="125"/>
        <w:gridCol w:w="60"/>
        <w:gridCol w:w="80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ability to supply power products to our customers reliably through our own fabrication facility.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in demand for consumer electronics in our end markets can impact our results of operations.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fail to achieve design-wins for our semiconductor products, we may lose the opportunity for sales to customers for a significant period of time and be unable to recoup our investments in our products.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opportunity for significant sales to that customer for a number of products and for a lengthy period of time. This may cause us to be unable to recoup our investments in our semiconductor products, which would harm our business.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have lengthy and expensive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design-to-mass</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production and manufacturing process development cycles that may cause us to incur significant expenses without realizing meaningful sales, the occurrence of which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cycle time from the design stage to mass production for some of our products is long and requires the investment of significant resources with many potential customers without any guarantee of sales.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design-to-mass</w:t>
      </w:r>
    </w:p>
    <w:p>
      <w:pPr>
        <w:pStyle w:val="TextBody"/>
        <w:bidi w:val="0"/>
        <w:spacing w:before="120" w:after="0"/>
        <w:jc w:val="left"/>
        <w:rPr>
          <w:rFonts w:ascii="Times New Roman" w:hAnsi="Times New Roman"/>
          <w:sz w:val="20"/>
        </w:rPr>
      </w:pPr>
      <w:r>
        <w:rPr>
          <w:rFonts w:ascii="Times New Roman" w:hAnsi="Times New Roman"/>
          <w:sz w:val="20"/>
        </w:rPr>
        <w:t xml:space="preserve">production cycle typically begins with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three-to-twelve</w:t>
      </w:r>
    </w:p>
    <w:p>
      <w:pPr>
        <w:pStyle w:val="TextBody"/>
        <w:bidi w:val="0"/>
        <w:spacing w:before="120" w:after="0"/>
        <w:jc w:val="left"/>
        <w:rPr>
          <w:rFonts w:ascii="Times New Roman" w:hAnsi="Times New Roman"/>
          <w:sz w:val="20"/>
        </w:rPr>
      </w:pPr>
      <w:r>
        <w:rPr>
          <w:rFonts w:ascii="Times New Roman" w:hAnsi="Times New Roman"/>
          <w:sz w:val="20"/>
        </w:rPr>
        <w:t xml:space="preserve">month semiconductor development stage and test period followed by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three-to-twelve</w:t>
      </w:r>
    </w:p>
    <w:p>
      <w:pPr>
        <w:pStyle w:val="TextBody"/>
        <w:bidi w:val="0"/>
        <w:spacing w:before="120" w:after="0"/>
        <w:jc w:val="left"/>
        <w:rPr>
          <w:rFonts w:ascii="Times New Roman" w:hAnsi="Times New Roman"/>
          <w:sz w:val="20"/>
        </w:rPr>
      </w:pPr>
      <w:r>
        <w:rPr>
          <w:rFonts w:ascii="Times New Roman" w:hAnsi="Times New Roman"/>
          <w:sz w:val="20"/>
        </w:rPr>
        <w:t xml:space="preserve">month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end-product</w:t>
      </w:r>
    </w:p>
    <w:p>
      <w:pPr>
        <w:pStyle w:val="TextBody"/>
        <w:bidi w:val="0"/>
        <w:spacing w:before="120" w:after="0"/>
        <w:jc w:val="left"/>
        <w:rPr>
          <w:rFonts w:ascii="Times New Roman" w:hAnsi="Times New Roman"/>
          <w:sz w:val="20"/>
        </w:rPr>
      </w:pPr>
      <w:r>
        <w:rPr>
          <w:rFonts w:ascii="Times New Roman" w:hAnsi="Times New Roman"/>
          <w:sz w:val="20"/>
        </w:rPr>
        <w:t xml:space="preserve">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investments may not yield profitable and commercially viable products, and thus will not necessarily result in increases in revenues for 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invest significant resources in our research and development. Our research and development efforts, however, may not yield profitable or commercially viable products. During each stage of research and development, there is a substantial risk that we will have to abandon a potential product that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face numerous challenges relating to executing our growth strategy, and if we are unable to execute our growth strategy effectively, our business and financial results could be materially and adversely affected.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growth strategy is to leverage our advanced analog and mixed-signal technology platform, continue to innovate and deliver new products, increase business with existing customers, broaden our customer base, aggressively grow our power business, and drive execution excellence.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subject to risks associated with currency fluctuations, and changes in the exchange rates of applicable currencies could impact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Historically, a portion of our revenues and greater than the majority of our operating expenses and costs of sales have been denominated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 favorable impact on our reported profit margins and operating income from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for the fiscal year ended December 31, 2023 and 2022 due to a relatively weaker Korean won during the periods. Moreover, our foreign currency gain or loss would be affected by changes in the exchange rate between the Korean won and the U.S. dollar as a substantial portion of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0" w:after="0"/>
        <w:jc w:val="left"/>
        <w:rPr>
          <w:rFonts w:ascii="Times New Roman" w:hAnsi="Times New Roman"/>
          <w:sz w:val="20"/>
        </w:rPr>
      </w:pPr>
      <w:r>
        <w:rPr>
          <w:rFonts w:ascii="Times New Roman" w:hAnsi="Times New Roman"/>
          <w:sz w:val="20"/>
        </w:rPr>
        <w:t xml:space="preserve">translation gain or loss is associated with the intercompany long-term loans to our Korean subsidiary, which is denominated in U.S. dollars. As of December 31, 2023, the outstanding intercompany loan balance including accrued interests between our Korean subsidiary and our Dutch subsidiary was $285.1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loss of our key employees would materially adversely affect our business, and we may not be able to attract or retain the technical or management employees necessary to compete in our industry.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encounter future labor problems, we may fail to deliver our products and services in a timely manner, which would adversely affect our revenues and profitability.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2023, 470 employees, or approximately 55% of our employees, were represented by the Magnachip Semiconductor Labor Unions.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incur costs to engage in future business combinations or strategic investments, and we may not realize the anticipated benefits of those transactions.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failure to achieve acceptable manufacturing yields could adversely affect our business.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manufacturing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rely on a number of independent subcontractors and the failure of any of these independent subcontractors to perform as required could adversely affect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and China. We rely on these subcontractors to package and test our devices with acceptable quality and yield levels, and, while we specify quality standards, we are not able to directly oversee their </w:t>
      </w:r>
    </w:p>
    <w:p>
      <w:pPr>
        <w:pStyle w:val="TextBody"/>
        <w:bidi w:val="0"/>
        <w:spacing w:before="120" w:after="0"/>
        <w:jc w:val="left"/>
        <w:rPr>
          <w:rFonts w:ascii="Times New Roman" w:hAnsi="Times New Roman"/>
          <w:spacing w:val="0"/>
          <w:sz w:val="20"/>
        </w:rPr>
      </w:pPr>
      <w:r>
        <w:rPr>
          <w:rFonts w:ascii="Times New Roman" w:hAnsi="Times New Roman"/>
          <w:spacing w:val="0"/>
          <w:sz w:val="20"/>
        </w:rPr>
        <w:t>day-to-day</w:t>
      </w:r>
    </w:p>
    <w:p>
      <w:pPr>
        <w:pStyle w:val="TextBody"/>
        <w:bidi w:val="0"/>
        <w:spacing w:before="120" w:after="0"/>
        <w:jc w:val="left"/>
        <w:rPr>
          <w:rFonts w:ascii="Times New Roman" w:hAnsi="Times New Roman"/>
          <w:sz w:val="20"/>
        </w:rPr>
      </w:pPr>
      <w:r>
        <w:rPr>
          <w:rFonts w:ascii="Times New Roman" w:hAnsi="Times New Roman"/>
          <w:sz w:val="20"/>
        </w:rPr>
        <w:t xml:space="preserve">operations and the packaging and testing of our devices. Onboarding of a new subcontractor, including as a result of 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outbreaks such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120" w:after="0"/>
        <w:jc w:val="left"/>
        <w:rPr>
          <w:rFonts w:ascii="Times New Roman" w:hAnsi="Times New Roman"/>
          <w:sz w:val="20"/>
        </w:rPr>
      </w:pPr>
      <w:r>
        <w:rPr>
          <w:rFonts w:ascii="Times New Roman" w:hAnsi="Times New Roman"/>
          <w:sz w:val="20"/>
        </w:rPr>
        <w:t xml:space="preserve">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(such as those associated with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120" w:after="0"/>
        <w:jc w:val="left"/>
        <w:rPr>
          <w:rFonts w:ascii="Times New Roman" w:hAnsi="Times New Roman"/>
          <w:sz w:val="20"/>
        </w:rPr>
      </w:pPr>
      <w:r>
        <w:rPr>
          <w:rFonts w:ascii="Times New Roman" w:hAnsi="Times New Roman"/>
          <w:sz w:val="20"/>
        </w:rPr>
        <w:t xml:space="preserve">or decrease the capacity of their operations available to us, our operating results could be adversely affected.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cooperate with independent foundries to produce certain Display Solutions and Power Solutions products, and the failure of such independent foundries to satisfy our demand could materially disrupt our business.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use independent foundry services for certain of our Display Solutions products and Power Solutions products. Silicon wafer production at these facilities is allocated solely by our vendors and beyond our direct control. Therefore, any disruption in wafer supply from these vendors could have a material impact on our revenue and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Global shortages in manufacturing capacities could interrupt or negatively affect our operations, increase cost to manufacture and negatively impact our results of operations.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Increases in demand for semiconductor products have in the past and may again in the future result in a global shortage of manufacturing capacity. As a result, we may experience increases in the costs to manufacture our products and may not be able to manufacture and deliver all of the orders placed by our customers. If we are unable to secure manufacturing capacities from our current subcontractors, our ability to deliver our products to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our customers may be negatively impacted. Also, our subcontractors may increase their fees, which would result in an increase in our manufacturing costs, which we may not be fully able to pass to our customers. These factors could cause a negative impact on our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depend on successful parts and materials procurement for our manufacturing processes, and a shortage or increase in the price of these materials could interrupt our operations and result in a decline of revenues and results of operations.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have been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Compliance with regulations regarding the use of “conflict minerals” could limit the supply and increase the cost of certain raw materials used in manufacturing our products.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face warranty claims, product return, litigation and liability risks and the risk of negative publicity if our products fail.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 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could suffer adverse tax and other financial consequences as a result of changes in, or differences in the interpretation of, applicable tax laws, or the adoption of new U.S. or international tax legislation.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provision for income taxes is subject to volatility and could be negatively affected by earnings being (i) lower than anticipated in jurisdictions that have lower statutory tax rates or (ii) higher than anticipated in jurisdictions that have higher statutory tax rates. In addition, our provision for income taxes could be negatively affected by changes in the valuation of our deferred tax assets and liabilities, changes to global intangible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low-tax</w:t>
      </w:r>
    </w:p>
    <w:p>
      <w:pPr>
        <w:pStyle w:val="TextBody"/>
        <w:bidi w:val="0"/>
        <w:spacing w:before="240" w:after="0"/>
        <w:jc w:val="left"/>
        <w:rPr>
          <w:rFonts w:ascii="Times New Roman" w:hAnsi="Times New Roman"/>
          <w:sz w:val="20"/>
        </w:rPr>
      </w:pPr>
      <w:r>
        <w:rPr>
          <w:rFonts w:ascii="Times New Roman" w:hAnsi="Times New Roman"/>
          <w:sz w:val="20"/>
        </w:rPr>
        <w:t xml:space="preserve">income tax laws, transfer pricing adjustments, or changes in tax laws, regulations, or accounting principles.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August 16, 2022, the U.S. enacted the Inflation Reduction Act of 2022 (the “IRA”), which, among other things, implements a 15% alternative minimum tax on the adjusted financial statement income of large corporations with average annual financial income exceeding $1 billion, a 1% excise tax on net stock repurchases and several tax incentives to promote clean energy. The IRA provisions are effective for tax years beginning after December 31, 2022. On December 12, 2022, the European Union member states agreed to implement the OECD’s Pillar 2 global minimum effective tax rate of 15% on multinational enterprise (“MNE”) groups with consolidated revenues of at least EUR 750 million during two of the four preceding fiscal years, which will be effective for fiscal years beginning on January 1, 2024. Additionally, South Korea became one of the first countries to enact global minimum tax rules. At this time, we do not anticipate that changes in the tax laws will have a material impact to our consolidated tax provision for the year ending December 31, 2023 or December 31, 2024. We will continue to monitor as new information and guidance becomes available. </w:t>
      </w:r>
    </w:p>
    <w:p>
      <w:pPr>
        <w:pStyle w:val="TextBody"/>
        <w:bidi w:val="0"/>
        <w:spacing w:before="240" w:after="0"/>
        <w:jc w:val="left"/>
        <w:rPr>
          <w:rFonts w:ascii="Times New Roman" w:hAnsi="Times New Roman"/>
          <w:sz w:val="20"/>
        </w:rPr>
      </w:pPr>
      <w:r>
        <w:rPr>
          <w:rFonts w:ascii="Times New Roman" w:hAnsi="Times New Roman"/>
          <w:sz w:val="20"/>
        </w:rPr>
        <w:t xml:space="preserve">We are also subject to regular reviews, examinations and audits by the IRS and other taxing authorities, including the Korean National Tax Service, with respect to income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non-income</w:t>
      </w:r>
    </w:p>
    <w:p>
      <w:pPr>
        <w:pStyle w:val="TextBody"/>
        <w:bidi w:val="0"/>
        <w:spacing w:before="240" w:after="0"/>
        <w:jc w:val="left"/>
        <w:rPr>
          <w:rFonts w:ascii="Times New Roman" w:hAnsi="Times New Roman"/>
          <w:sz w:val="20"/>
        </w:rPr>
      </w:pPr>
      <w:r>
        <w:rPr>
          <w:rFonts w:ascii="Times New Roman" w:hAnsi="Times New Roman"/>
          <w:sz w:val="20"/>
        </w:rPr>
        <w:t xml:space="preserve">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Expanded trade restrictions imposed by the United States may limit our ability to sell to certain customers.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17, 2020, the U.S. Department of Commerce expanded the scope of export restrictions as applied to products directed to Huawei and its affiliates listed on the Bureau of Industry and Security’s Entity List (collectively, “Huawei”). While prior restrictions had minimal effect on our ability to supply to customers,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newly expanded restrictions would limit our ability to supply to a variety of customers who we believe incorporate our products to those customers’ products directly or indirectly sold to Huawei. As of the date of this Annual Report, we are uncertain on the seriousness of the restrictions’ impact or duration and the future trajectory of our business from customers who directly or indirectly supply Huawei with products that incorporate our products. For export of some of our products, we have successfully obtained the necessary export licenses, and if exports of other products require export licenses due to the restrictions, we will consider applying for the necessary export licenses to continue to sell to the affected customers. Although we have thus far successfully obtained the necessary export licenses for exporting some of our products, we are unsure whether our other applications will be successful. There is also a possibility that export restrictions may be further expanded to target companies in addition to Huawei, which may have an additional impact on our ability to sell to our customers. Export restrictions may also affect our contractors, suppliers or customers, and we cannot assure that they will not violate the restrictions, and any such violations may result in fines or criminal sanctions against us and damage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U.S. has published significant changes to U.S. export control regulations with respect to Russia and China, and we anticipate additional changes to export control regulations in the future. For example, the U.S. government has implemented controls on advanced computing ICs, computer commodities that contain such ICs, and certain semiconductor manufacturing items, as well as controls on transactions involving items for supercomputer and semiconductor manufacturing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end-users.</w:t>
      </w:r>
    </w:p>
    <w:p>
      <w:pPr>
        <w:pStyle w:val="TextBody"/>
        <w:bidi w:val="0"/>
        <w:spacing w:before="240" w:after="0"/>
        <w:jc w:val="left"/>
        <w:rPr>
          <w:rFonts w:ascii="Times New Roman" w:hAnsi="Times New Roman"/>
          <w:sz w:val="20"/>
        </w:rPr>
      </w:pPr>
      <w:r>
        <w:rPr>
          <w:rFonts w:ascii="Times New Roman" w:hAnsi="Times New Roman"/>
          <w:sz w:val="20"/>
        </w:rPr>
        <w:t xml:space="preserve">The new controls expand the scope of foreign-produced items subject to license requirements for certain entities on the U.S. government’s Entity List. Future changes in the U.S. export control regulations, including changes in the enforcement and scope of such regulations, may create delays in the introduction of our products or services in international markets or could prevent our customers with international operations from deploying our products or services globally. In some cases, such changes could prevent the export or import of our products, which could have a material impact on our future results of operations and financial condition.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Expanded trade restrictions imposed by South Korea may limit our ability to sell to certain customers or engage in any potential strategic opportunities.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Under the ITA, any export (including various means of outflow, such as sale or transfer outside Korea) of National Core Technology by the MOTIE requires the filing of a prior-report with, and the acceptance of the same by, the MOTIE. Under the Special Act, any export of NHST requires prior approval from the MOTIE. Any such export of NCT without the acceptance of the prior-report with the MOTIE may be subject to corrective orders by the relevant authorities, and failure to comply with such corrective orders may potentially result in criminal liabilities. Any such export of NHST without the prior approval from the MOTIE may be subject to corrective orders by the relevant authorities and may also be subject to criminal sanctions.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Notification Regarding Designation of National Core Technologies issued by the MOTIE was amended on July 14, 2021 to add certain technologies to the list of National Core Technology designated by the MOTIE, and the amended list includes the OLED DDI design technology for driving display panels. On June 2, 2023, the MOTIE designated 17 technologies, including the OLED DDI design technology for driving display panels, as NHST under the Special Act. In the ordinary course of business, our Korean subsidiary may provide certain information relating to its products, including OLED DDI, to customers, suppliers or vendors, and such disclosure of information may be subject to both NCT and NHST restrictions, and therefore the MOTIE’s acceptance of prior reports and prior approval. Since the amendment of the foregoing NCT list in July 2021, we have filed prior-reports with the MOTIE for the export of our OLED DDI product-related information to certain overseas vendors that manufacture our products, and all such reports have thus far been accepted by the MOTIE.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is no assurance, however, that any future prior-reports for the export of our product-related information will be accepted by the MOTIE or we will obtain any future prior approval for the export from the MOTIE. In the event that any future prior-report or application is not accepted or not approved, we may be unable to continue our business with the overseas customers, suppliers or vendors, including the manufacturing and delivery of our OLED DDI products.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the event that there is any M&amp;A transaction with respect to our Korean subsidiary that results in </w:t>
      </w:r>
    </w:p>
    <w:p>
      <w:pPr>
        <w:pStyle w:val="TextBody"/>
        <w:bidi w:val="0"/>
        <w:spacing w:before="0" w:after="0"/>
        <w:jc w:val="left"/>
        <w:rPr>
          <w:rFonts w:ascii="Times New Roman" w:hAnsi="Times New Roman"/>
          <w:spacing w:val="0"/>
          <w:sz w:val="20"/>
        </w:rPr>
      </w:pPr>
      <w:r>
        <w:rPr>
          <w:rFonts w:ascii="Times New Roman" w:hAnsi="Times New Roman"/>
          <w:spacing w:val="0"/>
          <w:sz w:val="20"/>
        </w:rPr>
        <w:t>non-Korean</w:t>
      </w:r>
    </w:p>
    <w:p>
      <w:pPr>
        <w:pStyle w:val="TextBody"/>
        <w:bidi w:val="0"/>
        <w:spacing w:before="0" w:after="0"/>
        <w:jc w:val="left"/>
        <w:rPr>
          <w:rFonts w:ascii="Times New Roman" w:hAnsi="Times New Roman"/>
          <w:sz w:val="20"/>
        </w:rPr>
      </w:pPr>
      <w:r>
        <w:rPr>
          <w:rFonts w:ascii="Times New Roman" w:hAnsi="Times New Roman"/>
          <w:sz w:val="20"/>
        </w:rPr>
        <w:t xml:space="preserve">ownership of 50% or more, or exertion of control over the appointment of officers/management by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non-Korean</w:t>
      </w:r>
    </w:p>
    <w:p>
      <w:pPr>
        <w:pStyle w:val="TextBody"/>
        <w:bidi w:val="0"/>
        <w:spacing w:before="0" w:after="0"/>
        <w:jc w:val="left"/>
        <w:rPr>
          <w:rFonts w:ascii="Times New Roman" w:hAnsi="Times New Roman"/>
          <w:sz w:val="20"/>
        </w:rPr>
      </w:pPr>
      <w:r>
        <w:rPr>
          <w:rFonts w:ascii="Times New Roman" w:hAnsi="Times New Roman"/>
          <w:sz w:val="20"/>
        </w:rPr>
        <w:t xml:space="preserve">person or entity as the largest shareholder, a prior-report with and the acceptance by the MOTIE is required under the ITA and a prior approval from the MOTIE is required under the Special Act. There is no assurance that any report for an M&amp;A transaction involving </w:t>
      </w:r>
    </w:p>
    <w:p>
      <w:pPr>
        <w:pStyle w:val="TextBody"/>
        <w:bidi w:val="0"/>
        <w:spacing w:before="0" w:after="0"/>
        <w:jc w:val="left"/>
        <w:rPr>
          <w:rFonts w:ascii="Times New Roman" w:hAnsi="Times New Roman"/>
          <w:spacing w:val="0"/>
          <w:sz w:val="20"/>
        </w:rPr>
      </w:pPr>
      <w:r>
        <w:rPr>
          <w:rFonts w:ascii="Times New Roman" w:hAnsi="Times New Roman"/>
          <w:spacing w:val="0"/>
          <w:sz w:val="20"/>
        </w:rPr>
        <w:t>non-Korean</w:t>
      </w:r>
    </w:p>
    <w:p>
      <w:pPr>
        <w:pStyle w:val="TextBody"/>
        <w:bidi w:val="0"/>
        <w:spacing w:before="0" w:after="0"/>
        <w:jc w:val="left"/>
        <w:rPr>
          <w:rFonts w:ascii="Times New Roman" w:hAnsi="Times New Roman"/>
          <w:sz w:val="20"/>
        </w:rPr>
      </w:pPr>
      <w:r>
        <w:rPr>
          <w:rFonts w:ascii="Times New Roman" w:hAnsi="Times New Roman"/>
          <w:sz w:val="20"/>
        </w:rPr>
        <w:t xml:space="preserve">acquirers or investors will be accepted by the MOTIE, nor we can assure approval for the M&amp;A transaction from the MOTIE when such transaction is pursued in the future.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changes in international trade policy and the imposition and threats of international tariffs, including tariffs applied to goods traded between the United States and China, could materially and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Imposition of tariffs could increase costs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w:t>
      </w:r>
    </w:p>
    <w:p>
      <w:pPr>
        <w:pStyle w:val="TextBody"/>
        <w:bidi w:val="0"/>
        <w:spacing w:before="120" w:after="0"/>
        <w:jc w:val="left"/>
        <w:rPr>
          <w:rFonts w:ascii="Times New Roman" w:hAnsi="Times New Roman"/>
          <w:sz w:val="20"/>
        </w:rPr>
      </w:pPr>
      <w:r>
        <w:rPr>
          <w:rFonts w:ascii="Times New Roman" w:hAnsi="Times New Roman"/>
          <w:sz w:val="20"/>
        </w:rPr>
        <w:t xml:space="preserve">products we supply that we may not be able to pass on to our customers, which could in turn cause a decrease in the sales of our products and materially and adversely affect our business and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ability to compete successfully and achieve future growth will depend, in part, on our ability to protect our intellectual property, proprietary technology and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know-how,</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as well as our ability to operate without infringing the proprietary rights of others.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We seek to protect our proprietary technologies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240" w:after="0"/>
        <w:jc w:val="left"/>
        <w:rPr>
          <w:rFonts w:ascii="Times New Roman" w:hAnsi="Times New Roman"/>
          <w:sz w:val="20"/>
        </w:rPr>
      </w:pPr>
      <w:r>
        <w:rPr>
          <w:rFonts w:ascii="Times New Roman" w:hAnsi="Times New Roman"/>
          <w:sz w:val="20"/>
        </w:rPr>
        <w:t xml:space="preserve">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ability to compete successfully depends on our ability to operate without infringing the proprietary rights of others. We have no means of knowing what patent applications have been filed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pay substantial damages or indemnify customers or licensees for damages they may suffer if the products they purchase from us or the technology they license from us violate the intellectual property rights of others; </w:t>
            </w:r>
          </w:p>
        </w:tc>
      </w:tr>
    </w:tbl>
    <w:p>
      <w:pPr>
        <w:pStyle w:val="TextBody"/>
        <w:bidi w:val="0"/>
        <w:spacing w:before="0" w:after="0"/>
        <w:jc w:val="left"/>
        <w:rPr>
          <w:spacing w:val="0"/>
        </w:rPr>
      </w:pPr>
      <w:r>
        <w:rPr>
          <w:spacing w:val="0"/>
        </w:rPr>
        <w:t> </w:t>
      </w:r>
    </w:p>
    <w:tbl>
      <w:tblPr>
        <w:tblW w:w="5965" w:type="dxa"/>
        <w:jc w:val="left"/>
        <w:tblInd w:w="0" w:type="dxa"/>
        <w:tblLayout w:type="fixed"/>
        <w:tblCellMar>
          <w:top w:w="0" w:type="dxa"/>
          <w:left w:w="0" w:type="dxa"/>
          <w:bottom w:w="0" w:type="dxa"/>
          <w:right w:w="0" w:type="dxa"/>
        </w:tblCellMar>
      </w:tblPr>
      <w:tblGrid>
        <w:gridCol w:w="125"/>
        <w:gridCol w:w="60"/>
        <w:gridCol w:w="5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stop our manufacture, use, sale or importation of the accused products; </w:t>
            </w:r>
          </w:p>
        </w:tc>
      </w:tr>
    </w:tbl>
    <w:p>
      <w:pPr>
        <w:pStyle w:val="TextBody"/>
        <w:bidi w:val="0"/>
        <w:spacing w:before="0" w:after="0"/>
        <w:jc w:val="left"/>
        <w:rPr>
          <w:spacing w:val="0"/>
        </w:rPr>
      </w:pPr>
      <w:r>
        <w:rPr>
          <w:spacing w:val="0"/>
        </w:rPr>
        <w:t> </w:t>
      </w:r>
    </w:p>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redesign, reengineer or rebrand our products, if feasible; </w:t>
            </w:r>
          </w:p>
        </w:tc>
      </w:tr>
    </w:tbl>
    <w:p>
      <w:pPr>
        <w:pStyle w:val="TextBody"/>
        <w:bidi w:val="0"/>
        <w:spacing w:before="0" w:after="0"/>
        <w:jc w:val="left"/>
        <w:rPr>
          <w:spacing w:val="0"/>
        </w:rPr>
      </w:pPr>
      <w:r>
        <w:rPr>
          <w:spacing w:val="0"/>
        </w:rPr>
        <w:t> </w:t>
      </w:r>
    </w:p>
    <w:tbl>
      <w:tblPr>
        <w:tblW w:w="4345" w:type="dxa"/>
        <w:jc w:val="left"/>
        <w:tblInd w:w="0" w:type="dxa"/>
        <w:tblLayout w:type="fixed"/>
        <w:tblCellMar>
          <w:top w:w="0" w:type="dxa"/>
          <w:left w:w="0" w:type="dxa"/>
          <w:bottom w:w="0" w:type="dxa"/>
          <w:right w:w="0" w:type="dxa"/>
        </w:tblCellMar>
      </w:tblPr>
      <w:tblGrid>
        <w:gridCol w:w="125"/>
        <w:gridCol w:w="60"/>
        <w:gridCol w:w="41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expend significant resources to develop or acquire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non-infringing</w:t>
            </w:r>
          </w:p>
          <w:p>
            <w:pPr>
              <w:pStyle w:val="TableContents"/>
              <w:bidi w:val="0"/>
              <w:spacing w:before="0" w:after="0"/>
              <w:jc w:val="left"/>
              <w:rPr>
                <w:rFonts w:ascii="Times New Roman" w:hAnsi="Times New Roman"/>
                <w:sz w:val="20"/>
              </w:rPr>
            </w:pPr>
            <w:r>
              <w:rPr>
                <w:rFonts w:ascii="Times New Roman" w:hAnsi="Times New Roman"/>
                <w:sz w:val="20"/>
              </w:rPr>
              <w:t xml:space="preserve">technologies; </w:t>
            </w:r>
          </w:p>
        </w:tc>
      </w:tr>
    </w:tbl>
    <w:p>
      <w:pPr>
        <w:pStyle w:val="TextBody"/>
        <w:bidi w:val="0"/>
        <w:spacing w:before="0" w:after="0"/>
        <w:jc w:val="left"/>
        <w:rPr>
          <w:spacing w:val="0"/>
        </w:rPr>
      </w:pPr>
      <w:r>
        <w:rPr>
          <w:spacing w:val="0"/>
        </w:rPr>
        <w:t> </w:t>
      </w:r>
    </w:p>
    <w:tbl>
      <w:tblPr>
        <w:tblW w:w="2305" w:type="dxa"/>
        <w:jc w:val="left"/>
        <w:tblInd w:w="0" w:type="dxa"/>
        <w:tblLayout w:type="fixed"/>
        <w:tblCellMar>
          <w:top w:w="0" w:type="dxa"/>
          <w:left w:w="0" w:type="dxa"/>
          <w:bottom w:w="0" w:type="dxa"/>
          <w:right w:w="0" w:type="dxa"/>
        </w:tblCellMar>
      </w:tblPr>
      <w:tblGrid>
        <w:gridCol w:w="125"/>
        <w:gridCol w:w="60"/>
        <w:gridCol w:w="21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discontinue processes; or </w:t>
            </w:r>
          </w:p>
        </w:tc>
      </w:tr>
    </w:tbl>
    <w:p>
      <w:pPr>
        <w:pStyle w:val="TextBody"/>
        <w:bidi w:val="0"/>
        <w:spacing w:before="0" w:after="0"/>
        <w:jc w:val="left"/>
        <w:rPr>
          <w:spacing w:val="0"/>
        </w:rPr>
      </w:pPr>
      <w:r>
        <w:rPr>
          <w:spacing w:val="0"/>
        </w:rPr>
        <w:t> </w:t>
      </w:r>
    </w:p>
    <w:tbl>
      <w:tblPr>
        <w:tblW w:w="4615" w:type="dxa"/>
        <w:jc w:val="left"/>
        <w:tblInd w:w="0" w:type="dxa"/>
        <w:tblLayout w:type="fixed"/>
        <w:tblCellMar>
          <w:top w:w="0" w:type="dxa"/>
          <w:left w:w="0" w:type="dxa"/>
          <w:bottom w:w="0" w:type="dxa"/>
          <w:right w:w="0" w:type="dxa"/>
        </w:tblCellMar>
      </w:tblPr>
      <w:tblGrid>
        <w:gridCol w:w="125"/>
        <w:gridCol w:w="60"/>
        <w:gridCol w:w="44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obtain licenses to a third party’s intellectual property.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can be no assurance that we would be successful in such development or acquisition or that such licenses would be available under reasonable terms, or at all.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license certain intellectual property from third parties. The termination of key third-party licenses relating to the use of intellectual property in our products and our design processes would adversely affect certain areas of our business.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subject to many environmental laws and regulations that could affect our operations or result in significant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becomes effective on November 27, 2020, certain environmental offenses such as illegally emitting specified hazardous air pollutants or emitting air pollutants without necessary permits will be subject to penalties of up to 5% of the sales amount generated from the relevant business. Moreover, to effectively respond to environmental crimes, on November 14, 2022, a joint investigation team was established, consisting of experts from both national and local governments, including the prosecutor’s office, the Ministry of Environment.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need for additional capital equipment or other process requirements upon us, curtail our operations or restrict our ability to expand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Korean subsidiary has been designated as a regulated business under Korean environmental law, and such designation could have an adverse effect on our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Since 2015, our Korean subsidiary has been subject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K-ETS,</w:t>
      </w:r>
    </w:p>
    <w:p>
      <w:pPr>
        <w:pStyle w:val="TextBody"/>
        <w:bidi w:val="0"/>
        <w:spacing w:before="120" w:after="0"/>
        <w:jc w:val="left"/>
        <w:rPr>
          <w:rFonts w:ascii="Times New Roman" w:hAnsi="Times New Roman"/>
          <w:sz w:val="20"/>
        </w:rPr>
      </w:pPr>
      <w:r>
        <w:rPr>
          <w:rFonts w:ascii="Times New Roman" w:hAnsi="Times New Roman"/>
          <w:sz w:val="20"/>
        </w:rPr>
        <w:t xml:space="preserve">a new set of greenhouse gas emissions regulations, under the Act on Allocation and Trading of Greenhouse Gas Emission Allowances. Under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K-ETS,</w:t>
      </w:r>
    </w:p>
    <w:p>
      <w:pPr>
        <w:pStyle w:val="TextBody"/>
        <w:bidi w:val="0"/>
        <w:spacing w:before="120" w:after="0"/>
        <w:jc w:val="left"/>
        <w:rPr>
          <w:rFonts w:ascii="Times New Roman" w:hAnsi="Times New Roman"/>
          <w:sz w:val="20"/>
        </w:rPr>
      </w:pPr>
      <w:r>
        <w:rPr>
          <w:rFonts w:ascii="Times New Roman" w:hAnsi="Times New Roman"/>
          <w:sz w:val="20"/>
        </w:rPr>
        <w:t xml:space="preserve">our Korean subsidiary was allocated a certain amount of emissions allowance in accordance with the National Allocation Plan prepared by the Korean government, and is required to meet its allocated target by either reducing emissions or purchasing allowances from other participants or the government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and second implementation period from 2018 to 2020, we did not exceed the allocated emission amount. Our Korean subsidiary has been allocated emissions allowance in the third implementation period from 2021 to 2025, and we do not expect to exceed the allocated emission amount during the third implementation period. If, however, our Korean subsidiary exceeds the allocated emission amount the third implementation period, we will be required to pay for the excess emissions and may be subject to other regulatory action. We will continue to monitor our compliance with the emissions allowance on a yearly basis. In addition, from time to time, if we assess that we have excess allowances, we may sell such excess allowances to manufacturers in the emission market in Korea. </w:t>
      </w:r>
    </w:p>
    <w:p>
      <w:pPr>
        <w:pStyle w:val="TextBody"/>
        <w:bidi w:val="0"/>
        <w:spacing w:before="240" w:after="0"/>
        <w:jc w:val="left"/>
        <w:rPr>
          <w:rFonts w:ascii="Times New Roman" w:hAnsi="Times New Roman"/>
          <w:sz w:val="20"/>
        </w:rPr>
      </w:pPr>
      <w:r>
        <w:rPr>
          <w:rFonts w:ascii="Times New Roman" w:hAnsi="Times New Roman"/>
          <w:sz w:val="20"/>
        </w:rPr>
        <w:t>Furthermore, the Korean legislature enacted the Framework Act on Carbon Neutrality and Green Growth for Responding to Climate Change (the “Carbon Neutrality Framework Act”) on September 24, 2021. The Carbon Neutrality Framework Act aims to reduce greenhouse gas emissions by more than 35% by 2030 (compared to 2018) and proclaims the achievement of carbon neutrality by 2050 as a national vision. The Carbon Neutrality Framework Act is significant in that it legislates carbon neutrality and greenhouse gas</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reduction objectives, and enables the central administrative agencies, local governments and public institutions to implement various measures towards such objectives.</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2022, the Enforcement Decree of the Carbon Neutrality Framework Act (the “Enforcement Decree”) was enacted. The Enforcement Decree aims to provide details required for the execution of items prescribed under the Carbon Neutrality Framework Act. The key provisions of the Enforcement Decree include those setting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mid-to</w:t>
      </w:r>
    </w:p>
    <w:p>
      <w:pPr>
        <w:pStyle w:val="TextBody"/>
        <w:bidi w:val="0"/>
        <w:spacing w:before="240" w:after="0"/>
        <w:jc w:val="left"/>
        <w:rPr>
          <w:rFonts w:ascii="Times New Roman" w:hAnsi="Times New Roman"/>
          <w:sz w:val="20"/>
        </w:rPr>
      </w:pPr>
      <w:r>
        <w:rPr>
          <w:rFonts w:ascii="Times New Roman" w:hAnsi="Times New Roman"/>
          <w:sz w:val="20"/>
        </w:rPr>
        <w:t>long-term greenhouse gas</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reduction goal at 40% and implementing the climate change impact assessment scheme. Based on that, On April 11, 2023, the Korean government published the 1st National Basic Plan for Carbon Neutrality and Green Growth (the “Basic Plan”). The Basic Plan is a national plan for responding to the climate crisis and sustainable development. Including annual reduction goals and implementation measures for each sector (e.g., industry and transportation), the Basic Plan will be updated every five years over the next 20 years between 2023 and 2042. It is anticipated that the Carbon Neutrality Framework Act and the Basic Plan, which aims to promote the harmonious development of the economy and the environment in conjunction with active greenhouse gas</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 xml:space="preserve">reduction measures, will serve as the foundation for the government’s climate change response policy going forward.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compliance with the Serious Accidents Punishment Act (the “SAPA”) could require significant expenditures and management time and expose us to liability for violations.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Enacted on January 26, 2021 and effective as of January 27, 2022 in Korea, the SAPA will impose enhanced liability exposure for workplace accidents. The legislative goal of the SAPA is to prevent serious accidents by prescribing punishments and punitive damages liability for business owners or responsible management personnel who have violated safety and health measures in the event of such serious accidents (serious industrial accidents and serious civil accidents). Since the law applies to businesses in Korea with 50 or more full-time employees starting from January 27, 2022, our Korean subsidiary becomes subject to the law after the effective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date. According to the SAPA, if a serious occupational accident occurs that results in at least one deceased person, at least two persons wounded for six months or more, or at least three persons suffering from occupational diseases within a one year period, if the “business owners or responsible management personnel” of the relevant business place is found to have failed to perform its “obligation to secure safety and health,” that person may be subject to imprisonment for up to 7 year or a fine of up to KRW 100 million (in case of death, imprisonment for not less than 1 year or a fine of not less than KRW 1 billion). Additionally, if there was negligence of the company in giving due attention and supervision to prevent such accident, the company will be subject to a fine up to KRW 1 billion (in case of death, a fine up to KRW 5 billion) under joint penalty provisions. Relevant responsible management personnel will also be required to spend more time, effort and cost to comply with the SAPA and perform the necessary additional duties imposed by the law to ensure compliance.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need additional capital in the future, and such capital may not be available on acceptable terms or at all, which would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down-sizing</w:t>
      </w:r>
    </w:p>
    <w:p>
      <w:pPr>
        <w:pStyle w:val="TextBody"/>
        <w:bidi w:val="0"/>
        <w:spacing w:before="120" w:after="0"/>
        <w:jc w:val="left"/>
        <w:rPr>
          <w:rFonts w:ascii="Times New Roman" w:hAnsi="Times New Roman"/>
          <w:sz w:val="20"/>
        </w:rPr>
      </w:pPr>
      <w:r>
        <w:rPr>
          <w:rFonts w:ascii="Times New Roman" w:hAnsi="Times New Roman"/>
          <w:sz w:val="20"/>
        </w:rPr>
        <w:t xml:space="preserve">and/or eliminating certain operations, which could include additional exit costs, reducing or delaying capital expenditures, selling assets, or 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business depends on international customers, suppliers and operations in Asia, and as a result we are subject to regulatory, operational, financial and political risks, which could adversely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public health issues (including viral outbreaks such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120" w:after="0"/>
        <w:jc w:val="left"/>
        <w:rPr>
          <w:rFonts w:ascii="Times New Roman" w:hAnsi="Times New Roman"/>
          <w:sz w:val="20"/>
        </w:rPr>
      </w:pPr>
      <w:r>
        <w:rPr>
          <w:rFonts w:ascii="Times New Roman" w:hAnsi="Times New Roman"/>
          <w:sz w:val="20"/>
        </w:rPr>
        <w:t xml:space="preserve">difficulties in accounts receivable collection, extended payment terms and differing labor standards, enforcement of contractual obligations and protection of intellectual property. These risks may lead to increased costs or decreased revenue growth, or both.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Tensions with North Korea could have an adverse effect on us and the market value of our shares.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Relations between South Korea and North Korea have been tense throughout Korea’s modern history. The level of tension between the two Koreas has fluctuated and may increase abruptly as a result of current and future events. In particular, in recent years, there have been heightened security concerns stemming from North Korea’s nuclear weapon and long-range missile programs and increased uncertainty regarding North Korea’s actions and possible responses from the international community.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North Korea’s economy also faces severe challenges, and any adverse economic developments may further aggravate social and political tensions within North Korea.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be subject to disruptions, breaches or cyber-attacks of our secured networks and information technology systems that could damage our reputation, harm our business, expose us to liability and materially adversely affect our results of operations.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a holding company and depend on the business of our subsidiaries to make payments to 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a holding company with no independent operations of our own. Our subsidiaries conduct substantially all of the operations necessary to fund our obligations. Our ability to pay dividends or to make payments on any future obligations will depend on our subsidiaries’ cash flow and their payment of funds to us. Our subsidiaries’ ability to make payments to us will depend on: </w:t>
      </w:r>
    </w:p>
    <w:p>
      <w:pPr>
        <w:pStyle w:val="TextBody"/>
        <w:bidi w:val="0"/>
        <w:spacing w:before="0" w:after="0"/>
        <w:jc w:val="left"/>
        <w:rPr>
          <w:spacing w:val="0"/>
        </w:rPr>
      </w:pPr>
      <w:r>
        <w:rPr>
          <w:spacing w:val="0"/>
        </w:rPr>
        <w:t> </w:t>
      </w:r>
    </w:p>
    <w:tbl>
      <w:tblPr>
        <w:tblW w:w="1435" w:type="dxa"/>
        <w:jc w:val="left"/>
        <w:tblInd w:w="0" w:type="dxa"/>
        <w:tblLayout w:type="fixed"/>
        <w:tblCellMar>
          <w:top w:w="0" w:type="dxa"/>
          <w:left w:w="0" w:type="dxa"/>
          <w:bottom w:w="0" w:type="dxa"/>
          <w:right w:w="0" w:type="dxa"/>
        </w:tblCellMar>
      </w:tblPr>
      <w:tblGrid>
        <w:gridCol w:w="125"/>
        <w:gridCol w:w="60"/>
        <w:gridCol w:w="1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their earnings; </w:t>
            </w:r>
          </w:p>
        </w:tc>
      </w:tr>
    </w:tbl>
    <w:p>
      <w:pPr>
        <w:pStyle w:val="TextBody"/>
        <w:bidi w:val="0"/>
        <w:spacing w:before="0" w:after="0"/>
        <w:jc w:val="left"/>
        <w:rPr>
          <w:spacing w:val="0"/>
        </w:rPr>
      </w:pPr>
      <w:r>
        <w:rPr>
          <w:spacing w:val="0"/>
        </w:rPr>
        <w:t> </w:t>
      </w:r>
    </w:p>
    <w:tbl>
      <w:tblPr>
        <w:tblW w:w="7915" w:type="dxa"/>
        <w:jc w:val="left"/>
        <w:tblInd w:w="0" w:type="dxa"/>
        <w:tblLayout w:type="fixed"/>
        <w:tblCellMar>
          <w:top w:w="0" w:type="dxa"/>
          <w:left w:w="0" w:type="dxa"/>
          <w:bottom w:w="0" w:type="dxa"/>
          <w:right w:w="0" w:type="dxa"/>
        </w:tblCellMar>
      </w:tblPr>
      <w:tblGrid>
        <w:gridCol w:w="125"/>
        <w:gridCol w:w="60"/>
        <w:gridCol w:w="77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covenants contained in agreements to which we or our subsidiaries are or may become subject; </w:t>
            </w:r>
          </w:p>
        </w:tc>
      </w:tr>
    </w:tbl>
    <w:p>
      <w:pPr>
        <w:pStyle w:val="TextBody"/>
        <w:bidi w:val="0"/>
        <w:spacing w:before="0" w:after="0"/>
        <w:jc w:val="left"/>
        <w:rPr>
          <w:spacing w:val="0"/>
        </w:rPr>
      </w:pPr>
      <w:r>
        <w:rPr>
          <w:spacing w:val="0"/>
        </w:rPr>
        <w:t> </w:t>
      </w:r>
    </w:p>
    <w:tbl>
      <w:tblPr>
        <w:tblW w:w="3235" w:type="dxa"/>
        <w:jc w:val="left"/>
        <w:tblInd w:w="0" w:type="dxa"/>
        <w:tblLayout w:type="fixed"/>
        <w:tblCellMar>
          <w:top w:w="0" w:type="dxa"/>
          <w:left w:w="0" w:type="dxa"/>
          <w:bottom w:w="0" w:type="dxa"/>
          <w:right w:w="0" w:type="dxa"/>
        </w:tblCellMar>
      </w:tblPr>
      <w:tblGrid>
        <w:gridCol w:w="125"/>
        <w:gridCol w:w="60"/>
        <w:gridCol w:w="30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business and tax considerations; and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applicable law, including any restrictions under Korean law that may be imposed on our Korean subsidiary that would restrict its ability to make payments on intercompany loans from our Dutch subsidiary.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cannot assure that the operating results of our subsidiaries at any given time will be sufficient to make distributions or other payments to us.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at times need to incur impairment, restructuring and other restructuring related charges, which could materially affect our results of operations and financial condition.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During industry downturns and for other reasons, we may need to record impairment, restructuring or other restructuring related charges. In the future, we may need to record additional impairment charges or to further restructure our business or incur additional restructuring charges, any of which could have a material adverse effect on our results of operations or financial condition.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subject to litigation risks, which may be costly to defend and the outcome of which is uncertain.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price of our common stock may be volatile and you may lose all or a part of your investment.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trading price of our common stock might be subject to wide fluctuations. Factors, some of which are beyond our control, that could affect the trading price of our common stock may include: </w:t>
      </w:r>
    </w:p>
    <w:p>
      <w:pPr>
        <w:pStyle w:val="TextBody"/>
        <w:bidi w:val="0"/>
        <w:spacing w:before="0" w:after="0"/>
        <w:jc w:val="left"/>
        <w:rPr>
          <w:spacing w:val="0"/>
        </w:rPr>
      </w:pPr>
      <w:r>
        <w:rPr>
          <w:spacing w:val="0"/>
        </w:rPr>
        <w:t> </w:t>
      </w:r>
    </w:p>
    <w:tbl>
      <w:tblPr>
        <w:tblW w:w="8110" w:type="dxa"/>
        <w:jc w:val="left"/>
        <w:tblInd w:w="0" w:type="dxa"/>
        <w:tblLayout w:type="fixed"/>
        <w:tblCellMar>
          <w:top w:w="0" w:type="dxa"/>
          <w:left w:w="0" w:type="dxa"/>
          <w:bottom w:w="0" w:type="dxa"/>
          <w:right w:w="0" w:type="dxa"/>
        </w:tblCellMar>
      </w:tblPr>
      <w:tblGrid>
        <w:gridCol w:w="125"/>
        <w:gridCol w:w="60"/>
        <w:gridCol w:w="79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actual or anticipated variations in our results of operations from quarter to quarter or year to year; </w:t>
            </w:r>
          </w:p>
        </w:tc>
      </w:tr>
    </w:tbl>
    <w:p>
      <w:pPr>
        <w:pStyle w:val="TextBody"/>
        <w:bidi w:val="0"/>
        <w:spacing w:before="0" w:after="0"/>
        <w:jc w:val="left"/>
        <w:rPr>
          <w:spacing w:val="0"/>
        </w:rPr>
      </w:pPr>
      <w:r>
        <w:rPr>
          <w:spacing w:val="0"/>
        </w:rPr>
        <w:t> </w:t>
      </w:r>
    </w:p>
    <w:tbl>
      <w:tblPr>
        <w:tblW w:w="9640" w:type="dxa"/>
        <w:jc w:val="left"/>
        <w:tblInd w:w="0" w:type="dxa"/>
        <w:tblLayout w:type="fixed"/>
        <w:tblCellMar>
          <w:top w:w="0" w:type="dxa"/>
          <w:left w:w="0" w:type="dxa"/>
          <w:bottom w:w="0" w:type="dxa"/>
          <w:right w:w="0" w:type="dxa"/>
        </w:tblCellMar>
      </w:tblPr>
      <w:tblGrid>
        <w:gridCol w:w="125"/>
        <w:gridCol w:w="60"/>
        <w:gridCol w:w="94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announcements by us or our competitors of significant agreements, technological innovations or strategic alliances; </w:t>
            </w:r>
          </w:p>
        </w:tc>
      </w:tr>
    </w:tbl>
    <w:p>
      <w:pPr>
        <w:pStyle w:val="TextBody"/>
        <w:bidi w:val="0"/>
        <w:spacing w:before="0" w:after="0"/>
        <w:jc w:val="left"/>
        <w:rPr>
          <w:spacing w:val="0"/>
        </w:rPr>
      </w:pPr>
      <w:r>
        <w:rPr>
          <w:spacing w:val="0"/>
        </w:rPr>
        <w:t> </w:t>
      </w:r>
    </w:p>
    <w:tbl>
      <w:tblPr>
        <w:tblW w:w="7885" w:type="dxa"/>
        <w:jc w:val="left"/>
        <w:tblInd w:w="0" w:type="dxa"/>
        <w:tblLayout w:type="fixed"/>
        <w:tblCellMar>
          <w:top w:w="0" w:type="dxa"/>
          <w:left w:w="0" w:type="dxa"/>
          <w:bottom w:w="0" w:type="dxa"/>
          <w:right w:w="0" w:type="dxa"/>
        </w:tblCellMar>
      </w:tblPr>
      <w:tblGrid>
        <w:gridCol w:w="125"/>
        <w:gridCol w:w="60"/>
        <w:gridCol w:w="77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in recommendations or estimates by any securities analysts who follow our securities; </w:t>
            </w:r>
          </w:p>
        </w:tc>
      </w:tr>
    </w:tbl>
    <w:p>
      <w:pPr>
        <w:pStyle w:val="TextBody"/>
        <w:bidi w:val="0"/>
        <w:spacing w:before="0" w:after="0"/>
        <w:jc w:val="left"/>
        <w:rPr>
          <w:spacing w:val="0"/>
        </w:rPr>
      </w:pPr>
      <w:r>
        <w:rPr>
          <w:spacing w:val="0"/>
        </w:rPr>
        <w:t> </w:t>
      </w:r>
    </w:p>
    <w:tbl>
      <w:tblPr>
        <w:tblW w:w="3565" w:type="dxa"/>
        <w:jc w:val="left"/>
        <w:tblInd w:w="0" w:type="dxa"/>
        <w:tblLayout w:type="fixed"/>
        <w:tblCellMar>
          <w:top w:w="0" w:type="dxa"/>
          <w:left w:w="0" w:type="dxa"/>
          <w:bottom w:w="0" w:type="dxa"/>
          <w:right w:w="0" w:type="dxa"/>
        </w:tblCellMar>
      </w:tblPr>
      <w:tblGrid>
        <w:gridCol w:w="125"/>
        <w:gridCol w:w="60"/>
        <w:gridCol w:w="33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addition or loss of significant customers; </w:t>
            </w:r>
          </w:p>
        </w:tc>
      </w:tr>
    </w:tbl>
    <w:p>
      <w:pPr>
        <w:pStyle w:val="TextBody"/>
        <w:bidi w:val="0"/>
        <w:spacing w:before="0" w:after="0"/>
        <w:jc w:val="left"/>
        <w:rPr>
          <w:spacing w:val="0"/>
        </w:rPr>
      </w:pPr>
      <w:r>
        <w:rPr>
          <w:spacing w:val="0"/>
        </w:rPr>
        <w:t> </w:t>
      </w:r>
    </w:p>
    <w:tbl>
      <w:tblPr>
        <w:tblW w:w="3670" w:type="dxa"/>
        <w:jc w:val="left"/>
        <w:tblInd w:w="0" w:type="dxa"/>
        <w:tblLayout w:type="fixed"/>
        <w:tblCellMar>
          <w:top w:w="0" w:type="dxa"/>
          <w:left w:w="0" w:type="dxa"/>
          <w:bottom w:w="0" w:type="dxa"/>
          <w:right w:w="0" w:type="dxa"/>
        </w:tblCellMar>
      </w:tblPr>
      <w:tblGrid>
        <w:gridCol w:w="125"/>
        <w:gridCol w:w="60"/>
        <w:gridCol w:w="34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recruitment or departure of key personnel; </w:t>
            </w:r>
          </w:p>
        </w:tc>
      </w:tr>
    </w:tbl>
    <w:p>
      <w:pPr>
        <w:pStyle w:val="TextBody"/>
        <w:bidi w:val="0"/>
        <w:spacing w:before="0" w:after="0"/>
        <w:jc w:val="left"/>
        <w:rPr>
          <w:spacing w:val="0"/>
        </w:rPr>
      </w:pPr>
      <w:r>
        <w:rPr>
          <w:spacing w:val="0"/>
        </w:rPr>
        <w:t> </w:t>
      </w:r>
    </w:p>
    <w:tbl>
      <w:tblPr>
        <w:tblW w:w="8080" w:type="dxa"/>
        <w:jc w:val="left"/>
        <w:tblInd w:w="0" w:type="dxa"/>
        <w:tblLayout w:type="fixed"/>
        <w:tblCellMar>
          <w:top w:w="0" w:type="dxa"/>
          <w:left w:w="0" w:type="dxa"/>
          <w:bottom w:w="0" w:type="dxa"/>
          <w:right w:w="0" w:type="dxa"/>
        </w:tblCellMar>
      </w:tblPr>
      <w:tblGrid>
        <w:gridCol w:w="125"/>
        <w:gridCol w:w="60"/>
        <w:gridCol w:w="78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in economic performance or market valuations of competing companies in our industry; </w:t>
            </w:r>
          </w:p>
        </w:tc>
      </w:tr>
    </w:tbl>
    <w:p>
      <w:pPr>
        <w:pStyle w:val="TextBody"/>
        <w:bidi w:val="0"/>
        <w:spacing w:before="0" w:after="0"/>
        <w:jc w:val="left"/>
        <w:rPr>
          <w:spacing w:val="0"/>
        </w:rPr>
      </w:pPr>
      <w:r>
        <w:rPr>
          <w:spacing w:val="0"/>
        </w:rPr>
        <w:t> </w:t>
      </w:r>
    </w:p>
    <w:tbl>
      <w:tblPr>
        <w:tblW w:w="4960" w:type="dxa"/>
        <w:jc w:val="left"/>
        <w:tblInd w:w="0" w:type="dxa"/>
        <w:tblLayout w:type="fixed"/>
        <w:tblCellMar>
          <w:top w:w="0" w:type="dxa"/>
          <w:left w:w="0" w:type="dxa"/>
          <w:bottom w:w="0" w:type="dxa"/>
          <w:right w:w="0" w:type="dxa"/>
        </w:tblCellMar>
      </w:tblPr>
      <w:tblGrid>
        <w:gridCol w:w="125"/>
        <w:gridCol w:w="60"/>
        <w:gridCol w:w="47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price and volume fluctuations in the overall stock market; </w:t>
            </w:r>
          </w:p>
        </w:tc>
      </w:tr>
    </w:tbl>
    <w:p>
      <w:pPr>
        <w:pStyle w:val="TextBody"/>
        <w:bidi w:val="0"/>
        <w:spacing w:before="0" w:after="0"/>
        <w:jc w:val="left"/>
        <w:rPr>
          <w:spacing w:val="0"/>
        </w:rPr>
      </w:pPr>
      <w:r>
        <w:rPr>
          <w:spacing w:val="0"/>
        </w:rPr>
        <w:t> </w:t>
      </w:r>
    </w:p>
    <w:tbl>
      <w:tblPr>
        <w:tblW w:w="6430" w:type="dxa"/>
        <w:jc w:val="left"/>
        <w:tblInd w:w="0" w:type="dxa"/>
        <w:tblLayout w:type="fixed"/>
        <w:tblCellMar>
          <w:top w:w="0" w:type="dxa"/>
          <w:left w:w="0" w:type="dxa"/>
          <w:bottom w:w="0" w:type="dxa"/>
          <w:right w:w="0" w:type="dxa"/>
        </w:tblCellMar>
      </w:tblPr>
      <w:tblGrid>
        <w:gridCol w:w="125"/>
        <w:gridCol w:w="60"/>
        <w:gridCol w:w="62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market conditions in our industry, end markets and the economy as a whole; </w:t>
            </w:r>
          </w:p>
        </w:tc>
      </w:tr>
    </w:tbl>
    <w:p>
      <w:pPr>
        <w:pStyle w:val="TextBody"/>
        <w:bidi w:val="0"/>
        <w:spacing w:before="0" w:after="0"/>
        <w:jc w:val="left"/>
        <w:rPr>
          <w:spacing w:val="0"/>
        </w:rPr>
      </w:pPr>
      <w:r>
        <w:rPr>
          <w:spacing w:val="0"/>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subsequent sales of stock and other financings; and </w:t>
            </w:r>
          </w:p>
        </w:tc>
      </w:tr>
    </w:tbl>
    <w:p>
      <w:pPr>
        <w:pStyle w:val="TextBody"/>
        <w:bidi w:val="0"/>
        <w:spacing w:before="0" w:after="0"/>
        <w:jc w:val="left"/>
        <w:rPr>
          <w:spacing w:val="0"/>
        </w:rPr>
      </w:pPr>
      <w:r>
        <w:rPr>
          <w:spacing w:val="0"/>
        </w:rPr>
        <w:t> </w:t>
      </w:r>
    </w:p>
    <w:tbl>
      <w:tblPr>
        <w:tblW w:w="8260" w:type="dxa"/>
        <w:jc w:val="left"/>
        <w:tblInd w:w="0" w:type="dxa"/>
        <w:tblLayout w:type="fixed"/>
        <w:tblCellMar>
          <w:top w:w="0" w:type="dxa"/>
          <w:left w:w="0" w:type="dxa"/>
          <w:bottom w:w="0" w:type="dxa"/>
          <w:right w:w="0" w:type="dxa"/>
        </w:tblCellMar>
      </w:tblPr>
      <w:tblGrid>
        <w:gridCol w:w="125"/>
        <w:gridCol w:w="60"/>
        <w:gridCol w:w="80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litigation, legislation, regulation or technological developments that adversely affect our business.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cannot guarantee that our share repurchase program will be successfully consummated, or that it will enhance shareholder value, and share repurchases could affect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December 21, 2021, the Board of Directors authorized us to repurchase up to $75.0 million of our outstanding common stock and we entered into an accelerated stock repurchase agreement (the “ASR Agreement”) with JPMorgan Chase Bank, National Association (“JPM”) to repurchase an aggregate of $37.5 million of our common stock. Pursuant to the terms of the ASR Agreement, we paid JPM $37.5 million in cash and received an initial delivery of 994,695 shares of our common stock. Upon final settlement of the ASR Agreement, we received an additional 1,031,576 shares of common stock from JPM. On August 31, 2022, the Board of Directors authorized an expansion of our previously announced stock repurchase program from $75 million to $87.5 million of our common stock. The remaining $50 million of the expanded $87.5 million program was planned to be repurchased in the open market or through privately negotiated transactions. From September 2022 to June 2023, we repurchased 4,941,093 shares of common stock under the expanded stock repurchase program using the remaining $50 million through open market purchases. On July 19, 2023, the Board of Directors authorized a new $50 million stock buyback program. Purchases have been and will be made in the open market or through privately negotiated transactions, depending upon market conditions and other factors. In connection with the repurchase program, we established a stock trading plan with Needham &amp; Company, LLC in accordance with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under the Securities Exchange Act. This share repurchase program could affect the price of our common stock, increase volatility and diminish our cash reserves. The IRA enacted in August 2022 imposes a 1% excise tax on the fair market value of stock repurchases made by covered corporations after December 31, 2022. The total taxable value of shares repurchased is reduced by the fair market value of any newly issued shares during the taxable year.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“Item 8. Financial Statements and Supplementary Data—Notes to Consolidated Financial Statements—Note 12. Stockholders’ Equity and Stock-Based Compensation” for more information.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Provisions in our charter documents and Delaware Law may make it difficult for a third party to acquire us and could depress the price of our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Provisions in our certificate of incorporation and bylaws may have the effect of delaying or preventing a change of control or changes in our management. Among other things, our certificate of incorporation and bylaws: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authorize our Board of Directors to issue, without stockholder approval, preferred stock with such terms as the Board of Directors may determine; </w:t>
            </w:r>
          </w:p>
        </w:tc>
      </w:tr>
    </w:tbl>
    <w:p>
      <w:pPr>
        <w:pStyle w:val="TextBody"/>
        <w:bidi w:val="0"/>
        <w:spacing w:before="0" w:after="0"/>
        <w:jc w:val="left"/>
        <w:rPr>
          <w:spacing w:val="0"/>
        </w:rPr>
      </w:pPr>
      <w:r>
        <w:rPr>
          <w:spacing w:val="0"/>
        </w:rPr>
        <w:t> </w:t>
      </w:r>
    </w:p>
    <w:tbl>
      <w:tblPr>
        <w:tblW w:w="4690" w:type="dxa"/>
        <w:jc w:val="left"/>
        <w:tblInd w:w="0" w:type="dxa"/>
        <w:tblLayout w:type="fixed"/>
        <w:tblCellMar>
          <w:top w:w="0" w:type="dxa"/>
          <w:left w:w="0" w:type="dxa"/>
          <w:bottom w:w="0" w:type="dxa"/>
          <w:right w:w="0" w:type="dxa"/>
        </w:tblCellMar>
      </w:tblPr>
      <w:tblGrid>
        <w:gridCol w:w="125"/>
        <w:gridCol w:w="60"/>
        <w:gridCol w:w="45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prohibit action by written consent of our stockholders;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 </w:t>
            </w:r>
          </w:p>
        </w:tc>
      </w:tr>
    </w:tbl>
    <w:p>
      <w:pPr>
        <w:pStyle w:val="TextBody"/>
        <w:bidi w:val="0"/>
        <w:spacing w:before="0" w:after="0"/>
        <w:jc w:val="left"/>
        <w:rPr>
          <w:spacing w:val="0"/>
        </w:rPr>
      </w:pPr>
      <w:r>
        <w:rPr>
          <w:spacing w:val="0"/>
        </w:rPr>
        <w:t> </w:t>
      </w:r>
    </w:p>
    <w:tbl>
      <w:tblPr>
        <w:tblW w:w="7450" w:type="dxa"/>
        <w:jc w:val="left"/>
        <w:tblInd w:w="0" w:type="dxa"/>
        <w:tblLayout w:type="fixed"/>
        <w:tblCellMar>
          <w:top w:w="0" w:type="dxa"/>
          <w:left w:w="0" w:type="dxa"/>
          <w:bottom w:w="0" w:type="dxa"/>
          <w:right w:w="0" w:type="dxa"/>
        </w:tblCellMar>
      </w:tblPr>
      <w:tblGrid>
        <w:gridCol w:w="125"/>
        <w:gridCol w:w="60"/>
        <w:gridCol w:w="72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specify advance notice requirements for stockholder proposals and director nominations.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 </w:t>
      </w:r>
    </w:p>
    <w:p>
      <w:pPr>
        <w:pStyle w:val="TextBody"/>
        <w:bidi w:val="0"/>
        <w:spacing w:before="0" w:after="0"/>
        <w:jc w:val="left"/>
        <w:rPr>
          <w:spacing w:val="0"/>
        </w:rPr>
      </w:pPr>
      <w:r>
        <w:rPr>
          <w:spacing w:val="0"/>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transaction is approved by the board of directors before the date the interested stockholder attained that status;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upon consummation of the transaction which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 meeting of stockholders, and not by written consent, by at least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two-thirds</w:t>
            </w:r>
          </w:p>
          <w:p>
            <w:pPr>
              <w:pStyle w:val="TableContents"/>
              <w:bidi w:val="0"/>
              <w:spacing w:before="0" w:after="0"/>
              <w:jc w:val="left"/>
              <w:rPr>
                <w:rFonts w:ascii="Times New Roman" w:hAnsi="Times New Roman"/>
                <w:sz w:val="20"/>
              </w:rPr>
            </w:pPr>
            <w:r>
              <w:rPr>
                <w:rFonts w:ascii="Times New Roman" w:hAnsi="Times New Roman"/>
                <w:sz w:val="20"/>
              </w:rPr>
              <w:t xml:space="preserve">of the outstanding voting stock that is not owned by the interested stockholder.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general, DGCL Section 203 defines a business combination to include the following: </w:t>
      </w:r>
    </w:p>
    <w:p>
      <w:pPr>
        <w:pStyle w:val="TextBody"/>
        <w:bidi w:val="0"/>
        <w:spacing w:before="0" w:after="0"/>
        <w:jc w:val="left"/>
        <w:rPr>
          <w:spacing w:val="0"/>
        </w:rPr>
      </w:pPr>
      <w:r>
        <w:rPr>
          <w:spacing w:val="0"/>
        </w:rPr>
        <w:t> </w:t>
      </w:r>
    </w:p>
    <w:tbl>
      <w:tblPr>
        <w:tblW w:w="7240" w:type="dxa"/>
        <w:jc w:val="left"/>
        <w:tblInd w:w="0" w:type="dxa"/>
        <w:tblLayout w:type="fixed"/>
        <w:tblCellMar>
          <w:top w:w="0" w:type="dxa"/>
          <w:left w:w="0" w:type="dxa"/>
          <w:bottom w:w="0" w:type="dxa"/>
          <w:right w:w="0" w:type="dxa"/>
        </w:tblCellMar>
      </w:tblPr>
      <w:tblGrid>
        <w:gridCol w:w="125"/>
        <w:gridCol w:w="60"/>
        <w:gridCol w:w="70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merger or consolidation involving the corporation and the interested stockholder;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sale, transfer, pledge or other disposition of 10% or more of the assets of the corporation involving the interested stockholder;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general, DGCL Section 203 defines an interested stockholder as any entity or person beneficially owning 15% or more of the outstanding voting stock of the corporation and any entity or person affiliated with or controlling or controlled by any such entity or person.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have not historically paid dividends and do not currently have any dividend or distribution policy, and therefore, investors may need to rely on sales of their common stock as the only way to realize any future gains on their investments.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not historically paid cash dividends and do not currently have any dividend or distribution policy. Any determination to pay dividends in the future will be at the discretion of our Board of Directors. Accordingly, unless the Board implements a future dividend or distribution policy, investors must rely on sales of their common stock after price appreciation, which may never occur, as the only way to realize any future gains on their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1B. Unresolved Staff Comments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1C. Cybersecurity.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Cybersecurity Risk Management and Strategy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Cybersecurity risks and data protection are key components of our long-term strategy and enterprise risk management program and are integrated into our overall risk management systems and processes. We maintain processes for assessing, identifying and managing material risks from cybersecurity threats, and we routinely invest in the development and implementation of essential cybersecurity systems, infrastructures and processes to protect the security and integrity of our systems, networks, databases and proprietary information. Key areas of our cybersecurity risk management processes and strategy currently include: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Compliance with industry standards and regulatory frameworks</w:t>
            </w:r>
          </w:p>
          <w:p>
            <w:pPr>
              <w:pStyle w:val="TableContents"/>
              <w:bidi w:val="0"/>
              <w:spacing w:before="0" w:after="0"/>
              <w:jc w:val="left"/>
              <w:rPr>
                <w:rFonts w:ascii="Times New Roman" w:hAnsi="Times New Roman"/>
                <w:sz w:val="20"/>
              </w:rPr>
            </w:pPr>
            <w:r>
              <w:rPr>
                <w:rFonts w:ascii="Times New Roman" w:hAnsi="Times New Roman"/>
                <w:sz w:val="20"/>
              </w:rPr>
              <w:t xml:space="preserve">: Our information security management system is ISO 27001 certified. In addition, we align our standards to comply with South Korea’s industrial technology protection law (Act on Prevention of Divulgence and Protection of Industrial Technology), which prevents technologies vital to South Korean national security or economic competitiveness from being divulged to or shared with foreign countries or corporations without the government’s approval.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Ongoing Evaluation and Assessment of Systems and Procedure</w:t>
            </w:r>
          </w:p>
          <w:p>
            <w:pPr>
              <w:pStyle w:val="TableContents"/>
              <w:bidi w:val="0"/>
              <w:spacing w:before="0" w:after="0"/>
              <w:jc w:val="left"/>
              <w:rPr>
                <w:rFonts w:ascii="Times New Roman" w:hAnsi="Times New Roman"/>
                <w:sz w:val="20"/>
              </w:rPr>
            </w:pPr>
            <w:r>
              <w:rPr>
                <w:rFonts w:ascii="Times New Roman" w:hAnsi="Times New Roman"/>
                <w:sz w:val="20"/>
              </w:rPr>
              <w:t xml:space="preserve">: We monitor compliance with regulatory, industry and evolving data privacy requirements and update our cybersecurity risk management program from time to time as appropriate. We also continuously monitor our information security systems and processes on an ongoing basis to identify and remediate cybersecurity threats and vulnerabilities that could be exploited to adversely impact our business operations. To better preemptively identify risks and vulnerabilities in our security systems, we perform penetration testing for security controls using external third-party tools and encourage vulnerability reporting within our organization,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Cross-Collaboration and Coordination</w:t>
            </w:r>
          </w:p>
          <w:p>
            <w:pPr>
              <w:pStyle w:val="TableContents"/>
              <w:bidi w:val="0"/>
              <w:spacing w:before="0" w:after="0"/>
              <w:jc w:val="left"/>
              <w:rPr>
                <w:rFonts w:ascii="Times New Roman" w:hAnsi="Times New Roman"/>
                <w:sz w:val="20"/>
              </w:rPr>
            </w:pPr>
            <w:r>
              <w:rPr>
                <w:rFonts w:ascii="Times New Roman" w:hAnsi="Times New Roman"/>
                <w:sz w:val="20"/>
              </w:rPr>
              <w:t xml:space="preserve">: Cybersecurity risks related to our business, privacy and compliance issues are identified and managed through a multifaceted approach, including third-party monitoring, internal and external IT security audits and reviews by relevant committees.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Third-Party Service Providers</w:t>
            </w:r>
          </w:p>
          <w:p>
            <w:pPr>
              <w:pStyle w:val="TableContents"/>
              <w:bidi w:val="0"/>
              <w:spacing w:before="0" w:after="0"/>
              <w:jc w:val="left"/>
              <w:rPr>
                <w:rFonts w:ascii="Times New Roman" w:hAnsi="Times New Roman"/>
                <w:sz w:val="20"/>
              </w:rPr>
            </w:pPr>
            <w:r>
              <w:rPr>
                <w:rFonts w:ascii="Times New Roman" w:hAnsi="Times New Roman"/>
                <w:sz w:val="20"/>
              </w:rPr>
              <w:t xml:space="preserve">: We engage leading third-party product and service providers to assist us with our cybersecurity risk management. We use an Information Prevention and Data Loss Prevention System on networks and endpoints, which is designed to prevent unauthorized access to or transfer of sensitive data. We also use centrally managed antivirus systems for blocking illegal software to detect and remove malware and illegal software from devices in real time. In particular, we use a Managed Security Service provider for Security Information and Event Management services for matters such as firewall management, intrusion detection and prevention, vulnerability management and incident response.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Cyber Incident Response Plan</w:t>
            </w:r>
          </w:p>
          <w:p>
            <w:pPr>
              <w:pStyle w:val="TableContents"/>
              <w:bidi w:val="0"/>
              <w:spacing w:before="0" w:after="0"/>
              <w:jc w:val="left"/>
              <w:rPr>
                <w:rFonts w:ascii="Times New Roman" w:hAnsi="Times New Roman"/>
                <w:sz w:val="20"/>
              </w:rPr>
            </w:pPr>
            <w:r>
              <w:rPr>
                <w:rFonts w:ascii="Times New Roman" w:hAnsi="Times New Roman"/>
                <w:sz w:val="20"/>
              </w:rPr>
              <w:t xml:space="preserve">: We maintain a comprehensive cyber incident response plan that sets forth the applicable processes, roles, engagements, escalations and notifications to promptly respond to a cybersecurity incident. This plan covers steps to be taken upon the detection of a cybersecurity incident detection, review by relevant committees, identification of damages, recovery process, post-incident analysis and the introduction of improvement measures. Such incident responses are managed in a timely manner by a dedicated team and overseen by relevant organizations, including IT, finance, legal and compliance.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Security Awareness Training for Personnel</w:t>
            </w:r>
          </w:p>
          <w:p>
            <w:pPr>
              <w:pStyle w:val="TableContents"/>
              <w:bidi w:val="0"/>
              <w:spacing w:before="0" w:after="0"/>
              <w:jc w:val="left"/>
              <w:rPr>
                <w:rFonts w:ascii="Times New Roman" w:hAnsi="Times New Roman"/>
                <w:sz w:val="20"/>
              </w:rPr>
            </w:pPr>
            <w:r>
              <w:rPr>
                <w:rFonts w:ascii="Times New Roman" w:hAnsi="Times New Roman"/>
                <w:sz w:val="20"/>
              </w:rPr>
              <w:t xml:space="preserve">: We provide comprehensive employee training on cybersecurity awareness, confidential information protection and simulated phishing attacks.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Review of Third-Party Risks</w:t>
            </w:r>
          </w:p>
          <w:p>
            <w:pPr>
              <w:pStyle w:val="TableContents"/>
              <w:bidi w:val="0"/>
              <w:spacing w:before="0" w:after="0"/>
              <w:jc w:val="left"/>
              <w:rPr>
                <w:rFonts w:ascii="Times New Roman" w:hAnsi="Times New Roman"/>
                <w:sz w:val="20"/>
              </w:rPr>
            </w:pPr>
            <w:r>
              <w:rPr>
                <w:rFonts w:ascii="Times New Roman" w:hAnsi="Times New Roman"/>
                <w:sz w:val="20"/>
              </w:rPr>
              <w:t xml:space="preserve">: We routinely conduct risk and compliance assessments of third-party service providers prior to exchanging any sensitive data or integrating with any key third-party provider.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have not identified any risks from cybersecurity threats, including any previous cybersecurity incidents, that have materially affected the Company, our business strategy, our results of operations or our financial condition. For a discussion of risks from cybersecurity threats (including any previous cybersecurity incidents) that could be reasonably likely to materially affect us, please refer to our Risk Factors discussion under the heading ‘We may be subject to disruptions, breaches or cyber-attacks of our secured networks and information technology systems that could damage our reputation, harm our business, expose us to liability and materially adversely affect our results of operations’ in Item 1A of this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Cybersecurity Governance </w:t>
      </w:r>
    </w:p>
    <w:p>
      <w:pPr>
        <w:pStyle w:val="TextBody"/>
        <w:bidi w:val="0"/>
        <w:spacing w:before="120" w:after="0"/>
        <w:jc w:val="left"/>
        <w:rPr>
          <w:rFonts w:ascii="Times New Roman" w:hAnsi="Times New Roman"/>
          <w:sz w:val="20"/>
        </w:rPr>
      </w:pPr>
      <w:r>
        <w:rPr>
          <w:rFonts w:ascii="Times New Roman" w:hAnsi="Times New Roman"/>
          <w:sz w:val="20"/>
        </w:rPr>
        <w:t xml:space="preserve">In line with our overall risk management governance structure, management is responsible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day-to-day</w:t>
      </w:r>
    </w:p>
    <w:p>
      <w:pPr>
        <w:pStyle w:val="TextBody"/>
        <w:bidi w:val="0"/>
        <w:spacing w:before="120" w:after="0"/>
        <w:jc w:val="left"/>
        <w:rPr>
          <w:rFonts w:ascii="Times New Roman" w:hAnsi="Times New Roman"/>
          <w:sz w:val="20"/>
        </w:rPr>
      </w:pPr>
      <w:r>
        <w:rPr>
          <w:rFonts w:ascii="Times New Roman" w:hAnsi="Times New Roman"/>
          <w:sz w:val="20"/>
        </w:rPr>
        <w:t xml:space="preserve">management of cybersecurity risks while the Company’s Board of Directors and its Risk Committee actively and continuously provide oversight.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Risk Committee oversees the Company’s management of key risks including those arising from cybersecurity threats. Our management team reports to the Risk Committee on a quarterly basis, presenting their assessment of key enterprise risks, including cybersecurity. The topics include trends in cyber threats and the initiatives designed to strengthen our security systems and enhance the cyber readiness of our organization. Additionally, at least annually, our management team and our Chief Information Security Officer (“CISO”) update the members of the Risk Committee and the Board of Directors on existing and new cybersecurity risks, status of risk mitigation efforts, cybersecurity incidents, if any, and the progress of key information security initiatives.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2020, we established the Information Security Steering Committee (the “IS Steering Committee”), a management-level and cross-functional committee, led by our Chief Executive Officer, and comprised of our Chief Compliance Officer, Chief Financial Officer, CISO, Chief Privacy Officer and relevant teams including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Information Security, HR, Compliance &amp; Internal Audit and Legal. The IS Steering Committee holds quarterly meetings, during which they review and take action on a wide range of topics, including cybersecurity threat matters such as prevention monitoring, detection mitigation and remediation of cybersecurity incidents.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CISO leads a dedicated Information Security team in charge of cybersecurity matters. Collectively, the members of our Information Security team have over 35 years of relevant experience in various roles involving information technology, information security, compliance and systems. Also, our Information Security team oversees compliance with our cybersecurity framework, facilitates cybersecurity risk management activities, assists with the review and approval of policies, and oversees the security awareness program. At least annually, our Information Security team and CISO update the members of the Risk Committee and the Board of Directors on compliance and risk matters. The Information Security team also reports to the IS Steering Committee on a quarterly basis. We invest in ongoing cybersecurity training for our Information Security team.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2. Properties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manufacturing operations take place in a single fabrication facility located in Korea in Gumi. Our facility has a capacity of approximately 36,000 eight-inch equivalent wafers per month. We manufacture wafers utilizing geometries ranging from 0.18 to 0.35 microns. The Gumi facility has one main building with 41,022 square meters devoted to manufacturing, testing and packaging.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addition to our fabrication facility in Gumi, we lease facilities in Cheongju and Seoul, Korea. Each of these facilities includes administration, sales and marketing and research and development functions. We lease sales and marketing offices through our subsidiaries in several other countries.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 </w:t>
      </w:r>
    </w:p>
    <w:p>
      <w:pPr>
        <w:pStyle w:val="TextBody"/>
        <w:bidi w:val="0"/>
        <w:spacing w:before="240" w:after="0"/>
        <w:jc w:val="left"/>
        <w:rPr>
          <w:rFonts w:ascii="Times New Roman" w:hAnsi="Times New Roman"/>
          <w:sz w:val="20"/>
        </w:rPr>
      </w:pPr>
      <w:r>
        <w:rPr>
          <w:rFonts w:ascii="Times New Roman" w:hAnsi="Times New Roman"/>
          <w:sz w:val="20"/>
        </w:rPr>
        <w:t xml:space="preserve">All of our assembly, test and packaging services for our Display Solutions business and for our Power Solutions business are outsourced with the balance handled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in-house.</w:t>
      </w:r>
    </w:p>
    <w:p>
      <w:pPr>
        <w:pStyle w:val="TextBody"/>
        <w:bidi w:val="0"/>
        <w:spacing w:before="240" w:after="0"/>
        <w:jc w:val="left"/>
        <w:rPr>
          <w:rFonts w:ascii="Times New Roman" w:hAnsi="Times New Roman"/>
          <w:sz w:val="20"/>
        </w:rPr>
      </w:pPr>
      <w:r>
        <w:rPr>
          <w:rFonts w:ascii="Times New Roman" w:hAnsi="Times New Roman"/>
          <w:sz w:val="20"/>
        </w:rPr>
        <w:t xml:space="preserve">The independent providers of these outsourced services are located in Korea and China. The relative cost of outsourced services, as compared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in-house</w:t>
      </w:r>
    </w:p>
    <w:p>
      <w:pPr>
        <w:pStyle w:val="TextBody"/>
        <w:bidi w:val="0"/>
        <w:spacing w:before="240" w:after="0"/>
        <w:jc w:val="left"/>
        <w:rPr>
          <w:rFonts w:ascii="Times New Roman" w:hAnsi="Times New Roman"/>
          <w:sz w:val="20"/>
        </w:rPr>
      </w:pPr>
      <w:r>
        <w:rPr>
          <w:rFonts w:ascii="Times New Roman" w:hAnsi="Times New Roman"/>
          <w:sz w:val="20"/>
        </w:rPr>
        <w:t xml:space="preserve">services, depends upon many factors specific to each product and circumstance. However, we generally incur higher costs for outsourced services, which can result in lower margins.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3. Legal Proceedings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also “Item 1A. Risk Factors” in this Report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4. Mine Safety Disclosures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Not applicable.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PART II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Item 5. Market for Registrant’s Common Equity, Related Stockholder Matters and Issuer Purchases of Equity Securities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Market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common stock is listed on the New York Stock Exchange under the symbol “MX.”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Performance Graph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graph and table below compare the cumulative total stockholder return of our common shares with the cumulative total return of the S&amp;P 500 Index and the Philadelphia Semiconductor Index (PHLX) from December 29, 2017 (the last trading day before the beginning of our fifth preceding fiscal year) through December 31, 2023. The graph assumes that $100 was invested on December 29, 2017 in our common shares and in each index and that any dividends were reinvested. No cash dividends have been declared on our common shares during the five-year period ended December 31, 2023. </w:t>
      </w:r>
    </w:p>
    <w:p>
      <w:pPr>
        <w:pStyle w:val="TextBody"/>
        <w:bidi w:val="0"/>
        <w:spacing w:before="480" w:after="0"/>
        <w:jc w:val="center"/>
        <w:rPr>
          <w:rFonts w:ascii="Times New Roman" w:hAnsi="Times New Roman"/>
          <w:b/>
          <w:spacing w:val="0"/>
          <w:sz w:val="20"/>
        </w:rPr>
      </w:pPr>
      <w:r>
        <w:rPr>
          <w:rFonts w:ascii="Times New Roman" w:hAnsi="Times New Roman"/>
          <w:b/>
          <w:spacing w:val="0"/>
          <w:sz w:val="20"/>
        </w:rPr>
        <w:t xml:space="preserve">Comparison of Cumulative Total Return* </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Among Magnachip Semiconductor Corporation, the S&amp;P 500 Index and the PHLX </w:t>
      </w:r>
    </w:p>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0" w:after="0"/>
        <w:jc w:val="center"/>
        <w:rPr>
          <w:color w:val="FF0000"/>
          <w:spacing w:val="0"/>
        </w:rPr>
      </w:pPr>
      <w:r>
        <w:rPr>
          <w:color w:val="FF0000"/>
          <w:spacing w:val="0"/>
        </w:rPr>
        <w:drawing>
          <wp:inline distT="0" distB="0" distL="0" distR="0">
            <wp:extent cx="5591175" cy="3305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91175" cy="3305175"/>
                    </a:xfrm>
                    <a:prstGeom prst="rect">
                      <a:avLst/>
                    </a:prstGeom>
                  </pic:spPr>
                </pic:pic>
              </a:graphicData>
            </a:graphic>
          </wp:inline>
        </w:drawing>
      </w:r>
    </w:p>
    <w:p>
      <w:pPr>
        <w:pStyle w:val="TextBody"/>
        <w:bidi w:val="0"/>
        <w:spacing w:before="0" w:after="0"/>
        <w:jc w:val="left"/>
        <w:rPr>
          <w:spacing w:val="0"/>
        </w:rPr>
      </w:pPr>
      <w:r>
        <w:rPr>
          <w:spacing w:val="0"/>
        </w:rPr>
        <w:t> </w:t>
      </w:r>
    </w:p>
    <w:tbl>
      <w:tblPr>
        <w:tblW w:w="8530" w:type="dxa"/>
        <w:jc w:val="left"/>
        <w:tblInd w:w="0" w:type="dxa"/>
        <w:tblLayout w:type="fixed"/>
        <w:tblCellMar>
          <w:top w:w="0" w:type="dxa"/>
          <w:left w:w="0" w:type="dxa"/>
          <w:bottom w:w="0" w:type="dxa"/>
          <w:right w:w="0" w:type="dxa"/>
        </w:tblCellMar>
      </w:tblPr>
      <w:tblGrid>
        <w:gridCol w:w="155"/>
        <w:gridCol w:w="8375"/>
      </w:tblGrid>
      <w:tr>
        <w:trPr/>
        <w:tc>
          <w:tcPr>
            <w:tcW w:w="15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stock performance included in this graph is not necessarily indicative of future stock performance.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Total Return to Stockholders (Including Reinvestment of Dividends)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Indexed Returns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95"/>
        <w:gridCol w:w="60"/>
        <w:gridCol w:w="158"/>
        <w:gridCol w:w="1002"/>
        <w:gridCol w:w="60"/>
        <w:gridCol w:w="60"/>
        <w:gridCol w:w="84"/>
        <w:gridCol w:w="958"/>
        <w:gridCol w:w="60"/>
        <w:gridCol w:w="60"/>
        <w:gridCol w:w="84"/>
        <w:gridCol w:w="958"/>
        <w:gridCol w:w="60"/>
        <w:gridCol w:w="60"/>
        <w:gridCol w:w="84"/>
        <w:gridCol w:w="958"/>
        <w:gridCol w:w="60"/>
        <w:gridCol w:w="60"/>
        <w:gridCol w:w="84"/>
        <w:gridCol w:w="958"/>
        <w:gridCol w:w="60"/>
        <w:gridCol w:w="60"/>
        <w:gridCol w:w="84"/>
        <w:gridCol w:w="958"/>
        <w:gridCol w:w="80"/>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left"/>
              <w:rPr>
                <w:rFonts w:ascii="Times New Roman" w:hAnsi="Times New Roman"/>
                <w:spacing w:val="0"/>
                <w:sz w:val="16"/>
                <w:bdr w:val="single" w:sz="8" w:space="1" w:color="000000"/>
              </w:rPr>
            </w:pPr>
            <w:r>
              <w:rPr>
                <w:rFonts w:ascii="Times New Roman" w:hAnsi="Times New Roman"/>
                <w:spacing w:val="0"/>
                <w:sz w:val="16"/>
                <w:bdr w:val="single" w:sz="8" w:space="1" w:color="000000"/>
              </w:rPr>
              <w:t>Company/Index</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Base Period</w:t>
              <w:br/>
              <w:t>12/31/2018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pPr>
            <w:r>
              <w:rPr/>
              <w:t>12/31/2019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pPr>
            <w:r>
              <w:rPr/>
              <w:t>12/31/2020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pPr>
            <w:r>
              <w:rPr/>
              <w:t>12/31/2021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pPr>
            <w:r>
              <w:rPr/>
              <w:t>12/30/2022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pPr>
            <w:r>
              <w:rPr/>
              <w:t>12/29/2023</w:t>
            </w:r>
          </w:p>
        </w:tc>
        <w:tc>
          <w:tcPr>
            <w:tcW w:w="8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Magnachip Semiconductor Corporation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186.96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217.71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337.68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151.21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120.77</w:t>
            </w:r>
          </w:p>
        </w:tc>
        <w:tc>
          <w:tcPr>
            <w:tcW w:w="8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S&amp;P 500 Index</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129.96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149.83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190.13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153.16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190.27</w:t>
            </w:r>
          </w:p>
        </w:tc>
        <w:tc>
          <w:tcPr>
            <w:tcW w:w="8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Philadelphia Semiconductor Index</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160.12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242.00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341.61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219.20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361.46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Holders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approximate number of record holders of our outstanding common stock as of February 29, 2024 was 67. This number does not include beneficial owners for whom shares are held by nominees in street name.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For information on securities authorized for issuance under our equity compensation plans, see Item 12. Security Ownership of Certain Beneficial Owners and Management and Related Stockholder Matters.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Dividends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not historically paid any cash dividends on our common stock. Our Board of Directors continuously evaluates our capital allocation strategy and liquidity targets, but has not currently implemented any dividend or distribution policy. Any determination to pay dividends in the future will be at the discretion of our Board of Directors.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Issuer Purchases of Equity Securities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shows the monthly activity related to our repurchases of common stock for the quarter ended December 31, 2023. </w:t>
      </w:r>
    </w:p>
    <w:p>
      <w:pPr>
        <w:pStyle w:val="TextBody"/>
        <w:bidi w:val="0"/>
        <w:spacing w:before="0" w:after="0"/>
        <w:jc w:val="left"/>
        <w:rPr>
          <w:spacing w:val="0"/>
        </w:rPr>
      </w:pPr>
      <w:r>
        <w:rPr>
          <w:spacing w:val="0"/>
        </w:rPr>
        <w:t> </w:t>
      </w:r>
    </w:p>
    <w:tbl>
      <w:tblPr>
        <w:tblW w:w="8845" w:type="dxa"/>
        <w:jc w:val="left"/>
        <w:tblInd w:w="0" w:type="dxa"/>
        <w:tblLayout w:type="fixed"/>
        <w:tblCellMar>
          <w:top w:w="0" w:type="dxa"/>
          <w:left w:w="0" w:type="dxa"/>
          <w:bottom w:w="0" w:type="dxa"/>
          <w:right w:w="0" w:type="dxa"/>
        </w:tblCellMar>
      </w:tblPr>
      <w:tblGrid>
        <w:gridCol w:w="1535"/>
        <w:gridCol w:w="120"/>
        <w:gridCol w:w="85"/>
        <w:gridCol w:w="1390"/>
        <w:gridCol w:w="60"/>
        <w:gridCol w:w="120"/>
        <w:gridCol w:w="258"/>
        <w:gridCol w:w="812"/>
        <w:gridCol w:w="60"/>
        <w:gridCol w:w="120"/>
        <w:gridCol w:w="108"/>
        <w:gridCol w:w="1772"/>
        <w:gridCol w:w="60"/>
        <w:gridCol w:w="120"/>
        <w:gridCol w:w="367"/>
        <w:gridCol w:w="1783"/>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Period</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Total Number</w:t>
              <w:br/>
              <w:t>of Shares</w:t>
              <w:br/>
              <w:t>Purchased(1)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Average</w:t>
              <w:br/>
              <w:t>Price Paid</w:t>
              <w:b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0"/>
              <w:jc w:val="center"/>
              <w:rPr>
                <w:b/>
                <w:spacing w:val="0"/>
              </w:rPr>
            </w:pPr>
            <w:r>
              <w:rPr>
                <w:b/>
                <w:spacing w:val="0"/>
              </w:rPr>
              <w:t>Total Number</w:t>
              <w:br/>
              <w:t>of Shares</w:t>
              <w:br/>
              <w:t>Purchased as Part</w:t>
              <w:br/>
              <w:t>of Publicly</w:t>
              <w:br/>
              <w:t>Announced Plans</w:t>
              <w:br/>
              <w:t>or Programs(2)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spacing w:val="0"/>
              </w:rPr>
            </w:pPr>
            <w:r>
              <w:rPr>
                <w:b/>
                <w:spacing w:val="0"/>
              </w:rPr>
              <w:t>Approximate dollar</w:t>
              <w:br/>
              <w:t>value of Shares that</w:t>
              <w:br/>
              <w:t>may yet be</w:t>
              <w:br/>
              <w:t>Purchased under the</w:t>
              <w:br/>
              <w:t>Plans or Programs</w:t>
              <w:br/>
              <w:t>(in thousands)(2)</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October 2023</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904,977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904,977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37,594</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November 2023</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153,699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7.53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153,699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36,437</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December 2023(1)</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72,595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36,437</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1,131,271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1,058,676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36,437</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72,595 shares withheld to satisfy tax withholding obligations in connection with the vesting of restricted stock units issued under our equity incentive plans.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19, 2023, the Company’s Board of Directors authorized a new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10b5-1</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Item 6. [Reserved]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7. Management’s Discussion and Analysis of Financial Condition and Results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generally discusses our financial condition and results of operations for our fiscal year ended December 31, 2023 (“fiscal year 2023”) compared to our fiscal year ended December 31, 2022 (“fiscal year 2022”). A discussion regarding our financial condition and results of operations for fiscal year 2022 compared to our fiscal year ended December 31, 2021 (“fiscal year 2021”) can be found in Part II, Item 7 of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2022, filed with the Securities and Exchange Commission (the “SEC”) on February 22,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Overview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a designer and manufacturer of analog and mixed-signal semiconductor platform solutions for communication, Internet of Things (“IoT”), consumer, computing, industrial and automotive applications. We have a proven record with more than 40 years of operating history, a portfolio of approximately 1,100 registered patents and pending applications and extensive engineering and manufacturing process expertise.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standard products business includes our Display Solutions and Power Solutions business lines.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Display Solutions line of products provide flat panel display solutions to major suppliers of large and small flat panel displays. These products include source and gate drivers and timing controllers that cover a wide range of flat panel displays used in mobile communication, automotive, entertainment devices, IT applications such as monitors, notebook PCs, tablet PC and TVs applied with liquid crystal display (“LCD”), organic light emitting diodes (“OLED”) and micro light emitting diode (“Micro LED”) panel. Since 2007, we have designed and manufactured OLED display driver integrated circuit (“IC”) products. Our current portfolio of OLED solutions address a wide range of resolutions ranging from HD (High Definition) to UHD (Ultra High Definition) for a wide range of applications including smartphones, TVs, automotive and IT applications such as monitors, notebook PCs, tablet PCs as well as AR/VRs. </w:t>
      </w:r>
    </w:p>
    <w:p>
      <w:pPr>
        <w:pStyle w:val="TextBody"/>
        <w:bidi w:val="0"/>
        <w:spacing w:before="240" w:after="0"/>
        <w:jc w:val="left"/>
        <w:rPr>
          <w:rFonts w:ascii="Times New Roman" w:hAnsi="Times New Roman"/>
          <w:sz w:val="20"/>
        </w:rPr>
      </w:pPr>
      <w:r>
        <w:rPr>
          <w:rFonts w:ascii="Times New Roman" w:hAnsi="Times New Roman"/>
          <w:sz w:val="20"/>
        </w:rPr>
        <w:t xml:space="preserve">Our Power Solutions business line produces power management semiconductor products including discrete and integrated circuit solutions for power management in communication, consumer, computing, servers, automotive, and industrial applications. These products include metal oxide semiconductor field effect transistors (“MOSFETs”), insulated-gate bipolar transistors (“IGBTs”),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240" w:after="0"/>
        <w:jc w:val="left"/>
        <w:rPr>
          <w:rFonts w:ascii="Times New Roman" w:hAnsi="Times New Roman"/>
          <w:sz w:val="20"/>
        </w:rPr>
      </w:pPr>
      <w:r>
        <w:rPr>
          <w:rFonts w:ascii="Times New Roman" w:hAnsi="Times New Roman"/>
          <w:sz w:val="20"/>
        </w:rPr>
        <w:t xml:space="preserve">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solar inverters, LED lighting and motor drives.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manufacturing operation in global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foundries. Through a strategic cooperation with external foundries, we manage to ensure outsourcing wafers at competitive price and produce quality products.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Demand for our products and services is driven by overall demand for communication, IoT, consumer, industrial and automotive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end-market</w:t>
      </w:r>
    </w:p>
    <w:p>
      <w:pPr>
        <w:pStyle w:val="TextBody"/>
        <w:bidi w:val="0"/>
        <w:spacing w:before="240" w:after="0"/>
        <w:jc w:val="left"/>
        <w:rPr>
          <w:rFonts w:ascii="Times New Roman" w:hAnsi="Times New Roman"/>
          <w:sz w:val="20"/>
        </w:rPr>
      </w:pPr>
      <w:r>
        <w:rPr>
          <w:rFonts w:ascii="Times New Roman" w:hAnsi="Times New Roman"/>
          <w:sz w:val="20"/>
        </w:rPr>
        <w:t xml:space="preserve">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rFonts w:ascii="Times New Roman" w:hAnsi="Times New Roman"/>
          <w:spacing w:val="0"/>
          <w:sz w:val="20"/>
        </w:rPr>
      </w:pPr>
      <w:r>
        <w:rPr>
          <w:rFonts w:ascii="Times New Roman" w:hAnsi="Times New Roman"/>
          <w:spacing w:val="0"/>
          <w:sz w:val="20"/>
        </w:rPr>
        <w:t>8-inch</w:t>
      </w:r>
    </w:p>
    <w:p>
      <w:pPr>
        <w:pStyle w:val="TextBody"/>
        <w:bidi w:val="0"/>
        <w:spacing w:before="0" w:after="0"/>
        <w:jc w:val="left"/>
        <w:rPr>
          <w:rFonts w:ascii="Times New Roman" w:hAnsi="Times New Roman"/>
          <w:sz w:val="20"/>
        </w:rPr>
      </w:pPr>
      <w:r>
        <w:rPr>
          <w:rFonts w:ascii="Times New Roman" w:hAnsi="Times New Roman"/>
          <w:sz w:val="20"/>
        </w:rPr>
        <w:t xml:space="preserve">wafer capacity, such as OLED.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240" w:after="0"/>
        <w:jc w:val="left"/>
        <w:rPr>
          <w:rFonts w:ascii="Times New Roman" w:hAnsi="Times New Roman"/>
          <w:sz w:val="20"/>
        </w:rPr>
      </w:pPr>
      <w:r>
        <w:rPr>
          <w:rFonts w:ascii="Times New Roman" w:hAnsi="Times New Roman"/>
          <w:sz w:val="20"/>
        </w:rPr>
        <w:t xml:space="preserve">foundries starting in the second half of 2015 and we have started outsourcing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8-inch</w:t>
      </w:r>
    </w:p>
    <w:p>
      <w:pPr>
        <w:pStyle w:val="TextBody"/>
        <w:bidi w:val="0"/>
        <w:spacing w:before="240" w:after="0"/>
        <w:jc w:val="left"/>
        <w:rPr>
          <w:rFonts w:ascii="Times New Roman" w:hAnsi="Times New Roman"/>
          <w:sz w:val="20"/>
        </w:rPr>
      </w:pPr>
      <w:r>
        <w:rPr>
          <w:rFonts w:ascii="Times New Roman" w:hAnsi="Times New Roman"/>
          <w:sz w:val="20"/>
        </w:rPr>
        <w:t xml:space="preserve">wafer for OLED TV ICs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during the global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Recent Developments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Internal Separation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May 30, 2023, we announced a plan to separate our standard products business, consisting of Display Solutions and Power Solutions business lines, into two different entities to better align our product strategies by enabling each entity to allocate its resources more effectively to the specific needs of its customers, as well as to enhance transparency, accountability and flexibility in business (the “Internal Separation”). To effectuate the Internal Separation, we reorganized our standard products business into two distinct businesses: (i) our Display IC and Power IC businesses, which are fabless businesses, were grouped together to form the Mixed-Signal Solutions (“MSS”) business, and (ii) our Power Discrete business, which is an integrated device manufacturing (“IDM”) business, became the Power Analog Solutions (“PAS”) business. On January 10, 2024, we completed the Internal Separation by forming a new Korean limited liability company named “Magnachip Mixed-Signal, Ltd.” and transferring the MSS business into such subsidiary. Following the Internal Separation, our MSS business is primarily operated by Magnachip Mixed-Signal, Ltd., and our PAS business is primarily operated by Magnachip Semiconductor, Ltd., our already-existing Korean operating company. Both companies are indirect wholly-owned subsidiaries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Beginning in the first quarter of 2024, the changes from the Internal Separation will be reflected in the Company’s financial reporting, including segments.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Stock Repurchase Program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19, 2023, our Board of Directors authorized a new $50 million stock buyback program. Purchases have been and will be made in the open market or in privately negotiated transactions, depending upon market conditions and other factors.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From August 2023 to December 2023, we repurchased 1,730,173 shares of our common stock in the open market for an aggregate purchase price of $13.6 million and a weighted average price per share of $7.84 under the new stock repurchase program.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inventory corrections, shifting customer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w:t>
      </w:r>
    </w:p>
    <w:p>
      <w:pPr>
        <w:pStyle w:val="TextBody"/>
        <w:bidi w:val="0"/>
        <w:spacing w:before="120" w:after="0"/>
        <w:jc w:val="left"/>
        <w:rPr>
          <w:rFonts w:ascii="Times New Roman" w:hAnsi="Times New Roman"/>
          <w:sz w:val="20"/>
        </w:rPr>
      </w:pPr>
      <w:r>
        <w:rPr>
          <w:rFonts w:ascii="Times New Roman" w:hAnsi="Times New Roman"/>
          <w:sz w:val="20"/>
        </w:rPr>
        <w:t xml:space="preserve">demand, fluctuations in currency rates, and geopolitical tensions, including without limitation ongoing conflicts involving Russia and Ukraine and Israel and Hamas and sustained military action and conflict in the Red Sea, any one of and all of which may cause volatility and unpredictability in the market for semiconductor products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w:t>
      </w:r>
    </w:p>
    <w:p>
      <w:pPr>
        <w:pStyle w:val="TextBody"/>
        <w:bidi w:val="0"/>
        <w:spacing w:before="120" w:after="0"/>
        <w:jc w:val="left"/>
        <w:rPr>
          <w:rFonts w:ascii="Times New Roman" w:hAnsi="Times New Roman"/>
          <w:sz w:val="20"/>
        </w:rPr>
      </w:pPr>
      <w:r>
        <w:rPr>
          <w:rFonts w:ascii="Times New Roman" w:hAnsi="Times New Roman"/>
          <w:sz w:val="20"/>
        </w:rPr>
        <w:t xml:space="preserve">demand.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end-uses</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end-users,</w:t>
      </w:r>
    </w:p>
    <w:p>
      <w:pPr>
        <w:pStyle w:val="TextBody"/>
        <w:bidi w:val="0"/>
        <w:spacing w:before="120" w:after="0"/>
        <w:jc w:val="left"/>
        <w:rPr>
          <w:rFonts w:ascii="Times New Roman" w:hAnsi="Times New Roman"/>
          <w:sz w:val="20"/>
        </w:rPr>
      </w:pPr>
      <w:r>
        <w:rPr>
          <w:rFonts w:ascii="Times New Roman" w:hAnsi="Times New Roman"/>
          <w:sz w:val="20"/>
        </w:rPr>
        <w:t xml:space="preserve">including those related to weapons of mass destruction. Additionally, on October 21, 2022, the Bureau of Industry and Security brought into effect a series of new Foreign Direct Product (FDP) rules and various new controls on advanced computing items, significantly expanding the scope of items that are subject to export control under the U.S. Export Regulations. More recently, on October 25, 2023, the Bureau of Industry and Security published additional rules, which went into effect on November 17, 2023 to expand, clarify, and correct the rules published in October 2022. Based on our understanding of the U.S. Export Regulations and related rules currently in effect, we do not anticipate that they will have a material impact on our current business, but we will continue reviewing and assessing these rules and regulations and their potential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 </w:t>
      </w:r>
    </w:p>
    <w:p>
      <w:pPr>
        <w:pStyle w:val="TextBody"/>
        <w:bidi w:val="0"/>
        <w:spacing w:before="360" w:after="0"/>
        <w:jc w:val="left"/>
        <w:rPr>
          <w:rFonts w:ascii="Times New Roman" w:hAnsi="Times New Roman"/>
          <w:b/>
          <w:sz w:val="20"/>
        </w:rPr>
      </w:pPr>
      <w:r>
        <w:rPr>
          <w:rFonts w:ascii="Times New Roman" w:hAnsi="Times New Roman"/>
          <w:b/>
          <w:sz w:val="20"/>
        </w:rPr>
        <w:t xml:space="preserve">Explanation and Reconciliation of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Non-U.S. GAAP</w:t>
      </w:r>
    </w:p>
    <w:p>
      <w:pPr>
        <w:pStyle w:val="TextBody"/>
        <w:bidi w:val="0"/>
        <w:spacing w:before="360" w:after="0"/>
        <w:jc w:val="left"/>
        <w:rPr>
          <w:rFonts w:ascii="Times New Roman" w:hAnsi="Times New Roman"/>
          <w:b/>
          <w:sz w:val="20"/>
        </w:rPr>
      </w:pPr>
      <w:r>
        <w:rPr>
          <w:rFonts w:ascii="Times New Roman" w:hAnsi="Times New Roman"/>
          <w:b/>
          <w:sz w:val="20"/>
        </w:rPr>
        <w:t xml:space="preserve">Measures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GAAP measure. We define Adjusted EBITDA for the periods indicated as EBITDA (as defined below), adjusted to exclude (i) equity-based compensation expense, (ii) foreign currency loss (gain), net, (iii) derivative valuation loss (gain), net and (iv) early termination and other charges, net. EBITDA for the periods indicated is defined as net loss before interest income, interest expense, income tax expense (benefit), and depreciation and amortization.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period-to-period</w:t>
            </w:r>
          </w:p>
          <w:p>
            <w:pPr>
              <w:pStyle w:val="TableContents"/>
              <w:bidi w:val="0"/>
              <w:spacing w:before="0" w:after="0"/>
              <w:jc w:val="left"/>
              <w:rPr>
                <w:rFonts w:ascii="Times New Roman" w:hAnsi="Times New Roman"/>
                <w:sz w:val="20"/>
              </w:rPr>
            </w:pPr>
            <w:r>
              <w:rPr>
                <w:rFonts w:ascii="Times New Roman" w:hAnsi="Times New Roman"/>
                <w:sz w:val="20"/>
              </w:rPr>
              <w:t xml:space="preserve">and may be a better indicator of future performance;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believe that Adjusted EBITDA is commonly requested and used by securities analysts, investors and other interested parties in the evaluation of a company as an enterprise level performance measure that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eliminates the effects of financing, income taxes and the accounting effects of capital spending, as well as other one time or recurring items described above;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period-to-period</w:t>
            </w:r>
          </w:p>
          <w:p>
            <w:pPr>
              <w:pStyle w:val="TableContents"/>
              <w:bidi w:val="0"/>
              <w:spacing w:before="0" w:after="0"/>
              <w:jc w:val="left"/>
              <w:rPr>
                <w:rFonts w:ascii="Times New Roman" w:hAnsi="Times New Roman"/>
                <w:sz w:val="20"/>
              </w:rPr>
            </w:pPr>
            <w:r>
              <w:rPr>
                <w:rFonts w:ascii="Times New Roman" w:hAnsi="Times New Roman"/>
                <w:sz w:val="20"/>
              </w:rPr>
              <w:t xml:space="preserve">core operating performance and to understand and assess the manner in which management analyzes operating performance.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use Adjusted EBITDA in a number of ways, including: </w:t>
      </w:r>
    </w:p>
    <w:p>
      <w:pPr>
        <w:pStyle w:val="TextBody"/>
        <w:bidi w:val="0"/>
        <w:spacing w:before="0" w:after="0"/>
        <w:jc w:val="left"/>
        <w:rPr>
          <w:spacing w:val="0"/>
        </w:rPr>
      </w:pPr>
      <w:r>
        <w:rPr>
          <w:spacing w:val="0"/>
        </w:rPr>
        <w:t> </w:t>
      </w:r>
    </w:p>
    <w:tbl>
      <w:tblPr>
        <w:tblW w:w="6820" w:type="dxa"/>
        <w:jc w:val="left"/>
        <w:tblInd w:w="0" w:type="dxa"/>
        <w:tblLayout w:type="fixed"/>
        <w:tblCellMar>
          <w:top w:w="0" w:type="dxa"/>
          <w:left w:w="0" w:type="dxa"/>
          <w:bottom w:w="0" w:type="dxa"/>
          <w:right w:w="0" w:type="dxa"/>
        </w:tblCellMar>
      </w:tblPr>
      <w:tblGrid>
        <w:gridCol w:w="125"/>
        <w:gridCol w:w="60"/>
        <w:gridCol w:w="66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for planning purposes, including the preparation of our annual operating budget; </w:t>
            </w:r>
          </w:p>
        </w:tc>
      </w:tr>
    </w:tbl>
    <w:p>
      <w:pPr>
        <w:pStyle w:val="TextBody"/>
        <w:bidi w:val="0"/>
        <w:spacing w:before="0" w:after="0"/>
        <w:jc w:val="left"/>
        <w:rPr>
          <w:spacing w:val="0"/>
        </w:rPr>
      </w:pPr>
      <w:r>
        <w:rPr>
          <w:spacing w:val="0"/>
        </w:rPr>
        <w:t> </w:t>
      </w:r>
    </w:p>
    <w:tbl>
      <w:tblPr>
        <w:tblW w:w="5980" w:type="dxa"/>
        <w:jc w:val="left"/>
        <w:tblInd w:w="0" w:type="dxa"/>
        <w:tblLayout w:type="fixed"/>
        <w:tblCellMar>
          <w:top w:w="0" w:type="dxa"/>
          <w:left w:w="0" w:type="dxa"/>
          <w:bottom w:w="0" w:type="dxa"/>
          <w:right w:w="0" w:type="dxa"/>
        </w:tblCellMar>
      </w:tblPr>
      <w:tblGrid>
        <w:gridCol w:w="125"/>
        <w:gridCol w:w="60"/>
        <w:gridCol w:w="57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to evaluate the effectiveness of our enterprise level business strategies; </w:t>
            </w:r>
          </w:p>
        </w:tc>
      </w:tr>
    </w:tbl>
    <w:p>
      <w:pPr>
        <w:pStyle w:val="TextBody"/>
        <w:bidi w:val="0"/>
        <w:spacing w:before="0" w:after="0"/>
        <w:jc w:val="left"/>
        <w:rPr>
          <w:spacing w:val="0"/>
        </w:rPr>
      </w:pPr>
      <w:r>
        <w:rPr>
          <w:spacing w:val="0"/>
        </w:rPr>
        <w:t> </w:t>
      </w:r>
    </w:p>
    <w:tbl>
      <w:tblPr>
        <w:tblW w:w="8665" w:type="dxa"/>
        <w:jc w:val="left"/>
        <w:tblInd w:w="0" w:type="dxa"/>
        <w:tblLayout w:type="fixed"/>
        <w:tblCellMar>
          <w:top w:w="0" w:type="dxa"/>
          <w:left w:w="0" w:type="dxa"/>
          <w:bottom w:w="0" w:type="dxa"/>
          <w:right w:w="0" w:type="dxa"/>
        </w:tblCellMar>
      </w:tblPr>
      <w:tblGrid>
        <w:gridCol w:w="125"/>
        <w:gridCol w:w="60"/>
        <w:gridCol w:w="84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communications with our Board of Directors concerning our consolidated financial performance; and </w:t>
            </w:r>
          </w:p>
        </w:tc>
      </w:tr>
    </w:tbl>
    <w:p>
      <w:pPr>
        <w:pStyle w:val="TextBody"/>
        <w:bidi w:val="0"/>
        <w:spacing w:before="0" w:after="0"/>
        <w:jc w:val="left"/>
        <w:rPr>
          <w:spacing w:val="0"/>
        </w:rPr>
      </w:pPr>
      <w:r>
        <w:rPr>
          <w:spacing w:val="0"/>
        </w:rPr>
        <w:t> </w:t>
      </w:r>
    </w:p>
    <w:tbl>
      <w:tblPr>
        <w:tblW w:w="9490" w:type="dxa"/>
        <w:jc w:val="left"/>
        <w:tblInd w:w="0" w:type="dxa"/>
        <w:tblLayout w:type="fixed"/>
        <w:tblCellMar>
          <w:top w:w="0" w:type="dxa"/>
          <w:left w:w="0" w:type="dxa"/>
          <w:bottom w:w="0" w:type="dxa"/>
          <w:right w:w="0" w:type="dxa"/>
        </w:tblCellMar>
      </w:tblPr>
      <w:tblGrid>
        <w:gridCol w:w="125"/>
        <w:gridCol w:w="60"/>
        <w:gridCol w:w="93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encourage you to evaluate each adjustment and the reasons we consider them appropriate. In evaluating Adjusted EBITDA, you should be aware that in the future we may incur expenses (income) similar to the adjustments in this presentation. Adjusted EBITDA is not a measure defined in accordance with U.S. GAAP and should not be construed as an alternative to net income or any other performance measure derived in accordance with U.S. GAAP, or as an alternative to cash flows from operating activities as a measure of liquidity. A reconciliation of net loss to Adjusted EBITDA is as follows: </w:t>
      </w:r>
    </w:p>
    <w:p>
      <w:pPr>
        <w:pStyle w:val="TextBody"/>
        <w:bidi w:val="0"/>
        <w:spacing w:before="0" w:after="0"/>
        <w:jc w:val="left"/>
        <w:rPr>
          <w:spacing w:val="0"/>
        </w:rPr>
      </w:pPr>
      <w:r>
        <w:rPr>
          <w:spacing w:val="0"/>
        </w:rPr>
        <w:t> </w:t>
      </w:r>
    </w:p>
    <w:tbl>
      <w:tblPr>
        <w:tblW w:w="6895" w:type="dxa"/>
        <w:jc w:val="left"/>
        <w:tblInd w:w="0" w:type="dxa"/>
        <w:tblLayout w:type="fixed"/>
        <w:tblCellMar>
          <w:top w:w="0" w:type="dxa"/>
          <w:left w:w="0" w:type="dxa"/>
          <w:bottom w:w="0" w:type="dxa"/>
          <w:right w:w="0" w:type="dxa"/>
        </w:tblCellMar>
      </w:tblPr>
      <w:tblGrid>
        <w:gridCol w:w="3500"/>
        <w:gridCol w:w="120"/>
        <w:gridCol w:w="302"/>
        <w:gridCol w:w="1113"/>
        <w:gridCol w:w="155"/>
        <w:gridCol w:w="120"/>
        <w:gridCol w:w="341"/>
        <w:gridCol w:w="1074"/>
        <w:gridCol w:w="170"/>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Year Ended</w:t>
              <w:br/>
              <w:t>December 31,</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Year Ended</w:t>
              <w:br/>
              <w:t>December 31,</w:t>
              <w:br/>
              <w:t>2022</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05" w:type="dxa"/>
            <w:gridSpan w:val="6"/>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(36.6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(8.0</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 (benefit)</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5.2</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15.0</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EBITDA</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113" w:type="dxa"/>
            <w:tcBorders/>
            <w:vAlign w:val="center"/>
          </w:tcPr>
          <w:p>
            <w:pPr>
              <w:pStyle w:val="TableContents"/>
              <w:bidi w:val="0"/>
              <w:spacing w:before="0" w:after="283"/>
              <w:jc w:val="right"/>
              <w:rPr/>
            </w:pPr>
            <w:r>
              <w:rPr/>
              <w:t>(40.5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Equity-based compensation expense(a)</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loss (gain), net(b)</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valuation loss (gain), net(c)</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net(d)</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3.3</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EBITDA</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113" w:type="dxa"/>
            <w:tcBorders/>
            <w:vAlign w:val="center"/>
          </w:tcPr>
          <w:p>
            <w:pPr>
              <w:pStyle w:val="TableContents"/>
              <w:bidi w:val="0"/>
              <w:spacing w:before="0" w:after="283"/>
              <w:jc w:val="right"/>
              <w:rPr/>
            </w:pPr>
            <w:r>
              <w:rPr/>
              <w:t>(24.2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19.5</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Although we expect to incur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(b)</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gains or losses, which we cannot control. Additionally, we believe the isolation of this adjustment provides investors with enhanced comparability to prior and future periods of our operating performance results.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2023, this adjustment eliminates the termination related charges of $8.4 million in connection with the voluntary resignation program (the “2023 Voluntary Resignation Program”) that we offered and paid to certain employees during the first half of 2023 and $0.8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For the year ended December 31, 2022, this adjustment eliminates $2.8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and professional service fees and expenses of $1.0 million incurred in connection with certain strategic evaluations, which was offset in part by a $0.5 million gain on sale of certain legacy equipment of the closed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back-end</w:t>
            </w:r>
          </w:p>
          <w:p>
            <w:pPr>
              <w:pStyle w:val="TableContents"/>
              <w:bidi w:val="0"/>
              <w:spacing w:before="0" w:after="0"/>
              <w:jc w:val="left"/>
              <w:rPr>
                <w:rFonts w:ascii="Times New Roman" w:hAnsi="Times New Roman"/>
                <w:sz w:val="20"/>
              </w:rPr>
            </w:pPr>
            <w:r>
              <w:rPr>
                <w:rFonts w:ascii="Times New Roman" w:hAnsi="Times New Roman"/>
                <w:sz w:val="20"/>
              </w:rPr>
              <w:t xml:space="preserve">line in our fabrication facility in Gumi. As these adjustments meaningfully impacted our operating results and are not expected to represent an ongoing operating expense or income to us, we believe our operating performance results are more usefully compared if these adjustments are excluded.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our cash expenditures, or future requirements, for capital expenditures or contractual commitments; </w:t>
            </w:r>
          </w:p>
        </w:tc>
      </w:tr>
    </w:tbl>
    <w:p>
      <w:pPr>
        <w:pStyle w:val="TextBody"/>
        <w:bidi w:val="0"/>
        <w:spacing w:before="0" w:after="0"/>
        <w:jc w:val="left"/>
        <w:rPr>
          <w:spacing w:val="0"/>
        </w:rPr>
      </w:pPr>
      <w:r>
        <w:rPr>
          <w:spacing w:val="0"/>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changes in, or cash requirements for, our working capital needs;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spacing w:val="0"/>
        </w:rPr>
      </w:pPr>
      <w:r>
        <w:rPr>
          <w:spacing w:val="0"/>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the costs of holding certain assets and liabilities in foreign currencies;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companies in our industry may calculate Adjusted EBITDA differently than we do, limiting its usefulness as a comparative measure.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from ongoing business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appropriate. Other companies in our industry may calculate Adjusted Operating Income (Loss) differently than we do, limiting its usefulness as a comparative measure. In addition, in evaluating Adjusted Operating Income (Loss), you should be aware that in the future we may incur expenses (income) similar to the adjustments in this presentation. We define Adjusted Operating Income (Loss) for the periods indicated as operating income adjusted to exclude (i) equity-based compensation expense and (ii) early termination and other charges, net.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adjustments to operating loss that we make in order to calculate Adjusted Operating Income (Loss) for the periods indicated: </w:t>
      </w:r>
    </w:p>
    <w:p>
      <w:pPr>
        <w:pStyle w:val="TextBody"/>
        <w:bidi w:val="0"/>
        <w:spacing w:before="0" w:after="0"/>
        <w:jc w:val="left"/>
        <w:rPr>
          <w:spacing w:val="0"/>
        </w:rPr>
      </w:pPr>
      <w:r>
        <w:rPr>
          <w:spacing w:val="0"/>
        </w:rPr>
        <w:t> </w:t>
      </w:r>
    </w:p>
    <w:tbl>
      <w:tblPr>
        <w:tblW w:w="6895" w:type="dxa"/>
        <w:jc w:val="left"/>
        <w:tblInd w:w="0" w:type="dxa"/>
        <w:tblLayout w:type="fixed"/>
        <w:tblCellMar>
          <w:top w:w="0" w:type="dxa"/>
          <w:left w:w="0" w:type="dxa"/>
          <w:bottom w:w="0" w:type="dxa"/>
          <w:right w:w="0" w:type="dxa"/>
        </w:tblCellMar>
      </w:tblPr>
      <w:tblGrid>
        <w:gridCol w:w="3500"/>
        <w:gridCol w:w="120"/>
        <w:gridCol w:w="302"/>
        <w:gridCol w:w="1113"/>
        <w:gridCol w:w="155"/>
        <w:gridCol w:w="120"/>
        <w:gridCol w:w="370"/>
        <w:gridCol w:w="1045"/>
        <w:gridCol w:w="170"/>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Year Ended</w:t>
              <w:br/>
              <w:t>December 31,</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Year Ended</w:t>
              <w:br/>
              <w:t>December 31,</w:t>
              <w:br/>
              <w:t>2022</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05" w:type="dxa"/>
            <w:gridSpan w:val="6"/>
            <w:tcBorders/>
            <w:vAlign w:val="center"/>
          </w:tcPr>
          <w:p>
            <w:pPr>
              <w:pStyle w:val="TableContents"/>
              <w:bidi w:val="0"/>
              <w:spacing w:before="0" w:after="0"/>
              <w:jc w:val="center"/>
              <w:rPr>
                <w:b/>
                <w:spacing w:val="0"/>
                <w:sz w:val="16"/>
              </w:rPr>
            </w:pPr>
            <w:r>
              <w:rPr>
                <w:b/>
                <w:spacing w:val="0"/>
                <w:sz w:val="16"/>
              </w:rPr>
              <w:t>(Dollars in millions)</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loss</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(57.6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net(b)</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3.3</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Operating Income (Loss)</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(41.2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Although we expect to incur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2023, this adjustment eliminates the termination related charges of $8.4 million in connection with the 2023 Voluntary Resignation Program that we offered and paid to certain employees during the first half of 2023 and $0.8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For the year ended December 31, 2022, this adjustment eliminates $2.8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and professional service fees and expenses of $1.0 million incurred in connection with certain strategic evaluations, which was offset in part by a $0.5 million gain on sale of certain legacy equipment of the closed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back-end</w:t>
            </w:r>
          </w:p>
          <w:p>
            <w:pPr>
              <w:pStyle w:val="TableContents"/>
              <w:bidi w:val="0"/>
              <w:spacing w:before="0" w:after="0"/>
              <w:jc w:val="left"/>
              <w:rPr>
                <w:rFonts w:ascii="Times New Roman" w:hAnsi="Times New Roman"/>
                <w:sz w:val="20"/>
              </w:rPr>
            </w:pPr>
            <w:r>
              <w:rPr>
                <w:rFonts w:ascii="Times New Roman" w:hAnsi="Times New Roman"/>
                <w:sz w:val="20"/>
              </w:rPr>
              <w:t xml:space="preserve">line in our fabrication facility in Gumi. As these adjustments meaningfully impacted our operating results and are not expected to represent an ongoing operating expense or income to us, we believe our operating performance results are more usefully compared if these adjustments are excluded.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income (loss) to eliminate the impact of a number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and the other items as we discussed below since we believe that it is a more consistent measure of our core operating results from period to period;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Adjusted Net Income (Loss) (including on a per share basis) is not a measure defined in accordance with U.S. GAAP and should not be construed as an alternative to net income or any other performance measure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(income) similar to the adjustments in this presentation. We define Adjusted Net Income (Loss) (including on a per share basis); for the periods indicated as income (loss), adjusted to exclude (i) equity-based compensation expense, (ii) foreign currency loss (gain), net, (iii) derivative valuation loss (gain), net, (iv) early termination and other charges, net, and (v) income tax effect on </w:t>
      </w:r>
    </w:p>
    <w:p>
      <w:pPr>
        <w:pStyle w:val="TextBody"/>
        <w:bidi w:val="0"/>
        <w:spacing w:before="0" w:after="0"/>
        <w:jc w:val="left"/>
        <w:rPr>
          <w:rFonts w:ascii="Times New Roman" w:hAnsi="Times New Roman"/>
          <w:spacing w:val="0"/>
          <w:sz w:val="20"/>
        </w:rPr>
      </w:pPr>
      <w:r>
        <w:rPr>
          <w:rFonts w:ascii="Times New Roman" w:hAnsi="Times New Roman"/>
          <w:spacing w:val="0"/>
          <w:sz w:val="20"/>
        </w:rPr>
        <w:t>non-GAAP</w:t>
      </w:r>
    </w:p>
    <w:p>
      <w:pPr>
        <w:pStyle w:val="TextBody"/>
        <w:bidi w:val="0"/>
        <w:spacing w:before="0" w:after="0"/>
        <w:jc w:val="left"/>
        <w:rPr>
          <w:rFonts w:ascii="Times New Roman" w:hAnsi="Times New Roman"/>
          <w:sz w:val="20"/>
        </w:rPr>
      </w:pPr>
      <w:r>
        <w:rPr>
          <w:rFonts w:ascii="Times New Roman" w:hAnsi="Times New Roman"/>
          <w:sz w:val="20"/>
        </w:rPr>
        <w:t xml:space="preserve">adjustments.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adjustments to income (loss) that we make in order to calculate Adjusted Net Income (Loss) (including on a per share basis) for the periods indicated: </w:t>
      </w:r>
    </w:p>
    <w:p>
      <w:pPr>
        <w:pStyle w:val="TextBody"/>
        <w:bidi w:val="0"/>
        <w:spacing w:before="0" w:after="0"/>
        <w:jc w:val="left"/>
        <w:rPr>
          <w:spacing w:val="0"/>
        </w:rPr>
      </w:pPr>
      <w:r>
        <w:rPr>
          <w:spacing w:val="0"/>
        </w:rPr>
        <w:t> </w:t>
      </w:r>
    </w:p>
    <w:tbl>
      <w:tblPr>
        <w:tblW w:w="7090" w:type="dxa"/>
        <w:jc w:val="left"/>
        <w:tblInd w:w="0" w:type="dxa"/>
        <w:tblLayout w:type="fixed"/>
        <w:tblCellMar>
          <w:top w:w="0" w:type="dxa"/>
          <w:left w:w="0" w:type="dxa"/>
          <w:bottom w:w="0" w:type="dxa"/>
          <w:right w:w="0" w:type="dxa"/>
        </w:tblCellMar>
      </w:tblPr>
      <w:tblGrid>
        <w:gridCol w:w="3695"/>
        <w:gridCol w:w="120"/>
        <w:gridCol w:w="159"/>
        <w:gridCol w:w="1256"/>
        <w:gridCol w:w="155"/>
        <w:gridCol w:w="120"/>
        <w:gridCol w:w="159"/>
        <w:gridCol w:w="1256"/>
        <w:gridCol w:w="17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Year Ended</w:t>
              <w:br/>
              <w:t>December 31,</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Year Ended</w:t>
              <w:br/>
              <w:t>December 31,</w:t>
              <w:br/>
              <w:t>2022</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05" w:type="dxa"/>
            <w:gridSpan w:val="6"/>
            <w:tcBorders/>
            <w:vAlign w:val="center"/>
          </w:tcPr>
          <w:p>
            <w:pPr>
              <w:pStyle w:val="TableContents"/>
              <w:bidi w:val="0"/>
              <w:spacing w:before="0" w:after="0"/>
              <w:jc w:val="center"/>
              <w:rPr>
                <w:b/>
                <w:spacing w:val="0"/>
              </w:rPr>
            </w:pPr>
            <w:r>
              <w:rPr>
                <w:b/>
                <w:spacing w:val="0"/>
              </w:rPr>
              <w:t>(Dollars in millions, except per</w:t>
              <w:br/>
              <w:t>share data)</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(8.0</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loss (gain), net(b)</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3.0</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valuation loss (gain), net(c)</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net(d)</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3.3</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adjustments(e)</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Net Income (Loss)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(22.5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8.8</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Reported loss per share—basic</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(0.89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(0.18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Reported loss per share—diluted</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(0.89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(0.18</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shares—basic</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41,013,069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44,850,791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shares—diluted</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41,013,069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44,850,791</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earnings (loss) per share—basic</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(0.55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0.20</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earnings (loss) per share—diluted</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(0.55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0.19</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shares—basic</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41,013,069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44,850,791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shares—diluted</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41,013,069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45,795,559</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spacing w:val="0"/>
        </w:rPr>
      </w:pPr>
      <w:r>
        <w:rPr>
          <w:spacing w:val="0"/>
        </w:rPr>
        <w: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Although we expect to incur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(b)</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(c)</w:t>
            </w:r>
          </w:p>
        </w:tc>
        <w:tc>
          <w:tcPr>
            <w:tcW w:w="9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2023, this adjustment eliminates the termination related charges of $8.4 million in connection with the 2023 Voluntary Resignation Program that we offered and paid to certain employees during the first half of 2023 and $0.8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For the year ended December 31, 2022, this adjustment eliminates $2.8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and professional service fees and expenses of $1.0 million incurred in connection with certain strategic evaluations, which was offset in part by a $0.5 million gain on sale of certain legacy equipment of the closed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back-end</w:t>
            </w:r>
          </w:p>
          <w:p>
            <w:pPr>
              <w:pStyle w:val="TableContents"/>
              <w:bidi w:val="0"/>
              <w:spacing w:before="0" w:after="0"/>
              <w:jc w:val="left"/>
              <w:rPr>
                <w:rFonts w:ascii="Times New Roman" w:hAnsi="Times New Roman"/>
                <w:sz w:val="20"/>
              </w:rPr>
            </w:pPr>
            <w:r>
              <w:rPr>
                <w:rFonts w:ascii="Times New Roman" w:hAnsi="Times New Roman"/>
                <w:sz w:val="20"/>
              </w:rPr>
              <w:t xml:space="preserve">line in our fabrication facility in Gumi. As these adjustments meaningfully impacted our operating results and are not expected to represent an ongoing operating expense or income to us, we believe our operating performance results are more usefully compared if these adjustments are excluded.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(e)</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years ended December 31, 2023 and 2022, 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were calculated by calculating the tax expense (benefit) of each jurisdiction with or without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For the year ended December 31, 2023, this adjustment eliminates the 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of negative $2.2 million, which mainly related to our Korean subsidiary. For the year ended December 31, 2022, 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related to our Korean subsidiary and the U.S. parent entity were $6.2 million and negative $1.7 million, respectively.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believe that all adjustments to income (loss) used to calculate Adjusted Net Income (Loss) was applied consistently to the periods presented.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spacing w:val="0"/>
        </w:rPr>
      </w:pPr>
      <w:r>
        <w:rPr>
          <w:spacing w:val="0"/>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Net Income (Loss) does not reflect changes in, or cash requirements for, our working capital needs;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spacing w:val="0"/>
        </w:rPr>
      </w:pPr>
      <w:r>
        <w:rPr>
          <w:spacing w:val="0"/>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Net Income (Loss) does not reflect the costs of holding certain assets and liabilities in foreign currencies;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Factors Affecting Our Results of Operations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Net</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Sales.</w:t>
      </w:r>
    </w:p>
    <w:p>
      <w:pPr>
        <w:pStyle w:val="TextBody"/>
        <w:bidi w:val="0"/>
        <w:spacing w:before="120" w:after="0"/>
        <w:jc w:val="left"/>
        <w:rPr>
          <w:rFonts w:ascii="Times New Roman" w:hAnsi="Times New Roman"/>
          <w:sz w:val="20"/>
        </w:rPr>
      </w:pPr>
      <w:r>
        <w:rPr>
          <w:rFonts w:ascii="Times New Roman" w:hAnsi="Times New Roman"/>
          <w:sz w:val="20"/>
        </w:rPr>
        <w:t xml:space="preserve">We derive substantially all of our sales (net of sales returns and allowances) from our standard products business. We outsource manufacturing of mobile OLED products to external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120" w:after="0"/>
        <w:jc w:val="left"/>
        <w:rPr>
          <w:rFonts w:ascii="Times New Roman" w:hAnsi="Times New Roman"/>
          <w:sz w:val="20"/>
        </w:rPr>
      </w:pPr>
      <w:r>
        <w:rPr>
          <w:rFonts w:ascii="Times New Roman" w:hAnsi="Times New Roman"/>
          <w:sz w:val="20"/>
        </w:rPr>
        <w:t xml:space="preserve">foundries.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recognize revenue when a customer obtains control of the product, which is generally upon product shipment, delivery at the customer’s location or upon customer acceptance, depending on the terms of the arrangement. For the years ended December 31, 2023 and 2022, we sold products to 165 and 175 customers, respectively, and our net sales to our ten largest customers (which does not include the Transitional Fab 3 Foundry Services) represented 69% of our net sales—standard products business, in each period.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We are currently in the process of winding down the Transitional Fab 3 Foundry Services, which represented 14.9% and 10.6% of our total revenues for the years ended December 31, 2023 and 2022, respectively.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Gross Profit.</w:t>
      </w:r>
    </w:p>
    <w:p>
      <w:pPr>
        <w:pStyle w:val="TextBody"/>
        <w:bidi w:val="0"/>
        <w:spacing w:before="240" w:after="0"/>
        <w:jc w:val="left"/>
        <w:rPr>
          <w:rFonts w:ascii="Times New Roman" w:hAnsi="Times New Roman"/>
          <w:sz w:val="20"/>
        </w:rPr>
      </w:pPr>
      <w:r>
        <w:rPr>
          <w:rFonts w:ascii="Times New Roman" w:hAnsi="Times New Roman"/>
          <w:sz w:val="20"/>
        </w:rPr>
        <w:t xml:space="preserve">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Average</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Selling</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Prices.</w:t>
      </w:r>
    </w:p>
    <w:p>
      <w:pPr>
        <w:pStyle w:val="TextBody"/>
        <w:bidi w:val="0"/>
        <w:spacing w:before="240" w:after="0"/>
        <w:jc w:val="left"/>
        <w:rPr>
          <w:rFonts w:ascii="Times New Roman" w:hAnsi="Times New Roman"/>
          <w:sz w:val="20"/>
        </w:rPr>
      </w:pPr>
      <w:r>
        <w:rPr>
          <w:rFonts w:ascii="Times New Roman" w:hAnsi="Times New Roman"/>
          <w:sz w:val="20"/>
        </w:rPr>
        <w:t xml:space="preserve">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Material Costs.</w:t>
      </w:r>
    </w:p>
    <w:p>
      <w:pPr>
        <w:pStyle w:val="TextBody"/>
        <w:bidi w:val="0"/>
        <w:spacing w:before="240" w:after="0"/>
        <w:jc w:val="left"/>
        <w:rPr>
          <w:rFonts w:ascii="Times New Roman" w:hAnsi="Times New Roman"/>
          <w:sz w:val="20"/>
        </w:rPr>
      </w:pPr>
      <w:r>
        <w:rPr>
          <w:rFonts w:ascii="Times New Roman" w:hAnsi="Times New Roman"/>
          <w:sz w:val="20"/>
        </w:rPr>
        <w:t xml:space="preserve">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Labor</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Costs.</w:t>
      </w:r>
    </w:p>
    <w:p>
      <w:pPr>
        <w:pStyle w:val="TextBody"/>
        <w:bidi w:val="0"/>
        <w:spacing w:before="240" w:after="0"/>
        <w:jc w:val="left"/>
        <w:rPr>
          <w:rFonts w:ascii="Times New Roman" w:hAnsi="Times New Roman"/>
          <w:sz w:val="20"/>
        </w:rPr>
      </w:pPr>
      <w:r>
        <w:rPr>
          <w:rFonts w:ascii="Times New Roman" w:hAnsi="Times New Roman"/>
          <w:sz w:val="20"/>
        </w:rPr>
        <w:t xml:space="preserve">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December 31, 2023, 96% of our employees were eligible for severance benefits.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Depreciation Expense.</w:t>
      </w:r>
    </w:p>
    <w:p>
      <w:pPr>
        <w:pStyle w:val="TextBody"/>
        <w:bidi w:val="0"/>
        <w:spacing w:before="240" w:after="0"/>
        <w:jc w:val="left"/>
        <w:rPr>
          <w:rFonts w:ascii="Times New Roman" w:hAnsi="Times New Roman"/>
          <w:sz w:val="20"/>
        </w:rPr>
      </w:pPr>
      <w:r>
        <w:rPr>
          <w:rFonts w:ascii="Times New Roman" w:hAnsi="Times New Roman"/>
          <w:sz w:val="20"/>
        </w:rPr>
        <w:t xml:space="preserve">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30-40</w:t>
      </w:r>
    </w:p>
    <w:p>
      <w:pPr>
        <w:pStyle w:val="TextBody"/>
        <w:bidi w:val="0"/>
        <w:spacing w:before="240" w:after="0"/>
        <w:jc w:val="left"/>
        <w:rPr>
          <w:rFonts w:ascii="Times New Roman" w:hAnsi="Times New Roman"/>
          <w:sz w:val="20"/>
        </w:rPr>
      </w:pPr>
      <w:r>
        <w:rPr>
          <w:rFonts w:ascii="Times New Roman" w:hAnsi="Times New Roman"/>
          <w:sz w:val="20"/>
        </w:rPr>
        <w:t xml:space="preserve">years on buildings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3-12</w:t>
      </w:r>
    </w:p>
    <w:p>
      <w:pPr>
        <w:pStyle w:val="TextBody"/>
        <w:bidi w:val="0"/>
        <w:spacing w:before="240" w:after="0"/>
        <w:jc w:val="left"/>
        <w:rPr>
          <w:rFonts w:ascii="Times New Roman" w:hAnsi="Times New Roman"/>
          <w:sz w:val="20"/>
        </w:rPr>
      </w:pPr>
      <w:r>
        <w:rPr>
          <w:rFonts w:ascii="Times New Roman" w:hAnsi="Times New Roman"/>
          <w:sz w:val="20"/>
        </w:rPr>
        <w:t>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Selling</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240" w:after="0"/>
        <w:jc w:val="left"/>
        <w:rPr>
          <w:rFonts w:ascii="Times New Roman" w:hAnsi="Times New Roman"/>
          <w:sz w:val="20"/>
        </w:rPr>
      </w:pPr>
      <w:r>
        <w:rPr>
          <w:rFonts w:ascii="Times New Roman" w:hAnsi="Times New Roman"/>
          <w:sz w:val="20"/>
        </w:rPr>
        <w:t xml:space="preserve">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General</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Administrative</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Research</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Development.</w:t>
      </w:r>
    </w:p>
    <w:p>
      <w:pPr>
        <w:pStyle w:val="TextBody"/>
        <w:bidi w:val="0"/>
        <w:spacing w:before="240" w:after="0"/>
        <w:jc w:val="left"/>
        <w:rPr>
          <w:rFonts w:ascii="Times New Roman" w:hAnsi="Times New Roman"/>
          <w:sz w:val="20"/>
        </w:rPr>
      </w:pPr>
      <w:r>
        <w:rPr>
          <w:rFonts w:ascii="Times New Roman" w:hAnsi="Times New Roman"/>
          <w:sz w:val="20"/>
        </w:rPr>
        <w:t xml:space="preserve">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the associated new products. These expenses include personnel costs for members of our engineering workforce, cost of photomasks, silicon wafers and other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0" w:after="0"/>
        <w:jc w:val="left"/>
        <w:rPr>
          <w:rFonts w:ascii="Times New Roman" w:hAnsi="Times New Roman"/>
          <w:sz w:val="20"/>
        </w:rPr>
      </w:pPr>
      <w:r>
        <w:rPr>
          <w:rFonts w:ascii="Times New Roman" w:hAnsi="Times New Roman"/>
          <w:sz w:val="20"/>
        </w:rPr>
        <w:t xml:space="preserve">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w:t>
      </w:r>
    </w:p>
    <w:p>
      <w:pPr>
        <w:pStyle w:val="TextBody"/>
        <w:bidi w:val="0"/>
        <w:spacing w:before="0" w:after="0"/>
        <w:jc w:val="left"/>
        <w:rPr>
          <w:rFonts w:ascii="Times New Roman" w:hAnsi="Times New Roman"/>
          <w:spacing w:val="0"/>
          <w:sz w:val="20"/>
        </w:rPr>
      </w:pPr>
      <w:r>
        <w:rPr>
          <w:rFonts w:ascii="Times New Roman" w:hAnsi="Times New Roman"/>
          <w:spacing w:val="0"/>
          <w:sz w:val="20"/>
        </w:rPr>
        <w:t>28-nanometer</w:t>
      </w:r>
    </w:p>
    <w:p>
      <w:pPr>
        <w:pStyle w:val="TextBody"/>
        <w:bidi w:val="0"/>
        <w:spacing w:before="0" w:after="0"/>
        <w:jc w:val="left"/>
        <w:rPr>
          <w:rFonts w:ascii="Times New Roman" w:hAnsi="Times New Roman"/>
          <w:sz w:val="20"/>
        </w:rPr>
      </w:pPr>
      <w:r>
        <w:rPr>
          <w:rFonts w:ascii="Times New Roman" w:hAnsi="Times New Roman"/>
          <w:sz w:val="20"/>
        </w:rPr>
        <w:t xml:space="preserve">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Impact of Foreign Currency Exchange Rates on Reported Results of Operations.</w:t>
      </w:r>
    </w:p>
    <w:p>
      <w:pPr>
        <w:pStyle w:val="TextBody"/>
        <w:bidi w:val="0"/>
        <w:spacing w:before="240" w:after="0"/>
        <w:jc w:val="left"/>
        <w:rPr>
          <w:rFonts w:ascii="Times New Roman" w:hAnsi="Times New Roman"/>
          <w:sz w:val="20"/>
        </w:rPr>
      </w:pPr>
      <w:r>
        <w:rPr>
          <w:rFonts w:ascii="Times New Roman" w:hAnsi="Times New Roman"/>
          <w:sz w:val="20"/>
        </w:rPr>
        <w:t xml:space="preserve">Historically, a portion of our revenues and cost of sales and greater than the majority of our operating expenses have been denominated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currencies, principally the Korean won, and we expect that this will remain true in the future. Because we report our results of operations in U.S. dollars converted from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translation gain or loss is associated with the intercompany long-term loans to our Korean subsidiary, which is denominated in U.S. dollars. As of December 31, 2023, the outstanding intercompany loan balance including accrued interest between our Korean subsidiary and our Dutch subsidiary was $285.1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9. Derivative Financial Instruments” to our consolidated financial statements under “Item 8. Financial Statements and Supplementary Data” for additional information regarding our foreign exchange hedging activities.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Foreign Currency Gain or Loss.</w:t>
      </w:r>
    </w:p>
    <w:p>
      <w:pPr>
        <w:pStyle w:val="TextBody"/>
        <w:bidi w:val="0"/>
        <w:spacing w:before="240" w:after="0"/>
        <w:jc w:val="left"/>
        <w:rPr>
          <w:rFonts w:ascii="Times New Roman" w:hAnsi="Times New Roman"/>
          <w:sz w:val="20"/>
        </w:rPr>
      </w:pPr>
      <w:r>
        <w:rPr>
          <w:rFonts w:ascii="Times New Roman" w:hAnsi="Times New Roman"/>
          <w:sz w:val="20"/>
        </w:rPr>
        <w:t xml:space="preserve">Foreign currency translation gains or losses on transactions by us or our subsidiaries in a currency other than our or our subsidiaries’ functional currency are included in foreign currency gain (loss), net in our statements of operations. A substantial portion of this net foreign currency gain or loss relates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translation gain or loss related to the principal balance of intercompany balances at our Korean subsidiary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Income Taxes.</w:t>
      </w:r>
    </w:p>
    <w:p>
      <w:pPr>
        <w:pStyle w:val="TextBody"/>
        <w:bidi w:val="0"/>
        <w:spacing w:before="240" w:after="0"/>
        <w:jc w:val="left"/>
        <w:rPr>
          <w:rFonts w:ascii="Times New Roman" w:hAnsi="Times New Roman"/>
          <w:sz w:val="20"/>
        </w:rPr>
      </w:pPr>
      <w:r>
        <w:rPr>
          <w:rFonts w:ascii="Times New Roman" w:hAnsi="Times New Roman"/>
          <w:sz w:val="20"/>
        </w:rPr>
        <w:t xml:space="preserve">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judgment in determining our provision for income taxes, deferred tax assets and liabilities. We assess whether it is more likely than not that the deferred tax assets existing at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period-end</w:t>
      </w:r>
    </w:p>
    <w:p>
      <w:pPr>
        <w:pStyle w:val="TextBody"/>
        <w:bidi w:val="0"/>
        <w:spacing w:before="0" w:after="0"/>
        <w:jc w:val="left"/>
        <w:rPr>
          <w:rFonts w:ascii="Times New Roman" w:hAnsi="Times New Roman"/>
          <w:sz w:val="20"/>
        </w:rPr>
      </w:pPr>
      <w:r>
        <w:rPr>
          <w:rFonts w:ascii="Times New Roman" w:hAnsi="Times New Roman"/>
          <w:sz w:val="20"/>
        </w:rPr>
        <w:t xml:space="preserve">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non-income-based</w:t>
      </w:r>
    </w:p>
    <w:p>
      <w:pPr>
        <w:pStyle w:val="TextBody"/>
        <w:bidi w:val="0"/>
        <w:spacing w:before="240" w:after="0"/>
        <w:jc w:val="left"/>
        <w:rPr>
          <w:rFonts w:ascii="Times New Roman" w:hAnsi="Times New Roman"/>
          <w:sz w:val="20"/>
        </w:rPr>
      </w:pPr>
      <w:r>
        <w:rPr>
          <w:rFonts w:ascii="Times New Roman" w:hAnsi="Times New Roman"/>
          <w:sz w:val="20"/>
        </w:rPr>
        <w:t xml:space="preserve">tax examinations by tax authorities of the U.S., Korea and multiple other foreign jurisdictions for all open tax years. Significant estimates and judgments are required in determining our worldwide provision for income-or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non-income</w:t>
      </w:r>
    </w:p>
    <w:p>
      <w:pPr>
        <w:pStyle w:val="TextBody"/>
        <w:bidi w:val="0"/>
        <w:spacing w:before="240" w:after="0"/>
        <w:jc w:val="left"/>
        <w:rPr>
          <w:rFonts w:ascii="Times New Roman" w:hAnsi="Times New Roman"/>
          <w:sz w:val="20"/>
        </w:rPr>
      </w:pPr>
      <w:r>
        <w:rPr>
          <w:rFonts w:ascii="Times New Roman" w:hAnsi="Times New Roman"/>
          <w:sz w:val="20"/>
        </w:rPr>
        <w:t xml:space="preserve">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Capital</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Expenditures.</w:t>
      </w:r>
    </w:p>
    <w:p>
      <w:pPr>
        <w:pStyle w:val="TextBody"/>
        <w:bidi w:val="0"/>
        <w:spacing w:before="240" w:after="0"/>
        <w:jc w:val="left"/>
        <w:rPr>
          <w:rFonts w:ascii="Times New Roman" w:hAnsi="Times New Roman"/>
          <w:sz w:val="20"/>
        </w:rPr>
      </w:pPr>
      <w:r>
        <w:rPr>
          <w:rFonts w:ascii="Times New Roman" w:hAnsi="Times New Roman"/>
          <w:sz w:val="20"/>
        </w:rPr>
        <w:t xml:space="preserve">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Inventories.</w:t>
      </w:r>
    </w:p>
    <w:p>
      <w:pPr>
        <w:pStyle w:val="TextBody"/>
        <w:bidi w:val="0"/>
        <w:spacing w:before="240" w:after="0"/>
        <w:jc w:val="left"/>
        <w:rPr>
          <w:rFonts w:ascii="Times New Roman" w:hAnsi="Times New Roman"/>
          <w:sz w:val="20"/>
        </w:rPr>
      </w:pPr>
      <w:r>
        <w:rPr>
          <w:rFonts w:ascii="Times New Roman" w:hAnsi="Times New Roman"/>
          <w:sz w:val="20"/>
        </w:rPr>
        <w:t xml:space="preserve">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Results of Operations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Comparison of Years Ended December 31, 2023 and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consolidated results of operations for the years ended December 31, 2023 and 2022: </w:t>
      </w:r>
    </w:p>
    <w:p>
      <w:pPr>
        <w:pStyle w:val="TextBody"/>
        <w:bidi w:val="0"/>
        <w:spacing w:before="0" w:after="0"/>
        <w:jc w:val="left"/>
        <w:rPr>
          <w:spacing w:val="0"/>
        </w:rPr>
      </w:pPr>
      <w:r>
        <w:rPr>
          <w:spacing w:val="0"/>
        </w:rPr>
        <w:t> </w:t>
      </w:r>
    </w:p>
    <w:tbl>
      <w:tblPr>
        <w:tblW w:w="10015" w:type="dxa"/>
        <w:jc w:val="left"/>
        <w:tblInd w:w="0" w:type="dxa"/>
        <w:tblLayout w:type="fixed"/>
        <w:tblCellMar>
          <w:top w:w="0" w:type="dxa"/>
          <w:left w:w="0" w:type="dxa"/>
          <w:bottom w:w="0" w:type="dxa"/>
          <w:right w:w="0" w:type="dxa"/>
        </w:tblCellMar>
      </w:tblPr>
      <w:tblGrid>
        <w:gridCol w:w="4055"/>
        <w:gridCol w:w="120"/>
        <w:gridCol w:w="172"/>
        <w:gridCol w:w="688"/>
        <w:gridCol w:w="155"/>
        <w:gridCol w:w="60"/>
        <w:gridCol w:w="89"/>
        <w:gridCol w:w="831"/>
        <w:gridCol w:w="350"/>
        <w:gridCol w:w="60"/>
        <w:gridCol w:w="172"/>
        <w:gridCol w:w="688"/>
        <w:gridCol w:w="155"/>
        <w:gridCol w:w="60"/>
        <w:gridCol w:w="89"/>
        <w:gridCol w:w="831"/>
        <w:gridCol w:w="350"/>
        <w:gridCol w:w="60"/>
        <w:gridCol w:w="155"/>
        <w:gridCol w:w="705"/>
        <w:gridCol w:w="170"/>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5" w:type="dxa"/>
            <w:gridSpan w:val="6"/>
            <w:tcBorders/>
            <w:vAlign w:val="center"/>
          </w:tcPr>
          <w:p>
            <w:pPr>
              <w:pStyle w:val="TableContents"/>
              <w:bidi w:val="0"/>
              <w:spacing w:before="0" w:after="0"/>
              <w:jc w:val="center"/>
              <w:rPr>
                <w:b/>
                <w:spacing w:val="0"/>
                <w:sz w:val="16"/>
              </w:rPr>
            </w:pPr>
            <w:r>
              <w:rPr>
                <w:b/>
                <w:spacing w:val="0"/>
                <w:sz w:val="16"/>
              </w:rPr>
              <w:t>Year Ended</w:t>
              <w:br/>
              <w:t>December 31, 2023</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vAlign w:val="center"/>
          </w:tcPr>
          <w:p>
            <w:pPr>
              <w:pStyle w:val="TableContents"/>
              <w:bidi w:val="0"/>
              <w:spacing w:before="0" w:after="0"/>
              <w:jc w:val="center"/>
              <w:rPr>
                <w:b/>
                <w:spacing w:val="0"/>
                <w:sz w:val="16"/>
              </w:rPr>
            </w:pPr>
            <w:r>
              <w:rPr>
                <w:b/>
                <w:spacing w:val="0"/>
                <w:sz w:val="16"/>
              </w:rPr>
              <w:t>Year Ended</w:t>
              <w:br/>
              <w:t>December 31, 2022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 of</w:t>
              <w:br/>
              <w:t>Total</w:t>
              <w:br/>
              <w:t>revenues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 of</w:t>
              <w:br/>
              <w:t>Total</w:t>
              <w:br/>
              <w:t>revenues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70"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sales—standard products business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195.7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85.1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301.9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89.4</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right"/>
              <w:rPr/>
            </w:pPr>
            <w:r>
              <w:rPr/>
              <w:t>(106.2</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14.9</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10.6</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230.1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337.7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(107.6</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sales—standard products business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143.8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62.5</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59.9</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(58.6</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15.1</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10.1</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0.6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of sales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178.4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77.6</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70.0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(58.0</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22.4</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30.0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(49.6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48.5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21.1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50.9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15.1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22.4</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15.5</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4.0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loss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(25.1</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(1.6</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(52.4</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4.5</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1.8</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4.5</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(0.4</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(0.3</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gain (loss), net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0.2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(0.9</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 net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0.2</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4.4</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0.7</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7.7</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before income tax expense (benefit)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(20.7</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(0.9</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(44.7</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 (benefit)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(4.8</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1.5</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(16.1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(15.9</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(2.4</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(28.6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Results by business line </w:t>
      </w:r>
    </w:p>
    <w:p>
      <w:pPr>
        <w:pStyle w:val="TextBody"/>
        <w:bidi w:val="0"/>
        <w:spacing w:before="0" w:after="0"/>
        <w:jc w:val="left"/>
        <w:rPr>
          <w:spacing w:val="0"/>
        </w:rPr>
      </w:pPr>
      <w:r>
        <w:rPr>
          <w:spacing w:val="0"/>
        </w:rPr>
        <w:t> </w:t>
      </w:r>
    </w:p>
    <w:tbl>
      <w:tblPr>
        <w:tblW w:w="9495" w:type="dxa"/>
        <w:jc w:val="left"/>
        <w:tblInd w:w="0" w:type="dxa"/>
        <w:tblLayout w:type="fixed"/>
        <w:tblCellMar>
          <w:top w:w="0" w:type="dxa"/>
          <w:left w:w="0" w:type="dxa"/>
          <w:bottom w:w="0" w:type="dxa"/>
          <w:right w:w="0" w:type="dxa"/>
        </w:tblCellMar>
      </w:tblPr>
      <w:tblGrid>
        <w:gridCol w:w="3755"/>
        <w:gridCol w:w="120"/>
        <w:gridCol w:w="172"/>
        <w:gridCol w:w="688"/>
        <w:gridCol w:w="60"/>
        <w:gridCol w:w="120"/>
        <w:gridCol w:w="89"/>
        <w:gridCol w:w="831"/>
        <w:gridCol w:w="275"/>
        <w:gridCol w:w="60"/>
        <w:gridCol w:w="172"/>
        <w:gridCol w:w="688"/>
        <w:gridCol w:w="60"/>
        <w:gridCol w:w="120"/>
        <w:gridCol w:w="89"/>
        <w:gridCol w:w="831"/>
        <w:gridCol w:w="275"/>
        <w:gridCol w:w="60"/>
        <w:gridCol w:w="155"/>
        <w:gridCol w:w="705"/>
        <w:gridCol w:w="17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0" w:type="dxa"/>
            <w:gridSpan w:val="6"/>
            <w:tcBorders/>
            <w:vAlign w:val="center"/>
          </w:tcPr>
          <w:p>
            <w:pPr>
              <w:pStyle w:val="TableContents"/>
              <w:bidi w:val="0"/>
              <w:spacing w:before="0" w:after="0"/>
              <w:jc w:val="center"/>
              <w:rPr>
                <w:b/>
                <w:spacing w:val="0"/>
                <w:sz w:val="16"/>
              </w:rPr>
            </w:pPr>
            <w:r>
              <w:rPr>
                <w:b/>
                <w:spacing w:val="0"/>
                <w:sz w:val="16"/>
              </w:rPr>
              <w:t>Year Ended</w:t>
              <w:br/>
              <w:t>December 31,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0" w:type="dxa"/>
            <w:gridSpan w:val="6"/>
            <w:tcBorders/>
            <w:vAlign w:val="center"/>
          </w:tcPr>
          <w:p>
            <w:pPr>
              <w:pStyle w:val="TableContents"/>
              <w:bidi w:val="0"/>
              <w:spacing w:before="0" w:after="0"/>
              <w:jc w:val="center"/>
              <w:rPr>
                <w:b/>
                <w:spacing w:val="0"/>
                <w:sz w:val="16"/>
              </w:rPr>
            </w:pPr>
            <w:r>
              <w:rPr>
                <w:b/>
                <w:spacing w:val="0"/>
                <w:sz w:val="16"/>
              </w:rPr>
              <w:t>Year Ended</w:t>
              <w:br/>
              <w:t>December 31,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755"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 of</w:t>
              <w:br/>
              <w:t>Total</w:t>
              <w:br/>
              <w:t>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 of</w:t>
              <w:br/>
              <w:t>Total</w:t>
              <w:br/>
              <w:t>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375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450"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sales—standard products business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71.4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(39.3</w:t>
            </w:r>
          </w:p>
        </w:tc>
        <w:tc>
          <w:tcPr>
            <w:tcW w:w="17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Power Solutions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163.6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71.1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230.5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68.3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(66.9</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195.7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85.1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89.4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(106.2</w:t>
            </w:r>
          </w:p>
        </w:tc>
        <w:tc>
          <w:tcPr>
            <w:tcW w:w="17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sales—transitional Fab 3 foundry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230.1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337.7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(107.6</w:t>
            </w:r>
          </w:p>
        </w:tc>
        <w:tc>
          <w:tcPr>
            <w:tcW w:w="17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838" w:type="dxa"/>
        <w:jc w:val="left"/>
        <w:tblInd w:w="0" w:type="dxa"/>
        <w:tblLayout w:type="fixed"/>
        <w:tblCellMar>
          <w:top w:w="0" w:type="dxa"/>
          <w:left w:w="0" w:type="dxa"/>
          <w:bottom w:w="0" w:type="dxa"/>
          <w:right w:w="0" w:type="dxa"/>
        </w:tblCellMar>
      </w:tblPr>
      <w:tblGrid>
        <w:gridCol w:w="3980"/>
        <w:gridCol w:w="120"/>
        <w:gridCol w:w="206"/>
        <w:gridCol w:w="654"/>
        <w:gridCol w:w="169"/>
        <w:gridCol w:w="65"/>
        <w:gridCol w:w="112"/>
        <w:gridCol w:w="838"/>
        <w:gridCol w:w="275"/>
        <w:gridCol w:w="60"/>
        <w:gridCol w:w="171"/>
        <w:gridCol w:w="689"/>
        <w:gridCol w:w="61"/>
        <w:gridCol w:w="123"/>
        <w:gridCol w:w="112"/>
        <w:gridCol w:w="838"/>
        <w:gridCol w:w="275"/>
        <w:gridCol w:w="60"/>
        <w:gridCol w:w="183"/>
        <w:gridCol w:w="677"/>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4" w:type="dxa"/>
            <w:gridSpan w:val="6"/>
            <w:tcBorders/>
            <w:vAlign w:val="center"/>
          </w:tcPr>
          <w:p>
            <w:pPr>
              <w:pStyle w:val="TableContents"/>
              <w:bidi w:val="0"/>
              <w:spacing w:before="0" w:after="0"/>
              <w:jc w:val="center"/>
              <w:rPr>
                <w:b/>
                <w:spacing w:val="0"/>
                <w:sz w:val="16"/>
              </w:rPr>
            </w:pPr>
            <w:r>
              <w:rPr>
                <w:b/>
                <w:spacing w:val="0"/>
                <w:sz w:val="16"/>
              </w:rPr>
              <w:t>Year Ended</w:t>
              <w:br/>
              <w:t>December 31,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4" w:type="dxa"/>
            <w:gridSpan w:val="6"/>
            <w:tcBorders/>
            <w:vAlign w:val="center"/>
          </w:tcPr>
          <w:p>
            <w:pPr>
              <w:pStyle w:val="TableContents"/>
              <w:bidi w:val="0"/>
              <w:spacing w:before="0" w:after="0"/>
              <w:jc w:val="center"/>
              <w:rPr>
                <w:b/>
                <w:spacing w:val="0"/>
                <w:sz w:val="16"/>
              </w:rPr>
            </w:pPr>
            <w:r>
              <w:rPr>
                <w:b/>
                <w:spacing w:val="0"/>
                <w:sz w:val="16"/>
              </w:rPr>
              <w:t>Year Ended</w:t>
              <w:br/>
              <w:t>December 31,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spacing w:val="0"/>
              </w:rPr>
            </w:pPr>
            <w:r>
              <w:rPr>
                <w:b/>
                <w:spacing w:val="0"/>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spacing w:val="0"/>
              </w:rPr>
            </w:pPr>
            <w:r>
              <w:rPr>
                <w:b/>
                <w:spacing w:val="0"/>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68" w:type="dxa"/>
            <w:gridSpan w:val="18"/>
            <w:tcBorders/>
            <w:vAlign w:val="center"/>
          </w:tcPr>
          <w:p>
            <w:pPr>
              <w:pStyle w:val="TableContents"/>
              <w:bidi w:val="0"/>
              <w:spacing w:before="0" w:after="0"/>
              <w:jc w:val="center"/>
              <w:rPr>
                <w:b/>
                <w:spacing w:val="0"/>
                <w:sz w:val="16"/>
              </w:rPr>
            </w:pPr>
            <w:r>
              <w:rPr>
                <w:b/>
                <w:spacing w:val="0"/>
                <w:sz w:val="16"/>
              </w:rPr>
              <w:t>(Dollars in millions)</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654" w:type="dxa"/>
            <w:tcBorders/>
            <w:shd w:fill="CCEEFF" w:val="clear"/>
            <w:vAlign w:val="center"/>
          </w:tcPr>
          <w:p>
            <w:pPr>
              <w:pStyle w:val="TableContents"/>
              <w:bidi w:val="0"/>
              <w:spacing w:before="0" w:after="283"/>
              <w:jc w:val="left"/>
              <w:rPr>
                <w:sz w:val="4"/>
                <w:szCs w:val="4"/>
              </w:rPr>
            </w:pPr>
            <w:r>
              <w:rPr>
                <w:sz w:val="4"/>
                <w:szCs w:val="4"/>
              </w:rPr>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83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89"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83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profit—standard products business</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51.9</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26.5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99.5</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33.0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(47.6</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(0.3</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1.7</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gross profit</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654" w:type="dxa"/>
            <w:tcBorders/>
            <w:vAlign w:val="center"/>
          </w:tcPr>
          <w:p>
            <w:pPr>
              <w:pStyle w:val="TableContents"/>
              <w:bidi w:val="0"/>
              <w:spacing w:before="0" w:after="283"/>
              <w:jc w:val="right"/>
              <w:rPr/>
            </w:pPr>
            <w:r>
              <w:rPr/>
              <w:t>51.6</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22.4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689" w:type="dxa"/>
            <w:tcBorders/>
            <w:vAlign w:val="center"/>
          </w:tcPr>
          <w:p>
            <w:pPr>
              <w:pStyle w:val="TableContents"/>
              <w:bidi w:val="0"/>
              <w:spacing w:before="0" w:after="283"/>
              <w:jc w:val="right"/>
              <w:rPr/>
            </w:pPr>
            <w:r>
              <w:rPr/>
              <w:t>101.3</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30.0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(49.6</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Total revenues were $230.1 million for the year ended December 31, 2023, a $107.6 million, or 31.9%, decrease compared to $337.7 million for the year ended December 31, 2022. This decrease was primarily due to a decrease in revenue related to our standard products business as described below.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standard products business.</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standard products business were $195.7 million for the year ended December 31, 2023, a $106.2 million, or 35.2%, decrease compared to $301.9 million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Display Solutions business line decreased from $71.4 million for the year ended December 31, 2022 to $32.1 million for the year ended December 31, 2023. The decrease in net sales from our Display Solutions business line was primarily attributable to a decrease in revenue from our mobile OLED display driver ICs stemmed from slower than expected new design-wins and lower customer demand for legacy products as a result of weak global macroeconomic conditions. Weak demand for our OLED TV display driver ICs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auto-LCD</w:t>
      </w:r>
    </w:p>
    <w:p>
      <w:pPr>
        <w:pStyle w:val="TextBody"/>
        <w:bidi w:val="0"/>
        <w:spacing w:before="240" w:after="0"/>
        <w:jc w:val="left"/>
        <w:rPr>
          <w:rFonts w:ascii="Times New Roman" w:hAnsi="Times New Roman"/>
          <w:sz w:val="20"/>
        </w:rPr>
      </w:pPr>
      <w:r>
        <w:rPr>
          <w:rFonts w:ascii="Times New Roman" w:hAnsi="Times New Roman"/>
          <w:sz w:val="20"/>
        </w:rPr>
        <w:t xml:space="preserve">display driver ICs also had an unfavorable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Power Solutions business line decreased from $230.5 million for the year ended December 31, 2022 to $163.6 million for the year ended December 31, 2023. The decrease in net sales from our Power Solutions business line was attributable to lower demand for power products such as MOSFETs,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high-end</w:t>
      </w:r>
    </w:p>
    <w:p>
      <w:pPr>
        <w:pStyle w:val="TextBody"/>
        <w:bidi w:val="0"/>
        <w:spacing w:before="240" w:after="0"/>
        <w:jc w:val="left"/>
        <w:rPr>
          <w:rFonts w:ascii="Times New Roman" w:hAnsi="Times New Roman"/>
          <w:sz w:val="20"/>
        </w:rPr>
      </w:pPr>
      <w:r>
        <w:rPr>
          <w:rFonts w:ascii="Times New Roman" w:hAnsi="Times New Roman"/>
          <w:sz w:val="20"/>
        </w:rPr>
        <w:t xml:space="preserve">MOSFETs, primarily for TVs, smartphones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mainly due to an industry-wide slowdown. Weak demand for IGBTs for solar inverters in the industrial segment also had an unfavorable impact on net sales.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transitional Fab 3 foundry services.</w:t>
      </w:r>
    </w:p>
    <w:p>
      <w:pPr>
        <w:pStyle w:val="TextBody"/>
        <w:bidi w:val="0"/>
        <w:spacing w:before="240" w:after="0"/>
        <w:jc w:val="left"/>
        <w:rPr>
          <w:rFonts w:ascii="Times New Roman" w:hAnsi="Times New Roman"/>
          <w:sz w:val="20"/>
        </w:rPr>
      </w:pPr>
      <w:r>
        <w:rPr>
          <w:rFonts w:ascii="Times New Roman" w:hAnsi="Times New Roman"/>
          <w:sz w:val="20"/>
        </w:rPr>
        <w:t xml:space="preserve">Net sales from the transitional Fab 3 foundry services were $34.4 million and $35.8 million for the years ended December 31, 2023 and 2022,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Gross Profit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Total gross profit was $51.6 million for the year ended December 31, 2023 compared to $101.3 million for the year ended December 31, 2022, representing a $49.6 million, or 49.0%, decrease. Gross profit as a percentage of total revenues for the year ended December 31, 2023 decreased to 22.4% compared to 30.0% for the year ended December 31, 2022. The decrease in gross profit and gross profit as a percentage of net sales was primarily due to the decrease in gross profit and gross profit as a percentage of net sales from our standard products business as further described below.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standard products business.</w:t>
      </w:r>
    </w:p>
    <w:p>
      <w:pPr>
        <w:pStyle w:val="TextBody"/>
        <w:bidi w:val="0"/>
        <w:spacing w:before="240" w:after="0"/>
        <w:jc w:val="left"/>
        <w:rPr/>
      </w:pPr>
      <w:r>
        <w:rPr/>
        <w:t> </w:t>
      </w:r>
      <w:r>
        <w:rPr>
          <w:rFonts w:ascii="Times New Roman" w:hAnsi="Times New Roman"/>
          <w:sz w:val="20"/>
        </w:rPr>
        <w:t xml:space="preserve">Gross profit from our standard products business was $51.9 million for the year ended December 31, 2023, representing a $47.6 million, or 47.8%, decrease from $99.5 million for the year ended December 31, 2022. The decrease in gross profit was primarily attributable to a significant decrease in net sales from our standard products business as explained above. Gross profit as a percentage of net sales for the year ended December 31, 2023 decreased to 26.5% compared to 33.0% for the year ended December 31, 2022. The year-over-year decrease in gross profit as a percentage of net sales was primarily attributable to an unfavorable product mix as well as higher manufacturing input costs, such as electricity and wages, and a significant drop in the utilization rate of our internal fabrication facility in Gumi.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Sales—Standard Products Business by Geographic Region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report net sales—standard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years ended December 31, 2023 and 2022: </w:t>
      </w:r>
    </w:p>
    <w:p>
      <w:pPr>
        <w:pStyle w:val="TextBody"/>
        <w:bidi w:val="0"/>
        <w:spacing w:before="0" w:after="0"/>
        <w:jc w:val="left"/>
        <w:rPr>
          <w:spacing w:val="0"/>
        </w:rPr>
      </w:pPr>
      <w:r>
        <w:rPr>
          <w:spacing w:val="0"/>
        </w:rPr>
        <w:t> </w:t>
      </w:r>
    </w:p>
    <w:tbl>
      <w:tblPr>
        <w:tblW w:w="8670" w:type="dxa"/>
        <w:jc w:val="left"/>
        <w:tblInd w:w="0" w:type="dxa"/>
        <w:tblLayout w:type="fixed"/>
        <w:tblCellMar>
          <w:top w:w="0" w:type="dxa"/>
          <w:left w:w="0" w:type="dxa"/>
          <w:bottom w:w="0" w:type="dxa"/>
          <w:right w:w="0" w:type="dxa"/>
        </w:tblCellMar>
      </w:tblPr>
      <w:tblGrid>
        <w:gridCol w:w="2510"/>
        <w:gridCol w:w="120"/>
        <w:gridCol w:w="172"/>
        <w:gridCol w:w="688"/>
        <w:gridCol w:w="60"/>
        <w:gridCol w:w="120"/>
        <w:gridCol w:w="109"/>
        <w:gridCol w:w="1021"/>
        <w:gridCol w:w="275"/>
        <w:gridCol w:w="60"/>
        <w:gridCol w:w="172"/>
        <w:gridCol w:w="688"/>
        <w:gridCol w:w="60"/>
        <w:gridCol w:w="120"/>
        <w:gridCol w:w="109"/>
        <w:gridCol w:w="1021"/>
        <w:gridCol w:w="275"/>
        <w:gridCol w:w="60"/>
        <w:gridCol w:w="155"/>
        <w:gridCol w:w="705"/>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0"/>
              <w:jc w:val="center"/>
              <w:rPr>
                <w:b/>
                <w:spacing w:val="0"/>
                <w:sz w:val="16"/>
              </w:rPr>
            </w:pPr>
            <w:r>
              <w:rPr>
                <w:b/>
                <w:spacing w:val="0"/>
                <w:sz w:val="16"/>
              </w:rPr>
              <w:t>Year Ended</w:t>
              <w:br/>
              <w:t>December 31,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0"/>
              <w:jc w:val="center"/>
              <w:rPr>
                <w:b/>
                <w:spacing w:val="0"/>
                <w:sz w:val="16"/>
              </w:rPr>
            </w:pPr>
            <w:r>
              <w:rPr>
                <w:b/>
                <w:spacing w:val="0"/>
                <w:sz w:val="16"/>
              </w:rPr>
              <w:t>Year Ended</w:t>
              <w:br/>
              <w:t>December 31,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 of</w:t>
              <w:br/>
              <w:t>Net Sales –</w:t>
              <w:br/>
              <w:t>standard</w:t>
              <w:br/>
              <w:t>products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 of</w:t>
              <w:br/>
              <w:t>Net Sales –</w:t>
              <w:br/>
              <w:t>standard</w:t>
              <w:br/>
              <w:t>products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70" w:type="dxa"/>
            <w:gridSpan w:val="18"/>
            <w:tcBorders/>
            <w:vAlign w:val="center"/>
          </w:tcPr>
          <w:p>
            <w:pPr>
              <w:pStyle w:val="TableContents"/>
              <w:bidi w:val="0"/>
              <w:spacing w:before="0" w:after="0"/>
              <w:jc w:val="center"/>
              <w:rPr>
                <w:b/>
                <w:spacing w:val="0"/>
                <w:sz w:val="16"/>
              </w:rPr>
            </w:pPr>
            <w:r>
              <w:rPr>
                <w:b/>
                <w:spacing w:val="0"/>
                <w:sz w:val="16"/>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Korea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(38.5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Asia Pacific (other than Korea)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(60.3</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(7.5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Europe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195.7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(131.2</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sales—standard products business in Korea decreased from $105.3 million for the year ended December 31, 2022 to $66.8 million for the year ended December 31, 2023, or by $38.5 million, or 36.5%. This decrease was primarily due to lower demand for power products such as MOSFETs,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high-end</w:t>
      </w:r>
    </w:p>
    <w:p>
      <w:pPr>
        <w:pStyle w:val="TextBody"/>
        <w:bidi w:val="0"/>
        <w:spacing w:before="240" w:after="0"/>
        <w:jc w:val="left"/>
        <w:rPr>
          <w:rFonts w:ascii="Times New Roman" w:hAnsi="Times New Roman"/>
          <w:sz w:val="20"/>
        </w:rPr>
      </w:pPr>
      <w:r>
        <w:rPr>
          <w:rFonts w:ascii="Times New Roman" w:hAnsi="Times New Roman"/>
          <w:sz w:val="20"/>
        </w:rPr>
        <w:t xml:space="preserve">MOSFETs, primarily for TVs and smartphone applications. Continued impact of a lack of new design-wins for our mobile OLED display driver ICs and weak demand for our OLED TV display driver ICs also had an unfavorable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sales—standard products business in the Asia Pacific decreased from $179.6 million for the year ended December 31, 2022 to $119.2 million for the year ended December 31, 2023, or by $60.3 million, or 33.6%. This decrease was primarily due to a decrease in revenue from our mobile OLED display driver ICs stemmed from slower than expected new design-wins and lower customer demand for legacy products as a result of weak global macroeconomic conditions. The decreased demand for our power products such as MOSFETs, mainly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and IGBTs, primarily for solar inverters in the industrial segment also had an unfavorable impact on net sales.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Expenses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Selling, 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were $48.5 million, or 21.1% of total revenues for the year ended December 31, 2023, compared to $50.9 million, or 15.1% of total revenues for the year ended December 31, 2022. The decrease of $2.4 million, or 4.7%, was primarily attributable to a decrease in employee compensation, including certain incentives and benefit related accruals, a decrease in certain sales and marketing expenses, and a decrease in running royalties recognized based on the revenue of certain mobile OLED display driver ICs.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Research and Development Expenses.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$51.6 million, or 22.4% of total revenues for the year ended December 31, 2023, compared to $52.3 million, or 15.5%, of total revenues for the year ended December 31, 2022. The decrease of $0.8 million, or 1.5%, was primarily attributable to a net decrease in employee compensation, including certain incentives, which was offset in part by an increase in development activities for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28-nanometer</w:t>
      </w:r>
    </w:p>
    <w:p>
      <w:pPr>
        <w:pStyle w:val="TextBody"/>
        <w:bidi w:val="0"/>
        <w:spacing w:before="240" w:after="0"/>
        <w:jc w:val="left"/>
        <w:rPr>
          <w:rFonts w:ascii="Times New Roman" w:hAnsi="Times New Roman"/>
          <w:sz w:val="20"/>
        </w:rPr>
      </w:pPr>
      <w:r>
        <w:rPr>
          <w:rFonts w:ascii="Times New Roman" w:hAnsi="Times New Roman"/>
          <w:sz w:val="20"/>
        </w:rPr>
        <w:t xml:space="preserve">OLED display driver ICs.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Early Termination and Other Charges, Net.</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2023, we recorded $8.4 million of termination-related charges in connection with the 2023 Voluntary Resignation Program that we offered and paid to certain employees during the first half of 2023 and $0.8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employee incentives. For the year ended December 31, 2022, we recorded $2.8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employee incentives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$1.0 million of professional service fees and expenses incurred in connection with certain strategic evaluations, which was offset in part by a $0.5 million gain on sale of certain legacy equipment of the closed </w:t>
      </w:r>
    </w:p>
    <w:p>
      <w:pPr>
        <w:pStyle w:val="TextBody"/>
        <w:bidi w:val="0"/>
        <w:spacing w:before="0" w:after="0"/>
        <w:jc w:val="left"/>
        <w:rPr>
          <w:rFonts w:ascii="Times New Roman" w:hAnsi="Times New Roman"/>
          <w:spacing w:val="0"/>
          <w:sz w:val="20"/>
        </w:rPr>
      </w:pPr>
      <w:r>
        <w:rPr>
          <w:rFonts w:ascii="Times New Roman" w:hAnsi="Times New Roman"/>
          <w:spacing w:val="0"/>
          <w:sz w:val="20"/>
        </w:rPr>
        <w:t>back-end</w:t>
      </w:r>
    </w:p>
    <w:p>
      <w:pPr>
        <w:pStyle w:val="TextBody"/>
        <w:bidi w:val="0"/>
        <w:spacing w:before="0" w:after="0"/>
        <w:jc w:val="left"/>
        <w:rPr>
          <w:rFonts w:ascii="Times New Roman" w:hAnsi="Times New Roman"/>
          <w:sz w:val="20"/>
        </w:rPr>
      </w:pPr>
      <w:r>
        <w:rPr>
          <w:rFonts w:ascii="Times New Roman" w:hAnsi="Times New Roman"/>
          <w:sz w:val="20"/>
        </w:rPr>
        <w:t xml:space="preserve">line in our fabrication facility in Gumi.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 result of the foregoing, operating loss of $57.6 million was recorded for the year ended December 31, 2023 compared to operating loss of $5.2 million the year ended December 31, 2022. As discussed above, the increase in operating loss of $52.4 million resulted primarily from a $49.6 million decrease in gross profit and a $6.0 million increase in early termination and other charges, net, which were offset in part by a $2.4 million decrease in selling, general and administrative expenses and a $0.8 million decrease in research and development expenses.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Income (Expense)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Interest Income.</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$10.4 million and $6.0 million for the years ended December 31, 2023 and December 31, 2022, respectively. The increase of $4.5 million, or 74.5%, was primarily attributable to an increase in interest income on cash and cash equivalents held by our Korean subsidiary, which benefited from increased market interest rates.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Interest Expense.</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was $0.8 million and $1.2 million for the years ended December 31, 2023 and December 31, 2022, respectively.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Foreign Currency Gain (Loss), Net.</w:t>
      </w:r>
    </w:p>
    <w:p>
      <w:pPr>
        <w:pStyle w:val="TextBody"/>
        <w:bidi w:val="0"/>
        <w:spacing w:before="240" w:after="0"/>
        <w:jc w:val="left"/>
        <w:rPr/>
      </w:pPr>
      <w:r>
        <w:rPr/>
        <w:t> </w:t>
      </w:r>
      <w:r>
        <w:rPr>
          <w:rFonts w:ascii="Times New Roman" w:hAnsi="Times New Roman"/>
          <w:sz w:val="20"/>
        </w:rPr>
        <w:t xml:space="preserve">Net foreign currency gain for the year ended December 31, 2023 was $0.5 million compared to net foreign currency loss of $3.0 million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translation gain or loss associated with the intercompany long-term loans to our Korean subsidiary, which is denominated in U.S. dollars, and is affected by changes in the exchange rate between the Korean won and the U.S. dollar. As of December 31, 2023 and 2022, the outstanding intercompany loan balance including accrued interest between our Korean subsidiary and our Dutch subsidiary was $285.1 million and $311.0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 Expense (Benefit)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subject to income taxes in the United States and many foreign jurisdictions and our effective tax rate is affected by changes in the mix of earnings between countries with differing tax rates.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We recorded $10.9 million income tax benefit for the year ended December 31, 2023, which was primarily attributable to income tax benefit of $13.0 million from our Korean subsidiary, due mainly to its net operating losses, and this benefit was partially offset by income tax expense of $3.0 million from our Dutch subsidiary. The Dutch subsidiary’s income tax expense was mainly attributable to the foreign currency gains and withholding tax related to the loans granted to our Korean subsidiary by our Dutch subsidiary.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recorded a $5.2 million income tax expense for the year ended December 31, 2022, which was composed of primarily income tax expense from our Korean subsidiary due mainly to its realized foreign currency gains, which resulted in taxable income for the year, and this expense was partially offset by income tax benefit from our Dutch subsidiary. The Dutch subsidiary’s tax benefit was mainly attributable to the reversal of withholding tax with respect to the waiver of the accrued interest on the loans granted to our Korean subsidiary by our Dutch subsidiary.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 result of the foregoing, net loss of $36.6 million was recorded for the year ended December 31, 2023 compared to net loss of $8.0 million for the year ended December 31, 2022. As discussed above, the $28.6 million increase in net loss was primarily attributable to a $52.4 million increase in operating loss, which was offset in part by a $16.1 million increase in income tax benefit, $4.5 million increase in interest income and a $3.5 million improvement in net foreign currency loss.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Liquidity and Capital Resources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principal capital requirements are to fund sales and marketing, invest in research and development and capital equipment, and to fund working capital needs. We calculate working capital as current assets less current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December 31, 2023,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10-year</w:t>
      </w:r>
    </w:p>
    <w:p>
      <w:pPr>
        <w:pStyle w:val="TextBody"/>
        <w:bidi w:val="0"/>
        <w:spacing w:before="240" w:after="0"/>
        <w:jc w:val="left"/>
        <w:rPr>
          <w:rFonts w:ascii="Times New Roman" w:hAnsi="Times New Roman"/>
          <w:sz w:val="20"/>
        </w:rPr>
      </w:pPr>
      <w:r>
        <w:rPr>
          <w:rFonts w:ascii="Times New Roman" w:hAnsi="Times New Roman"/>
          <w:sz w:val="20"/>
        </w:rPr>
        <w:t xml:space="preserve">term beginning July 1, 2018. As of December 31, 2023, the outstanding obligation of this arrangement is approximately $20.4 million for remaining service term through 2028.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2023, cash and cash equivalents held by our Korean subsidiary were $150.2 million, which represents 95% of our total cash and cash equivalents on a consolidated basis. We currently believe that we will have sufficient cash reserves from cash on hand and expected cash from operations to fund our operations as well as capital expenditures for the next twelve months and the foreseeable future. </w:t>
      </w:r>
    </w:p>
    <w:p>
      <w:pPr>
        <w:pStyle w:val="TextBody"/>
        <w:bidi w:val="0"/>
        <w:spacing w:before="36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 xml:space="preserve">Year ended December 31, 2023 compared to year ended December 31,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2023, our cash and cash equivalents balance was $158.1 million, a $67.4 million decrease compared to $225.5 million as of December 31,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outflow used in operating activities totaled $3.0 million for the year ended December 31, 2023, compared to $5.2 million of cash inflow provided by operating activities for the year ended December 31, 2022. The net operating cash outflow for the year ended December 31, 2023 reflects our net loss of $36.6 million, as adjusted favorably by $23.9 million, which mainly consisted of depreciation and amortization, provision for severance benefits, provision for inventory reserves, net foreign currency loss and stock-based compensation, and net favorable impact of $9.8 million from changes of operating assets and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working capital balance as of December 31, 2023 was $198.5 million compared to $290.6 million as of December 31, 2022. The decrease in working capital balance was mainly attributable to a $67.4 million decrease in cash and cash equivalents resulted primarily from our continued execution of stock repurchase programs and the 2023 Voluntary Resignation Program that we offered and paid to certain employees during the first half of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outflow used in investing activities totaled $7.7 million for the year ended December 31, 2023, compared to a $24.9 million of cash outflow used in investing activities for the year ended December 31, 2022. The $17.3 million decrease in cash outflow was attributable to a $16.4 million decrease in purchase of property, plant and equipment and a $2.0 million net decrease in hedge collateral, which was offset in part by a $0.7 million net increase in guarantee deposits.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Cash outflow used in financing activities totaled $52.3 million for the year ended December 31, 2023, compared to $12.7 million of cash outflow used in financing activities for the year ended December 31, 2022. The financing cash outflow for the year ended December 31, 2023 was primarily attributable to a payment of $51.4 million for the repurchases of our common stock pursuant to our stock repurchase programs and a payment of $0.4 million for the repurchase of our common stock to satisfy tax withholding obligations in connection with the vesting of restricted stock units. The financing cash outflow for the year ended December 31, 2022 was primarily attributable to a payment of $12.1 million for the repurchases of our common stock in 2022 pursuant to our prior stock repurchase program and a payment of $1.8 million for the repurchase of our common stock to satisfy tax withholding obligations in connection with the vesting of restricted stock units, which was offset in part by $1.8 million of proceeds received from the issuance of common stock in connection with the exercise of stock options.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routinely make capital expenditures for fabrication facility maintenance, enhancement of our existing facility and reinforcement of our global research and development capability. For the year ended December 31, 2023, capital expenditures for property, plant and equipment were $7.0 million, a $16.4 million, or 70.3%, decrease from $23.4 million for the year ended December 31, 2022. The capital expenditures for the years ended December 31, 2023 and 2022 were related to meeting our customer demand and supporting technology and facility improvement at our fabrication facility.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Accounting Policies and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gross amount of inventory reserves charged to cost of sales totaled $9.4 million and $13.3 million in the fiscal years ended December 31, 2023 and 2022, respectively. The new cost base related to the sale of inventory that was previously written down totaled $5.5 million and $3.6 million in the fiscal years ended December 31, 2023 and 2022, respectively.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Income Taxes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are subject to income taxes in the U.S. and foreign jurisdictions. Significant judgments and estimates are required in evaluating our uncertain tax positions and determining our provision for income taxes.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Management’s judgment is required in determining the provision for income taxes, deferred tax assets and liabilities, and valuation allowance recorded against our net deferred tax assets. We record a valuation allowance when it is determined that it is more likely than not that a deferred tax asset will not be realized. Our assessment considers the recognition of deferred tax assets on a jurisdictional basis. Accordingly, we consider all available positive and negative evidence, including projected future taxable income, tax planning strategies, and the expected timing of the reversals of existing temporary differences on a jurisdictional basis. Based on the assessment, we have not recorded a valuation allowance against our Korean entity and recorded a full valuation allowance against our Dutch and Luxembourg entities. To the extent that we determine the deferred tax assets are realizable on a more likely than not basis and an adjustment is needed, an adjustment will be recorded in the fiscal period the determination is made.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recognize and measure uncertain tax positions taken or expected to be taken in a tax return utilizing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two-step</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process. In the first step, recognition, we determine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provisions for income taxes in the period in which such determination is made. The provision for income taxes includes the effect of reserve provisions and changes to reserves that are considered appropriate, as well as the related net interest and penalties.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Recent Accounting Pronouncements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Item 7A. Quantitative and Qualitative Disclosures About Market Risk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Foreign Currency Exposures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2023 for our Korean subsidiary, a 10% devaluation of the Korean won against the U.S. dollar would have resulted in a decrease of $1.7 million in our U.S. dollar financial instruments and cash balances.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See “Note 9. Derivative Financial Instruments” to our consolidated financial statements under “Item 8. Financial Statements and Supplementary Data” and “Item 7.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Item 8. Financial Statements and Supplementary Data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8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fina183811_1">
              <w:r>
                <w:rPr>
                  <w:rStyle w:val="InternetLink"/>
                  <w:rFonts w:ascii="Times New Roman" w:hAnsi="Times New Roman"/>
                  <w:sz w:val="20"/>
                </w:rPr>
                <w:t>Report of Independent Registered Public Accounting Firm (PCAOB ID 1103)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right"/>
              <w:rPr/>
            </w:pPr>
            <w:r>
              <w:rPr/>
              <w:t>6</w:t>
            </w:r>
          </w:p>
          <w:p>
            <w:pPr>
              <w:pStyle w:val="TableContents"/>
              <w:bidi w:val="0"/>
              <w:spacing w:before="0" w:after="0"/>
              <w:jc w:val="right"/>
              <w:rPr>
                <w:spacing w:val="0"/>
              </w:rPr>
            </w:pPr>
            <w:r>
              <w:rPr>
                <w:spacing w:val="0"/>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fina183811_2">
              <w:r>
                <w:rPr>
                  <w:rStyle w:val="InternetLink"/>
                  <w:rFonts w:ascii="Times New Roman" w:hAnsi="Times New Roman"/>
                  <w:sz w:val="20"/>
                </w:rPr>
                <w:t>Magnachip Semiconductor Corporation Consolidated Balance Sheets as of December 31, 2023 and 2022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right"/>
              <w:rPr/>
            </w:pPr>
            <w:r>
              <w:rPr/>
              <w:t>6</w:t>
            </w:r>
          </w:p>
          <w:p>
            <w:pPr>
              <w:pStyle w:val="TableContents"/>
              <w:bidi w:val="0"/>
              <w:spacing w:before="0" w:after="0"/>
              <w:jc w:val="right"/>
              <w:rPr>
                <w:spacing w:val="0"/>
              </w:rPr>
            </w:pPr>
            <w:r>
              <w:rPr>
                <w:spacing w:val="0"/>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fina183811_3">
              <w:r>
                <w:rPr>
                  <w:rStyle w:val="InternetLink"/>
                  <w:rFonts w:ascii="Times New Roman" w:hAnsi="Times New Roman"/>
                  <w:sz w:val="20"/>
                </w:rPr>
                <w:t>Magnachip Semiconductor Corporation Consolidated Statements of Operations for the Years Ended December 31, 2023, 2022 and 2021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right"/>
              <w:rPr/>
            </w:pPr>
            <w:r>
              <w:rPr/>
              <w:t>6</w:t>
            </w:r>
          </w:p>
          <w:p>
            <w:pPr>
              <w:pStyle w:val="TableContents"/>
              <w:bidi w:val="0"/>
              <w:spacing w:before="0" w:after="0"/>
              <w:jc w:val="right"/>
              <w:rPr>
                <w:spacing w:val="0"/>
              </w:rPr>
            </w:pPr>
            <w:r>
              <w:rPr>
                <w:spacing w:val="0"/>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fina183811_4">
              <w:r>
                <w:rPr>
                  <w:rStyle w:val="InternetLink"/>
                  <w:rFonts w:ascii="Times New Roman" w:hAnsi="Times New Roman"/>
                  <w:sz w:val="20"/>
                </w:rPr>
                <w:t>Magnachip Semiconductor Corporation Consolidated Statements of Comprehensive Income (Loss) for the Years Ended December 31, 2023, 2022 and 2021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right"/>
              <w:rPr/>
            </w:pPr>
            <w:r>
              <w:rPr/>
              <w:t>6</w:t>
            </w:r>
          </w:p>
          <w:p>
            <w:pPr>
              <w:pStyle w:val="TableContents"/>
              <w:bidi w:val="0"/>
              <w:spacing w:before="0" w:after="0"/>
              <w:jc w:val="right"/>
              <w:rPr>
                <w:spacing w:val="0"/>
              </w:rPr>
            </w:pPr>
            <w:r>
              <w:rPr>
                <w:spacing w:val="0"/>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fina183811_5">
              <w:r>
                <w:rPr>
                  <w:rStyle w:val="InternetLink"/>
                  <w:rFonts w:ascii="Times New Roman" w:hAnsi="Times New Roman"/>
                  <w:sz w:val="20"/>
                </w:rPr>
                <w:t>Magnachip Semiconductor Corporation Consolidated Statements of Changes in Stockholders’ Equity for the Years Ended December 31, 2023, 2022 and 2021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right"/>
              <w:rPr>
                <w:spacing w:val="0"/>
              </w:rPr>
            </w:pPr>
            <w:r>
              <w:rPr>
                <w:spacing w:val="0"/>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fina183811_6">
              <w:r>
                <w:rPr>
                  <w:rStyle w:val="InternetLink"/>
                  <w:rFonts w:ascii="Times New Roman" w:hAnsi="Times New Roman"/>
                  <w:sz w:val="20"/>
                </w:rPr>
                <w:t>Magnachip Semiconductor Corporation Consolidated Statements of Cash Flows for the Years Ended December 31, 2023, 2022 and 2021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right"/>
              <w:rPr>
                <w:spacing w:val="0"/>
              </w:rPr>
            </w:pPr>
            <w:r>
              <w:rPr>
                <w:spacing w:val="0"/>
              </w:rPr>
              <w:t>71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fina183811_7">
              <w:r>
                <w:rPr>
                  <w:rStyle w:val="InternetLink"/>
                  <w:rFonts w:ascii="Times New Roman" w:hAnsi="Times New Roman"/>
                  <w:sz w:val="20"/>
                </w:rPr>
                <w:t>Magnachip Semiconductor Corporation 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right"/>
              <w:rPr/>
            </w:pPr>
            <w:r>
              <w:rPr/>
              <w:t>7</w:t>
            </w:r>
          </w:p>
          <w:p>
            <w:pPr>
              <w:pStyle w:val="TableContents"/>
              <w:bidi w:val="0"/>
              <w:spacing w:before="0" w:after="0"/>
              <w:jc w:val="right"/>
              <w:rPr>
                <w:spacing w:val="0"/>
              </w:rPr>
            </w:pPr>
            <w:r>
              <w:rPr>
                <w:spacing w:val="0"/>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6</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To the</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Board of Directors and Stockholders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Magnachip Semiconductor Corporation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Opinions on the Financial Statements and Internal Control over Financial Reporting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We have audited the accompanying consolidated balance sheets of Magnachip Semiconductor Corporation and its subsidiaries (the “Company”) as of December 31, 2023 and 2022, and the related consolidated statements of operations, comprehensive income (loss), changes in stockholders’ equity and cash flows for each of the three years in the period ended December 31, 2023, including the related notes (collectively referred to as the “consolidated</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financial statements”).</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also have audited the Company’s internal control over financial reporting as of December 31, 2023, based on criteria established in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Internal Control-Integrated Framework</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(2013) issued by the Committee of Sponsoring Organizations of the Treadway Commission (COSO).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our opinion, the consolidated financial statements referred to above present fairly, in all material respects, the financial position of the Company as of December 31, 2023 and 2022</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and the results of its operations and its cash flows for each of the three years in the period ended December 31, 2023</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conformity with accounting principles generally accepted in the United States of America. Also, in our opinion, the Company maintained, in all material respects, effective internal control over financial reporting as of December 31, 2023, based on criteria established in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Internal Control-Integrated Framework</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(2013) issued by the COSO.</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Basis for Opinions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financial statements. Our audits also included evaluating the accounting principles used and significant estimates made by management, as well as evaluating the overall presentation of the consolidated</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Definition and Limitations of Internal Control over Financial Reporting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 company’s internal control over financial reporting is a process designed to provide reasonable assurance regarding the reliability of financial reporting and the preparation of financial statements for external purposes in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Critical Audit Matters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Realizability of Deferred Tax Assets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described in Notes 1 and 16 to the consolidated financial statements, the Company has net deferred tax assets of $50.8 million, including a valuation allowance of $87.2 million, as of December 31, 2023. Management determines deferred tax assets and liabilities based upon the difference between the financial statement carrying amounts and the tax basis of assets and liabilities using enacted tax rates in effect in the years in which the differences are expected to reverse. Valuation allowances are established when it is necessary to reduce deferred tax assets to the amount expected to be realized. The evaluation of the recoverability of the deferred tax asset and the need for a valuation allowance requires management to weigh all positive and negative evidence to reach a conclusion that it is more likely than not that all or some portion of the deferred tax asset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principal considerations for our determination that performing procedures relating to the realizability of deferred tax assets is a critical audit matter are (i) the significant judgment by management when assessing the available positive and negative evidence surrounding the realizability of deferred tax assets, including the application of tax law to the projected tax calculation and a high degree of estimation uncertainty relative to the estimates of future taxable income, (ii) a high degree of auditor judgment, subjectivity and effort in performing procedures and evaluating audit evidence related to management’s estimates of future taxable income, (iii) auditor judgment in assessing management’s application of tax law to the projected tax calculation, and (iv) the audit effort involved the use of professionals with specialized skill and knowledge.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Addressing the matter involved performing procedures and evaluating audit evidence in connection with forming our overall opinion on the consolidated financial statements. These procedures included testing the effectiveness of controls relating to the realizability of deferred tax assets. These procedures also included, among others, (i) evaluating the appropriateness of management’s calculation used, (ii) testing the completeness, accuracy and relevance of the underlying data used in the calculation, and (iii) evaluating the reasonableness of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significant assumptions used in the calculation of future taxable income. Evaluating management’s assumptions related to estimates of future taxable income involved evaluating whether the assumptions used were reasonable considering (i) current and past profitability, (ii) the consistency with external market and industry data, and (iii) whether these assumptions were consistent with evidence obtained in other areas of the audit. Professionals with specialized skill and knowledge were used to assist in evaluating management’s assumptions and calculation for assessing the realizability of deferred tax assets, including the mechanics and application of tax law to the projected tax calculation. </w:t>
      </w:r>
    </w:p>
    <w:p>
      <w:pPr>
        <w:pStyle w:val="TextBody"/>
        <w:bidi w:val="0"/>
        <w:spacing w:before="0" w:after="0"/>
        <w:jc w:val="left"/>
        <w:rPr>
          <w:shd w:fill="FFFFFF" w:val="clear"/>
        </w:rPr>
      </w:pPr>
      <w:r>
        <w:rPr>
          <w:shd w:fill="FFFFFF" w:val="clear"/>
        </w:rPr>
        <w:t> </w:t>
      </w:r>
    </w:p>
    <w:tbl>
      <w:tblPr>
        <w:tblW w:w="3275" w:type="dxa"/>
        <w:jc w:val="left"/>
        <w:tblInd w:w="0" w:type="dxa"/>
        <w:tblLayout w:type="fixed"/>
        <w:tblCellMar>
          <w:top w:w="0" w:type="dxa"/>
          <w:left w:w="0" w:type="dxa"/>
          <w:bottom w:w="0" w:type="dxa"/>
          <w:right w:w="0" w:type="dxa"/>
        </w:tblCellMar>
      </w:tblPr>
      <w:tblGrid>
        <w:gridCol w:w="3275"/>
      </w:tblGrid>
      <w:tr>
        <w:trPr/>
        <w:tc>
          <w:tcPr>
            <w:tcW w:w="3275" w:type="dxa"/>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000000"/>
            </w:tcBorders>
            <w:tcMar>
              <w:bottom w:w="28" w:type="dxa"/>
            </w:tcMar>
            <w:vAlign w:val="center"/>
          </w:tcPr>
          <w:p>
            <w:pPr>
              <w:pStyle w:val="TableContents"/>
              <w:bidi w:val="0"/>
              <w:spacing w:before="0" w:after="283"/>
              <w:jc w:val="left"/>
              <w:rPr/>
            </w:pPr>
            <w:r>
              <w:rPr/>
              <w:t>/s/ Samil PricewaterhouseCoopers</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Seoul, Korea</w:t>
            </w:r>
          </w:p>
          <w:p>
            <w:pPr>
              <w:pStyle w:val="TableContents"/>
              <w:bidi w:val="0"/>
              <w:spacing w:before="0" w:after="20"/>
              <w:jc w:val="left"/>
              <w:rPr>
                <w:rFonts w:ascii="Times New Roman" w:hAnsi="Times New Roman"/>
                <w:sz w:val="20"/>
              </w:rPr>
            </w:pPr>
            <w:r>
              <w:rPr>
                <w:rFonts w:ascii="Times New Roman" w:hAnsi="Times New Roman"/>
                <w:sz w:val="20"/>
              </w:rPr>
              <w:t>March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8</w:t>
            </w:r>
          </w:p>
          <w:p>
            <w:pPr>
              <w:pStyle w:val="TableContents"/>
              <w:bidi w:val="0"/>
              <w:spacing w:before="0" w:after="20"/>
              <w:jc w:val="left"/>
              <w:rPr>
                <w:rFonts w:ascii="Times New Roman" w:hAnsi="Times New Roman"/>
                <w:sz w:val="20"/>
              </w:rPr>
            </w:pPr>
            <w:r>
              <w:rPr>
                <w:rFonts w:ascii="Times New Roman" w:hAnsi="Times New Roman"/>
                <w:sz w:val="20"/>
              </w:rPr>
              <w:t>, 2024</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have served as the Company’s auditor since 2004.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6</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940"/>
        <w:gridCol w:w="120"/>
        <w:gridCol w:w="185"/>
        <w:gridCol w:w="1159"/>
        <w:gridCol w:w="205"/>
        <w:gridCol w:w="79"/>
        <w:gridCol w:w="185"/>
        <w:gridCol w:w="1162"/>
        <w:gridCol w:w="170"/>
      </w:tblGrid>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5" w:type="dxa"/>
            <w:gridSpan w:val="6"/>
            <w:tcBorders/>
            <w:vAlign w:val="center"/>
          </w:tcPr>
          <w:p>
            <w:pPr>
              <w:pStyle w:val="TableContents"/>
              <w:bidi w:val="0"/>
              <w:spacing w:before="0" w:after="0"/>
              <w:jc w:val="center"/>
              <w:rPr>
                <w:b/>
                <w:spacing w:val="0"/>
              </w:rPr>
            </w:pPr>
            <w:r>
              <w:rPr>
                <w:b/>
                <w:spacing w:val="0"/>
              </w:rPr>
              <w:t>(In thousands of U.S. dollars,</w:t>
              <w:br/>
              <w:t>except share data)</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158,092</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225,477</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32,641</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35,380</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Inventories, net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32,733</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39,883</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Other receivables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4,295</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7,847</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Prepaid expenses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7,390</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10,560</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Hedge collateral (Note 9)</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1,000</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2,940</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current assets (Note 1)</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9,283</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15,766</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59" w:type="dxa"/>
            <w:tcBorders/>
            <w:vAlign w:val="center"/>
          </w:tcPr>
          <w:p>
            <w:pPr>
              <w:pStyle w:val="TableContents"/>
              <w:bidi w:val="0"/>
              <w:spacing w:before="0" w:after="0"/>
              <w:jc w:val="left"/>
              <w:rPr>
                <w:bdr w:val="single" w:sz="2" w:space="1" w:color="000000"/>
              </w:rPr>
            </w:pPr>
            <w:r>
              <w:rPr>
                <w:bdr w:val="single" w:sz="2"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245,434</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337,853</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100,122</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110,747</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Operating lease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right-of-use</w:t>
            </w:r>
          </w:p>
          <w:p>
            <w:pPr>
              <w:pStyle w:val="TableContents"/>
              <w:bidi w:val="0"/>
              <w:spacing w:before="0" w:after="0"/>
              <w:jc w:val="left"/>
              <w:rPr>
                <w:rFonts w:ascii="Times New Roman" w:hAnsi="Times New Roman"/>
                <w:sz w:val="18"/>
              </w:rPr>
            </w:pPr>
            <w:r>
              <w:rPr>
                <w:rFonts w:ascii="Times New Roman" w:hAnsi="Times New Roman"/>
                <w:sz w:val="18"/>
              </w:rPr>
              <w:t>assets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4,639</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5,265</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Intangible assets, net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1,537</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1,930</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Long-term prepaid expenses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5,736</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10,939</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Deferred income taxes (Note 16)</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50,836</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38,324</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Other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non-current</w:t>
            </w:r>
          </w:p>
          <w:p>
            <w:pPr>
              <w:pStyle w:val="TableContents"/>
              <w:bidi w:val="0"/>
              <w:spacing w:before="0" w:after="0"/>
              <w:jc w:val="left"/>
              <w:rPr>
                <w:rFonts w:ascii="Times New Roman" w:hAnsi="Times New Roman"/>
                <w:sz w:val="18"/>
              </w:rPr>
            </w:pPr>
            <w:r>
              <w:rPr>
                <w:rFonts w:ascii="Times New Roman" w:hAnsi="Times New Roman"/>
                <w:sz w:val="18"/>
              </w:rPr>
              <w:t>assets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12,187</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11,587</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59" w:type="dxa"/>
            <w:tcBorders/>
            <w:vAlign w:val="center"/>
          </w:tcPr>
          <w:p>
            <w:pPr>
              <w:pStyle w:val="TableContents"/>
              <w:bidi w:val="0"/>
              <w:spacing w:before="0" w:after="0"/>
              <w:jc w:val="left"/>
              <w:rPr>
                <w:bdr w:val="single" w:sz="2" w:space="1" w:color="000000"/>
              </w:rPr>
            </w:pPr>
            <w:r>
              <w:rPr>
                <w:bdr w:val="single" w:sz="2"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420,491</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516,645</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159" w:type="dxa"/>
            <w:tcBorders/>
            <w:vAlign w:val="center"/>
          </w:tcPr>
          <w:p>
            <w:pPr>
              <w:pStyle w:val="TableContents"/>
              <w:bidi w:val="0"/>
              <w:spacing w:before="0" w:after="0"/>
              <w:jc w:val="left"/>
              <w:rPr>
                <w:bdr w:val="double" w:sz="6" w:space="1" w:color="000000"/>
              </w:rPr>
            </w:pPr>
            <w:r>
              <w:rPr>
                <w:bdr w:val="double" w:sz="6"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1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159" w:type="dxa"/>
            <w:tcBorders/>
            <w:vAlign w:val="center"/>
          </w:tcPr>
          <w:p>
            <w:pPr>
              <w:pStyle w:val="TableContents"/>
              <w:bidi w:val="0"/>
              <w:spacing w:before="0" w:after="283"/>
              <w:jc w:val="right"/>
              <w:rPr/>
            </w:pPr>
            <w:r>
              <w:rPr/>
              <w:t>24,443</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17,998</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accounts payable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5,292</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9,702</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Accrued expenses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10,457</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9,688</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Accrued income taxes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1,496</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3,154</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1,914</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1,397</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current liabilities (Note 1)</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3,286</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5,306</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59" w:type="dxa"/>
            <w:tcBorders/>
            <w:vAlign w:val="center"/>
          </w:tcPr>
          <w:p>
            <w:pPr>
              <w:pStyle w:val="TableContents"/>
              <w:bidi w:val="0"/>
              <w:spacing w:before="0" w:after="0"/>
              <w:jc w:val="left"/>
              <w:rPr>
                <w:bdr w:val="single" w:sz="2" w:space="1" w:color="000000"/>
              </w:rPr>
            </w:pPr>
            <w:r>
              <w:rPr>
                <w:bdr w:val="single" w:sz="2"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46,888</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47,245</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16,020</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23,121</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Non-current</w:t>
            </w:r>
          </w:p>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2,897</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4,091</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Other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non-current</w:t>
            </w:r>
          </w:p>
          <w:p>
            <w:pPr>
              <w:pStyle w:val="TableContents"/>
              <w:bidi w:val="0"/>
              <w:spacing w:before="0" w:after="0"/>
              <w:jc w:val="left"/>
              <w:rPr>
                <w:rFonts w:ascii="Times New Roman" w:hAnsi="Times New Roman"/>
                <w:sz w:val="18"/>
              </w:rPr>
            </w:pPr>
            <w:r>
              <w:rPr>
                <w:rFonts w:ascii="Times New Roman" w:hAnsi="Times New Roman"/>
                <w:sz w:val="18"/>
              </w:rPr>
              <w:t>liabilities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10,088</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14,035</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59" w:type="dxa"/>
            <w:tcBorders/>
            <w:vAlign w:val="center"/>
          </w:tcPr>
          <w:p>
            <w:pPr>
              <w:pStyle w:val="TableContents"/>
              <w:bidi w:val="0"/>
              <w:spacing w:before="0" w:after="0"/>
              <w:jc w:val="left"/>
              <w:rPr>
                <w:bdr w:val="single" w:sz="2" w:space="1" w:color="000000"/>
              </w:rPr>
            </w:pPr>
            <w:r>
              <w:rPr>
                <w:bdr w:val="single" w:sz="2"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75,893</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88,492</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59" w:type="dxa"/>
            <w:tcBorders/>
            <w:vAlign w:val="center"/>
          </w:tcPr>
          <w:p>
            <w:pPr>
              <w:pStyle w:val="TableContents"/>
              <w:bidi w:val="0"/>
              <w:spacing w:before="0" w:after="0"/>
              <w:jc w:val="left"/>
              <w:rPr>
                <w:bdr w:val="single" w:sz="2" w:space="1" w:color="000000"/>
              </w:rPr>
            </w:pPr>
            <w:r>
              <w:rPr>
                <w:bdr w:val="single" w:sz="2"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Stockholders’ equity</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Common stock,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 xml:space="preserve">0.01 </w:t>
            </w:r>
          </w:p>
          <w:p>
            <w:pPr>
              <w:pStyle w:val="TableContents"/>
              <w:bidi w:val="0"/>
              <w:spacing w:before="0" w:after="0"/>
              <w:jc w:val="left"/>
              <w:rPr>
                <w:rFonts w:ascii="Times New Roman" w:hAnsi="Times New Roman"/>
                <w:sz w:val="18"/>
              </w:rPr>
            </w:pPr>
            <w:r>
              <w:rPr>
                <w:rFonts w:ascii="Times New Roman" w:hAnsi="Times New Roman"/>
                <w:sz w:val="18"/>
              </w:rPr>
              <w:t>par value, 150,000,000 shares authorized, 56,971,394 shares issued and 38,852,742 outstanding at December 31, 2023 and 56,432,449 shares issued and 43,824,575 outstanding at December 31, 2022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569</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564</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Additional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paid-in</w:t>
            </w:r>
          </w:p>
          <w:p>
            <w:pPr>
              <w:pStyle w:val="TableContents"/>
              <w:bidi w:val="0"/>
              <w:spacing w:before="0" w:after="0"/>
              <w:jc w:val="left"/>
              <w:rPr>
                <w:rFonts w:ascii="Times New Roman" w:hAnsi="Times New Roman"/>
                <w:sz w:val="18"/>
              </w:rPr>
            </w:pPr>
            <w:r>
              <w:rPr>
                <w:rFonts w:ascii="Times New Roman" w:hAnsi="Times New Roman"/>
                <w:sz w:val="18"/>
              </w:rPr>
              <w:t>capital</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273,256</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266,058</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Retained earnings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298,884</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335,506</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Treasury stock, 18,118,652 shares at December 31, 2023 and 12,607,874 shares at December 31, 2022, respectively</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(213,454</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(161,422</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(14,657</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59" w:type="dxa"/>
            <w:tcBorders/>
            <w:vAlign w:val="center"/>
          </w:tcPr>
          <w:p>
            <w:pPr>
              <w:pStyle w:val="TableContents"/>
              <w:bidi w:val="0"/>
              <w:spacing w:before="0" w:after="0"/>
              <w:jc w:val="left"/>
              <w:rPr>
                <w:bdr w:val="single" w:sz="2" w:space="1" w:color="000000"/>
              </w:rPr>
            </w:pPr>
            <w:r>
              <w:rPr>
                <w:bdr w:val="single" w:sz="2"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stockholders’ equity</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344,598</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428,153</w:t>
            </w:r>
          </w:p>
        </w:tc>
        <w:tc>
          <w:tcPr>
            <w:tcW w:w="170"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59" w:type="dxa"/>
            <w:tcBorders/>
            <w:vAlign w:val="center"/>
          </w:tcPr>
          <w:p>
            <w:pPr>
              <w:pStyle w:val="TableContents"/>
              <w:bidi w:val="0"/>
              <w:spacing w:before="0" w:after="0"/>
              <w:jc w:val="left"/>
              <w:rPr>
                <w:bdr w:val="single" w:sz="2" w:space="1" w:color="000000"/>
              </w:rPr>
            </w:pPr>
            <w:r>
              <w:rPr>
                <w:bdr w:val="single" w:sz="2"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420,491</w:t>
            </w:r>
          </w:p>
        </w:tc>
        <w:tc>
          <w:tcPr>
            <w:tcW w:w="2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516,645</w:t>
            </w:r>
          </w:p>
        </w:tc>
        <w:tc>
          <w:tcPr>
            <w:tcW w:w="170" w:type="dxa"/>
            <w:tcBorders/>
            <w:shd w:fill="CCEEFF" w:val="clear"/>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159" w:type="dxa"/>
            <w:tcBorders/>
            <w:vAlign w:val="center"/>
          </w:tcPr>
          <w:p>
            <w:pPr>
              <w:pStyle w:val="TableContents"/>
              <w:bidi w:val="0"/>
              <w:spacing w:before="0" w:after="0"/>
              <w:jc w:val="left"/>
              <w:rPr>
                <w:bdr w:val="double" w:sz="6" w:space="1" w:color="000000"/>
              </w:rPr>
            </w:pPr>
            <w:r>
              <w:rPr>
                <w:bdr w:val="double" w:sz="6" w:space="1" w:color="000000"/>
              </w:rPr>
              <w:t> </w:t>
            </w:r>
          </w:p>
        </w:tc>
        <w:tc>
          <w:tcPr>
            <w:tcW w:w="20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1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6</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9220" w:type="dxa"/>
        <w:jc w:val="left"/>
        <w:tblInd w:w="0" w:type="dxa"/>
        <w:tblLayout w:type="fixed"/>
        <w:tblCellMar>
          <w:top w:w="0" w:type="dxa"/>
          <w:left w:w="0" w:type="dxa"/>
          <w:bottom w:w="0" w:type="dxa"/>
          <w:right w:w="0" w:type="dxa"/>
        </w:tblCellMar>
      </w:tblPr>
      <w:tblGrid>
        <w:gridCol w:w="4055"/>
        <w:gridCol w:w="120"/>
        <w:gridCol w:w="164"/>
        <w:gridCol w:w="1293"/>
        <w:gridCol w:w="182"/>
        <w:gridCol w:w="70"/>
        <w:gridCol w:w="164"/>
        <w:gridCol w:w="1293"/>
        <w:gridCol w:w="182"/>
        <w:gridCol w:w="70"/>
        <w:gridCol w:w="164"/>
        <w:gridCol w:w="1293"/>
        <w:gridCol w:w="170"/>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7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75" w:type="dxa"/>
            <w:gridSpan w:val="10"/>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sales—standard products business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293" w:type="dxa"/>
            <w:tcBorders/>
            <w:vAlign w:val="center"/>
          </w:tcPr>
          <w:p>
            <w:pPr>
              <w:pStyle w:val="TableContents"/>
              <w:bidi w:val="0"/>
              <w:spacing w:before="0" w:after="283"/>
              <w:jc w:val="right"/>
              <w:rPr/>
            </w:pPr>
            <w:r>
              <w:rPr/>
              <w:t>195,690</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293" w:type="dxa"/>
            <w:tcBorders/>
            <w:vAlign w:val="center"/>
          </w:tcPr>
          <w:p>
            <w:pPr>
              <w:pStyle w:val="TableContents"/>
              <w:bidi w:val="0"/>
              <w:spacing w:before="0" w:after="283"/>
              <w:jc w:val="right"/>
              <w:rPr/>
            </w:pPr>
            <w:r>
              <w:rPr/>
              <w:t>301,896</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293" w:type="dxa"/>
            <w:tcBorders/>
            <w:vAlign w:val="center"/>
          </w:tcPr>
          <w:p>
            <w:pPr>
              <w:pStyle w:val="TableContents"/>
              <w:bidi w:val="0"/>
              <w:spacing w:before="0" w:after="283"/>
              <w:jc w:val="right"/>
              <w:rPr/>
            </w:pPr>
            <w:r>
              <w:rPr/>
              <w:t>433,099</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34,361</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35,762</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41,131</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230,051</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337,658</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474,230</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sales—standard products business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143,762</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202,347</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283,503</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34,649</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34,047</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37,184</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178,411</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236,394</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320,687</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51,640</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101,264</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153,543</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48,470</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50,872</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52,440</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51,563</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52,338</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51,212</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Merger-related income, net</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(35,527</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 net</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9,251</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3,298</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2,011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109,284</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106,508</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70,136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(57,644</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(5,244</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83,407</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10,435</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5,980</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2,609</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(828</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(1,157</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(1,371</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465</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(3,019</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(11,853</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13</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561</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1,177</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 expense (benefit)</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(47,559</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(2,879</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73,969</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(10,937</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5,157</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17,261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(36,622</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(8,036</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56,708</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Earnings (loss) per common share—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(0.89</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(0.18</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1.26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293" w:type="dxa"/>
            <w:tcBorders/>
            <w:vAlign w:val="center"/>
          </w:tcPr>
          <w:p>
            <w:pPr>
              <w:pStyle w:val="TableContents"/>
              <w:bidi w:val="0"/>
              <w:spacing w:before="0" w:after="283"/>
              <w:jc w:val="right"/>
              <w:rPr/>
            </w:pPr>
            <w:r>
              <w:rPr/>
              <w:t>(0.89</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293" w:type="dxa"/>
            <w:tcBorders/>
            <w:vAlign w:val="center"/>
          </w:tcPr>
          <w:p>
            <w:pPr>
              <w:pStyle w:val="TableContents"/>
              <w:bidi w:val="0"/>
              <w:spacing w:before="0" w:after="283"/>
              <w:jc w:val="right"/>
              <w:rPr/>
            </w:pPr>
            <w:r>
              <w:rPr/>
              <w:t>(0.18</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293" w:type="dxa"/>
            <w:tcBorders/>
            <w:vAlign w:val="center"/>
          </w:tcPr>
          <w:p>
            <w:pPr>
              <w:pStyle w:val="TableContents"/>
              <w:bidi w:val="0"/>
              <w:spacing w:before="0" w:after="283"/>
              <w:jc w:val="right"/>
              <w:rPr/>
            </w:pPr>
            <w:r>
              <w:rPr/>
              <w:t>1.21</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41,013,069</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44,850,791</w:t>
            </w:r>
          </w:p>
        </w:tc>
        <w:tc>
          <w:tcPr>
            <w:tcW w:w="18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44,879,412</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41,013,069</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44,850,791</w:t>
            </w:r>
          </w:p>
        </w:tc>
        <w:tc>
          <w:tcPr>
            <w:tcW w:w="18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47,709,373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6</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COMPREHENSIVE INCOME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875"/>
        <w:gridCol w:w="120"/>
        <w:gridCol w:w="140"/>
        <w:gridCol w:w="755"/>
        <w:gridCol w:w="155"/>
        <w:gridCol w:w="60"/>
        <w:gridCol w:w="140"/>
        <w:gridCol w:w="755"/>
        <w:gridCol w:w="155"/>
        <w:gridCol w:w="60"/>
        <w:gridCol w:w="140"/>
        <w:gridCol w:w="680"/>
        <w:gridCol w:w="170"/>
      </w:tblGrid>
      <w:tr>
        <w:trPr/>
        <w:tc>
          <w:tcPr>
            <w:tcW w:w="6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0" w:type="dxa"/>
            <w:gridSpan w:val="10"/>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(36,622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(8,036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56,708</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(2,839</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valuation of derivatives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(3,913</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adjustment for loss (gain) on derivatives included in 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819</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(5,933</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(38,726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(18,359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50,775</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6</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CHANGES IN STOCKHOLDERS’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2515" w:type="dxa"/>
        <w:jc w:val="left"/>
        <w:tblInd w:w="0" w:type="dxa"/>
        <w:tblLayout w:type="fixed"/>
        <w:tblCellMar>
          <w:top w:w="0" w:type="dxa"/>
          <w:left w:w="0" w:type="dxa"/>
          <w:bottom w:w="0" w:type="dxa"/>
          <w:right w:w="0" w:type="dxa"/>
        </w:tblCellMar>
      </w:tblPr>
      <w:tblGrid>
        <w:gridCol w:w="3455"/>
        <w:gridCol w:w="60"/>
        <w:gridCol w:w="60"/>
        <w:gridCol w:w="1100"/>
        <w:gridCol w:w="155"/>
        <w:gridCol w:w="60"/>
        <w:gridCol w:w="231"/>
        <w:gridCol w:w="629"/>
        <w:gridCol w:w="60"/>
        <w:gridCol w:w="6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 (Loss)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35,783,347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163,010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286,834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(108,397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3,703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345,600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7,704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7,704</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Exchange of exchangeable senior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10,144,131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83,639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83,740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336,870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4,276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4,279</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480,465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Accelerated stock repurchase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(994,695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(17,427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(20,073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(37,500</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(90,814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(1,836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Other comprehensive loss,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(5,933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(5,933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56,708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56,708</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45,659,304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241,197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343,542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(130,306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(2,230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452,762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6,037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152,326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1,786</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374,803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Accelerated stock repurchase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(1,031,576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(1,330,282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(13,899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(13,899</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Other comprehensive loss,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(10,323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(10,323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(8,036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(8,036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43,824,575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266,058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335,506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(161,422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(12,553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428,153</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7,223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7,223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534,945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treasury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(5,510,778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(52,032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(52,032</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comprehensive loss,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(36,622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(36,622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38,852,742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273,256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298,884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(213,454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(14,657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344,598</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665"/>
        <w:gridCol w:w="120"/>
        <w:gridCol w:w="140"/>
        <w:gridCol w:w="800"/>
        <w:gridCol w:w="155"/>
        <w:gridCol w:w="60"/>
        <w:gridCol w:w="140"/>
        <w:gridCol w:w="800"/>
        <w:gridCol w:w="155"/>
        <w:gridCol w:w="60"/>
        <w:gridCol w:w="140"/>
        <w:gridCol w:w="800"/>
        <w:gridCol w:w="170"/>
      </w:tblGrid>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0" w:type="dxa"/>
            <w:gridSpan w:val="10"/>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(36,622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56,708</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Adjustments to reconcile net income (loss) to 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16,684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14,239</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8,282</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Amortization of debt issuance costs and original issue discount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Loss on foreign currency,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32,432</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Provision for inventory reserves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9,574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2,244</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7,704</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Deferred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918</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(613</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Changes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7,505</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Inventories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(5,939</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receivables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(21,538</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Prepaid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8,004</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4,393</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(16,325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(11,437</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(7,798</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(7,228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4,637</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Accrued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Deferred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(131</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1,445</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Other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non-current</w:t>
            </w:r>
          </w:p>
          <w:p>
            <w:pPr>
              <w:pStyle w:val="TableContents"/>
              <w:bidi w:val="0"/>
              <w:spacing w:before="0" w:after="0"/>
              <w:jc w:val="left"/>
              <w:rPr>
                <w:rFonts w:ascii="Times New Roman" w:hAnsi="Times New Roman"/>
                <w:sz w:val="16"/>
              </w:rPr>
            </w:pPr>
            <w:r>
              <w:rPr>
                <w:rFonts w:ascii="Times New Roman" w:hAnsi="Times New Roman"/>
                <w:sz w:val="16"/>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(1,398</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Contributions to severance insurance deposit accounts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(5,688</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Payment of severance benefits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(6,679</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cash provided by (used in) operating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87,743</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settlement of hedge collateral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15,232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5,214</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Payment of hedge collateral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(3,349</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disposal of property, plant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1,446</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(32,212</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Payment for intellectual property registration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(614</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Collection of guarantee deposits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3,192</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Payment of guarantee deposits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(5,001</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(31,438</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exercise of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4,279</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(51,782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(1,653</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stock under accelerated stock repurchase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(20,073</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Payment under accelerated stock repurchase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(17,427</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Repayment of financing related to water treatment facility arrangement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(563</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cash used in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(35,544</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Effect of exchange rates on 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(21,154</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decrease in 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(67,385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(54,070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(393</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and cash equivalents at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279,547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279,940</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Cash and cash equivalents at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158,092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225,477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279,547</w:t>
            </w:r>
          </w:p>
        </w:tc>
        <w:tc>
          <w:tcPr>
            <w:tcW w:w="17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Supplemental cash flow information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Cash paid for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2,094</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paid for income taxes,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12,672</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Non-cash</w:t>
            </w:r>
          </w:p>
          <w:p>
            <w:pPr>
              <w:pStyle w:val="TableContents"/>
              <w:bidi w:val="0"/>
              <w:spacing w:before="0" w:after="0"/>
              <w:jc w:val="left"/>
              <w:rPr>
                <w:rFonts w:ascii="Times New Roman" w:hAnsi="Times New Roman"/>
                <w:b/>
                <w:sz w:val="16"/>
              </w:rPr>
            </w:pPr>
            <w:r>
              <w:rPr>
                <w:rFonts w:ascii="Times New Roman" w:hAnsi="Times New Roman"/>
                <w:b/>
                <w:sz w:val="16"/>
              </w:rPr>
              <w:t>investing and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Property, plant and equipment additions in other 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747</w:t>
            </w:r>
          </w:p>
        </w:tc>
        <w:tc>
          <w:tcPr>
            <w:tcW w:w="170"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treasury stock to satisfy the tax withholding obligations in connection with equity-based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826</w:t>
            </w:r>
          </w:p>
        </w:tc>
        <w:tc>
          <w:tcPr>
            <w:tcW w:w="17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Unsettled common stock repurchases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Exchange of exchangeable senior notes into common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83,740</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1. Business, Basis of Presentation and Significant Accounting Policies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Magnachip Semiconductor Corporation (together with its subsidiaries, the “Company”) is a designer and manufacturer of analog and mixed-signal semiconductor platform solutions for communication, Internet of Things (“IoT”), consumer, computing, industrial and automotive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standard products business includes its Display Solutions and Power Solutions business lines. The Company’s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The Company’s Power Solutions products include discrete and integrated circuit solutions for power management in communication, consumer, computing, servers, automotive, and industrial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1, 2020, the Company completed the sale of the Company’s Foundry Services Group business and its fabrication facility located in Cheongju, Korea, known as “Fab 4”, to SK keyfoundry Inc., a Korean corporation (“SK keyfoundry”). Following the consummation of the sale, the Company provided SK keyfoundry with transitional foundry services associated with its fabrication facility located in Gumi, Korea, known as “Fab 3”, at an agreed upon cost plus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mark-up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“Transitional Fab 3 Foundry Services”). The contractual obligation to provide the Transitional Fab 3 Foundry Services ended August 31, 2023, and the Company is planning to wind down these foundry services and convert portions of the idle capacity to Power Solutions standard products beginning around the second half of 2024. Because these foundry services during the wind-down period are still provided to SK keyfoundry by the Company using its Fab 3 based on mutually agreed terms and conditions, the Company will continue to report its revenue from providing these foundry services and related cost of sales within the Transitional Fab 3 Foundry Services line in its consolidated statement of operations until such wind down is completed.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consolidated financial statements are presented in accordance with U.S. GAAP.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Significant accounting policies followed by the Company in the preparation of the accompanying consolidated financial statements are summarized below.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Principles of Consolidation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consolidated financial statements include the accounts of the Company including its wholly-owned subsidiaries. All intercompany transactions and balances are eliminated in consolidation.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Use of Estimates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stock-based compensation, property, plant and equipment, leases, other long-lived assets, long-term employee benefits, and contingent liabilities, estimated future cash flows and other assumptions used in long-lived asset impairment tests, and calculation of current and deferred income taxes and deferred tax valuation allowances,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among others. Although these estimates and assumptions are based on management’s best knowledge of current events and actions that the Company may undertake in the future, actual results may be significantly different from the estimates.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Foreign Currency Translation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assessed in accordance with ASC 830, “Foreign Currency Matters” (“ASC 830”),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functional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currency of each of its subsidiaries in Luxembourg and the Netherlands and has designated the U.S. dollar to be their respective functional currencies. The Korean Won is the functional currency for the Company’s Korean subsidiary, Magnachip Semiconductor, Ltd,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end-of-period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income or loss of stockholders’ equity. Foreign currency translation gains or losses on transactions by the Company or its subsidiaries in a currency other than its or its subsidiaries’ functional currency are included in foreign currency gain (loss), net in its statements of operations.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Cash and Cash Equivalents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Cash equivalents consist of highly liquid investments with an original maturity date of three months or less when purchased.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Accounts Receivable Reserves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makes estimates of expected credit losses for the allowance for credit losses based upon its assessment of various factors, including historical collection experience, the age of the accounts receivable balances, current economic conditions, reasonable and supportable forecasts of future economic conditions, and other factors that may affect its ability to collect from customers. The Company also records an estimate for sales returns, included within accounts receivable, net, based on the historical experience of the amount of goods that will be returned and refunded or replaced.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Sales of Accounts Receivable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Inventories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Inventories are stated at the lower of cost or net realizable value, using the first in, first out method (“FIFO”). If net realizable value is less than cost at the balance sheet date, the carrying amount is reduced to the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the Company’s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the Company’s fabrication facility. In case the capacity utilization is lower than a certain level that management believes to be normal, the fixed overhead costs per production unit which exceeds those under normal capacity are charged to cost of sales rather than capitalized as inventories.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Advances to Suppliers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from time to time, may make advances in form of prepayments or deposits to suppliers, including external foundries, to meet its planned production. The Company recorded advances of $3,883 thousand and $6,605 thousand as other current assets as of December 31, 2023 and 2022,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Property, Plant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plant and equipment are stated at cost, less accumulated depreciation. Depreciation is computed using the straight-line method over the estimated useful lives of the assets as set forth below. </w:t>
      </w:r>
    </w:p>
    <w:p>
      <w:pPr>
        <w:pStyle w:val="TextBody"/>
        <w:bidi w:val="0"/>
        <w:spacing w:before="0" w:after="0"/>
        <w:jc w:val="left"/>
        <w:rPr>
          <w:shd w:fill="FFFFFF" w:val="clear"/>
        </w:rPr>
      </w:pPr>
      <w:r>
        <w:rPr>
          <w:shd w:fill="FFFFFF" w:val="clear"/>
        </w:rPr>
        <w:t> </w:t>
      </w:r>
    </w:p>
    <w:tbl>
      <w:tblPr>
        <w:tblW w:w="3700" w:type="dxa"/>
        <w:jc w:val="left"/>
        <w:tblInd w:w="0" w:type="dxa"/>
        <w:tblLayout w:type="fixed"/>
        <w:tblCellMar>
          <w:top w:w="0" w:type="dxa"/>
          <w:left w:w="0" w:type="dxa"/>
          <w:bottom w:w="0" w:type="dxa"/>
          <w:right w:w="0" w:type="dxa"/>
        </w:tblCellMar>
      </w:tblPr>
      <w:tblGrid>
        <w:gridCol w:w="2195"/>
        <w:gridCol w:w="120"/>
        <w:gridCol w:w="60"/>
        <w:gridCol w:w="1250"/>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30 - 40 years</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Building related structures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10 - 20 years</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10 - 12 years</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3 - 10 years</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Routin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 maintenance and repairs are charged to expense as incurred. Expenditures that enhance the value or significantly extend the useful lives of the related assets are capitalized.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Impairment of Long-Lived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the related liabilities are recorded as operating lease liabilities for the current portion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lease liabilities for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portion. Finance lease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are included in property, plant and equipment, net and the related lease liabilities are included in other current liabilities and other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liabilities on the consolidated balance sheets.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represent the Company’s right to use an underlying asset during the lease term and lease liabilities represent the Company’s obligation to make lease payments arising from the lease.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Finance lease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are amortized on a straight-line basis over the respective lease term with the interest expense on the lease liability recorded using the interest method. The amortization and interest expense are recorded separately in the consolidated statements of operations. Amortization of operating lease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and interest expense on operating lease liabilities are recognized on a straight-line basis over the respective lease term.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 extension or contraction of a lease term is considered if the related option to extend or early terminate the lease is reasonably certain to be exercised by the Company. Operating lease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may also include any advance lease payments made and exclude lease incentives and initial direct costs incurred. The Company has lease agreements with lease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which are generally accounted for separately. For certain equipment leases, lease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are accounted for as a single lease component.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does not recognize operating lease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and operating lease liabilities that arise from short-term leases but rather recognizes fixed lease payments in the statements of operations on a straight-line basis and variable payments in the period in which the related obligations incur.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Intellectual property assets acquired represent rights under patents, trademarks and property use rights and are amortized over their respective periods of benefit, ranging up to ten years, on a straight-line basis.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Fair Value Disclosures of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follows ASC 820, “Fair Value Measurements and Disclosures” (“ASC 820”)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identical assets or liabilities and the lowest priority to unobservable inputs. The three levels of fair value hierarchy defined by ASC 820 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Level 1—Inputs are unadjusted, quoted prices in active markets for identical assets or liabilities at the measurement date.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Level 2—Inputs (other than quoted market prices included in Level 1) are either directly or indirectly observable for the asset or liability through correlation with market data at the measurement date and for the duration of the instrument’s anticipated life.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Accrued Severance Benefits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majority of accrued severance benefits are for employees in the Company’s Korean subsidiary, Magnachip Semiconductor, Ltd.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2023, 96% of all employees of the Company were eligible for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Beginning in July 2018, the Company began contributing to certain severance insurance deposit accounts a percentage of severance benefits, which may be adjusted from time to time, accrued for eligible employees for their services beginning January 1, 2018 pursuant to Employee Retirement Benefit Security Act of Korea. These accounts consist of time deposits and other guaranteed principal and interest accounts, and are maintained at insurance companies, banks or security companies for the benefit of the Company’s employees.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the National Pension Act of the Republic of Korea, a certain portion of accrued severance benefits was deposited with the National Pension Fund and deducted from the accrued severance benefits. The contributed amount is paid to employees from the National Pension Fund upon their retirement.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Revenue Recognition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sells products manufactured based on the Company’s design. The Company’s products are either standardized with an alternative use or the Company does not have an enforceable right to payment for the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related manufacturing services completed to date. Therefore, revenue for the products is recognized when a customer obtains control of the product, which is generally upon product shipment, delivery at the customer’s location or upon customer acceptance, depending on the terms of the arrangement.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statements of operations on a net basis.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provides warranties under which customers can return defective products. The Company estimates the costs related to warranty claims and repair or replacements, and records them as components of cost of sales.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addition, the Company offers sales returns (other than those that relate to defective products under warranty), cash discounts for early payments and sales incentives, and certain allowances to the Company’s customers, including the Company’s distributors. The Company records reserves for those returns, discounts, incentives and allowances as a deduction from sales, based on historical experience and other quantitative and qualitative factors.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$768 thousand, $1,060 thousand and $1,271 thousand for the years ended December 31, 2023, 2022 and 2021,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recorded deferred revenue of $1,036 thousand and $2,383 thousand as other current liabilities as of December 31, 2022 and 2021, respectively. Of the recorded deferred revenue, $1,011 thousand and $2,383 thousand were recognized as revenue during the years ended December 31, 2023 and 2022,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Advertising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expenses advertising costs as incurred. Advertising expenses were $68 thousand, $46 thousand and $71 thousand for the years ended December 31, 2023, 2022 and 2021,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Product Warranties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periodically assesses the adequacy of those recorded warranty liabilities and adjusts its estimates when necessary.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Derivative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applies the provisions of ASC 815, “Derivatives and Hedging” (“ASC 815”). This statement requires the recognition of all derivative instruments as either assets or liabilities measured at fair value.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 The Company does not offset derivative assets and liabilities within the consolidated balance sheets.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ASC 815, changes in the fair value of derivative instruments that are cash flow hedges are recognized in accumulated other comprehensive income or loss and reclassified into earnings in the period in which the hedged item affects earnings. Derivative instruments that do not qualify, or cease to qualify, as hedges must be adjusted to fair value and the adjustments are recorded through net income or loss.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cash flows from derivative instruments receiving hedge accounting treatment are classified in the same categories as the hedged items in the consolidated statements of cash flows.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Research and Development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Research and development expenses are expensed as incurred and include wafers, masks, employee expenses, contractor fees, building costs, utilities and administrative expenses.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Licensed Patents and Technologies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entered into a number of royalty agreements to license patents and technology used in the design of its products. The Company carries two types of royalties: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lump-sum</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running basis.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Lump-sum</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royalties, which require initial payments, usually paid in installments, represent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non-refundable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commitment, such that the total present value of these payments is recorded as a prepaid expense and a liability upon execution of the agreements and the costs are amortized over the contract period using the straight-line method and charged to research and development expenses in the consolidated statements of operations.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Running royalties are paid based on the revenue of related products sold by the Company.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Stock-Based Compensation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uses the Black-Scholes option-pricing model to measure the grant-date-fair-value of options. The Black-Scholes model requires certain assumptions to determine an option’s fair value, including expected term, risk free interest rate and expected volatility.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Earnings (Loss) Pe</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r Share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accordance with ASC 260, “Earnings Per Share”, the Company computes basic earnings per share by dividing net income or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and convertibles, using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if-converted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method. In determining the hypothetical shares repurchased, the Company uses the average share price for the period. In the case that earnings are negative, any potential common stock equivalents would have the effect of being anti-dilutive in the computation of net loss per share.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Income tax expense (benefit) is the tax payable (receivable) for the period and the change during the period in deferred tax assets and liabilities. Valuation allowances are established when it is necessary to reduce deferred tax assets to the amount expected to be realized. The evaluation of the recoverability of the deferred tax assets and the need for a valuation allowance requires management to weigh all positive and negative evidence to reach a conclusion that it is more likely than not that all or some portion of the deferred tax assets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recognizes and measures uncertain tax positions taken or expected to be taken in a tax return utilizing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two-step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process. In the first step, recognition, the Company determines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Concentration of Credit Risk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performs periodic credit evaluations of its customers’ financial condition and generally does not require collateral for customers on accounts receivable. The Company maintains reserves for potential credit losses, which are periodically reviewed.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 Accounting Pronouncements Not Yet Adopted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2023, the Financial Accounting Standards Board (“FASB”) issued Accounting Standards Update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2023-07,</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Segment Reporting (Topic 280): Improvements to Reportable Segment Disclosures”, which will require an entity to provide more detailed information about its reportable segment expenses that are included within management’s measurement of profit and loss and will require certain annual disclosures to be provided on an interim basis. The amendments in this ASU are effective for the Company in 2024 for annual reporting and in 2025 for interim reporting, with early adoption permitted beginning in 2024, and is required to be applied using the full retrospective method of transition. The Company is currently evaluating the impact of this accounting standard update on the Company’s segment disclosures.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2023,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2023-09,</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Income Taxes (Topic 740): Improvements to Income Tax Disclosures”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(“ASU 2023-09”),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is effective for annual periods beginning after December 15, 2024, though early adoption is permitted. The Company is currently evaluating the impact of this accounting standard update on its consolidated financial statements and related disclosures.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2. Fair Value Measurements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Fair Value of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the following table represents the Company’s assets and liabilities measured at fair value on a recurring basis and the basis for that measurement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302"/>
        <w:gridCol w:w="60"/>
        <w:gridCol w:w="526"/>
        <w:gridCol w:w="1429"/>
        <w:gridCol w:w="60"/>
        <w:gridCol w:w="60"/>
        <w:gridCol w:w="526"/>
        <w:gridCol w:w="1429"/>
        <w:gridCol w:w="60"/>
        <w:gridCol w:w="60"/>
        <w:gridCol w:w="332"/>
        <w:gridCol w:w="1440"/>
        <w:gridCol w:w="60"/>
        <w:gridCol w:w="60"/>
        <w:gridCol w:w="316"/>
        <w:gridCol w:w="859"/>
        <w:gridCol w:w="60"/>
        <w:gridCol w:w="60"/>
        <w:gridCol w:w="268"/>
        <w:gridCol w:w="1162"/>
        <w:gridCol w:w="76"/>
      </w:tblGrid>
      <w:tr>
        <w:trPr/>
        <w:tc>
          <w:tcPr>
            <w:tcW w:w="1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Liability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6" w:type="dxa"/>
            <w:tcBorders/>
            <w:vAlign w:val="center"/>
          </w:tcPr>
          <w:p>
            <w:pPr>
              <w:pStyle w:val="TableContents"/>
              <w:bidi w:val="0"/>
              <w:spacing w:before="0" w:after="283"/>
              <w:jc w:val="left"/>
              <w:rPr/>
            </w:pPr>
            <w:r>
              <w:rPr/>
              <w:t> </w:t>
            </w:r>
          </w:p>
        </w:tc>
      </w:tr>
      <w:tr>
        <w:trPr/>
        <w:tc>
          <w:tcPr>
            <w:tcW w:w="13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sz w:val="4"/>
                <w:szCs w:val="4"/>
              </w:rPr>
            </w:pPr>
            <w:r>
              <w:rPr>
                <w:sz w:val="4"/>
                <w:szCs w:val="4"/>
              </w:rPr>
            </w:r>
          </w:p>
        </w:tc>
        <w:tc>
          <w:tcPr>
            <w:tcW w:w="1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3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3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sz w:val="4"/>
                <w:szCs w:val="4"/>
              </w:rPr>
            </w:pPr>
            <w:r>
              <w:rPr>
                <w:sz w:val="4"/>
                <w:szCs w:val="4"/>
              </w:rPr>
            </w:r>
          </w:p>
        </w:tc>
        <w:tc>
          <w:tcPr>
            <w:tcW w:w="1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3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Derivative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w:t>
            </w:r>
          </w:p>
          <w:p>
            <w:pPr>
              <w:pStyle w:val="TableContents"/>
              <w:bidi w:val="0"/>
              <w:spacing w:before="0" w:after="0"/>
              <w:jc w:val="left"/>
              <w:rPr>
                <w:rFonts w:ascii="Times New Roman" w:hAnsi="Times New Roman"/>
                <w:sz w:val="20"/>
              </w:rPr>
            </w:pPr>
            <w:r>
              <w:rPr>
                <w:rFonts w:ascii="Times New Roman" w:hAnsi="Times New Roman"/>
                <w:sz w:val="20"/>
              </w:rPr>
              <w:t>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of December 31, 2022, the following table represents the Company’s liabilities measured at fair value on a recurring basis and the basis for that measurement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302"/>
        <w:gridCol w:w="60"/>
        <w:gridCol w:w="391"/>
        <w:gridCol w:w="1564"/>
        <w:gridCol w:w="60"/>
        <w:gridCol w:w="60"/>
        <w:gridCol w:w="391"/>
        <w:gridCol w:w="1564"/>
        <w:gridCol w:w="60"/>
        <w:gridCol w:w="60"/>
        <w:gridCol w:w="332"/>
        <w:gridCol w:w="1440"/>
        <w:gridCol w:w="60"/>
        <w:gridCol w:w="60"/>
        <w:gridCol w:w="235"/>
        <w:gridCol w:w="940"/>
        <w:gridCol w:w="60"/>
        <w:gridCol w:w="60"/>
        <w:gridCol w:w="268"/>
        <w:gridCol w:w="1162"/>
        <w:gridCol w:w="76"/>
      </w:tblGrid>
      <w:tr>
        <w:trPr/>
        <w:tc>
          <w:tcPr>
            <w:tcW w:w="1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Liability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6" w:type="dxa"/>
            <w:tcBorders/>
            <w:vAlign w:val="center"/>
          </w:tcPr>
          <w:p>
            <w:pPr>
              <w:pStyle w:val="TableContents"/>
              <w:bidi w:val="0"/>
              <w:spacing w:before="0" w:after="283"/>
              <w:jc w:val="left"/>
              <w:rPr/>
            </w:pPr>
            <w:r>
              <w:rPr/>
              <w:t> </w:t>
            </w:r>
          </w:p>
        </w:tc>
      </w:tr>
      <w:tr>
        <w:trPr/>
        <w:tc>
          <w:tcPr>
            <w:tcW w:w="13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sz w:val="4"/>
                <w:szCs w:val="4"/>
              </w:rPr>
            </w:pPr>
            <w:r>
              <w:rPr>
                <w:sz w:val="4"/>
                <w:szCs w:val="4"/>
              </w:rPr>
            </w:r>
          </w:p>
        </w:tc>
        <w:tc>
          <w:tcPr>
            <w:tcW w:w="1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3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Derivative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w:t>
            </w:r>
          </w:p>
          <w:p>
            <w:pPr>
              <w:pStyle w:val="TableContents"/>
              <w:bidi w:val="0"/>
              <w:spacing w:before="0" w:after="0"/>
              <w:jc w:val="left"/>
              <w:rPr>
                <w:rFonts w:ascii="Times New Roman" w:hAnsi="Times New Roman"/>
                <w:sz w:val="20"/>
              </w:rPr>
            </w:pPr>
            <w:r>
              <w:rPr>
                <w:rFonts w:ascii="Times New Roman" w:hAnsi="Times New Roman"/>
                <w:sz w:val="20"/>
              </w:rPr>
              <w:t>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Fair Values Measured on a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Non-recurring</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Basis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non-financial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such as property, plant and equipment, and intangible assets are recorded at fair value upon acquisition and are remeasured at fair value only if an impairment charge is recognized. As of December 31, 2023 and 2022, the Company did not have any assets or liabilities measured at fair value on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non-recurring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3. Accounts Receivable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Accounts receivable as of December 31, 2023 and 2022 consisted of the following (in thousands): </w:t>
      </w:r>
    </w:p>
    <w:p>
      <w:pPr>
        <w:pStyle w:val="TextBody"/>
        <w:bidi w:val="0"/>
        <w:spacing w:before="0" w:after="0"/>
        <w:jc w:val="left"/>
        <w:rPr>
          <w:shd w:fill="FFFFFF" w:val="clear"/>
        </w:rPr>
      </w:pPr>
      <w:r>
        <w:rPr>
          <w:shd w:fill="FFFFFF" w:val="clear"/>
        </w:rPr>
        <w:t> </w:t>
      </w:r>
    </w:p>
    <w:tbl>
      <w:tblPr>
        <w:tblW w:w="4415" w:type="dxa"/>
        <w:jc w:val="left"/>
        <w:tblInd w:w="0" w:type="dxa"/>
        <w:tblLayout w:type="fixed"/>
        <w:tblCellMar>
          <w:top w:w="0" w:type="dxa"/>
          <w:left w:w="0" w:type="dxa"/>
          <w:bottom w:w="0" w:type="dxa"/>
          <w:right w:w="0" w:type="dxa"/>
        </w:tblCellMar>
      </w:tblPr>
      <w:tblGrid>
        <w:gridCol w:w="2210"/>
        <w:gridCol w:w="120"/>
        <w:gridCol w:w="140"/>
        <w:gridCol w:w="680"/>
        <w:gridCol w:w="155"/>
        <w:gridCol w:w="120"/>
        <w:gridCol w:w="140"/>
        <w:gridCol w:w="680"/>
        <w:gridCol w:w="170"/>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33,024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35,610</w:t>
            </w:r>
          </w:p>
        </w:tc>
        <w:tc>
          <w:tcPr>
            <w:tcW w:w="17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(79</w:t>
            </w:r>
          </w:p>
        </w:tc>
        <w:tc>
          <w:tcPr>
            <w:tcW w:w="17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return reserves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(183</w:t>
            </w:r>
          </w:p>
        </w:tc>
        <w:tc>
          <w:tcPr>
            <w:tcW w:w="17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32,641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35,380</w:t>
            </w:r>
          </w:p>
        </w:tc>
        <w:tc>
          <w:tcPr>
            <w:tcW w:w="17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allowance for credit losses for the years ended December 31, 2023, 2022 and 2021 are as follows (in thousands): </w:t>
      </w:r>
    </w:p>
    <w:p>
      <w:pPr>
        <w:pStyle w:val="TextBody"/>
        <w:bidi w:val="0"/>
        <w:spacing w:before="0" w:after="0"/>
        <w:jc w:val="left"/>
        <w:rPr>
          <w:shd w:fill="FFFFFF" w:val="clear"/>
        </w:rPr>
      </w:pPr>
      <w:r>
        <w:rPr>
          <w:shd w:fill="FFFFFF" w:val="clear"/>
        </w:rPr>
        <w:t> </w:t>
      </w:r>
    </w:p>
    <w:tbl>
      <w:tblPr>
        <w:tblW w:w="5816" w:type="dxa"/>
        <w:jc w:val="left"/>
        <w:tblInd w:w="0" w:type="dxa"/>
        <w:tblLayout w:type="fixed"/>
        <w:tblCellMar>
          <w:top w:w="0" w:type="dxa"/>
          <w:left w:w="0" w:type="dxa"/>
          <w:bottom w:w="0" w:type="dxa"/>
          <w:right w:w="0" w:type="dxa"/>
        </w:tblCellMar>
      </w:tblPr>
      <w:tblGrid>
        <w:gridCol w:w="1985"/>
        <w:gridCol w:w="120"/>
        <w:gridCol w:w="214"/>
        <w:gridCol w:w="765"/>
        <w:gridCol w:w="170"/>
        <w:gridCol w:w="132"/>
        <w:gridCol w:w="214"/>
        <w:gridCol w:w="765"/>
        <w:gridCol w:w="170"/>
        <w:gridCol w:w="132"/>
        <w:gridCol w:w="214"/>
        <w:gridCol w:w="765"/>
        <w:gridCol w:w="170"/>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41"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2023 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(79</w:t>
            </w:r>
          </w:p>
        </w:tc>
        <w:tc>
          <w:tcPr>
            <w:tcW w:w="1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(466</w:t>
            </w:r>
          </w:p>
        </w:tc>
        <w:tc>
          <w:tcPr>
            <w:tcW w:w="1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(188</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(302</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378</w:t>
            </w:r>
          </w:p>
        </w:tc>
        <w:tc>
          <w:tcPr>
            <w:tcW w:w="1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(78</w:t>
            </w:r>
          </w:p>
        </w:tc>
        <w:tc>
          <w:tcPr>
            <w:tcW w:w="1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(79</w:t>
            </w:r>
          </w:p>
        </w:tc>
        <w:tc>
          <w:tcPr>
            <w:tcW w:w="1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(466</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7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7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7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Changes in sales return reserves for the years ended December 31, 2023, 2022 and 2021 are as follows (in thousands): </w:t>
      </w:r>
    </w:p>
    <w:p>
      <w:pPr>
        <w:pStyle w:val="TextBody"/>
        <w:bidi w:val="0"/>
        <w:spacing w:before="0" w:after="0"/>
        <w:jc w:val="left"/>
        <w:rPr>
          <w:shd w:fill="FFFFFF" w:val="clear"/>
        </w:rPr>
      </w:pPr>
      <w:r>
        <w:rPr>
          <w:shd w:fill="FFFFFF" w:val="clear"/>
        </w:rPr>
        <w:t> </w:t>
      </w:r>
    </w:p>
    <w:tbl>
      <w:tblPr>
        <w:tblW w:w="5850" w:type="dxa"/>
        <w:jc w:val="left"/>
        <w:tblInd w:w="0" w:type="dxa"/>
        <w:tblLayout w:type="fixed"/>
        <w:tblCellMar>
          <w:top w:w="0" w:type="dxa"/>
          <w:left w:w="0" w:type="dxa"/>
          <w:bottom w:w="0" w:type="dxa"/>
          <w:right w:w="0" w:type="dxa"/>
        </w:tblCellMar>
      </w:tblPr>
      <w:tblGrid>
        <w:gridCol w:w="1985"/>
        <w:gridCol w:w="120"/>
        <w:gridCol w:w="230"/>
        <w:gridCol w:w="749"/>
        <w:gridCol w:w="180"/>
        <w:gridCol w:w="139"/>
        <w:gridCol w:w="230"/>
        <w:gridCol w:w="749"/>
        <w:gridCol w:w="180"/>
        <w:gridCol w:w="139"/>
        <w:gridCol w:w="230"/>
        <w:gridCol w:w="749"/>
        <w:gridCol w:w="170"/>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7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2023 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(183</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(185</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(173</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Reversal (provision)</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(162</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(11</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Usage</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13</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15</w:t>
            </w:r>
          </w:p>
        </w:tc>
        <w:tc>
          <w:tcPr>
            <w:tcW w:w="17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749" w:type="dxa"/>
            <w:tcBorders/>
            <w:vAlign w:val="center"/>
          </w:tcPr>
          <w:p>
            <w:pPr>
              <w:pStyle w:val="TableContents"/>
              <w:bidi w:val="0"/>
              <w:spacing w:before="0" w:after="0"/>
              <w:jc w:val="left"/>
              <w:rPr>
                <w:bdr w:val="single" w:sz="2" w:space="1" w:color="000000"/>
              </w:rPr>
            </w:pPr>
            <w:r>
              <w:rPr>
                <w:bdr w:val="single" w:sz="2" w:space="1" w:color="000000"/>
              </w:rPr>
              <w:t>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749" w:type="dxa"/>
            <w:tcBorders/>
            <w:vAlign w:val="center"/>
          </w:tcPr>
          <w:p>
            <w:pPr>
              <w:pStyle w:val="TableContents"/>
              <w:bidi w:val="0"/>
              <w:spacing w:before="0" w:after="0"/>
              <w:jc w:val="left"/>
              <w:rPr>
                <w:bdr w:val="single" w:sz="2" w:space="1" w:color="000000"/>
              </w:rPr>
            </w:pPr>
            <w:r>
              <w:rPr>
                <w:bdr w:val="single" w:sz="2" w:space="1" w:color="000000"/>
              </w:rPr>
              <w:t>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74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(348</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(183</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(185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Commencing in March 2012, the Company has been a party to an agreement to sell selected trade accounts receivable to a financial institution from time to time. After a sale, the Company does not retain any interest in the receivables and the applicable financial institution collects these accounts receivable directly from the customer. There were no sale of accounts receivable for the years ended December 31, 2023, 2022 and 2021. Net proceeds of this accounts receivable sale program are recognized in the consolidated statements of cash flows as part of operating cash flows.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uses receivable discount programs with certain customers. These discount arrangements allow the Company to accelerate collection of customers’ receivables.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Inventories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Inventories as of December 31, 2023 and 2022 consist of the following (in thousands): </w:t>
      </w:r>
    </w:p>
    <w:p>
      <w:pPr>
        <w:pStyle w:val="TextBody"/>
        <w:bidi w:val="0"/>
        <w:spacing w:before="0" w:after="0"/>
        <w:jc w:val="left"/>
        <w:rPr>
          <w:shd w:fill="FFFFFF" w:val="clear"/>
        </w:rPr>
      </w:pPr>
      <w:r>
        <w:rPr>
          <w:shd w:fill="FFFFFF" w:val="clear"/>
        </w:rPr>
        <w:t> </w:t>
      </w:r>
    </w:p>
    <w:tbl>
      <w:tblPr>
        <w:tblW w:w="4445" w:type="dxa"/>
        <w:jc w:val="left"/>
        <w:tblInd w:w="0" w:type="dxa"/>
        <w:tblLayout w:type="fixed"/>
        <w:tblCellMar>
          <w:top w:w="0" w:type="dxa"/>
          <w:left w:w="0" w:type="dxa"/>
          <w:bottom w:w="0" w:type="dxa"/>
          <w:right w:w="0" w:type="dxa"/>
        </w:tblCellMar>
      </w:tblPr>
      <w:tblGrid>
        <w:gridCol w:w="2090"/>
        <w:gridCol w:w="120"/>
        <w:gridCol w:w="140"/>
        <w:gridCol w:w="755"/>
        <w:gridCol w:w="155"/>
        <w:gridCol w:w="120"/>
        <w:gridCol w:w="140"/>
        <w:gridCol w:w="755"/>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8,432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6,799</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29,339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40,265</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7,460</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(14,677</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32,733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39,883</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inventory reserve for the years ended December 31, 2023, 2022 and 2021 are as follows (in thousands): </w:t>
      </w:r>
    </w:p>
    <w:p>
      <w:pPr>
        <w:pStyle w:val="TextBody"/>
        <w:bidi w:val="0"/>
        <w:spacing w:before="0" w:after="0"/>
        <w:jc w:val="left"/>
        <w:rPr>
          <w:shd w:fill="FFFFFF" w:val="clear"/>
        </w:rPr>
      </w:pPr>
      <w:r>
        <w:rPr>
          <w:shd w:fill="FFFFFF" w:val="clear"/>
        </w:rPr>
        <w:t> </w:t>
      </w:r>
    </w:p>
    <w:tbl>
      <w:tblPr>
        <w:tblW w:w="7217" w:type="dxa"/>
        <w:jc w:val="left"/>
        <w:tblInd w:w="0" w:type="dxa"/>
        <w:tblLayout w:type="fixed"/>
        <w:tblCellMar>
          <w:top w:w="0" w:type="dxa"/>
          <w:left w:w="0" w:type="dxa"/>
          <w:bottom w:w="0" w:type="dxa"/>
          <w:right w:w="0" w:type="dxa"/>
        </w:tblCellMar>
      </w:tblPr>
      <w:tblGrid>
        <w:gridCol w:w="3440"/>
        <w:gridCol w:w="120"/>
        <w:gridCol w:w="153"/>
        <w:gridCol w:w="826"/>
        <w:gridCol w:w="155"/>
        <w:gridCol w:w="120"/>
        <w:gridCol w:w="153"/>
        <w:gridCol w:w="826"/>
        <w:gridCol w:w="155"/>
        <w:gridCol w:w="120"/>
        <w:gridCol w:w="177"/>
        <w:gridCol w:w="802"/>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7"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2023 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2022 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2021 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(14,677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(5,730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02" w:type="dxa"/>
            <w:tcBorders/>
            <w:shd w:fill="CCEEFF" w:val="clear"/>
            <w:vAlign w:val="center"/>
          </w:tcPr>
          <w:p>
            <w:pPr>
              <w:pStyle w:val="TableContents"/>
              <w:bidi w:val="0"/>
              <w:spacing w:before="0" w:after="283"/>
              <w:jc w:val="right"/>
              <w:rPr/>
            </w:pPr>
            <w:r>
              <w:rPr/>
              <w:t>(5,901</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reserve</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(9,360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(13,310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(7,626</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previously reserved inventory</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5,528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3,631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5,349</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0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(3,832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(9,679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(2,277</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7,552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582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1,875</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573</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0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(10,599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(14,677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283"/>
              <w:jc w:val="right"/>
              <w:rPr/>
            </w:pPr>
            <w:r>
              <w:rPr/>
              <w:t>(5,730</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80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work-in-process</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and raw materials. Write off of this reserve is recognized only when the related inventory has been disposed or scrapped.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5. Property, Plant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plant and equipment as of December 31, 2023 and 2022 are comprised of the following (in thousands): </w:t>
      </w:r>
    </w:p>
    <w:p>
      <w:pPr>
        <w:pStyle w:val="TextBody"/>
        <w:bidi w:val="0"/>
        <w:spacing w:before="0" w:after="0"/>
        <w:jc w:val="left"/>
        <w:rPr>
          <w:shd w:fill="FFFFFF" w:val="clear"/>
        </w:rPr>
      </w:pPr>
      <w:r>
        <w:rPr>
          <w:shd w:fill="FFFFFF" w:val="clear"/>
        </w:rPr>
        <w:t> </w:t>
      </w:r>
    </w:p>
    <w:tbl>
      <w:tblPr>
        <w:tblW w:w="5435" w:type="dxa"/>
        <w:jc w:val="left"/>
        <w:tblInd w:w="0" w:type="dxa"/>
        <w:tblLayout w:type="fixed"/>
        <w:tblCellMar>
          <w:top w:w="0" w:type="dxa"/>
          <w:left w:w="0" w:type="dxa"/>
          <w:bottom w:w="0" w:type="dxa"/>
          <w:right w:w="0" w:type="dxa"/>
        </w:tblCellMar>
      </w:tblPr>
      <w:tblGrid>
        <w:gridCol w:w="2840"/>
        <w:gridCol w:w="120"/>
        <w:gridCol w:w="140"/>
        <w:gridCol w:w="875"/>
        <w:gridCol w:w="155"/>
        <w:gridCol w:w="120"/>
        <w:gridCol w:w="140"/>
        <w:gridCol w:w="875"/>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24,532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24,780</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139,710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137,666</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389</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35,471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33,890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200,615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196,725</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(115,889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(101,502</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13,034</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100,122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110,747</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depreciation expenses totaled $16,068 thousand, $14,317 thousand and $13,495 thousand for the years ended December 31, 2023, 2022 and 2021,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6. 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as of December 31, 2023 and 2022 are comprised of the following (in thousands): </w:t>
      </w:r>
    </w:p>
    <w:p>
      <w:pPr>
        <w:pStyle w:val="TextBody"/>
        <w:bidi w:val="0"/>
        <w:spacing w:before="0" w:after="0"/>
        <w:jc w:val="left"/>
        <w:rPr>
          <w:shd w:fill="FFFFFF" w:val="clear"/>
        </w:rPr>
      </w:pPr>
      <w:r>
        <w:rPr>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9,150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(7,613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1,537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9,150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(7,613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1,537</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9,111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(7,181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1,930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9,111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(7,181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1,930</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amortization expense for intangible assets totaled $616 thousand, $683 thousand and $744 thousand for the years ended December 31, 2023, 2022 and 2021,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aggregate amortization expense of intangible assets for the next five years are estimated to be $490 thousand, $375 thousand, $272 thousand, $186 thousand and $120 thousand for the years ended December 31, 2024, 2025, 2026, 2027 and 2028,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7. 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operating and finance leases for buildings and other assets such as vehicles and office equipment. The Company’s leases have remaining lease terms ranging from 1 year to 4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tables below present financial information related to the Company’s leases.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Supplemental balance sheets information related to leases as of December 31, 2023 and 2022 are as follows (in thousands): </w:t>
      </w:r>
    </w:p>
    <w:p>
      <w:pPr>
        <w:pStyle w:val="TextBody"/>
        <w:bidi w:val="0"/>
        <w:spacing w:before="0" w:after="0"/>
        <w:jc w:val="left"/>
        <w:rPr>
          <w:shd w:fill="FFFFFF" w:val="clear"/>
        </w:rPr>
      </w:pPr>
      <w:r>
        <w:rPr>
          <w:shd w:fill="FFFFFF" w:val="clear"/>
        </w:rPr>
        <w:t> </w:t>
      </w:r>
    </w:p>
    <w:tbl>
      <w:tblPr>
        <w:tblW w:w="7245" w:type="dxa"/>
        <w:jc w:val="left"/>
        <w:tblInd w:w="0" w:type="dxa"/>
        <w:tblLayout w:type="fixed"/>
        <w:tblCellMar>
          <w:top w:w="0" w:type="dxa"/>
          <w:left w:w="0" w:type="dxa"/>
          <w:bottom w:w="0" w:type="dxa"/>
          <w:right w:w="0" w:type="dxa"/>
        </w:tblCellMar>
      </w:tblPr>
      <w:tblGrid>
        <w:gridCol w:w="1805"/>
        <w:gridCol w:w="120"/>
        <w:gridCol w:w="3545"/>
        <w:gridCol w:w="120"/>
        <w:gridCol w:w="140"/>
        <w:gridCol w:w="560"/>
        <w:gridCol w:w="60"/>
        <w:gridCol w:w="120"/>
        <w:gridCol w:w="140"/>
        <w:gridCol w:w="56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December 31,</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Leases</w:t>
            </w:r>
          </w:p>
        </w:tc>
        <w:tc>
          <w:tcPr>
            <w:tcW w:w="120" w:type="dxa"/>
            <w:tcBorders/>
            <w:vAlign w:val="center"/>
          </w:tcPr>
          <w:p>
            <w:pPr>
              <w:pStyle w:val="TableContents"/>
              <w:bidi w:val="0"/>
              <w:spacing w:before="0" w:after="283"/>
              <w:jc w:val="left"/>
              <w:rPr/>
            </w:pPr>
            <w:r>
              <w:rPr/>
              <w:t>  </w:t>
            </w:r>
          </w:p>
        </w:tc>
        <w:tc>
          <w:tcPr>
            <w:tcW w:w="3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Classification</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spacing w:val="0"/>
              </w:rPr>
            </w:pPr>
            <w:r>
              <w:rPr>
                <w:spacing w:val="0"/>
              </w:rPr>
              <w:t>Operating lease right-of-use</w:t>
            </w:r>
          </w:p>
          <w:p>
            <w:pPr>
              <w:pStyle w:val="TableContents"/>
              <w:bidi w:val="0"/>
              <w:spacing w:before="0" w:after="0"/>
              <w:jc w:val="left"/>
              <w:rPr/>
            </w:pPr>
            <w:r>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4,639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5,265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0"/>
              <w:jc w:val="left"/>
              <w:rPr/>
            </w:pPr>
            <w:r>
              <w:rPr/>
              <w:t>Property, plant</w:t>
            </w:r>
          </w:p>
          <w:p>
            <w:pPr>
              <w:pStyle w:val="TableContents"/>
              <w:bidi w:val="0"/>
              <w:spacing w:before="0" w:after="0"/>
              <w:jc w:val="left"/>
              <w:rPr/>
            </w:pPr>
            <w:r>
              <w:rPr/>
              <w:t> </w:t>
            </w:r>
            <w:r>
              <w:rPr/>
              <w:t>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143</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assets</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5,408</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1,397</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pPr>
            <w:r>
              <w:rPr/>
              <w:t>Other current</w:t>
            </w:r>
          </w:p>
          <w:p>
            <w:pPr>
              <w:pStyle w:val="TableContents"/>
              <w:bidi w:val="0"/>
              <w:spacing w:before="0" w:after="0"/>
              <w:jc w:val="left"/>
              <w:rPr/>
            </w:pPr>
            <w:r>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spacing w:val="0"/>
              </w:rPr>
            </w:pPr>
            <w:r>
              <w:rPr>
                <w:spacing w:val="0"/>
              </w:rPr>
              <w:t>Non-current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4,091</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0"/>
              <w:jc w:val="left"/>
              <w:rPr/>
            </w:pPr>
            <w:r>
              <w:rPr/>
              <w:t xml:space="preserve">Other </w:t>
            </w:r>
          </w:p>
          <w:p>
            <w:pPr>
              <w:pStyle w:val="TableContents"/>
              <w:bidi w:val="0"/>
              <w:spacing w:before="0" w:after="0"/>
              <w:jc w:val="left"/>
              <w:rPr>
                <w:spacing w:val="0"/>
              </w:rPr>
            </w:pPr>
            <w:r>
              <w:rPr>
                <w:spacing w:val="0"/>
              </w:rPr>
              <w:t>non-current</w:t>
            </w:r>
          </w:p>
          <w:p>
            <w:pPr>
              <w:pStyle w:val="TableContents"/>
              <w:bidi w:val="0"/>
              <w:spacing w:before="0" w:after="0"/>
              <w:jc w:val="left"/>
              <w:rPr/>
            </w:pPr>
            <w:r>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5,389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5,641</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presents the weighted average remaining lease term and discount rate: </w:t>
      </w:r>
    </w:p>
    <w:p>
      <w:pPr>
        <w:pStyle w:val="TextBody"/>
        <w:bidi w:val="0"/>
        <w:spacing w:before="0" w:after="0"/>
        <w:jc w:val="left"/>
        <w:rPr>
          <w:shd w:fill="FFFFFF" w:val="clear"/>
        </w:rPr>
      </w:pPr>
      <w:r>
        <w:rPr>
          <w:shd w:fill="FFFFFF" w:val="clear"/>
        </w:rPr>
        <w:t> </w:t>
      </w:r>
    </w:p>
    <w:tbl>
      <w:tblPr>
        <w:tblW w:w="6040" w:type="dxa"/>
        <w:jc w:val="left"/>
        <w:tblInd w:w="0" w:type="dxa"/>
        <w:tblLayout w:type="fixed"/>
        <w:tblCellMar>
          <w:top w:w="0" w:type="dxa"/>
          <w:left w:w="0" w:type="dxa"/>
          <w:bottom w:w="0" w:type="dxa"/>
          <w:right w:w="0" w:type="dxa"/>
        </w:tblCellMar>
      </w:tblPr>
      <w:tblGrid>
        <w:gridCol w:w="3425"/>
        <w:gridCol w:w="120"/>
        <w:gridCol w:w="60"/>
        <w:gridCol w:w="875"/>
        <w:gridCol w:w="275"/>
        <w:gridCol w:w="60"/>
        <w:gridCol w:w="60"/>
        <w:gridCol w:w="875"/>
        <w:gridCol w:w="29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remaining lease term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 years</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 years</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discount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7.6</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components of lease cost included in the Company’s consolidated statements of operations, are as follows (in thousands): </w:t>
      </w:r>
    </w:p>
    <w:p>
      <w:pPr>
        <w:pStyle w:val="TextBody"/>
        <w:bidi w:val="0"/>
        <w:spacing w:before="0" w:after="0"/>
        <w:jc w:val="left"/>
        <w:rPr>
          <w:shd w:fill="FFFFFF" w:val="clear"/>
        </w:rPr>
      </w:pPr>
      <w:r>
        <w:rPr>
          <w:shd w:fill="FFFFFF" w:val="clear"/>
        </w:rPr>
        <w:t> </w:t>
      </w:r>
    </w:p>
    <w:tbl>
      <w:tblPr>
        <w:tblW w:w="5075" w:type="dxa"/>
        <w:jc w:val="left"/>
        <w:tblInd w:w="0" w:type="dxa"/>
        <w:tblLayout w:type="fixed"/>
        <w:tblCellMar>
          <w:top w:w="0" w:type="dxa"/>
          <w:left w:w="0" w:type="dxa"/>
          <w:bottom w:w="0" w:type="dxa"/>
          <w:right w:w="0" w:type="dxa"/>
        </w:tblCellMar>
      </w:tblPr>
      <w:tblGrid>
        <w:gridCol w:w="2165"/>
        <w:gridCol w:w="120"/>
        <w:gridCol w:w="154"/>
        <w:gridCol w:w="619"/>
        <w:gridCol w:w="66"/>
        <w:gridCol w:w="132"/>
        <w:gridCol w:w="154"/>
        <w:gridCol w:w="619"/>
        <w:gridCol w:w="66"/>
        <w:gridCol w:w="132"/>
        <w:gridCol w:w="154"/>
        <w:gridCol w:w="619"/>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2,071</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2,261</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2,777</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147</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68</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65</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31</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10</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9" w:type="dxa"/>
            <w:tcBorders/>
            <w:vAlign w:val="center"/>
          </w:tcPr>
          <w:p>
            <w:pPr>
              <w:pStyle w:val="TableContents"/>
              <w:bidi w:val="0"/>
              <w:spacing w:before="0" w:after="0"/>
              <w:jc w:val="left"/>
              <w:rPr>
                <w:bdr w:val="single" w:sz="2" w:space="1" w:color="000000"/>
              </w:rPr>
            </w:pPr>
            <w:r>
              <w:rPr>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9" w:type="dxa"/>
            <w:tcBorders/>
            <w:vAlign w:val="center"/>
          </w:tcPr>
          <w:p>
            <w:pPr>
              <w:pStyle w:val="TableContents"/>
              <w:bidi w:val="0"/>
              <w:spacing w:before="0" w:after="0"/>
              <w:jc w:val="left"/>
              <w:rPr>
                <w:bdr w:val="single" w:sz="2" w:space="1" w:color="000000"/>
              </w:rPr>
            </w:pPr>
            <w:r>
              <w:rPr>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2,249</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2,339</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2,856</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9" w:type="dxa"/>
            <w:tcBorders/>
            <w:vAlign w:val="center"/>
          </w:tcPr>
          <w:p>
            <w:pPr>
              <w:pStyle w:val="TableContents"/>
              <w:bidi w:val="0"/>
              <w:spacing w:before="0" w:after="0"/>
              <w:jc w:val="left"/>
              <w:rPr>
                <w:bdr w:val="double" w:sz="6" w:space="1" w:color="000000"/>
              </w:rPr>
            </w:pPr>
            <w:r>
              <w:rPr>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9" w:type="dxa"/>
            <w:tcBorders/>
            <w:vAlign w:val="center"/>
          </w:tcPr>
          <w:p>
            <w:pPr>
              <w:pStyle w:val="TableContents"/>
              <w:bidi w:val="0"/>
              <w:spacing w:before="0" w:after="0"/>
              <w:jc w:val="left"/>
              <w:rPr>
                <w:bdr w:val="double" w:sz="6" w:space="1" w:color="000000"/>
              </w:rPr>
            </w:pPr>
            <w:r>
              <w:rPr>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above table does not include an immaterial cost of short-term leases for the years ended December 31, 2023, 2022 and 2021.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Other lease information is as follows (in thousands): </w:t>
      </w:r>
    </w:p>
    <w:p>
      <w:pPr>
        <w:pStyle w:val="TextBody"/>
        <w:bidi w:val="0"/>
        <w:spacing w:before="0" w:after="0"/>
        <w:jc w:val="left"/>
        <w:rPr>
          <w:shd w:fill="FFFFFF" w:val="clear"/>
        </w:rPr>
      </w:pPr>
      <w:r>
        <w:rPr>
          <w:shd w:fill="FFFFFF" w:val="clear"/>
        </w:rPr>
        <w:t> </w:t>
      </w:r>
    </w:p>
    <w:tbl>
      <w:tblPr>
        <w:tblW w:w="8825" w:type="dxa"/>
        <w:jc w:val="left"/>
        <w:tblInd w:w="0" w:type="dxa"/>
        <w:tblLayout w:type="fixed"/>
        <w:tblCellMar>
          <w:top w:w="0" w:type="dxa"/>
          <w:left w:w="0" w:type="dxa"/>
          <w:bottom w:w="0" w:type="dxa"/>
          <w:right w:w="0" w:type="dxa"/>
        </w:tblCellMar>
      </w:tblPr>
      <w:tblGrid>
        <w:gridCol w:w="5915"/>
        <w:gridCol w:w="120"/>
        <w:gridCol w:w="154"/>
        <w:gridCol w:w="619"/>
        <w:gridCol w:w="66"/>
        <w:gridCol w:w="132"/>
        <w:gridCol w:w="154"/>
        <w:gridCol w:w="619"/>
        <w:gridCol w:w="66"/>
        <w:gridCol w:w="132"/>
        <w:gridCol w:w="154"/>
        <w:gridCol w:w="619"/>
        <w:gridCol w:w="75"/>
      </w:tblGrid>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19"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19"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1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2,118</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2,276</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2,777</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finance leases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31</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10</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cash flows from finance leases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91</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70</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transaction amounts of lease liabilities arising from obtaining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were $1,909 thousand, $4,601 thousand and $2,768 thousand for the years ended December 31, 2023, 2022 and 2021,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aggregate future lease payments for operating and finance leases as of December 31, 2023 are as follows (in thousands): </w:t>
      </w:r>
    </w:p>
    <w:p>
      <w:pPr>
        <w:pStyle w:val="TextBody"/>
        <w:bidi w:val="0"/>
        <w:spacing w:before="0" w:after="0"/>
        <w:jc w:val="left"/>
        <w:rPr>
          <w:shd w:fill="FFFFFF" w:val="clear"/>
        </w:rPr>
      </w:pPr>
      <w:r>
        <w:rPr>
          <w:shd w:fill="FFFFFF" w:val="clear"/>
        </w:rPr>
        <w:t> </w:t>
      </w:r>
    </w:p>
    <w:tbl>
      <w:tblPr>
        <w:tblW w:w="5125" w:type="dxa"/>
        <w:jc w:val="left"/>
        <w:tblInd w:w="0" w:type="dxa"/>
        <w:tblLayout w:type="fixed"/>
        <w:tblCellMar>
          <w:top w:w="0" w:type="dxa"/>
          <w:left w:w="0" w:type="dxa"/>
          <w:bottom w:w="0" w:type="dxa"/>
          <w:right w:w="0" w:type="dxa"/>
        </w:tblCellMar>
      </w:tblPr>
      <w:tblGrid>
        <w:gridCol w:w="2675"/>
        <w:gridCol w:w="120"/>
        <w:gridCol w:w="211"/>
        <w:gridCol w:w="844"/>
        <w:gridCol w:w="155"/>
        <w:gridCol w:w="120"/>
        <w:gridCol w:w="223"/>
        <w:gridCol w:w="607"/>
        <w:gridCol w:w="17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w:t>
              <w:br/>
              <w:t>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Finance</w:t>
            </w:r>
          </w:p>
          <w:p>
            <w:pPr>
              <w:pStyle w:val="TableContents"/>
              <w:bidi w:val="0"/>
              <w:spacing w:before="0" w:after="0"/>
              <w:jc w:val="center"/>
              <w:rPr>
                <w:b/>
                <w:spacing w:val="0"/>
              </w:rPr>
            </w:pPr>
            <w:r>
              <w:rPr>
                <w:b/>
                <w:spacing w:val="0"/>
              </w:rPr>
              <w:br/>
              <w:t>Leases</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2,169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183</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1,544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182</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966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168</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651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128</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5,330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661</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(519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(83</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future payments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4,811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578</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double" w:sz="6" w:space="1" w:color="000000"/>
              </w:rPr>
            </w:pPr>
            <w:r>
              <w:rPr>
                <w:bdr w:val="double" w:sz="6" w:space="1" w:color="000000"/>
              </w:rPr>
              <w:t> </w:t>
            </w:r>
          </w:p>
        </w:tc>
        <w:tc>
          <w:tcPr>
            <w:tcW w:w="84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60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8. 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as of December 31, 2023 and 2022 are comprised of the following (in thousands): </w:t>
      </w:r>
    </w:p>
    <w:p>
      <w:pPr>
        <w:pStyle w:val="TextBody"/>
        <w:bidi w:val="0"/>
        <w:spacing w:before="0" w:after="0"/>
        <w:jc w:val="left"/>
        <w:rPr>
          <w:shd w:fill="FFFFFF" w:val="clear"/>
        </w:rPr>
      </w:pPr>
      <w:r>
        <w:rPr>
          <w:shd w:fill="FFFFFF" w:val="clear"/>
        </w:rPr>
        <w:t> </w:t>
      </w:r>
    </w:p>
    <w:tbl>
      <w:tblPr>
        <w:tblW w:w="7105" w:type="dxa"/>
        <w:jc w:val="left"/>
        <w:tblInd w:w="0" w:type="dxa"/>
        <w:tblLayout w:type="fixed"/>
        <w:tblCellMar>
          <w:top w:w="0" w:type="dxa"/>
          <w:left w:w="0" w:type="dxa"/>
          <w:bottom w:w="0" w:type="dxa"/>
          <w:right w:w="0" w:type="dxa"/>
        </w:tblCellMar>
      </w:tblPr>
      <w:tblGrid>
        <w:gridCol w:w="5210"/>
        <w:gridCol w:w="120"/>
        <w:gridCol w:w="140"/>
        <w:gridCol w:w="680"/>
        <w:gridCol w:w="60"/>
        <w:gridCol w:w="120"/>
        <w:gridCol w:w="140"/>
        <w:gridCol w:w="560"/>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5,947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7,620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1,642</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383</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10,457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9,688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9. Derivative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Korean subsidiary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derivative contracts as of December 31, 2023 are as follows (in thousands): </w:t>
      </w:r>
    </w:p>
    <w:p>
      <w:pPr>
        <w:pStyle w:val="TextBody"/>
        <w:bidi w:val="0"/>
        <w:spacing w:before="0" w:after="0"/>
        <w:jc w:val="left"/>
        <w:rPr>
          <w:shd w:fill="FFFFFF" w:val="clear"/>
        </w:rPr>
      </w:pPr>
      <w:r>
        <w:rPr>
          <w:shd w:fill="FFFFFF" w:val="clear"/>
        </w:rPr>
        <w:t> </w:t>
      </w:r>
    </w:p>
    <w:tbl>
      <w:tblPr>
        <w:tblW w:w="9230" w:type="dxa"/>
        <w:jc w:val="left"/>
        <w:tblInd w:w="0" w:type="dxa"/>
        <w:tblLayout w:type="fixed"/>
        <w:tblCellMar>
          <w:top w:w="0" w:type="dxa"/>
          <w:left w:w="0" w:type="dxa"/>
          <w:bottom w:w="0" w:type="dxa"/>
          <w:right w:w="0" w:type="dxa"/>
        </w:tblCellMar>
      </w:tblPr>
      <w:tblGrid>
        <w:gridCol w:w="1445"/>
        <w:gridCol w:w="120"/>
        <w:gridCol w:w="72"/>
        <w:gridCol w:w="1793"/>
        <w:gridCol w:w="60"/>
        <w:gridCol w:w="120"/>
        <w:gridCol w:w="390"/>
        <w:gridCol w:w="1895"/>
        <w:gridCol w:w="60"/>
        <w:gridCol w:w="120"/>
        <w:gridCol w:w="315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Type of derivative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03, 2023</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Zero cost collar</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center"/>
              <w:rPr/>
            </w:pPr>
            <w:r>
              <w:rPr/>
              <w:t>January 2024 to June 2024</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09, 2023</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right"/>
              <w:rPr/>
            </w:pPr>
            <w:r>
              <w:rPr/>
              <w:t>Zero cost collar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center"/>
              <w:rPr/>
            </w:pPr>
            <w:r>
              <w:rPr/>
              <w:t>January 2024 to September 2024</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derivative contracts as of December 31, 2022 are as follows (in thousands): </w:t>
      </w:r>
    </w:p>
    <w:p>
      <w:pPr>
        <w:pStyle w:val="TextBody"/>
        <w:bidi w:val="0"/>
        <w:spacing w:before="0" w:after="0"/>
        <w:jc w:val="left"/>
        <w:rPr>
          <w:shd w:fill="FFFFFF" w:val="clear"/>
        </w:rPr>
      </w:pPr>
      <w:r>
        <w:rPr>
          <w:shd w:fill="FFFFFF" w:val="clear"/>
        </w:rPr>
        <w:t> </w:t>
      </w:r>
    </w:p>
    <w:tbl>
      <w:tblPr>
        <w:tblW w:w="9200" w:type="dxa"/>
        <w:jc w:val="left"/>
        <w:tblInd w:w="0" w:type="dxa"/>
        <w:tblLayout w:type="fixed"/>
        <w:tblCellMar>
          <w:top w:w="0" w:type="dxa"/>
          <w:left w:w="0" w:type="dxa"/>
          <w:bottom w:w="0" w:type="dxa"/>
          <w:right w:w="0" w:type="dxa"/>
        </w:tblCellMar>
      </w:tblPr>
      <w:tblGrid>
        <w:gridCol w:w="1445"/>
        <w:gridCol w:w="120"/>
        <w:gridCol w:w="72"/>
        <w:gridCol w:w="1793"/>
        <w:gridCol w:w="60"/>
        <w:gridCol w:w="120"/>
        <w:gridCol w:w="390"/>
        <w:gridCol w:w="1895"/>
        <w:gridCol w:w="60"/>
        <w:gridCol w:w="120"/>
        <w:gridCol w:w="312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Type of derivative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January 04, 2022</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Zero cost collar</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center"/>
              <w:rPr/>
            </w:pPr>
            <w:r>
              <w:rPr/>
              <w:t>January 2023 to June 2023</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March 07, 2022</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right"/>
              <w:rPr/>
            </w:pPr>
            <w:r>
              <w:rPr/>
              <w:t>Zero cost collar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center"/>
              <w:rPr/>
            </w:pPr>
            <w:r>
              <w:rPr/>
              <w:t>July 2023 to December 2023</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27, 2022</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Zero cost collar</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42,000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center"/>
              <w:rPr/>
            </w:pPr>
            <w:r>
              <w:rPr/>
              <w:t>January 2023 to December 2023</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fair values of the Company’s outstanding zero cost collar contracts recorded as liabilities as of December 31, 2023 and 2022 are as follows (in thousands): </w:t>
      </w:r>
    </w:p>
    <w:p>
      <w:pPr>
        <w:pStyle w:val="TextBody"/>
        <w:bidi w:val="0"/>
        <w:spacing w:before="0" w:after="0"/>
        <w:jc w:val="left"/>
        <w:rPr>
          <w:shd w:fill="FFFFFF" w:val="clear"/>
        </w:rPr>
      </w:pPr>
      <w:r>
        <w:rPr>
          <w:shd w:fill="FFFFFF" w:val="clear"/>
        </w:rPr>
        <w:t> </w:t>
      </w:r>
    </w:p>
    <w:tbl>
      <w:tblPr>
        <w:tblW w:w="5805" w:type="dxa"/>
        <w:jc w:val="left"/>
        <w:tblInd w:w="0" w:type="dxa"/>
        <w:tblLayout w:type="fixed"/>
        <w:tblCellMar>
          <w:top w:w="0" w:type="dxa"/>
          <w:left w:w="0" w:type="dxa"/>
          <w:bottom w:w="0" w:type="dxa"/>
          <w:right w:w="0" w:type="dxa"/>
        </w:tblCellMar>
      </w:tblPr>
      <w:tblGrid>
        <w:gridCol w:w="1790"/>
        <w:gridCol w:w="120"/>
        <w:gridCol w:w="60"/>
        <w:gridCol w:w="2180"/>
        <w:gridCol w:w="60"/>
        <w:gridCol w:w="120"/>
        <w:gridCol w:w="140"/>
        <w:gridCol w:w="380"/>
        <w:gridCol w:w="60"/>
        <w:gridCol w:w="120"/>
        <w:gridCol w:w="140"/>
        <w:gridCol w:w="560"/>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50" w:type="dxa"/>
            <w:gridSpan w:val="4"/>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Derivatives designated as hedging instruments: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December 31,</w:t>
            </w:r>
          </w:p>
        </w:tc>
        <w:tc>
          <w:tcPr>
            <w:tcW w:w="75" w:type="dxa"/>
            <w:tcBorders/>
            <w:vAlign w:val="center"/>
          </w:tcPr>
          <w:p>
            <w:pPr>
              <w:pStyle w:val="TableContents"/>
              <w:bidi w:val="0"/>
              <w:spacing w:before="0" w:after="283"/>
              <w:jc w:val="left"/>
              <w:rPr/>
            </w:pPr>
            <w:r>
              <w:rPr/>
              <w:t> </w:t>
            </w:r>
          </w:p>
        </w:tc>
      </w:tr>
      <w:tr>
        <w:trPr/>
        <w:tc>
          <w:tcPr>
            <w:tcW w:w="4150"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2,015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Offsetting of derivative assets and liabilities as of December 31, 2023 are as follows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836"/>
        <w:gridCol w:w="120"/>
        <w:gridCol w:w="348"/>
        <w:gridCol w:w="947"/>
        <w:gridCol w:w="60"/>
        <w:gridCol w:w="120"/>
        <w:gridCol w:w="385"/>
        <w:gridCol w:w="715"/>
        <w:gridCol w:w="60"/>
        <w:gridCol w:w="120"/>
        <w:gridCol w:w="312"/>
        <w:gridCol w:w="848"/>
        <w:gridCol w:w="60"/>
        <w:gridCol w:w="120"/>
        <w:gridCol w:w="427"/>
        <w:gridCol w:w="793"/>
        <w:gridCol w:w="89"/>
        <w:gridCol w:w="179"/>
        <w:gridCol w:w="537"/>
        <w:gridCol w:w="998"/>
        <w:gridCol w:w="60"/>
        <w:gridCol w:w="120"/>
        <w:gridCol w:w="235"/>
        <w:gridCol w:w="640"/>
        <w:gridCol w:w="76"/>
      </w:tblGrid>
      <w:tr>
        <w:trPr/>
        <w:tc>
          <w:tcPr>
            <w:tcW w:w="1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836"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December 31, 2023</w:t>
            </w:r>
          </w:p>
        </w:tc>
        <w:tc>
          <w:tcPr>
            <w:tcW w:w="120" w:type="dxa"/>
            <w:vMerge w:val="restart"/>
            <w:tcBorders/>
            <w:vAlign w:val="center"/>
          </w:tcPr>
          <w:p>
            <w:pPr>
              <w:pStyle w:val="TableContents"/>
              <w:bidi w:val="0"/>
              <w:spacing w:before="0" w:after="283"/>
              <w:jc w:val="left"/>
              <w:rPr/>
            </w:pPr>
            <w:r>
              <w:rPr/>
              <w:t>  </w:t>
            </w:r>
          </w:p>
        </w:tc>
        <w:tc>
          <w:tcPr>
            <w:tcW w:w="129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Gross amounts of</w:t>
              <w:br/>
              <w:t>recognized</w:t>
              <w:br/>
              <w:t>assets/liabilities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Net amounts of</w:t>
              <w:br/>
              <w:t>assets/liabilities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3"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Gross amounts not offset</w:t>
              <w:br/>
              <w:t>in the balance sheets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87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Net amount</w:t>
            </w:r>
          </w:p>
        </w:tc>
        <w:tc>
          <w:tcPr>
            <w:tcW w:w="76" w:type="dxa"/>
            <w:vMerge w:val="restart"/>
            <w:tcBorders/>
            <w:vAlign w:val="center"/>
          </w:tcPr>
          <w:p>
            <w:pPr>
              <w:pStyle w:val="TableContents"/>
              <w:bidi w:val="0"/>
              <w:spacing w:before="0" w:after="283"/>
              <w:jc w:val="left"/>
              <w:rPr/>
            </w:pPr>
            <w:r>
              <w:rPr/>
              <w:t> </w:t>
            </w:r>
          </w:p>
        </w:tc>
      </w:tr>
      <w:tr>
        <w:trPr/>
        <w:tc>
          <w:tcPr>
            <w:tcW w:w="1836"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29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16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875" w:type="dxa"/>
            <w:gridSpan w:val="2"/>
            <w:vMerge w:val="continue"/>
            <w:tcBorders>
              <w:bottom w:val="single" w:sz="8" w:space="0" w:color="000000"/>
            </w:tcBorders>
            <w:tcMar>
              <w:bottom w:w="28" w:type="dxa"/>
            </w:tcMar>
            <w:vAlign w:val="center"/>
          </w:tcPr>
          <w:p>
            <w:pPr>
              <w:pStyle w:val="Normal"/>
              <w:bidi w:val="0"/>
              <w:jc w:val="left"/>
              <w:rPr/>
            </w:pPr>
            <w:r>
              <w:rPr/>
            </w:r>
          </w:p>
        </w:tc>
        <w:tc>
          <w:tcPr>
            <w:tcW w:w="76" w:type="dxa"/>
            <w:vMerge w:val="continue"/>
            <w:tcBorders/>
            <w:vAlign w:val="center"/>
          </w:tcPr>
          <w:p>
            <w:pPr>
              <w:pStyle w:val="Normal"/>
              <w:bidi w:val="0"/>
              <w:jc w:val="left"/>
              <w:rPr/>
            </w:pPr>
            <w:r>
              <w:rPr/>
            </w:r>
          </w:p>
        </w:tc>
      </w:tr>
      <w:tr>
        <w:trPr/>
        <w:tc>
          <w:tcPr>
            <w:tcW w:w="1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 Derivatives:</w:t>
            </w:r>
          </w:p>
        </w:tc>
        <w:tc>
          <w:tcPr>
            <w:tcW w:w="12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8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79"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w:t>
            </w:r>
          </w:p>
        </w:tc>
        <w:tc>
          <w:tcPr>
            <w:tcW w:w="947"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848"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152</w:t>
            </w:r>
          </w:p>
        </w:tc>
        <w:tc>
          <w:tcPr>
            <w:tcW w:w="76" w:type="dxa"/>
            <w:tcBorders/>
            <w:vAlign w:val="center"/>
          </w:tcPr>
          <w:p>
            <w:pPr>
              <w:pStyle w:val="TableContents"/>
              <w:bidi w:val="0"/>
              <w:spacing w:before="0" w:after="283"/>
              <w:jc w:val="left"/>
              <w:rPr/>
            </w:pPr>
            <w:r>
              <w:rPr/>
              <w:t> </w:t>
            </w:r>
          </w:p>
        </w:tc>
      </w:tr>
      <w:tr>
        <w:trPr/>
        <w:tc>
          <w:tcPr>
            <w:tcW w:w="18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sz w:val="4"/>
                <w:szCs w:val="4"/>
              </w:rPr>
            </w:pPr>
            <w:r>
              <w:rPr>
                <w:sz w:val="4"/>
                <w:szCs w:val="4"/>
              </w:rPr>
            </w:r>
          </w:p>
        </w:tc>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8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79"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w:t>
            </w:r>
          </w:p>
        </w:tc>
        <w:tc>
          <w:tcPr>
            <w:tcW w:w="947"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84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Offsetting of derivative liabilities as of December 31, 2022 is as follows (in thousands): </w:t>
      </w:r>
    </w:p>
    <w:p>
      <w:pPr>
        <w:pStyle w:val="TextBody"/>
        <w:bidi w:val="0"/>
        <w:spacing w:before="0" w:after="0"/>
        <w:jc w:val="left"/>
        <w:rPr>
          <w:shd w:fill="FFFFFF" w:val="clear"/>
        </w:rPr>
      </w:pPr>
      <w:r>
        <w:rPr>
          <w:shd w:fill="FFFFFF" w:val="clear"/>
        </w:rPr>
        <w:t> </w:t>
      </w:r>
    </w:p>
    <w:tbl>
      <w:tblPr>
        <w:tblW w:w="11095" w:type="dxa"/>
        <w:jc w:val="left"/>
        <w:tblInd w:w="0" w:type="dxa"/>
        <w:tblLayout w:type="fixed"/>
        <w:tblCellMar>
          <w:top w:w="0" w:type="dxa"/>
          <w:left w:w="0" w:type="dxa"/>
          <w:bottom w:w="0" w:type="dxa"/>
          <w:right w:w="0" w:type="dxa"/>
        </w:tblCellMar>
      </w:tblPr>
      <w:tblGrid>
        <w:gridCol w:w="1025"/>
        <w:gridCol w:w="120"/>
        <w:gridCol w:w="358"/>
        <w:gridCol w:w="1432"/>
        <w:gridCol w:w="60"/>
        <w:gridCol w:w="120"/>
        <w:gridCol w:w="537"/>
        <w:gridCol w:w="998"/>
        <w:gridCol w:w="60"/>
        <w:gridCol w:w="120"/>
        <w:gridCol w:w="328"/>
        <w:gridCol w:w="1312"/>
        <w:gridCol w:w="60"/>
        <w:gridCol w:w="120"/>
        <w:gridCol w:w="427"/>
        <w:gridCol w:w="793"/>
        <w:gridCol w:w="60"/>
        <w:gridCol w:w="120"/>
        <w:gridCol w:w="277"/>
        <w:gridCol w:w="1258"/>
        <w:gridCol w:w="155"/>
        <w:gridCol w:w="60"/>
        <w:gridCol w:w="427"/>
        <w:gridCol w:w="793"/>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December 31, 2022</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br/>
              <w:t>recognized</w:t>
              <w:b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br/>
              <w:t>liabilities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b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2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sz w:val="4"/>
                <w:szCs w:val="4"/>
              </w:rPr>
            </w:pPr>
            <w:r>
              <w:rPr>
                <w:sz w:val="4"/>
                <w:szCs w:val="4"/>
              </w:rPr>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3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(1,940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impact of derivative instruments on the consolidated statements of operations for the years ended December 31, 2023 and 2022 (in thousands): </w:t>
      </w:r>
    </w:p>
    <w:p>
      <w:pPr>
        <w:pStyle w:val="TextBody"/>
        <w:bidi w:val="0"/>
        <w:spacing w:before="0" w:after="0"/>
        <w:jc w:val="left"/>
        <w:rPr>
          <w:shd w:fill="FFFFFF" w:val="clear"/>
        </w:rPr>
      </w:pPr>
      <w:r>
        <w:rPr>
          <w:shd w:fill="FFFFFF" w:val="clear"/>
        </w:rPr>
        <w:t> </w:t>
      </w:r>
    </w:p>
    <w:tbl>
      <w:tblPr>
        <w:tblW w:w="9925" w:type="dxa"/>
        <w:jc w:val="left"/>
        <w:tblInd w:w="0" w:type="dxa"/>
        <w:tblLayout w:type="fixed"/>
        <w:tblCellMar>
          <w:top w:w="0" w:type="dxa"/>
          <w:left w:w="0" w:type="dxa"/>
          <w:bottom w:w="0" w:type="dxa"/>
          <w:right w:w="0" w:type="dxa"/>
        </w:tblCellMar>
      </w:tblPr>
      <w:tblGrid>
        <w:gridCol w:w="1370"/>
        <w:gridCol w:w="120"/>
        <w:gridCol w:w="140"/>
        <w:gridCol w:w="635"/>
        <w:gridCol w:w="155"/>
        <w:gridCol w:w="60"/>
        <w:gridCol w:w="140"/>
        <w:gridCol w:w="635"/>
        <w:gridCol w:w="155"/>
        <w:gridCol w:w="60"/>
        <w:gridCol w:w="60"/>
        <w:gridCol w:w="875"/>
        <w:gridCol w:w="60"/>
        <w:gridCol w:w="120"/>
        <w:gridCol w:w="140"/>
        <w:gridCol w:w="635"/>
        <w:gridCol w:w="155"/>
        <w:gridCol w:w="60"/>
        <w:gridCol w:w="140"/>
        <w:gridCol w:w="635"/>
        <w:gridCol w:w="155"/>
        <w:gridCol w:w="60"/>
        <w:gridCol w:w="60"/>
        <w:gridCol w:w="1715"/>
        <w:gridCol w:w="60"/>
        <w:gridCol w:w="120"/>
        <w:gridCol w:w="140"/>
        <w:gridCol w:w="455"/>
        <w:gridCol w:w="155"/>
        <w:gridCol w:w="60"/>
        <w:gridCol w:w="140"/>
        <w:gridCol w:w="380"/>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w:t>
            </w:r>
          </w:p>
          <w:p>
            <w:pPr>
              <w:pStyle w:val="TableContents"/>
              <w:bidi w:val="0"/>
              <w:spacing w:before="0" w:after="0"/>
              <w:jc w:val="left"/>
              <w:rPr>
                <w:rFonts w:ascii="Times New Roman" w:hAnsi="Times New Roman"/>
                <w:b/>
                <w:sz w:val="16"/>
              </w:rPr>
            </w:pPr>
            <w:r>
              <w:rPr>
                <w:rFonts w:ascii="Times New Roman" w:hAnsi="Times New Roman"/>
                <w:b/>
                <w:sz w:val="16"/>
              </w:rPr>
              <w:t>ASC 815</w:t>
            </w:r>
          </w:p>
          <w:p>
            <w:pPr>
              <w:pStyle w:val="TableContents"/>
              <w:bidi w:val="0"/>
              <w:spacing w:before="0" w:after="0"/>
              <w:jc w:val="left"/>
              <w:rPr>
                <w:rFonts w:ascii="Times New Roman" w:hAnsi="Times New Roman"/>
                <w:b/>
                <w:sz w:val="16"/>
              </w:rPr>
            </w:pPr>
            <w:r>
              <w:rPr>
                <w:rFonts w:ascii="Times New Roman" w:hAnsi="Times New Roman"/>
                <w:b/>
                <w:sz w:val="16"/>
              </w:rPr>
              <w:t>Cash Flow</w:t>
            </w:r>
          </w:p>
          <w:p>
            <w:pPr>
              <w:pStyle w:val="TableContents"/>
              <w:bidi w:val="0"/>
              <w:spacing w:before="0" w:after="0"/>
              <w:jc w:val="left"/>
              <w:rPr>
                <w:rFonts w:ascii="Times New Roman" w:hAnsi="Times New Roman"/>
                <w:b/>
                <w:sz w:val="16"/>
              </w:rPr>
            </w:pPr>
            <w:r>
              <w:rPr>
                <w:rFonts w:ascii="Times New Roman" w:hAnsi="Times New Roman"/>
                <w:b/>
                <w:sz w:val="16"/>
              </w:rPr>
              <w:t>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1765"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Amount of Loss</w:t>
              <w:br/>
              <w:t>Recognized in</w:t>
              <w:br/>
              <w:t>AOCI on</w:t>
              <w:br/>
              <w:t>Derivatives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0" w:type="dxa"/>
            <w:gridSpan w:val="10"/>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Location/Amount of Loss</w:t>
              <w:br/>
              <w:t>Reclassified from AOCI Into</w:t>
              <w:br/>
              <w:t>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Location/Amount of Gain (Loss)</w:t>
              <w:br/>
              <w:t>Recognized in</w:t>
              <w:br/>
              <w:t>Statement of Operations on</w:t>
              <w:br/>
              <w:t>Derivatives</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(8,273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(3,452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(8,514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As of December 31, 2023, the amount expected to be reclassified from accumulated other comprehensive income into earnings within the next twelve months is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$691 thousand.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set aside cash deposits to the counterparty, Standard Chartered Bank Korea Limited (“SC”), as required for the zero cost collar contracts. This cash deposit is recorded as hedge collateral on the consolidated balance sheets. Cash deposits as of December 31, 2023 and 2022 are as follows (in thousands): </w:t>
      </w:r>
    </w:p>
    <w:p>
      <w:pPr>
        <w:pStyle w:val="TextBody"/>
        <w:bidi w:val="0"/>
        <w:spacing w:before="0" w:after="0"/>
        <w:jc w:val="left"/>
        <w:rPr>
          <w:shd w:fill="FFFFFF" w:val="clear"/>
        </w:rPr>
      </w:pPr>
      <w:r>
        <w:rPr>
          <w:shd w:fill="FFFFFF" w:val="clear"/>
        </w:rPr>
        <w:t> </w:t>
      </w:r>
    </w:p>
    <w:tbl>
      <w:tblPr>
        <w:tblW w:w="2815" w:type="dxa"/>
        <w:jc w:val="left"/>
        <w:tblInd w:w="0" w:type="dxa"/>
        <w:tblLayout w:type="fixed"/>
        <w:tblCellMar>
          <w:top w:w="0" w:type="dxa"/>
          <w:left w:w="0" w:type="dxa"/>
          <w:bottom w:w="0" w:type="dxa"/>
          <w:right w:w="0" w:type="dxa"/>
        </w:tblCellMar>
      </w:tblPr>
      <w:tblGrid>
        <w:gridCol w:w="1040"/>
        <w:gridCol w:w="120"/>
        <w:gridCol w:w="140"/>
        <w:gridCol w:w="560"/>
        <w:gridCol w:w="60"/>
        <w:gridCol w:w="120"/>
        <w:gridCol w:w="140"/>
        <w:gridCol w:w="560"/>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Counterparty</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required to deposit additional cash collateral with NFIK and SC for any exposure in excess of $500 thousand, but no such excess exposure existed as of December 31, 2023. As of December 31, 2022, $1,840 thousand and $100 thousand of additional cash collateral were required by NFIK and SC, respectively, and recorded as hedge collateral on the consolidated balance sheet.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10. Borrowings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5.0% Exchangeable Senior Notes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17, 2017, MagnaChip Semiconductor S.A. closed the Exchangeable Notes Offering of $86,250 thousand aggregate principal amount of 5.0% Exchangeable Notes. Interest on the Exchangeable Notes accrued at a rate of 5.0% per annum, payable semi-annually on March 1 and September 1 of each year, beginning on March 1, 2017. The Exchangeable Notes matured on March 1, 2021, unless they were earlier repurchased or converted. Holders had the right to convert their notes at their option at any time prior to the close of business on the business day immediately preceding the stated maturity date.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Prior to the March 1, 2021 maturity of the Exchangeable Notes, holders elected to exchange all outstanding Exchangeable Notes for an aggregate of 10,144,131 shares of the Company’s common stock in satisfaction in full of the outstanding obligations under the Exchangeable Notes. Upon exchange, the Company delivered for each $1,000 principal amount of exchanged Exchangeable Notes a number of shares equal to the exchange rate of 121.1387 shares of common stock per $1,000 principal amount of Exchangeable Notes, which was equivalent to an exchange price of approximately $8.26 per share of common stock. In connection with the exchanges, the fractional shares were paid in cash. Following March 1, 2021, the Company does not have any Exchangeable Notes outstanding.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11. Accrued Severance Benefits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majority of accrued severance benefits are for employees in the Company’s Korean subsidiary.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2023, 96% of all employees of the Company were eligible for severance benefits.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Changes in accrued severance benefits are as follows (in thousands): </w:t>
      </w:r>
    </w:p>
    <w:p>
      <w:pPr>
        <w:pStyle w:val="TextBody"/>
        <w:bidi w:val="0"/>
        <w:spacing w:before="0" w:after="0"/>
        <w:jc w:val="left"/>
        <w:rPr>
          <w:shd w:fill="FFFFFF" w:val="clear"/>
        </w:rPr>
      </w:pPr>
      <w:r>
        <w:rPr>
          <w:shd w:fill="FFFFFF" w:val="clear"/>
        </w:rPr>
        <w:t> </w:t>
      </w:r>
    </w:p>
    <w:tbl>
      <w:tblPr>
        <w:tblW w:w="8892" w:type="dxa"/>
        <w:jc w:val="left"/>
        <w:tblInd w:w="0" w:type="dxa"/>
        <w:tblLayout w:type="fixed"/>
        <w:tblCellMar>
          <w:top w:w="0" w:type="dxa"/>
          <w:left w:w="0" w:type="dxa"/>
          <w:bottom w:w="0" w:type="dxa"/>
          <w:right w:w="0" w:type="dxa"/>
        </w:tblCellMar>
      </w:tblPr>
      <w:tblGrid>
        <w:gridCol w:w="5885"/>
        <w:gridCol w:w="120"/>
        <w:gridCol w:w="184"/>
        <w:gridCol w:w="993"/>
        <w:gridCol w:w="203"/>
        <w:gridCol w:w="157"/>
        <w:gridCol w:w="184"/>
        <w:gridCol w:w="996"/>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48,496</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51,567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5,333</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6,289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(6,982</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(6,012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(915</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(3,348</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993" w:type="dxa"/>
            <w:tcBorders/>
            <w:vAlign w:val="center"/>
          </w:tcPr>
          <w:p>
            <w:pPr>
              <w:pStyle w:val="TableContents"/>
              <w:bidi w:val="0"/>
              <w:spacing w:before="0" w:after="0"/>
              <w:jc w:val="left"/>
              <w:rPr>
                <w:bdr w:val="single" w:sz="2" w:space="1" w:color="000000"/>
              </w:rPr>
            </w:pPr>
            <w:r>
              <w:rPr>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9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45,932</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48,496</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Cumulative contributions to severance insurance deposit accounts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(29,882</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(25,149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(30</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Group severance insurance plan</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(185</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993" w:type="dxa"/>
            <w:tcBorders/>
            <w:vAlign w:val="center"/>
          </w:tcPr>
          <w:p>
            <w:pPr>
              <w:pStyle w:val="TableContents"/>
              <w:bidi w:val="0"/>
              <w:spacing w:before="0" w:after="0"/>
              <w:jc w:val="left"/>
              <w:rPr>
                <w:bdr w:val="single" w:sz="2" w:space="1" w:color="000000"/>
              </w:rPr>
            </w:pPr>
            <w:r>
              <w:rPr>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9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16,020</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23,121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double" w:sz="6" w:space="1" w:color="000000"/>
              </w:rPr>
            </w:pPr>
            <w:r>
              <w:rPr>
                <w:bdr w:val="double" w:sz="6" w:space="1" w:color="000000"/>
              </w:rPr>
              <w:t> </w:t>
            </w:r>
          </w:p>
        </w:tc>
        <w:tc>
          <w:tcPr>
            <w:tcW w:w="993" w:type="dxa"/>
            <w:tcBorders/>
            <w:vAlign w:val="center"/>
          </w:tcPr>
          <w:p>
            <w:pPr>
              <w:pStyle w:val="TableContents"/>
              <w:bidi w:val="0"/>
              <w:spacing w:before="0" w:after="0"/>
              <w:jc w:val="left"/>
              <w:rPr>
                <w:bdr w:val="double" w:sz="6" w:space="1" w:color="000000"/>
              </w:rPr>
            </w:pPr>
            <w:r>
              <w:rPr>
                <w:bdr w:val="double" w:sz="6"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double" w:sz="6" w:space="1" w:color="000000"/>
              </w:rPr>
            </w:pPr>
            <w:r>
              <w:rPr>
                <w:bdr w:val="double" w:sz="6" w:space="1" w:color="000000"/>
              </w:rPr>
              <w:t> </w:t>
            </w:r>
          </w:p>
        </w:tc>
        <w:tc>
          <w:tcPr>
            <w:tcW w:w="99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severance benefits funded through the Company’s National Pension Fund and group severance insurance plan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liable to pay the following future benefits to its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upon their normal retirement age (in thousands): </w:t>
      </w:r>
    </w:p>
    <w:p>
      <w:pPr>
        <w:pStyle w:val="TextBody"/>
        <w:bidi w:val="0"/>
        <w:spacing w:before="0" w:after="0"/>
        <w:jc w:val="left"/>
        <w:rPr>
          <w:shd w:fill="FFFFFF" w:val="clear"/>
        </w:rPr>
      </w:pPr>
      <w:r>
        <w:rPr>
          <w:shd w:fill="FFFFFF" w:val="clear"/>
        </w:rPr>
        <w:t> </w:t>
      </w:r>
    </w:p>
    <w:tbl>
      <w:tblPr>
        <w:tblW w:w="2320" w:type="dxa"/>
        <w:jc w:val="left"/>
        <w:tblInd w:w="0" w:type="dxa"/>
        <w:tblLayout w:type="fixed"/>
        <w:tblCellMar>
          <w:top w:w="0" w:type="dxa"/>
          <w:left w:w="0" w:type="dxa"/>
          <w:bottom w:w="0" w:type="dxa"/>
          <w:right w:w="0" w:type="dxa"/>
        </w:tblCellMar>
      </w:tblPr>
      <w:tblGrid>
        <w:gridCol w:w="1070"/>
        <w:gridCol w:w="120"/>
        <w:gridCol w:w="180"/>
        <w:gridCol w:w="875"/>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Severance</w:t>
              <w:br/>
              <w:t>Benefit</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315</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590</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658</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369</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3,402</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 – 2033</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17,941</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above amounts were determined based on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that will cease working with the Company before their normal retirement ages.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12. Stock Repurchases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Accelerated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December 21, 2021, the Board of Directors authorized the Company to repurchase up to $75 million of its outstanding common stock and the Company entered into an accelerated stock repurchase agreement dated December 21, 2021 (the “ASR Agreement”) with JPMorgan Chase Bank, National Association (“JPM”) to repurchase an aggregate of $37.5 million of its common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terms of the ASR Agreement, the Company paid to JPM $37.5 million in cash and received an initial delivery of 994,695 shares of its common stock in the open market for an aggregate purchase price of $20.1 million and a price per share of $20.18 on December 22, 2021.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2021, the Company accounted for the remaining portion of the ASR Agreement as a forward contract indexed to its own common stock and recorded $17.4 million in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capital in stockholders’ equity in its consolidated balance sheets.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March 2022, the previously announced repurchase of $37.5 million of the Company’s common stock was completed pursuant to the ASR Agreement, and as a result, the Company additionally received 1,031,576 shares of its common stock for an aggregate purchase price of $17.2 million at a price per share of $16.69, which was reclassified as treasury stock from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capital in stockholder’s equity in its consolidated balance sheets.</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Expanded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2022, the Board of Directors authorized an expansion of the Company’s previously announced stock repurchase program from $75 million to $87.5 million of its common stock. The remaining $50 million of the expanded $87.5 million program was expected to be repurchased in the open market or through privately negotiated transactions.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September 2022 to December 2022, the Company repurchased 1,235,650 shares of its common stock in the open market for an aggregate purchase price of $12.5 million and a weighted average price per share of $10.13 under the expanded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first half of 2023, the Company repurchased 3,705,443 shares of its common stock in the open market for an aggregate purchase price of $37.4 million and a weighted average price per share of $10.10 under the expanded stock repurchase program. As of the end of June 2023, the Company had completed the repurchase of its common stock under its expanded stock repurchase program.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New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July 19, 2023, the Board of Directors authorized a new $50 million stock buyback program. Purchases have been and will be made in the open market or through privately negotiated transactions, depending upon market conditions and other factors.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August 2023 to December 2023, the Company repurchased 1,730,173 shares of its common stock in the open market for an aggregate purchase price of $13.6 million and a weighted average price per share of $7.84 under the new stock repurchase program.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13. Equity Incentive Plans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Compensation Recovery Policy of the 2011 Plan. The 2011 Plan was amended on April 26, 2018 to amend the tax withholding provisions as they relate to directed sales of shares. At the 2020 Annual Meeting of Stockholders, the Company’s stockholders approved its 2020 Equity and Incentive Compensation Plan, or the 2020 Plan, which is administered by the Compensation Committee. Following the adoption of the 2020 Plan, no further awards may be issued under the 2011 Plan. At the 2023 Annual Meeting of Stockholders held on May 18, 2023, the Company’s stockholders approved an increase of 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additional 1,990,000 shares of the Company’s common stock available for issuance under the 2020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Awards may be granted under the 2020 Plan to the Company’s employees, officers, directors, or certain consultants or those of any subsidiary of the Company. While the Company may grant incentive stock options only to employees, the Company may grant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non-statutory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 As of December 31, 2023 an aggregate maximum of 13,342,919 shares were authorized and 2,810,778 shares were reserved for all future grants.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Stock options and stock appreciation rights must have exercise prices at least equal to the fair market value of the stock at the time of their grant pursuant to the 2011 Plan and 2020 Plan. Stock options typically vest over one to three years following grant, subject to the participant’s continued service through the applicable vesting dates. As of December 31, 2023, no stock options or stock appreciation rights had been granted under 2020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Restricted stock units granted under the 2011 Plan and 2020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 subject to the participant’s continued service through the applicable vesting dates.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Restricted stock constitutes an immediate transfer of the ownership of shares of the Company’s common stock to the participant in consideration of the performance of services, entitling such participant to voting, dividend and other ownership rights, subject to the substantial risk of forfeiture and restrictions on transfer determined by the Compensation Committee for a period of time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per share of common stock on the grant date. Stock issued pursuant to any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A grant of restricted stock may require that any and all dividends and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summarizes restricted stock unit activities for the year ended December 31, 2023. </w:t>
      </w:r>
    </w:p>
    <w:p>
      <w:pPr>
        <w:pStyle w:val="TextBody"/>
        <w:bidi w:val="0"/>
        <w:spacing w:before="0" w:after="0"/>
        <w:jc w:val="left"/>
        <w:rPr>
          <w:shd w:fill="FFFFFF" w:val="clear"/>
        </w:rPr>
      </w:pPr>
      <w:r>
        <w:rPr>
          <w:shd w:fill="FFFFFF" w:val="clear"/>
        </w:rPr>
        <w:t> </w:t>
      </w:r>
    </w:p>
    <w:tbl>
      <w:tblPr>
        <w:tblW w:w="5885" w:type="dxa"/>
        <w:jc w:val="left"/>
        <w:tblInd w:w="0" w:type="dxa"/>
        <w:tblLayout w:type="fixed"/>
        <w:tblCellMar>
          <w:top w:w="0" w:type="dxa"/>
          <w:left w:w="0" w:type="dxa"/>
          <w:bottom w:w="0" w:type="dxa"/>
          <w:right w:w="0" w:type="dxa"/>
        </w:tblCellMar>
      </w:tblPr>
      <w:tblGrid>
        <w:gridCol w:w="2855"/>
        <w:gridCol w:w="120"/>
        <w:gridCol w:w="68"/>
        <w:gridCol w:w="1122"/>
        <w:gridCol w:w="155"/>
        <w:gridCol w:w="120"/>
        <w:gridCol w:w="274"/>
        <w:gridCol w:w="1096"/>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Restricted</w:t>
              <w:br/>
              <w:t>Stock Units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Grant-Date</w:t>
              <w:br/>
              <w:t>Fair Value of</w:t>
              <w:br/>
              <w:t>Restricted</w:t>
              <w:br/>
              <w:t>Stock Units</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January 1, 2023</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815,407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14.36</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1,228,484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9.76</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(534,945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12.40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(502,579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10.22</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2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9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2023</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1,006,367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11.85</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2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9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Total compensation expenses recorded for the restricted stock units were $7,223 thousand, $6,037 thousand and $7,704 thousand for the years ended December 31, 2023, 2022 and 2021, respectively. As of December 31, 2023, there was $4,316 thousand of total unrecognized compensation cost related to unvested restricted stock units, which is expected to be recognized over a weighted average future period of 1.0 year. Total fair value of restricted stock units vested were $6,634 thousand, $6,369 thousand and $5,788 thousand for the years ended December 31, 2023, 2022 and 2021,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summarizes stock option activities for the year ended December 31, 2023. At the date of grant, all options had an exercise price not less than the fair value of common stock (aggregate intrinsic value in thousands): </w:t>
      </w:r>
    </w:p>
    <w:p>
      <w:pPr>
        <w:pStyle w:val="TextBody"/>
        <w:bidi w:val="0"/>
        <w:spacing w:before="0" w:after="0"/>
        <w:jc w:val="left"/>
        <w:rPr>
          <w:shd w:fill="FFFFFF" w:val="clear"/>
        </w:rPr>
      </w:pPr>
      <w:r>
        <w:rPr>
          <w:shd w:fill="FFFFFF" w:val="clear"/>
        </w:rPr>
        <w:t> </w:t>
      </w:r>
    </w:p>
    <w:tbl>
      <w:tblPr>
        <w:tblW w:w="8954" w:type="dxa"/>
        <w:jc w:val="left"/>
        <w:tblInd w:w="0" w:type="dxa"/>
        <w:tblLayout w:type="fixed"/>
        <w:tblCellMar>
          <w:top w:w="0" w:type="dxa"/>
          <w:left w:w="0" w:type="dxa"/>
          <w:bottom w:w="0" w:type="dxa"/>
          <w:right w:w="0" w:type="dxa"/>
        </w:tblCellMar>
      </w:tblPr>
      <w:tblGrid>
        <w:gridCol w:w="3740"/>
        <w:gridCol w:w="120"/>
        <w:gridCol w:w="65"/>
        <w:gridCol w:w="1064"/>
        <w:gridCol w:w="155"/>
        <w:gridCol w:w="60"/>
        <w:gridCol w:w="199"/>
        <w:gridCol w:w="796"/>
        <w:gridCol w:w="60"/>
        <w:gridCol w:w="120"/>
        <w:gridCol w:w="214"/>
        <w:gridCol w:w="856"/>
        <w:gridCol w:w="60"/>
        <w:gridCol w:w="120"/>
        <w:gridCol w:w="80"/>
        <w:gridCol w:w="1170"/>
        <w:gridCol w:w="7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Options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w:t>
              <w:br/>
              <w:t>Price of</w:t>
              <w:br/>
              <w:t>Stock</w:t>
              <w:b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w:t>
              <w:br/>
              <w:t>Value of</w:t>
              <w:br/>
              <w:t>Stock</w:t>
              <w:b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b/>
                <w:spacing w:val="0"/>
              </w:rPr>
            </w:pPr>
            <w:r>
              <w:rPr>
                <w:b/>
                <w:spacing w:val="0"/>
              </w:rPr>
              <w:br/>
              <w:t>Contractual</w:t>
              <w:br/>
              <w:t>Life of</w:t>
              <w:br/>
              <w:t>Stock</w:t>
              <w:br/>
              <w:t>Options</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January 1, 2023</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1,137,558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10.64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1,702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2.3 years</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(330,700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17.37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6.92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6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2023</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802,858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7.89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2.0 years</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Exercisable at December 31, 2023</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802,858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7.89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2.0 years</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were no compensation expenses recorded for the stock options for the years ended December 31, 2023, 2022 and 2021.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14. Early Termination and Other Charges,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2023, the Company recorded in its consolidated statement of operations $8,449 thousand of termination related charges as “early termination and other charges” in connection with the 2023 Voluntary Resignation Program, which was available for the employees with more than 20 years of service. During the same period, the Company also recorded $802 thousand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employee incentives, which were paid during the third quarter of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the Company recorded in its consolidated statement of operations $2,821 thousand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 incentives, and professional service fees and expenses of $1,014 thousand incurred in connection with certain strategic evaluations. During the same period, the Company also recorded $537 thousand gain on sale of certain legacy equipment of the closed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back-end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line in the Company’s fabrication facility in Gumi.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2021, the Company recorded in its consolidated statement of operations $3,430 thousand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non-recurring</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professional service fees and expenses incurred in connection with the regulatory requests, and recorded $1,419 thousand gain on sale of certain legacy equipment of the closed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back-end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line in the Company’s fabrication facility in Gumi.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15. Foreign Currency Gain (Loss),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Net foreign currency gain or loss includes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long-term loans to the Company’s Korean subsidiary. The loans are denominated in U.S. dollars and are affected by changes in the exchange rate between the Korean won and the U.S. dollar. As of December 31, 2023, 2022 and 2021, the outstanding intercompany loan balances including accrued interest between the Korean subsidiary and the Dutch subsidiary were $285,136 thousand, $310,988 thousand and $344,411 thousand, respectively. The Korean won to U.S. dollar exchange rates were 1,289.4:1, 1,267.3:1 and 1,185.5:1 using the first base rate as of December 31, 2023, 2022 and 2021, respectively, as quoted by the KEB Hana Bank.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16. 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income tax expense (benefit) is composed of domestic and foreign income taxes depending on the relevant tax jurisdictions. Domestic income (loss) before income tax expense (benefit) is generated or incurred in the United States, where the parent company resides.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components of income tax expense (benefit) are as follows (in thousands): </w:t>
      </w:r>
    </w:p>
    <w:p>
      <w:pPr>
        <w:pStyle w:val="TextBody"/>
        <w:bidi w:val="0"/>
        <w:spacing w:before="0" w:after="0"/>
        <w:jc w:val="left"/>
        <w:rPr>
          <w:shd w:fill="FFFFFF" w:val="clear"/>
        </w:rPr>
      </w:pPr>
      <w:r>
        <w:rPr>
          <w:shd w:fill="FFFFFF" w:val="clear"/>
        </w:rPr>
        <w:t> </w:t>
      </w:r>
    </w:p>
    <w:tbl>
      <w:tblPr>
        <w:tblW w:w="7385" w:type="dxa"/>
        <w:jc w:val="left"/>
        <w:tblInd w:w="0" w:type="dxa"/>
        <w:tblLayout w:type="fixed"/>
        <w:tblCellMar>
          <w:top w:w="0" w:type="dxa"/>
          <w:left w:w="0" w:type="dxa"/>
          <w:bottom w:w="0" w:type="dxa"/>
          <w:right w:w="0" w:type="dxa"/>
        </w:tblCellMar>
      </w:tblPr>
      <w:tblGrid>
        <w:gridCol w:w="4055"/>
        <w:gridCol w:w="120"/>
        <w:gridCol w:w="140"/>
        <w:gridCol w:w="755"/>
        <w:gridCol w:w="155"/>
        <w:gridCol w:w="120"/>
        <w:gridCol w:w="140"/>
        <w:gridCol w:w="635"/>
        <w:gridCol w:w="155"/>
        <w:gridCol w:w="120"/>
        <w:gridCol w:w="140"/>
        <w:gridCol w:w="680"/>
        <w:gridCol w:w="170"/>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2,691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(1,955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41,566</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32,403</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(47,559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(2,879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73,969</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6,876</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9,415</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Uncertain tax position liability (foreign)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16,256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1,314</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(12,876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(309</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1,005</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income tax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(10,937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5,157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17,261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provision for domestic and foreign income taxes (benefit) incurred is different from the amount calculated by applying the statutory tax rate to the income (loss) before income tax expense. The significant items causing this difference are as follows (in thousands): </w:t>
      </w:r>
    </w:p>
    <w:p>
      <w:pPr>
        <w:pStyle w:val="TextBody"/>
        <w:bidi w:val="0"/>
        <w:spacing w:before="0" w:after="0"/>
        <w:jc w:val="left"/>
        <w:rPr>
          <w:shd w:fill="FFFFFF" w:val="clear"/>
        </w:rPr>
      </w:pPr>
      <w:r>
        <w:rPr>
          <w:shd w:fill="FFFFFF" w:val="clear"/>
        </w:rPr>
        <w:t> </w:t>
      </w:r>
    </w:p>
    <w:tbl>
      <w:tblPr>
        <w:tblW w:w="6965" w:type="dxa"/>
        <w:jc w:val="left"/>
        <w:tblInd w:w="0" w:type="dxa"/>
        <w:tblLayout w:type="fixed"/>
        <w:tblCellMar>
          <w:top w:w="0" w:type="dxa"/>
          <w:left w:w="0" w:type="dxa"/>
          <w:bottom w:w="0" w:type="dxa"/>
          <w:right w:w="0" w:type="dxa"/>
        </w:tblCellMar>
      </w:tblPr>
      <w:tblGrid>
        <w:gridCol w:w="3560"/>
        <w:gridCol w:w="120"/>
        <w:gridCol w:w="140"/>
        <w:gridCol w:w="755"/>
        <w:gridCol w:w="155"/>
        <w:gridCol w:w="120"/>
        <w:gridCol w:w="140"/>
        <w:gridCol w:w="635"/>
        <w:gridCol w:w="155"/>
        <w:gridCol w:w="120"/>
        <w:gridCol w:w="140"/>
        <w:gridCol w:w="755"/>
        <w:gridCol w:w="170"/>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5" w:type="dxa"/>
            <w:gridSpan w:val="10"/>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Year Ended December 31,</w:t>
            </w:r>
          </w:p>
        </w:tc>
        <w:tc>
          <w:tcPr>
            <w:tcW w:w="17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computed at statutory rates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(9,988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15,533</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statutory tax rates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(259</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Difference in foreign tax rates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2,820</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TPECs, hybrid and other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(3,400</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(802</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Permanent foreign currency gain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1,676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1,888</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Penalty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427</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GILTI</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6,156</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Intercompany debt restructuring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971</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(767</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2,060</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net operating loss write off</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9,844</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(4,582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(13,803</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credits claimed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(5,658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(5,508</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Uncertain tax positions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621</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local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723</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815</w:t>
            </w:r>
          </w:p>
        </w:tc>
        <w:tc>
          <w:tcPr>
            <w:tcW w:w="17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(10,937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5,157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17,261</w:t>
            </w:r>
          </w:p>
        </w:tc>
        <w:tc>
          <w:tcPr>
            <w:tcW w:w="17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2023, the withholding tax expense of $1,594 thousand and the permanent tax benefit of $2,003 thousand recorded were related to the intercompany loans granted to the Korean subsidiary by the Dutch subsidiary. The permanent tax benefit of $910 thousand related to foreign currency gain was mainly derived from the unrealized foreign translation gain associated with the intercompany loan granted to the Luxembourg subsidiary by the U.S. parent company. The Company did not have a permanent difference related to Global intangible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low-taxed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income (“GILTI”) in the U.S., mainly due to the Korean subsidiary’s current year loss.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a permanent difference of $8,187 thousand was included as GILTI in the U.S., which was primarily attributable to the income earned by certain foreign subsidiaries of the Company, including its Korean subsidiary. The permanent tax expense of $8,061 thousand related to intercompany debt restructuring recorded for the year ended December 31, 2022 was derived from the waiver and release of unpaid interests of the intercompany loans granted to the Korean subsidiary by the Dutch subsidiary. In connection with the waiver of unpaid interests, the related withholding tax was reversed, resulting in the recognition of income tax benefit of $2,031 thousand.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income tax benefit of $4,582 thousand was due to the changes in valuation allowances during the year ended December 31, 2022, of which $2,670 thousand related to the release of valuation allowances related to the U.S. parent company’s current year earnings, which was mainly driven by GILTI inclusion. The remaining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$1,912 thousand represented the release of valuation allowances based on the realizability of the related deferred tax assets in future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income tax benefit of $13,803 thousand attributable to the change in valuation allowances during the year ended December 31, 2021, $9,844 thousand related to the release of the valuation allowance established against the deferred tax assets associated in the U.S. entity due to the dissolution of the Company’s domestic subsidiary in 2021 subsequent to the sale of the Foundry Services Group business and Fab 4. The offsetting expense of $9,844 thousand was included in the state net operating loss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write-off</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2021, resulting in no income tax effect in the year. The Company’s parent entity in the U.S. is no longer subject to state income taxes in 2022 and thereafter. The remaining $3,959 thousand represented the release of valuation allowances based on the assessment of the realizability of the related deferred tax assets in future tax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summary of the composition of net deferred income tax assets (liabilities) as of December 31, 2023 and 2022 are as follows (in thousands): </w:t>
      </w:r>
    </w:p>
    <w:p>
      <w:pPr>
        <w:pStyle w:val="TextBody"/>
        <w:bidi w:val="0"/>
        <w:spacing w:before="0" w:after="0"/>
        <w:jc w:val="left"/>
        <w:rPr>
          <w:shd w:fill="FFFFFF" w:val="clear"/>
        </w:rPr>
      </w:pPr>
      <w:r>
        <w:rPr>
          <w:shd w:fill="FFFFFF" w:val="clear"/>
        </w:rPr>
        <w:t> </w:t>
      </w:r>
    </w:p>
    <w:tbl>
      <w:tblPr>
        <w:tblW w:w="6071" w:type="dxa"/>
        <w:jc w:val="left"/>
        <w:tblInd w:w="0" w:type="dxa"/>
        <w:tblLayout w:type="fixed"/>
        <w:tblCellMar>
          <w:top w:w="0" w:type="dxa"/>
          <w:left w:w="0" w:type="dxa"/>
          <w:bottom w:w="0" w:type="dxa"/>
          <w:right w:w="0" w:type="dxa"/>
        </w:tblCellMar>
      </w:tblPr>
      <w:tblGrid>
        <w:gridCol w:w="3065"/>
        <w:gridCol w:w="120"/>
        <w:gridCol w:w="176"/>
        <w:gridCol w:w="1009"/>
        <w:gridCol w:w="195"/>
        <w:gridCol w:w="151"/>
        <w:gridCol w:w="176"/>
        <w:gridCol w:w="1009"/>
        <w:gridCol w:w="170"/>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283"/>
              <w:jc w:val="right"/>
              <w:rPr/>
            </w:pPr>
            <w:r>
              <w:rPr/>
              <w:t>2,519</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283"/>
              <w:jc w:val="right"/>
              <w:rPr/>
            </w:pPr>
            <w:r>
              <w:rPr/>
              <w:t>3,108</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1,593</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1,668</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2,679</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2,685</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severance benefits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9,927</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10,269</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997</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1,098</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19,049</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22,272</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NOL carry-forwards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96,361</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78,698</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 carry-forwards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14,372</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13,337</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payable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2,242</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4,005</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deduction limitation</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3,610</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91</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427</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1,191</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1,394</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154,540</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139,052</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(87,201</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(84,563</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67,339</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54,489</w:t>
            </w:r>
          </w:p>
        </w:tc>
        <w:tc>
          <w:tcPr>
            <w:tcW w:w="17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1,787</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3,065</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benefit deposits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6,456</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5,364</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960</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1,051</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gain</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6,411</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5,621</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892</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1,064</w:t>
            </w:r>
          </w:p>
        </w:tc>
        <w:tc>
          <w:tcPr>
            <w:tcW w:w="17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16,506</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16,165</w:t>
            </w:r>
          </w:p>
        </w:tc>
        <w:tc>
          <w:tcPr>
            <w:tcW w:w="17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283"/>
              <w:jc w:val="right"/>
              <w:rPr/>
            </w:pPr>
            <w:r>
              <w:rPr/>
              <w:t>50,833</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283"/>
              <w:jc w:val="right"/>
              <w:rPr/>
            </w:pPr>
            <w:r>
              <w:rPr/>
              <w:t>38,324</w:t>
            </w:r>
          </w:p>
        </w:tc>
        <w:tc>
          <w:tcPr>
            <w:tcW w:w="17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double" w:sz="6" w:space="1" w:color="000000"/>
              </w:rPr>
            </w:pPr>
            <w:r>
              <w:rPr>
                <w:bdr w:val="double" w:sz="6" w:space="1" w:color="000000"/>
              </w:rPr>
              <w:t> </w:t>
            </w:r>
          </w:p>
        </w:tc>
        <w:tc>
          <w:tcPr>
            <w:tcW w:w="1009" w:type="dxa"/>
            <w:tcBorders/>
            <w:vAlign w:val="center"/>
          </w:tcPr>
          <w:p>
            <w:pPr>
              <w:pStyle w:val="TableContents"/>
              <w:bidi w:val="0"/>
              <w:spacing w:before="0" w:after="0"/>
              <w:jc w:val="left"/>
              <w:rPr>
                <w:bdr w:val="double" w:sz="6" w:space="1" w:color="000000"/>
              </w:rPr>
            </w:pPr>
            <w:r>
              <w:rPr>
                <w:bdr w:val="double" w:sz="6" w:space="1" w:color="000000"/>
              </w:rPr>
              <w:t> </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double" w:sz="6" w:space="1" w:color="000000"/>
              </w:rPr>
            </w:pPr>
            <w:r>
              <w:rPr>
                <w:bdr w:val="double" w:sz="6" w:space="1" w:color="000000"/>
              </w:rPr>
              <w:t> </w:t>
            </w:r>
          </w:p>
        </w:tc>
        <w:tc>
          <w:tcPr>
            <w:tcW w:w="10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not recognized a deferred tax liability related to outside basis differences inherent in its foreign subsidiaries because the investments in those foreign subsidiaries within the group are essentially permanent in duration or earnings in foreign subsidiaries are intended to be indefinitely reinvested. It is not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practicable to estimate the amount of deferred income taxes not recorded that are associated with those outside basis differences. If circumstances change and it becomes apparent that the undistributed earnings from foreign subsidiaries will be remitted or the parent entity will dispose of its interest in the subsidiaries in the foreseeable future, and related income taxes have not been recognized by the parent entity, the parent entity will accrue as an expense of the current period income taxes attributable to that remittance or disposition.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Changes in valuation allowance for deferred tax assets for the years ended December 31, 2023, 2022 and 2021 are as follows (in thousands): </w:t>
      </w:r>
    </w:p>
    <w:p>
      <w:pPr>
        <w:pStyle w:val="TextBody"/>
        <w:bidi w:val="0"/>
        <w:spacing w:before="0" w:after="0"/>
        <w:jc w:val="left"/>
        <w:rPr>
          <w:shd w:fill="FFFFFF" w:val="clear"/>
        </w:rPr>
      </w:pPr>
      <w:r>
        <w:rPr>
          <w:shd w:fill="FFFFFF" w:val="clear"/>
        </w:rPr>
        <w:t> </w:t>
      </w:r>
    </w:p>
    <w:tbl>
      <w:tblPr>
        <w:tblW w:w="5405" w:type="dxa"/>
        <w:jc w:val="left"/>
        <w:tblInd w:w="0" w:type="dxa"/>
        <w:tblLayout w:type="fixed"/>
        <w:tblCellMar>
          <w:top w:w="0" w:type="dxa"/>
          <w:left w:w="0" w:type="dxa"/>
          <w:bottom w:w="0" w:type="dxa"/>
          <w:right w:w="0" w:type="dxa"/>
        </w:tblCellMar>
      </w:tblPr>
      <w:tblGrid>
        <w:gridCol w:w="1985"/>
        <w:gridCol w:w="120"/>
        <w:gridCol w:w="140"/>
        <w:gridCol w:w="680"/>
        <w:gridCol w:w="155"/>
        <w:gridCol w:w="120"/>
        <w:gridCol w:w="140"/>
        <w:gridCol w:w="680"/>
        <w:gridCol w:w="155"/>
        <w:gridCol w:w="120"/>
        <w:gridCol w:w="140"/>
        <w:gridCol w:w="800"/>
        <w:gridCol w:w="170"/>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84,563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94,212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115,636</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Reductions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(13,803</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(7,621</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87,201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84,563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94,212</w:t>
            </w:r>
          </w:p>
        </w:tc>
        <w:tc>
          <w:tcPr>
            <w:tcW w:w="17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2022 and 2021, respectively, the Company recorded a valuation allowance of $87,201 thousand, $84,563 thousand, and $94,212 thousand on its deferred tax assets related to temporary differences, net operating loss carry-forwards and tax credits of domestic and foreign subsidiaries.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recorded a full valuation allowance against certain foreign subsidiaries’ deferred tax assets pertaining to its related tax loss carry-forwards that are not anticipated to generate a tax benefit. The valuation allowances at December 31, 2023, 2022, and 2021 were primarily attributable to its Luxembourg subsidiary.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net operating loss carry-forwards balance as of December 31, 2023, 2022 and 2021 are as follows (in thousands): </w:t>
      </w:r>
    </w:p>
    <w:p>
      <w:pPr>
        <w:pStyle w:val="TextBody"/>
        <w:bidi w:val="0"/>
        <w:spacing w:before="0" w:after="0"/>
        <w:jc w:val="left"/>
        <w:rPr>
          <w:shd w:fill="FFFFFF" w:val="clear"/>
        </w:rPr>
      </w:pPr>
      <w:r>
        <w:rPr>
          <w:shd w:fill="FFFFFF" w:val="clear"/>
        </w:rPr>
        <w:t> </w:t>
      </w:r>
    </w:p>
    <w:tbl>
      <w:tblPr>
        <w:tblW w:w="5000" w:type="dxa"/>
        <w:jc w:val="left"/>
        <w:tblInd w:w="0" w:type="dxa"/>
        <w:tblLayout w:type="fixed"/>
        <w:tblCellMar>
          <w:top w:w="0" w:type="dxa"/>
          <w:left w:w="0" w:type="dxa"/>
          <w:bottom w:w="0" w:type="dxa"/>
          <w:right w:w="0" w:type="dxa"/>
        </w:tblCellMar>
      </w:tblPr>
      <w:tblGrid>
        <w:gridCol w:w="1625"/>
        <w:gridCol w:w="120"/>
        <w:gridCol w:w="140"/>
        <w:gridCol w:w="800"/>
        <w:gridCol w:w="60"/>
        <w:gridCol w:w="120"/>
        <w:gridCol w:w="140"/>
        <w:gridCol w:w="800"/>
        <w:gridCol w:w="60"/>
        <w:gridCol w:w="120"/>
        <w:gridCol w:w="140"/>
        <w:gridCol w:w="800"/>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20210</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NOL carry-forwards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403,989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324,134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502,511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Company had $403,989 thousand of net operating loss carry-forwards available to offset future taxable income, of which $282,153 thousand is associated with the Company’s Luxembourg subsidiary, mainly attributable to certain expenses incurred in connection with its shareholding in the Company’s Dutch subsidiary. Of the $282,153 thousand net operating loss carry-forwards, $273,447 thousand is carried forward indefinitely and the remaining $8,706 thousand expires from 2034 through 2040. The net operating loss carry-forwards retained by the Company’s U.S. parent amounts to $54,757 thousand, of which $4,316 thousand is carried forward indefinitely and the remaining $50,441 thousand expires at various dates through 2037. The net operating loss carry-forwards retained by the Company’s Korea subsidiary amounts to $67,076 thousand, which expires in 2038.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utilized net operating loss of $1,886 thousand, $19,900 thousand, and $70,672 thousand for the years ended December 31, 2023, 2022 and 2021, respectively. The Company also has Dutch tax credit carry-forwards of $13,840 thousand and Korea R&amp;D tax credit $532 thousand as of December 31, 2023. The Dutch tax credits are carried forward to be used for an indefinite period of time.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Uncertainty in 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and its subsidiaries file income tax returns in Korea, Japan, Taiwan, and the US and in various other jurisdictions. The Company is subject to income-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non-income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tax examinations by tax authorities of these jurisdictions for all open tax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2022 and 2021, the Company recorded $274 thousand, $316 thousand, and $386 thousand of unrecognized tax benefits,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tabular reconciliation of the total amounts of unrecognized tax benefits at the beginning and end of each period is as follows (in thousands): </w:t>
      </w:r>
    </w:p>
    <w:p>
      <w:pPr>
        <w:pStyle w:val="TextBody"/>
        <w:bidi w:val="0"/>
        <w:spacing w:before="0" w:after="0"/>
        <w:jc w:val="left"/>
        <w:rPr>
          <w:shd w:fill="FFFFFF" w:val="clear"/>
        </w:rPr>
      </w:pPr>
      <w:r>
        <w:rPr>
          <w:shd w:fill="FFFFFF" w:val="clear"/>
        </w:rPr>
        <w:t> </w:t>
      </w:r>
    </w:p>
    <w:tbl>
      <w:tblPr>
        <w:tblW w:w="7823" w:type="dxa"/>
        <w:jc w:val="left"/>
        <w:tblInd w:w="0" w:type="dxa"/>
        <w:tblLayout w:type="fixed"/>
        <w:tblCellMar>
          <w:top w:w="0" w:type="dxa"/>
          <w:left w:w="0" w:type="dxa"/>
          <w:bottom w:w="0" w:type="dxa"/>
          <w:right w:w="0" w:type="dxa"/>
        </w:tblCellMar>
      </w:tblPr>
      <w:tblGrid>
        <w:gridCol w:w="4820"/>
        <w:gridCol w:w="120"/>
        <w:gridCol w:w="179"/>
        <w:gridCol w:w="489"/>
        <w:gridCol w:w="199"/>
        <w:gridCol w:w="154"/>
        <w:gridCol w:w="179"/>
        <w:gridCol w:w="489"/>
        <w:gridCol w:w="199"/>
        <w:gridCol w:w="154"/>
        <w:gridCol w:w="179"/>
        <w:gridCol w:w="492"/>
        <w:gridCol w:w="170"/>
      </w:tblGrid>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3"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7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balance at the beginning</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316</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386</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92" w:type="dxa"/>
            <w:tcBorders/>
            <w:shd w:fill="CCEEFF" w:val="clear"/>
            <w:vAlign w:val="center"/>
          </w:tcPr>
          <w:p>
            <w:pPr>
              <w:pStyle w:val="TableContents"/>
              <w:bidi w:val="0"/>
              <w:spacing w:before="0" w:after="283"/>
              <w:jc w:val="right"/>
              <w:rPr/>
            </w:pPr>
            <w:r>
              <w:rPr/>
              <w:t>414</w:t>
            </w:r>
          </w:p>
        </w:tc>
        <w:tc>
          <w:tcPr>
            <w:tcW w:w="170"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related to the current year</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25</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40</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Lapse of statute of limitations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(66</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(73</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(79</w:t>
            </w:r>
          </w:p>
        </w:tc>
        <w:tc>
          <w:tcPr>
            <w:tcW w:w="170"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(1</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(37</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489" w:type="dxa"/>
            <w:tcBorders/>
            <w:vAlign w:val="center"/>
          </w:tcPr>
          <w:p>
            <w:pPr>
              <w:pStyle w:val="TableContents"/>
              <w:bidi w:val="0"/>
              <w:spacing w:before="0" w:after="0"/>
              <w:jc w:val="left"/>
              <w:rPr>
                <w:bdr w:val="single" w:sz="2" w:space="1" w:color="000000"/>
              </w:rPr>
            </w:pPr>
            <w:r>
              <w:rPr>
                <w:bdr w:val="single" w:sz="2" w:space="1" w:color="000000"/>
              </w:rPr>
              <w:t> </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489" w:type="dxa"/>
            <w:tcBorders/>
            <w:vAlign w:val="center"/>
          </w:tcPr>
          <w:p>
            <w:pPr>
              <w:pStyle w:val="TableContents"/>
              <w:bidi w:val="0"/>
              <w:spacing w:before="0" w:after="0"/>
              <w:jc w:val="left"/>
              <w:rPr>
                <w:bdr w:val="single" w:sz="2" w:space="1" w:color="000000"/>
              </w:rPr>
            </w:pPr>
            <w:r>
              <w:rPr>
                <w:bdr w:val="single" w:sz="2" w:space="1" w:color="000000"/>
              </w:rPr>
              <w:t> </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4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balance at the ending</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274</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316</w:t>
            </w:r>
          </w:p>
        </w:tc>
        <w:tc>
          <w:tcPr>
            <w:tcW w:w="199"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92" w:type="dxa"/>
            <w:tcBorders/>
            <w:shd w:fill="CCEEFF" w:val="clear"/>
            <w:vAlign w:val="center"/>
          </w:tcPr>
          <w:p>
            <w:pPr>
              <w:pStyle w:val="TableContents"/>
              <w:bidi w:val="0"/>
              <w:spacing w:before="0" w:after="283"/>
              <w:jc w:val="right"/>
              <w:rPr/>
            </w:pPr>
            <w:r>
              <w:rPr/>
              <w:t>386</w:t>
            </w:r>
          </w:p>
        </w:tc>
        <w:tc>
          <w:tcPr>
            <w:tcW w:w="170"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double" w:sz="6" w:space="1" w:color="000000"/>
              </w:rPr>
            </w:pPr>
            <w:r>
              <w:rPr>
                <w:bdr w:val="double" w:sz="6" w:space="1" w:color="000000"/>
              </w:rPr>
              <w:t> </w:t>
            </w:r>
          </w:p>
        </w:tc>
        <w:tc>
          <w:tcPr>
            <w:tcW w:w="489" w:type="dxa"/>
            <w:tcBorders/>
            <w:vAlign w:val="center"/>
          </w:tcPr>
          <w:p>
            <w:pPr>
              <w:pStyle w:val="TableContents"/>
              <w:bidi w:val="0"/>
              <w:spacing w:before="0" w:after="0"/>
              <w:jc w:val="left"/>
              <w:rPr>
                <w:bdr w:val="double" w:sz="6" w:space="1" w:color="000000"/>
              </w:rPr>
            </w:pPr>
            <w:r>
              <w:rPr>
                <w:bdr w:val="double" w:sz="6" w:space="1" w:color="000000"/>
              </w:rPr>
              <w:t> </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double" w:sz="6" w:space="1" w:color="000000"/>
              </w:rPr>
            </w:pPr>
            <w:r>
              <w:rPr>
                <w:bdr w:val="double" w:sz="6" w:space="1" w:color="000000"/>
              </w:rPr>
              <w:t> </w:t>
            </w:r>
          </w:p>
        </w:tc>
        <w:tc>
          <w:tcPr>
            <w:tcW w:w="489" w:type="dxa"/>
            <w:tcBorders/>
            <w:vAlign w:val="center"/>
          </w:tcPr>
          <w:p>
            <w:pPr>
              <w:pStyle w:val="TableContents"/>
              <w:bidi w:val="0"/>
              <w:spacing w:before="0" w:after="0"/>
              <w:jc w:val="left"/>
              <w:rPr>
                <w:bdr w:val="double" w:sz="6" w:space="1" w:color="000000"/>
              </w:rPr>
            </w:pPr>
            <w:r>
              <w:rPr>
                <w:bdr w:val="double" w:sz="6" w:space="1" w:color="000000"/>
              </w:rPr>
              <w:t> </w:t>
            </w:r>
          </w:p>
        </w:tc>
        <w:tc>
          <w:tcPr>
            <w:tcW w:w="19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double" w:sz="6" w:space="1" w:color="000000"/>
              </w:rPr>
            </w:pPr>
            <w:r>
              <w:rPr>
                <w:bdr w:val="double" w:sz="6" w:space="1" w:color="000000"/>
              </w:rPr>
              <w:t> </w:t>
            </w:r>
          </w:p>
        </w:tc>
        <w:tc>
          <w:tcPr>
            <w:tcW w:w="49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No interest and penalties related to unrecognized tax benefits were recognized as of December 31, 2023, 2022, and 2021.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currently unaware of any uncertain tax positions that could result in significant additional payments, accruals, or other material deviations from this estimate over the next 12 months.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17. Geographic and Other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sets forth information relating to the operating segment as well as the Transitional Fab 3 Foundry Services (in thousands): </w:t>
      </w:r>
    </w:p>
    <w:p>
      <w:pPr>
        <w:pStyle w:val="TextBody"/>
        <w:bidi w:val="0"/>
        <w:spacing w:before="0" w:after="0"/>
        <w:jc w:val="left"/>
        <w:rPr>
          <w:shd w:fill="FFFFFF" w:val="clear"/>
        </w:rPr>
      </w:pPr>
      <w:r>
        <w:rPr>
          <w:shd w:fill="FFFFFF" w:val="clear"/>
        </w:rPr>
        <w:t> </w:t>
      </w:r>
    </w:p>
    <w:tbl>
      <w:tblPr>
        <w:tblW w:w="6275" w:type="dxa"/>
        <w:jc w:val="left"/>
        <w:tblInd w:w="0" w:type="dxa"/>
        <w:tblLayout w:type="fixed"/>
        <w:tblCellMar>
          <w:top w:w="0" w:type="dxa"/>
          <w:left w:w="0" w:type="dxa"/>
          <w:bottom w:w="0" w:type="dxa"/>
          <w:right w:w="0" w:type="dxa"/>
        </w:tblCellMar>
      </w:tblPr>
      <w:tblGrid>
        <w:gridCol w:w="2900"/>
        <w:gridCol w:w="120"/>
        <w:gridCol w:w="140"/>
        <w:gridCol w:w="800"/>
        <w:gridCol w:w="60"/>
        <w:gridCol w:w="120"/>
        <w:gridCol w:w="140"/>
        <w:gridCol w:w="800"/>
        <w:gridCol w:w="60"/>
        <w:gridCol w:w="120"/>
        <w:gridCol w:w="140"/>
        <w:gridCol w:w="800"/>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32,134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71,432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205,322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163,556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230,464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227,777</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195,690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301,896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433,099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34,361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35,762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41,131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230,051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337,658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474,230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6250" w:type="dxa"/>
        <w:jc w:val="left"/>
        <w:tblInd w:w="0" w:type="dxa"/>
        <w:tblLayout w:type="fixed"/>
        <w:tblCellMar>
          <w:top w:w="0" w:type="dxa"/>
          <w:left w:w="0" w:type="dxa"/>
          <w:bottom w:w="0" w:type="dxa"/>
          <w:right w:w="0" w:type="dxa"/>
        </w:tblCellMar>
      </w:tblPr>
      <w:tblGrid>
        <w:gridCol w:w="2900"/>
        <w:gridCol w:w="120"/>
        <w:gridCol w:w="140"/>
        <w:gridCol w:w="680"/>
        <w:gridCol w:w="155"/>
        <w:gridCol w:w="120"/>
        <w:gridCol w:w="140"/>
        <w:gridCol w:w="800"/>
        <w:gridCol w:w="60"/>
        <w:gridCol w:w="120"/>
        <w:gridCol w:w="140"/>
        <w:gridCol w:w="800"/>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51,928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99,549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149,596</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3,947</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51,640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101,264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153,543</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net sales—standard products business (which does not include the Transitional Fab 3 Foundry Services) by geographic region, based on the location to which the products are billed (in thousands): </w:t>
      </w:r>
    </w:p>
    <w:p>
      <w:pPr>
        <w:pStyle w:val="TextBody"/>
        <w:bidi w:val="0"/>
        <w:spacing w:before="0" w:after="0"/>
        <w:jc w:val="left"/>
        <w:rPr>
          <w:shd w:fill="FFFFFF" w:val="clear"/>
        </w:rPr>
      </w:pPr>
      <w:r>
        <w:rPr>
          <w:shd w:fill="FFFFFF" w:val="clear"/>
        </w:rPr>
        <w:t> </w:t>
      </w:r>
    </w:p>
    <w:tbl>
      <w:tblPr>
        <w:tblW w:w="5885" w:type="dxa"/>
        <w:jc w:val="left"/>
        <w:tblInd w:w="0" w:type="dxa"/>
        <w:tblLayout w:type="fixed"/>
        <w:tblCellMar>
          <w:top w:w="0" w:type="dxa"/>
          <w:left w:w="0" w:type="dxa"/>
          <w:bottom w:w="0" w:type="dxa"/>
          <w:right w:w="0" w:type="dxa"/>
        </w:tblCellMar>
      </w:tblPr>
      <w:tblGrid>
        <w:gridCol w:w="2510"/>
        <w:gridCol w:w="120"/>
        <w:gridCol w:w="140"/>
        <w:gridCol w:w="800"/>
        <w:gridCol w:w="60"/>
        <w:gridCol w:w="120"/>
        <w:gridCol w:w="140"/>
        <w:gridCol w:w="800"/>
        <w:gridCol w:w="60"/>
        <w:gridCol w:w="120"/>
        <w:gridCol w:w="140"/>
        <w:gridCol w:w="800"/>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66,817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113,776</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119,244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179,555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306,333</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6,052</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5,698</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1,240</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195,690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301,896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433,099</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2022 and 2021, of the Company’s net sales—standard products business in Asia Pacific (other than Korea), net sales—standard products business in Greater China (China and Hong Kong) represented 67.0%, 68.5% and 65.8%, respectively, and net sales—standard products business in Vietnam represented 12.1%, 13.6% and 26.4%,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Net sales from the Company’s top ten largest customers in the standard products business (which does not include the Transitional Fab 3 Foundry Services) accounted for 69%, 69% and 80% for the years ended December 31, 2023, 2022 and 2021,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2023, the Company had two customers that represented 16.7% and 13.4% of its net sales—standard products business, and for the year ended December 31, 2022, the Company had two customers that represented 19.0% and 13.8% of its net sales—standard products business, and for the year ended December 31, 2021, the Company had two customers that represented 42.5% and 10.4% of its net sales—standard products business.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three customers of the Company’s standard products business accounted for 34.9%, 14.4% and 13.9% of its accounts receivable – standard products business (which does not include the Transitional Fab 3 Foundry Services), respectively. As of December 31, 2022, two customers of the Company’s standard products business accounted for 25.1% and 15.2% of its accounts receivable – standard products business (which does not include the Transitional Fab 3 Foundry Services),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99% of the Company’s property, plant and equipment are located in Korea as of December 31, 2023.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18. Merger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25, 2021, the Company, South Dearborn Limited, an exempted company incorporated in the Cayman Islands with limited liability (“Holdco”), formed by an affiliate of Wise Road Capital LTD (“Wise Road”), and Michigan Merger Sub, Inc., a Delaware corporation and a wholly owned subsidiary of Holdco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Holdco.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closing of the Merger was subject to certain conditions, including clearance by the Committee on Foreign Investment in the United States (“CFIUS”) under the Defense Production Act of 1950, as amended. The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Company and Holdco were advised that CFIUS clearance of the Merger would not be forthcoming and received permission from CFIUS to withdraw their joint filing. In connection therewith, the Company and Holdco entered into a Termination and Settlement Agreement, dated December 13, 2021 (the “Termination Agreement”), pursuant to which Holdco agreed to pay $70,200 thousand (the “Termination Fee”) to the Company on the terms specified in the Termination Agreement in satisfaction of Holdco’s obligation to pay a termination fee in connection with the termination of the Merger Agreement. On December 20, 2021, the Merger Agreement was terminated pursuant to the Termination Agreement after the Company’s receipt of a fee of $51,000 thousand from Holdco and a standby letter of credit, which secures a deferred fee of $19,200 thousand from Holdco due on or before March 31, 2022. As of December 31, 2021, of the Termination Fee, $19,200 thousand deferred fee was recorded as other receivables. In connection therewith, the Company, Holdco and Wise Road entered into a First Amendment to the Termination Agreement, dated April 4, 2022, pursuant to which Holdco paid $14,400 thousand on April 4, 2022, with $4,800 thousand remaining outstanding. The Company, Holdco and Wise Road entered into a Second Amendment to the Termination Agreement, dated August 5, 2022 pursuant to which Holdco paid $3,000 thousand on August 5, 2022, of the deferred fee and payment of the remaining $1,800 thousand was due on or before October 31, 2022. The Company, Holdco and Wise Road entered into a series of letter agreements pursuant to which the parties ultimately agreed to defer the remaining $1,800 thousand due on or before March 31, 2023. On April 6, 2023, Holdco paid the remaining $1,800 thousand.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2021, the Company incurred $34,673 thousand of professional fees and certain transaction related-expenses incurred in connection with the Merger, which were recognized in merger-related costs, net in the consolidated statements of operations.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19. Accumulated Other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Accumulated other comprehensive loss consists of the following at December 31, 2023 and 2022, respectively (in thousands): </w:t>
      </w:r>
    </w:p>
    <w:p>
      <w:pPr>
        <w:pStyle w:val="TextBody"/>
        <w:bidi w:val="0"/>
        <w:spacing w:before="0" w:after="0"/>
        <w:jc w:val="left"/>
        <w:rPr>
          <w:shd w:fill="FFFFFF" w:val="clear"/>
        </w:rPr>
      </w:pPr>
      <w:r>
        <w:rPr>
          <w:shd w:fill="FFFFFF" w:val="clear"/>
        </w:rPr>
        <w:t> </w:t>
      </w:r>
    </w:p>
    <w:tbl>
      <w:tblPr>
        <w:tblW w:w="5705" w:type="dxa"/>
        <w:jc w:val="left"/>
        <w:tblInd w:w="0" w:type="dxa"/>
        <w:tblLayout w:type="fixed"/>
        <w:tblCellMar>
          <w:top w:w="0" w:type="dxa"/>
          <w:left w:w="0" w:type="dxa"/>
          <w:bottom w:w="0" w:type="dxa"/>
          <w:right w:w="0" w:type="dxa"/>
        </w:tblCellMar>
      </w:tblPr>
      <w:tblGrid>
        <w:gridCol w:w="3350"/>
        <w:gridCol w:w="120"/>
        <w:gridCol w:w="140"/>
        <w:gridCol w:w="755"/>
        <w:gridCol w:w="155"/>
        <w:gridCol w:w="120"/>
        <w:gridCol w:w="140"/>
        <w:gridCol w:w="755"/>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(11,328</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(1,225</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accumulated other comprehensive income (loss) for the years ended December 31, 2023, 2022 and 2021 are as follows (in thousands): </w:t>
      </w:r>
    </w:p>
    <w:p>
      <w:pPr>
        <w:pStyle w:val="TextBody"/>
        <w:bidi w:val="0"/>
        <w:spacing w:before="0" w:after="0"/>
        <w:jc w:val="left"/>
        <w:rPr>
          <w:shd w:fill="FFFFFF" w:val="clear"/>
        </w:rPr>
      </w:pPr>
      <w:r>
        <w:rPr>
          <w:shd w:fill="FFFFFF" w:val="clear"/>
        </w:rPr>
        <w:t> </w:t>
      </w:r>
    </w:p>
    <w:tbl>
      <w:tblPr>
        <w:tblW w:w="9445" w:type="dxa"/>
        <w:jc w:val="left"/>
        <w:tblInd w:w="0" w:type="dxa"/>
        <w:tblLayout w:type="fixed"/>
        <w:tblCellMar>
          <w:top w:w="0" w:type="dxa"/>
          <w:left w:w="0" w:type="dxa"/>
          <w:bottom w:w="0" w:type="dxa"/>
          <w:right w:w="0" w:type="dxa"/>
        </w:tblCellMar>
      </w:tblPr>
      <w:tblGrid>
        <w:gridCol w:w="5330"/>
        <w:gridCol w:w="120"/>
        <w:gridCol w:w="195"/>
        <w:gridCol w:w="1055"/>
        <w:gridCol w:w="155"/>
        <w:gridCol w:w="60"/>
        <w:gridCol w:w="225"/>
        <w:gridCol w:w="1025"/>
        <w:gridCol w:w="155"/>
        <w:gridCol w:w="6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 Ended December 31, 2023</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(1,536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(5,556</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3,452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3,452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1,916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(2,104</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(15,348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tbl>
      <w:tblPr>
        <w:tblW w:w="9445" w:type="dxa"/>
        <w:jc w:val="left"/>
        <w:tblInd w:w="0" w:type="dxa"/>
        <w:tblLayout w:type="fixed"/>
        <w:tblCellMar>
          <w:top w:w="0" w:type="dxa"/>
          <w:left w:w="0" w:type="dxa"/>
          <w:bottom w:w="0" w:type="dxa"/>
          <w:right w:w="0" w:type="dxa"/>
        </w:tblCellMar>
      </w:tblPr>
      <w:tblGrid>
        <w:gridCol w:w="5330"/>
        <w:gridCol w:w="120"/>
        <w:gridCol w:w="195"/>
        <w:gridCol w:w="1055"/>
        <w:gridCol w:w="155"/>
        <w:gridCol w:w="60"/>
        <w:gridCol w:w="225"/>
        <w:gridCol w:w="1025"/>
        <w:gridCol w:w="155"/>
        <w:gridCol w:w="6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 Ended December 31, 2022</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(1,460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(2,230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(10,558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(18,837</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8,514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8,514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(10,558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(10,323</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325" w:type="dxa"/>
        <w:jc w:val="left"/>
        <w:tblInd w:w="0" w:type="dxa"/>
        <w:tblLayout w:type="fixed"/>
        <w:tblCellMar>
          <w:top w:w="0" w:type="dxa"/>
          <w:left w:w="0" w:type="dxa"/>
          <w:bottom w:w="0" w:type="dxa"/>
          <w:right w:w="0" w:type="dxa"/>
        </w:tblCellMar>
      </w:tblPr>
      <w:tblGrid>
        <w:gridCol w:w="5330"/>
        <w:gridCol w:w="120"/>
        <w:gridCol w:w="225"/>
        <w:gridCol w:w="1025"/>
        <w:gridCol w:w="155"/>
        <w:gridCol w:w="60"/>
        <w:gridCol w:w="225"/>
        <w:gridCol w:w="1025"/>
        <w:gridCol w:w="155"/>
        <w:gridCol w:w="60"/>
        <w:gridCol w:w="140"/>
        <w:gridCol w:w="63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 Ended December 31, 2021</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2,069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3,703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(2,839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(3,913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(6,752</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819</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(2,839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(3,094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(5,933</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(770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(1,460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(2,230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was an income tax expense of $452 thousand related to changes in accumulated other comprehensive loss for the year ended December 31, 2023. There was an income tax expense of $6 thousand related to changes in accumulated other comprehensive loss for the year ended December 31, 2022. There was an income tax benefit of $752 thousand related to changes in accumulated other comprehensive loss for the year ended December 31, 2021.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STATEMENTS—(CONTINUED)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20. Earnings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illustrates the computation of basic and diluted earnings (loss) per common share for the years ended December 31, 2023, 2022 and 2021: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298"/>
        <w:gridCol w:w="120"/>
        <w:gridCol w:w="158"/>
        <w:gridCol w:w="1249"/>
        <w:gridCol w:w="175"/>
        <w:gridCol w:w="67"/>
        <w:gridCol w:w="158"/>
        <w:gridCol w:w="1249"/>
        <w:gridCol w:w="175"/>
        <w:gridCol w:w="67"/>
        <w:gridCol w:w="158"/>
        <w:gridCol w:w="1249"/>
        <w:gridCol w:w="82"/>
      </w:tblGrid>
      <w:tr>
        <w:trPr/>
        <w:tc>
          <w:tcPr>
            <w:tcW w:w="5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52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0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82" w:type="dxa"/>
            <w:tcBorders/>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82" w:type="dxa"/>
            <w:tcBorders/>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05" w:type="dxa"/>
            <w:gridSpan w:val="10"/>
            <w:tcBorders/>
            <w:vAlign w:val="center"/>
          </w:tcPr>
          <w:p>
            <w:pPr>
              <w:pStyle w:val="TableContents"/>
              <w:bidi w:val="0"/>
              <w:spacing w:before="0" w:after="0"/>
              <w:jc w:val="center"/>
              <w:rPr>
                <w:b/>
                <w:spacing w:val="0"/>
              </w:rPr>
            </w:pPr>
            <w:r>
              <w:rPr>
                <w:b/>
                <w:spacing w:val="0"/>
              </w:rPr>
              <w:t>(In thousands of U.S. dollars, except share data)</w:t>
            </w:r>
          </w:p>
        </w:tc>
        <w:tc>
          <w:tcPr>
            <w:tcW w:w="82" w:type="dxa"/>
            <w:tcBorders/>
            <w:vAlign w:val="center"/>
          </w:tcPr>
          <w:p>
            <w:pPr>
              <w:pStyle w:val="TableContents"/>
              <w:bidi w:val="0"/>
              <w:spacing w:before="0" w:after="283"/>
              <w:jc w:val="left"/>
              <w:rPr/>
            </w:pPr>
            <w:r>
              <w:rPr/>
              <w:t> </w:t>
            </w:r>
          </w:p>
        </w:tc>
      </w:tr>
      <w:tr>
        <w:trPr/>
        <w:tc>
          <w:tcPr>
            <w:tcW w:w="529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earnings (loss) per share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sz w:val="4"/>
                <w:szCs w:val="4"/>
              </w:rPr>
            </w:pPr>
            <w:r>
              <w:rPr>
                <w:sz w:val="4"/>
                <w:szCs w:val="4"/>
              </w:rPr>
            </w:r>
          </w:p>
        </w:tc>
      </w:tr>
      <w:tr>
        <w:trPr/>
        <w:tc>
          <w:tcPr>
            <w:tcW w:w="5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(36,622</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(8,036</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56,708</w:t>
            </w:r>
          </w:p>
        </w:tc>
        <w:tc>
          <w:tcPr>
            <w:tcW w:w="82" w:type="dxa"/>
            <w:tcBorders/>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9" w:type="dxa"/>
            <w:tcBorders/>
            <w:vAlign w:val="center"/>
          </w:tcPr>
          <w:p>
            <w:pPr>
              <w:pStyle w:val="TableContents"/>
              <w:bidi w:val="0"/>
              <w:spacing w:before="0" w:after="0"/>
              <w:jc w:val="left"/>
              <w:rPr>
                <w:bdr w:val="double" w:sz="6" w:space="1" w:color="000000"/>
              </w:rPr>
            </w:pPr>
            <w:r>
              <w:rPr>
                <w:bdr w:val="double" w:sz="6" w:space="1" w:color="000000"/>
              </w:rPr>
              <w:t> </w:t>
            </w:r>
          </w:p>
        </w:tc>
        <w:tc>
          <w:tcPr>
            <w:tcW w:w="82" w:type="dxa"/>
            <w:tcBorders/>
            <w:vAlign w:val="center"/>
          </w:tcPr>
          <w:p>
            <w:pPr>
              <w:pStyle w:val="TableContents"/>
              <w:bidi w:val="0"/>
              <w:spacing w:before="0" w:after="283"/>
              <w:jc w:val="left"/>
              <w:rPr/>
            </w:pPr>
            <w:r>
              <w:rPr/>
              <w:t> </w:t>
            </w:r>
          </w:p>
        </w:tc>
      </w:tr>
      <w:tr>
        <w:trPr/>
        <w:tc>
          <w:tcPr>
            <w:tcW w:w="52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41,013,069</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44,850,791</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44,879,412</w:t>
            </w:r>
          </w:p>
        </w:tc>
        <w:tc>
          <w:tcPr>
            <w:tcW w:w="82" w:type="dxa"/>
            <w:tcBorders/>
            <w:shd w:fill="CCEEFF" w:val="clear"/>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(loss) per common share</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(0.89</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(0.18</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1.26</w:t>
            </w:r>
          </w:p>
        </w:tc>
        <w:tc>
          <w:tcPr>
            <w:tcW w:w="82" w:type="dxa"/>
            <w:tcBorders/>
            <w:vAlign w:val="center"/>
          </w:tcPr>
          <w:p>
            <w:pPr>
              <w:pStyle w:val="TableContents"/>
              <w:bidi w:val="0"/>
              <w:spacing w:before="0" w:after="283"/>
              <w:jc w:val="left"/>
              <w:rPr/>
            </w:pPr>
            <w:r>
              <w:rPr/>
              <w:t> </w:t>
            </w:r>
          </w:p>
        </w:tc>
      </w:tr>
      <w:tr>
        <w:trPr/>
        <w:tc>
          <w:tcPr>
            <w:tcW w:w="529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share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sz w:val="4"/>
                <w:szCs w:val="4"/>
              </w:rPr>
            </w:pPr>
            <w:r>
              <w:rPr>
                <w:sz w:val="4"/>
                <w:szCs w:val="4"/>
              </w:rPr>
            </w:r>
          </w:p>
        </w:tc>
      </w:tr>
      <w:tr>
        <w:trPr/>
        <w:tc>
          <w:tcPr>
            <w:tcW w:w="5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(36,622</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(8,036</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56,708</w:t>
            </w:r>
          </w:p>
        </w:tc>
        <w:tc>
          <w:tcPr>
            <w:tcW w:w="82" w:type="dxa"/>
            <w:tcBorders/>
            <w:vAlign w:val="center"/>
          </w:tcPr>
          <w:p>
            <w:pPr>
              <w:pStyle w:val="TableContents"/>
              <w:bidi w:val="0"/>
              <w:spacing w:before="0" w:after="283"/>
              <w:jc w:val="left"/>
              <w:rPr/>
            </w:pPr>
            <w:r>
              <w:rPr/>
              <w:t> </w:t>
            </w:r>
          </w:p>
        </w:tc>
      </w:tr>
      <w:tr>
        <w:trPr/>
        <w:tc>
          <w:tcPr>
            <w:tcW w:w="52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back: Interest expense on 5.0% Exchangeable Notes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959</w:t>
            </w:r>
          </w:p>
        </w:tc>
        <w:tc>
          <w:tcPr>
            <w:tcW w:w="82" w:type="dxa"/>
            <w:tcBorders/>
            <w:shd w:fill="CCEEFF" w:val="clear"/>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82" w:type="dxa"/>
            <w:tcBorders/>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allocated to common stockholders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(36,622</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(8,036</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57,667</w:t>
            </w:r>
          </w:p>
        </w:tc>
        <w:tc>
          <w:tcPr>
            <w:tcW w:w="82" w:type="dxa"/>
            <w:tcBorders/>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9" w:type="dxa"/>
            <w:tcBorders/>
            <w:vAlign w:val="center"/>
          </w:tcPr>
          <w:p>
            <w:pPr>
              <w:pStyle w:val="TableContents"/>
              <w:bidi w:val="0"/>
              <w:spacing w:before="0" w:after="0"/>
              <w:jc w:val="left"/>
              <w:rPr>
                <w:bdr w:val="double" w:sz="6" w:space="1" w:color="000000"/>
              </w:rPr>
            </w:pPr>
            <w:r>
              <w:rPr>
                <w:bdr w:val="double" w:sz="6" w:space="1" w:color="000000"/>
              </w:rPr>
              <w:t> </w:t>
            </w:r>
          </w:p>
        </w:tc>
        <w:tc>
          <w:tcPr>
            <w:tcW w:w="82" w:type="dxa"/>
            <w:tcBorders/>
            <w:vAlign w:val="center"/>
          </w:tcPr>
          <w:p>
            <w:pPr>
              <w:pStyle w:val="TableContents"/>
              <w:bidi w:val="0"/>
              <w:spacing w:before="0" w:after="283"/>
              <w:jc w:val="left"/>
              <w:rPr/>
            </w:pPr>
            <w:r>
              <w:rPr/>
              <w:t> </w:t>
            </w:r>
          </w:p>
        </w:tc>
      </w:tr>
      <w:tr>
        <w:trPr/>
        <w:tc>
          <w:tcPr>
            <w:tcW w:w="52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41,013,069</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44,850,791</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44,879,412</w:t>
            </w:r>
          </w:p>
        </w:tc>
        <w:tc>
          <w:tcPr>
            <w:tcW w:w="82" w:type="dxa"/>
            <w:tcBorders/>
            <w:shd w:fill="CCEEFF" w:val="clear"/>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dilutive equity awards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1,403,789</w:t>
            </w:r>
          </w:p>
        </w:tc>
        <w:tc>
          <w:tcPr>
            <w:tcW w:w="82" w:type="dxa"/>
            <w:tcBorders/>
            <w:vAlign w:val="center"/>
          </w:tcPr>
          <w:p>
            <w:pPr>
              <w:pStyle w:val="TableContents"/>
              <w:bidi w:val="0"/>
              <w:spacing w:before="0" w:after="283"/>
              <w:jc w:val="left"/>
              <w:rPr/>
            </w:pPr>
            <w:r>
              <w:rPr/>
              <w:t> </w:t>
            </w:r>
          </w:p>
        </w:tc>
      </w:tr>
      <w:tr>
        <w:trPr/>
        <w:tc>
          <w:tcPr>
            <w:tcW w:w="52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assumed conversion of 5.0% Exchangeable Notes to common stock</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1,426,172</w:t>
            </w:r>
          </w:p>
        </w:tc>
        <w:tc>
          <w:tcPr>
            <w:tcW w:w="82" w:type="dxa"/>
            <w:tcBorders/>
            <w:shd w:fill="CCEEFF" w:val="clear"/>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82" w:type="dxa"/>
            <w:tcBorders/>
            <w:vAlign w:val="center"/>
          </w:tcPr>
          <w:p>
            <w:pPr>
              <w:pStyle w:val="TableContents"/>
              <w:bidi w:val="0"/>
              <w:spacing w:before="0" w:after="283"/>
              <w:jc w:val="left"/>
              <w:rPr/>
            </w:pPr>
            <w:r>
              <w:rPr/>
              <w:t> </w:t>
            </w:r>
          </w:p>
        </w:tc>
      </w:tr>
      <w:tr>
        <w:trPr/>
        <w:tc>
          <w:tcPr>
            <w:tcW w:w="5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stock outstanding</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41,013,069</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44,850,791</w:t>
            </w:r>
          </w:p>
        </w:tc>
        <w:tc>
          <w:tcPr>
            <w:tcW w:w="17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47,709,373</w:t>
            </w:r>
          </w:p>
        </w:tc>
        <w:tc>
          <w:tcPr>
            <w:tcW w:w="82" w:type="dxa"/>
            <w:tcBorders/>
            <w:vAlign w:val="center"/>
          </w:tcPr>
          <w:p>
            <w:pPr>
              <w:pStyle w:val="TableContents"/>
              <w:bidi w:val="0"/>
              <w:spacing w:before="0" w:after="283"/>
              <w:jc w:val="left"/>
              <w:rPr/>
            </w:pPr>
            <w:r>
              <w:rPr/>
              <w:t> </w:t>
            </w:r>
          </w:p>
        </w:tc>
      </w:tr>
      <w:tr>
        <w:trPr/>
        <w:tc>
          <w:tcPr>
            <w:tcW w:w="52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(loss) per common share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(0.89</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(0.18</w:t>
            </w:r>
          </w:p>
        </w:tc>
        <w:tc>
          <w:tcPr>
            <w:tcW w:w="17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1.21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Diluted earnings (loss) per share adjusts basic earnings (loss) per share for the potentially dilutive impact of stock options and restricted stock units. As the Company has reported loss for the year ended December 31, 2023 and 2022, all potentially dilutive securities are antidilutive and accordingly not considered, therefore basic net loss per share equals diluted net loss per share.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outstanding instruments were excluded from the computation of diluted earnings (loss) per share, as they have an anti-dilutive effect on the calculation: </w:t>
      </w:r>
    </w:p>
    <w:p>
      <w:pPr>
        <w:pStyle w:val="TextBody"/>
        <w:bidi w:val="0"/>
        <w:spacing w:before="0" w:after="0"/>
        <w:jc w:val="left"/>
        <w:rPr>
          <w:shd w:fill="FFFFFF" w:val="clear"/>
        </w:rPr>
      </w:pPr>
      <w:r>
        <w:rPr>
          <w:shd w:fill="FFFFFF" w:val="clear"/>
        </w:rPr>
        <w:t> </w:t>
      </w:r>
    </w:p>
    <w:tbl>
      <w:tblPr>
        <w:tblW w:w="5225" w:type="dxa"/>
        <w:jc w:val="left"/>
        <w:tblInd w:w="0" w:type="dxa"/>
        <w:tblLayout w:type="fixed"/>
        <w:tblCellMar>
          <w:top w:w="0" w:type="dxa"/>
          <w:left w:w="0" w:type="dxa"/>
          <w:bottom w:w="0" w:type="dxa"/>
          <w:right w:w="0" w:type="dxa"/>
        </w:tblCellMar>
      </w:tblPr>
      <w:tblGrid>
        <w:gridCol w:w="1850"/>
        <w:gridCol w:w="120"/>
        <w:gridCol w:w="60"/>
        <w:gridCol w:w="980"/>
        <w:gridCol w:w="60"/>
        <w:gridCol w:w="120"/>
        <w:gridCol w:w="60"/>
        <w:gridCol w:w="980"/>
        <w:gridCol w:w="60"/>
        <w:gridCol w:w="120"/>
        <w:gridCol w:w="60"/>
        <w:gridCol w:w="680"/>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802,858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1,137,558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1,006,367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815,407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Item 9. Changes in and Disagreements with Accountants on Accounting and Financial Disclosure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9A. Controls and Procedures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 Evaluation of Disclosure Controls and Procedures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Management of the Company, with the participation of our Principal Executive Officer and our Principal Financial Officer, conducted an evaluation of the effectiveness of the design and operation of our disclosure controls and procedures, as such term is defined under Rules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13a-15(e)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15d-15(e)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promulgated under the Exchange Act, as of December 31, 2023. Based on this evaluation, our Principal Executive Officer and our Principal Financial Officer have concluded that our disclosure controls and procedures were effective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 Management’s Annual Report on Internal Control Over Financial Reporting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Our management is responsible for establishing and maintaining adequate internal control over financial reporting, as such term is defined in Rules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13a-15(f)</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15d-15(f)</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Under the supervision and with the participation of our Principal Executive Officer and our Principal Financial Officer, we conducted an evaluation of the effectiveness of the Company’s internal control over financial reporting as of December 31, 2023, based on the criteria set forth in</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Internal Control—Integrated</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Framework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(2013) issued by the Committee of Sponsoring Organizations of the Treadway Commission (“COSO”). Based on our assessment, we concluded that our internal control over financial reporting was effective as of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effectiveness of the Company’s internal control over financial reporting as of December 31, 2023 has been audited by Samil PricewaterhouseCoopers, an independent registered public accounting firm, as stated in their report which appears in Item 8 of this Report.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 Changes in Internal Control Over Financial Reporting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 were no changes in internal control over financial reporting during the quarter ended December 31, 2023 that have materially affected, or are reasonably likely to materially affect, our internal control over financial reporting.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Item 9B.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Securities Trading Plans of Directors and Executive Officers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three months ended December 31, 2023, none of our directors or officers, as defined 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Rule 16a-1(f),</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adopted or terminated a “Rule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10b5-1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trading arrangement” or a </w:t>
      </w:r>
    </w:p>
    <w:p>
      <w:pPr>
        <w:pStyle w:val="TextBody"/>
        <w:bidi w:val="0"/>
        <w:spacing w:before="120" w:after="0"/>
        <w:jc w:val="left"/>
        <w:rPr>
          <w:spacing w:val="0"/>
          <w:shd w:fill="FFFFFF" w:val="clear"/>
        </w:rPr>
      </w:pPr>
      <w:r>
        <w:rPr>
          <w:spacing w:val="0"/>
          <w:shd w:fill="FFFFFF" w:val="clear"/>
        </w:rPr>
        <w:t>“</w:t>
      </w:r>
      <w:r>
        <w:rPr>
          <w:rFonts w:ascii="Times New Roman" w:hAnsi="Times New Roman"/>
          <w:spacing w:val="0"/>
          <w:sz w:val="20"/>
          <w:shd w:fill="FFFFFF" w:val="clear"/>
        </w:rPr>
        <w:t>non-Rule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10b5-1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trading arrangement,” each as defined in Regulation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9C. Disclosure Regarding Foreign Jurisdictions that Prevent Inspections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Not Applicable.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III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Item 10. Directors, Executive Officers and Corporate 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required by this item relating to our executive officers is included in “Item 1. Business—Executive Officers of the Company.” The other information required by this item is incorporated by reference to our definitive proxy statement relating to our 2024 annual meeting of stockholders or will be included by amendment to this Report within 120 days after the end of the fiscal year to which this Report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11. 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required by this item is incorporated by reference to our definitive proxy statement relating to our 2024 annual meeting of stockholders or will be included by amendment to this Report within 120 days after the end of the fiscal year to which this Report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12. Security Ownership of Certain Beneficial Owners and Management and Related Stockholder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required by this item is incorporated by reference to our definitive proxy statement relating to our 2024 annual meeting of stockholders or will be included by amendment to this Report within 120 days after the end of the fiscal year to which this Report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13. Certain Relationships and Related Transactions, and Director Independence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required by this item is incorporated by reference to our definitive proxy statement relating to our 2024 annual meeting of stockholders or will be included by amendment to this Report within 120 days after the end of the fiscal year to which this Report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14. Principal Accounting Fees and Services.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required by this item is incorporated by reference to our definitive proxy statement relating to our 2024 annual meeting of stockholders or will be included by amendment to this Report within 120 days after the end of the fiscal year to which this Report relates.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IV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Item 15. Exhibits and Financial Statement Schedules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990" w:type="dxa"/>
        <w:jc w:val="left"/>
        <w:tblInd w:w="0" w:type="dxa"/>
        <w:tblLayout w:type="fixed"/>
        <w:tblCellMar>
          <w:top w:w="0" w:type="dxa"/>
          <w:left w:w="0" w:type="dxa"/>
          <w:bottom w:w="0" w:type="dxa"/>
          <w:right w:w="0" w:type="dxa"/>
        </w:tblCellMar>
      </w:tblPr>
      <w:tblGrid>
        <w:gridCol w:w="215"/>
        <w:gridCol w:w="1775"/>
      </w:tblGrid>
      <w:tr>
        <w:trPr/>
        <w:tc>
          <w:tcPr>
            <w:tcW w:w="215" w:type="dxa"/>
            <w:tcBorders/>
            <w:vAlign w:val="center"/>
          </w:tcPr>
          <w:p>
            <w:pPr>
              <w:pStyle w:val="TableContents"/>
              <w:bidi w:val="0"/>
              <w:spacing w:before="0" w:after="283"/>
              <w:jc w:val="left"/>
              <w:rPr/>
            </w:pPr>
            <w:r>
              <w:rPr/>
              <w:t>1.</w:t>
            </w:r>
          </w:p>
        </w:tc>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required by this item is included in Item 8 of Part II of this Report. </w:t>
      </w:r>
    </w:p>
    <w:p>
      <w:pPr>
        <w:pStyle w:val="TextBody"/>
        <w:bidi w:val="0"/>
        <w:spacing w:before="0" w:after="0"/>
        <w:jc w:val="left"/>
        <w:rPr>
          <w:shd w:fill="FFFFFF" w:val="clear"/>
        </w:rPr>
      </w:pPr>
      <w:r>
        <w:rPr>
          <w:shd w:fill="FFFFFF" w:val="clear"/>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283"/>
              <w:jc w:val="left"/>
              <w:rPr/>
            </w:pPr>
            <w:r>
              <w:rPr/>
              <w:t>2.</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 Schedules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Financial Statement Schedules are omitted because of the absence of the conditions under which they are required or because the information required by such omitted schedules is set forth in the financial statements or the notes thereto. </w:t>
      </w:r>
    </w:p>
    <w:p>
      <w:pPr>
        <w:pStyle w:val="TextBody"/>
        <w:bidi w:val="0"/>
        <w:spacing w:before="0" w:after="0"/>
        <w:jc w:val="left"/>
        <w:rPr>
          <w:shd w:fill="FFFFFF" w:val="clear"/>
        </w:rPr>
      </w:pPr>
      <w:r>
        <w:rPr>
          <w:shd w:fill="FFFFFF" w:val="clear"/>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pPr>
            <w:r>
              <w:rPr/>
              <w:t>3.</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83"/>
        <w:gridCol w:w="120"/>
        <w:gridCol w:w="9402"/>
      </w:tblGrid>
      <w:tr>
        <w:trPr/>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2" w:type="dxa"/>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bdr w:val="single" w:sz="8" w:space="1" w:color="000000"/>
              </w:rPr>
            </w:pPr>
            <w:r>
              <w:rPr>
                <w:bdr w:val="single" w:sz="8" w:space="1" w:color="000000"/>
              </w:rPr>
              <w:t>  </w:t>
            </w:r>
            <w:r>
              <w:rPr>
                <w:rFonts w:ascii="Times New Roman" w:hAnsi="Times New Roman"/>
                <w:b/>
                <w:sz w:val="16"/>
                <w:bdr w:val="single" w:sz="8" w:space="1" w:color="000000"/>
              </w:rPr>
              <w:t>No.  </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Exhibit Description</w:t>
            </w:r>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4">
              <w:r>
                <w:rPr>
                  <w:rStyle w:val="InternetLink"/>
                </w:rPr>
                <w:t xml:space="preserve">Business Transfer Agreement, dated as of March 31, 2020 among by and among Magnus Semiconductor, LLC, MagnaChip Semiconductor S.A. and MagnaChip Semiconductor, Ltd. (incorporated by reference to Exhibit 10.1 to our Current Report </w:t>
              </w:r>
            </w:hyperlink>
            <w:hyperlink r:id="rId5">
              <w:r>
                <w:rPr>
                  <w:rStyle w:val="InternetLink"/>
                  <w:spacing w:val="0"/>
                </w:rPr>
                <w:t>on Form 8-K filed</w:t>
              </w:r>
            </w:hyperlink>
            <w:hyperlink r:id="rId6">
              <w:r>
                <w:rPr>
                  <w:rStyle w:val="InternetLink"/>
                </w:rPr>
                <w:t xml:space="preserve"> on March 31, 2020)</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left"/>
              <w:rPr>
                <w:spacing w:val="0"/>
              </w:rPr>
            </w:pPr>
            <w:r>
              <w:rPr>
                <w:spacing w:val="0"/>
              </w:rPr>
              <w:t>  </w:t>
            </w:r>
            <w:r>
              <w:rPr>
                <w:spacing w:val="0"/>
              </w:rPr>
              <w:t>2.2-1</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7">
              <w:r>
                <w:rPr>
                  <w:rStyle w:val="InternetLink"/>
                </w:rPr>
                <w:t xml:space="preserve">Agreement and Plan of Merger, dated as of March 25, 2021, by and among South Dearborn Limited, Michigan Merger Sub, Inc., and Magnachip Semiconductor Corporation (incorporated by reference to Exhibit 2.1 to our Current Report on Form </w:t>
              </w:r>
            </w:hyperlink>
            <w:hyperlink r:id="rId8">
              <w:r>
                <w:rPr>
                  <w:rStyle w:val="InternetLink"/>
                  <w:spacing w:val="0"/>
                </w:rPr>
                <w:t>8-K</w:t>
              </w:r>
            </w:hyperlink>
            <w:hyperlink r:id="rId9">
              <w:r>
                <w:rPr>
                  <w:rStyle w:val="InternetLink"/>
                </w:rPr>
                <w:t xml:space="preserve"> filed on March 29, 2021).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left"/>
              <w:rPr>
                <w:spacing w:val="0"/>
              </w:rPr>
            </w:pPr>
            <w:r>
              <w:rPr>
                <w:spacing w:val="0"/>
              </w:rPr>
              <w:t>  </w:t>
            </w:r>
            <w:r>
              <w:rPr>
                <w:spacing w:val="0"/>
              </w:rPr>
              <w:t>2.2-2</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10">
              <w:r>
                <w:rPr>
                  <w:rStyle w:val="InternetLink"/>
                </w:rPr>
                <w:t xml:space="preserve">Letter Agreement, dated as of June 11, 2021, by and among Magnachip Semiconductor Corporation, South Dearborn Limited and Michigan Merger Sub, Inc. (incorporated by reference to Exhibit 2.1 to our Current Report on Form </w:t>
              </w:r>
            </w:hyperlink>
            <w:hyperlink r:id="rId11">
              <w:r>
                <w:rPr>
                  <w:rStyle w:val="InternetLink"/>
                  <w:spacing w:val="0"/>
                </w:rPr>
                <w:t>8-K</w:t>
              </w:r>
            </w:hyperlink>
            <w:hyperlink r:id="rId12">
              <w:r>
                <w:rPr>
                  <w:rStyle w:val="InternetLink"/>
                </w:rPr>
                <w:t xml:space="preserve"> filed on June 14, 2021).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left"/>
              <w:rPr>
                <w:spacing w:val="0"/>
              </w:rPr>
            </w:pPr>
            <w:r>
              <w:rPr>
                <w:spacing w:val="0"/>
              </w:rPr>
              <w:t>  </w:t>
            </w:r>
            <w:r>
              <w:rPr>
                <w:spacing w:val="0"/>
              </w:rPr>
              <w:t>2.2-3</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13">
              <w:r>
                <w:rPr>
                  <w:rStyle w:val="InternetLink"/>
                </w:rPr>
                <w:t xml:space="preserve">Letter Agreement, dated as of August 23, 2021, by and among Magnachip Semiconductor Corporation, South Dearborn Limited and Michigan Merger Sub, Inc. (incorporated by reference to Exhibit 2.1 to our Current Report on Form </w:t>
              </w:r>
            </w:hyperlink>
            <w:hyperlink r:id="rId14">
              <w:r>
                <w:rPr>
                  <w:rStyle w:val="InternetLink"/>
                  <w:spacing w:val="0"/>
                </w:rPr>
                <w:t>8-K</w:t>
              </w:r>
            </w:hyperlink>
            <w:hyperlink r:id="rId15">
              <w:r>
                <w:rPr>
                  <w:rStyle w:val="InternetLink"/>
                </w:rPr>
                <w:t xml:space="preserve"> filed on August 23, 2021)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left"/>
              <w:rPr>
                <w:spacing w:val="0"/>
              </w:rPr>
            </w:pPr>
            <w:r>
              <w:rPr>
                <w:spacing w:val="0"/>
              </w:rPr>
              <w:t>  </w:t>
            </w:r>
            <w:r>
              <w:rPr>
                <w:spacing w:val="0"/>
              </w:rPr>
              <w:t>2.2-4</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16">
              <w:r>
                <w:rPr>
                  <w:rStyle w:val="InternetLink"/>
                </w:rPr>
                <w:t xml:space="preserve">Termination and Settlement Agreement, dated December 13, 2021 by and between Magnachip Semiconductor Corporation and South Dearborn Limited (incorporated by reference to Exhibit 10.1 to our Current Report on Form </w:t>
              </w:r>
            </w:hyperlink>
            <w:hyperlink r:id="rId17">
              <w:r>
                <w:rPr>
                  <w:rStyle w:val="InternetLink"/>
                  <w:spacing w:val="0"/>
                </w:rPr>
                <w:t>8-K</w:t>
              </w:r>
            </w:hyperlink>
            <w:hyperlink r:id="rId18">
              <w:r>
                <w:rPr>
                  <w:rStyle w:val="InternetLink"/>
                </w:rPr>
                <w:t xml:space="preserve"> on December 13, 2021)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left"/>
              <w:rPr>
                <w:spacing w:val="0"/>
              </w:rPr>
            </w:pPr>
            <w:r>
              <w:rPr>
                <w:spacing w:val="0"/>
              </w:rPr>
              <w:t>  </w:t>
            </w:r>
            <w:r>
              <w:rPr>
                <w:spacing w:val="0"/>
              </w:rPr>
              <w:t>2.2-5</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19">
              <w:r>
                <w:rPr>
                  <w:rStyle w:val="InternetLink"/>
                </w:rPr>
                <w:t xml:space="preserve">First Amendment to Termination and Settlement Agreement, dated as of April 4, 2022, by and between Magnachip Semiconductor Corporation, South Dearborn Limited and Wise Road Capital LTD. (incorporated by reference to Exhibit 10.1 to our Current Report on </w:t>
              </w:r>
            </w:hyperlink>
            <w:hyperlink r:id="rId20">
              <w:r>
                <w:rPr>
                  <w:rStyle w:val="InternetLink"/>
                  <w:spacing w:val="0"/>
                </w:rPr>
                <w:t>Form 8-K filed</w:t>
              </w:r>
            </w:hyperlink>
            <w:hyperlink r:id="rId21">
              <w:r>
                <w:rPr>
                  <w:rStyle w:val="InternetLink"/>
                </w:rPr>
                <w:t xml:space="preserve"> on April 6, 2022).</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left"/>
              <w:rPr>
                <w:spacing w:val="0"/>
              </w:rPr>
            </w:pPr>
            <w:r>
              <w:rPr>
                <w:spacing w:val="0"/>
              </w:rPr>
              <w:t>  </w:t>
            </w:r>
            <w:r>
              <w:rPr>
                <w:spacing w:val="0"/>
              </w:rPr>
              <w:t>2.2-6</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22">
              <w:r>
                <w:rPr>
                  <w:rStyle w:val="InternetLink"/>
                </w:rPr>
                <w:t xml:space="preserve">Second Amendment to Termination and Settlement Agreement, dated as of August 5, 2022, by and between Magnachip Semiconductor Corporation, South Dearborn Limited and Wise Road Capital LTD. (incorporated by reference to Exhibit 10.7 to our Quarterly Report on Form </w:t>
              </w:r>
            </w:hyperlink>
            <w:hyperlink r:id="rId23">
              <w:r>
                <w:rPr>
                  <w:rStyle w:val="InternetLink"/>
                  <w:spacing w:val="0"/>
                </w:rPr>
                <w:t>10-Q</w:t>
              </w:r>
            </w:hyperlink>
            <w:hyperlink r:id="rId24">
              <w:r>
                <w:rPr>
                  <w:rStyle w:val="InternetLink"/>
                </w:rPr>
                <w:t xml:space="preserve"> filed on November 4, 2022)</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25">
              <w:r>
                <w:rPr>
                  <w:rStyle w:val="InternetLink"/>
                </w:rPr>
                <w:t xml:space="preserve">Certificate of Conversion of MagnaChip Semiconductor LLC (incorporated by reference to Exhibit 3.1 to our Current Report on Form </w:t>
              </w:r>
            </w:hyperlink>
            <w:hyperlink r:id="rId26">
              <w:r>
                <w:rPr>
                  <w:rStyle w:val="InternetLink"/>
                  <w:spacing w:val="0"/>
                </w:rPr>
                <w:t>8-K</w:t>
              </w:r>
            </w:hyperlink>
            <w:hyperlink r:id="rId27">
              <w:r>
                <w:rPr>
                  <w:rStyle w:val="InternetLink"/>
                </w:rPr>
                <w:t xml:space="preserve"> filed on March 11, 2011).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28">
              <w:r>
                <w:rPr>
                  <w:rStyle w:val="InternetLink"/>
                </w:rPr>
                <w:t xml:space="preserve">Certificate of Incorporation of MagnaChip Semiconductor Corporation (incorporated by reference to Exhibit 3.2 to our Current Report on Form </w:t>
              </w:r>
            </w:hyperlink>
            <w:hyperlink r:id="rId29">
              <w:r>
                <w:rPr>
                  <w:rStyle w:val="InternetLink"/>
                  <w:spacing w:val="0"/>
                </w:rPr>
                <w:t>8-K</w:t>
              </w:r>
            </w:hyperlink>
            <w:hyperlink r:id="rId30">
              <w:r>
                <w:rPr>
                  <w:rStyle w:val="InternetLink"/>
                </w:rPr>
                <w:t xml:space="preserve"> filed on March 11, 2011).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r:id="rId31">
              <w:r>
                <w:rPr>
                  <w:rStyle w:val="InternetLink"/>
                </w:rPr>
                <w:t xml:space="preserve">Certificate of Amendment to the Certificate of Incorporation of Magnachip Semiconductor Corporation (incorporated by reference to Exhibit 3.1 to our Current report on Form </w:t>
              </w:r>
            </w:hyperlink>
            <w:hyperlink r:id="rId32">
              <w:r>
                <w:rPr>
                  <w:rStyle w:val="InternetLink"/>
                  <w:spacing w:val="0"/>
                </w:rPr>
                <w:t>8-K</w:t>
              </w:r>
            </w:hyperlink>
            <w:hyperlink r:id="rId33">
              <w:r>
                <w:rPr>
                  <w:rStyle w:val="InternetLink"/>
                </w:rPr>
                <w:t xml:space="preserve"> filed on December 30, 2020) </w:t>
              </w:r>
            </w:hyperlink>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15"/>
        <w:gridCol w:w="60"/>
        <w:gridCol w:w="9430"/>
      </w:tblGrid>
      <w:tr>
        <w:trPr/>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30"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bdr w:val="single" w:sz="8" w:space="1" w:color="000000"/>
              </w:rPr>
            </w:pPr>
            <w:r>
              <w:rPr>
                <w:bdr w:val="single" w:sz="8" w:space="1" w:color="000000"/>
              </w:rPr>
              <w:t>  </w:t>
            </w:r>
            <w:r>
              <w:rPr>
                <w:rFonts w:ascii="Times New Roman" w:hAnsi="Times New Roman"/>
                <w:b/>
                <w:sz w:val="16"/>
                <w:bdr w:val="single" w:sz="8" w:space="1" w:color="000000"/>
              </w:rPr>
              <w:t>No.  </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Exhibit Description</w:t>
            </w:r>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3.4</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34">
              <w:r>
                <w:rPr>
                  <w:rStyle w:val="InternetLink"/>
                </w:rPr>
                <w:t xml:space="preserve">Amended and Restated Bylaws of MagnaChip Semiconductor Corporation (incorporated by reference to Exhibit 3.1 to our Current Report on Form </w:t>
              </w:r>
            </w:hyperlink>
            <w:hyperlink r:id="rId35">
              <w:r>
                <w:rPr>
                  <w:rStyle w:val="InternetLink"/>
                  <w:spacing w:val="0"/>
                </w:rPr>
                <w:t>8-K</w:t>
              </w:r>
            </w:hyperlink>
            <w:hyperlink r:id="rId36">
              <w:r>
                <w:rPr>
                  <w:rStyle w:val="InternetLink"/>
                </w:rPr>
                <w:t xml:space="preserve"> filed on May 6, 2016).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3.5</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37">
              <w:r>
                <w:rPr>
                  <w:rStyle w:val="InternetLink"/>
                </w:rPr>
                <w:t xml:space="preserve">Form of Plan of Conversion of MagnaChip Semiconductor LLC (incorporated by reference to Exhibit 3.6 to our Amendment No. 2 to Registration Statement on </w:t>
              </w:r>
            </w:hyperlink>
            <w:hyperlink r:id="rId38">
              <w:r>
                <w:rPr>
                  <w:rStyle w:val="InternetLink"/>
                  <w:spacing w:val="0"/>
                </w:rPr>
                <w:t>Form S-1</w:t>
              </w:r>
            </w:hyperlink>
            <w:hyperlink r:id="rId39">
              <w:r>
                <w:rPr>
                  <w:rStyle w:val="InternetLink"/>
                </w:rPr>
                <w:t xml:space="preserve"> filed on May 11, 2010 (Registration </w:t>
              </w:r>
            </w:hyperlink>
            <w:hyperlink r:id="rId40">
              <w:r>
                <w:rPr>
                  <w:rStyle w:val="InternetLink"/>
                  <w:spacing w:val="0"/>
                </w:rPr>
                <w:t>No. 333-165467)).</w:t>
              </w:r>
            </w:hyperlink>
            <w:hyperlink r:id="rId41">
              <w:r>
                <w:rPr>
                  <w:rStyle w:val="InternetLink"/>
                </w:rPr>
                <w:t xml:space="preserve">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3.6</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42">
              <w:r>
                <w:rPr>
                  <w:rStyle w:val="InternetLink"/>
                </w:rPr>
                <w:t xml:space="preserve">Certificate of Designation, Preferences and Rights of Series A Junior Participating Preferred Stock of MagnaChip Semiconductor Corporation, as filed with the Secretary of the State of Delaware on March 6, 2015 (incorporated by reference to Exhibit 3.1 to our Current Report on Form </w:t>
              </w:r>
            </w:hyperlink>
            <w:hyperlink r:id="rId43">
              <w:r>
                <w:rPr>
                  <w:rStyle w:val="InternetLink"/>
                  <w:spacing w:val="0"/>
                </w:rPr>
                <w:t>8-K</w:t>
              </w:r>
            </w:hyperlink>
            <w:hyperlink r:id="rId44">
              <w:r>
                <w:rPr>
                  <w:rStyle w:val="InternetLink"/>
                </w:rPr>
                <w:t xml:space="preserve"> filed on March 6, 2015).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3.7</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45">
              <w:r>
                <w:rPr>
                  <w:rStyle w:val="InternetLink"/>
                </w:rPr>
                <w:t xml:space="preserve">Certificate of Designation of Series </w:t>
              </w:r>
            </w:hyperlink>
            <w:hyperlink r:id="rId46">
              <w:r>
                <w:rPr>
                  <w:rStyle w:val="InternetLink"/>
                  <w:spacing w:val="0"/>
                </w:rPr>
                <w:t>A-1,</w:t>
              </w:r>
            </w:hyperlink>
            <w:hyperlink r:id="rId47">
              <w:r>
                <w:rPr>
                  <w:rStyle w:val="InternetLink"/>
                </w:rPr>
                <w:t xml:space="preserve"> Junior Participating Preferred Stock of Magnachip Semiconductor Corporation, as filed with the Secretary of State of Delaware on December 13, 2021.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4.1#</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w:anchor="d183811dex41.htm">
              <w:r>
                <w:rPr>
                  <w:rStyle w:val="InternetLink"/>
                </w:rPr>
                <w:t xml:space="preserve">Description of Securities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10.1</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48">
              <w:r>
                <w:rPr>
                  <w:rStyle w:val="InternetLink"/>
                </w:rPr>
                <w:t xml:space="preserve">Intellectual Property License Agreement, dated as of October 6, 2004, by and between Hynix Semiconductor Inc. and MagnaChip Semiconductor, Ltd. (Korea) (incorporated by reference to Exhibit 10.2 to our Amendment No. 1 to Registration Statement on </w:t>
              </w:r>
            </w:hyperlink>
            <w:hyperlink r:id="rId49">
              <w:r>
                <w:rPr>
                  <w:rStyle w:val="InternetLink"/>
                  <w:spacing w:val="0"/>
                </w:rPr>
                <w:t>Form S-1</w:t>
              </w:r>
            </w:hyperlink>
            <w:hyperlink r:id="rId50">
              <w:r>
                <w:rPr>
                  <w:rStyle w:val="InternetLink"/>
                </w:rPr>
                <w:t xml:space="preserve"> filed on April 20, 2010 (Registration </w:t>
              </w:r>
            </w:hyperlink>
            <w:hyperlink r:id="rId51">
              <w:r>
                <w:rPr>
                  <w:rStyle w:val="InternetLink"/>
                  <w:spacing w:val="0"/>
                </w:rPr>
                <w:t>No. 333-165467)).</w:t>
              </w:r>
            </w:hyperlink>
            <w:hyperlink r:id="rId52">
              <w:r>
                <w:rPr>
                  <w:rStyle w:val="InternetLink"/>
                </w:rPr>
                <w:t xml:space="preserve">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10.2*</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53">
              <w:r>
                <w:rPr>
                  <w:rStyle w:val="InternetLink"/>
                </w:rPr>
                <w:t xml:space="preserve">MagnaChip Semiconductor Corporation 2011 Equity Incentive Plan (as amended on April 26, 2018) (incorporated by reference to Exhibit 10.24 to our Annual Report on Form </w:t>
              </w:r>
            </w:hyperlink>
            <w:hyperlink r:id="rId54">
              <w:r>
                <w:rPr>
                  <w:rStyle w:val="InternetLink"/>
                  <w:spacing w:val="0"/>
                </w:rPr>
                <w:t>10-K</w:t>
              </w:r>
            </w:hyperlink>
            <w:hyperlink r:id="rId55">
              <w:r>
                <w:rPr>
                  <w:rStyle w:val="InternetLink"/>
                </w:rPr>
                <w:t xml:space="preserve"> filed on February 22, 2019).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10.3*</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56">
              <w:r>
                <w:rPr>
                  <w:rStyle w:val="InternetLink"/>
                </w:rPr>
                <w:t xml:space="preserve">MagnaChip Semiconductor Corporation 2020 Equity and Incentive Compensation Plan (incorporated by reference to Exhibit 10.1 to the Registrant’s Current Report on Form </w:t>
              </w:r>
            </w:hyperlink>
            <w:hyperlink r:id="rId57">
              <w:r>
                <w:rPr>
                  <w:rStyle w:val="InternetLink"/>
                  <w:spacing w:val="0"/>
                </w:rPr>
                <w:t>8-K</w:t>
              </w:r>
            </w:hyperlink>
            <w:hyperlink r:id="rId58">
              <w:r>
                <w:rPr>
                  <w:rStyle w:val="InternetLink"/>
                </w:rPr>
                <w:t xml:space="preserve"> filed on June 17, 2020).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10.4*</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59">
              <w:r>
                <w:rPr>
                  <w:rStyle w:val="InternetLink"/>
                </w:rPr>
                <w:t xml:space="preserve">MagnaChip Semiconductor Corporation 2011 Employee Stock Purchase Plan (incorporated by reference to Exhibit 10.26 to our Amendment No 9 to the Registration Statement on </w:t>
              </w:r>
            </w:hyperlink>
            <w:hyperlink r:id="rId60">
              <w:r>
                <w:rPr>
                  <w:rStyle w:val="InternetLink"/>
                  <w:spacing w:val="0"/>
                </w:rPr>
                <w:t>Form S-1</w:t>
              </w:r>
            </w:hyperlink>
            <w:hyperlink r:id="rId61">
              <w:r>
                <w:rPr>
                  <w:rStyle w:val="InternetLink"/>
                </w:rPr>
                <w:t xml:space="preserve"> filed on February 18, 2011 (Registration </w:t>
              </w:r>
            </w:hyperlink>
            <w:hyperlink r:id="rId62">
              <w:r>
                <w:rPr>
                  <w:rStyle w:val="InternetLink"/>
                  <w:spacing w:val="0"/>
                </w:rPr>
                <w:t>No. 333-165467)).</w:t>
              </w:r>
            </w:hyperlink>
            <w:hyperlink r:id="rId63">
              <w:r>
                <w:rPr>
                  <w:rStyle w:val="InternetLink"/>
                </w:rPr>
                <w:t xml:space="preserve">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10.5*</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64">
              <w:r>
                <w:rPr>
                  <w:rStyle w:val="InternetLink"/>
                </w:rPr>
                <w:t xml:space="preserve">MagnaChip Semiconductor Corporation Form of Indemnification Agreement with Directors and Officers (incorporated by reference to Exhibit 10.49 to our Registration Statement on Form </w:t>
              </w:r>
            </w:hyperlink>
            <w:hyperlink r:id="rId65">
              <w:r>
                <w:rPr>
                  <w:rStyle w:val="InternetLink"/>
                  <w:spacing w:val="0"/>
                </w:rPr>
                <w:t>S-1</w:t>
              </w:r>
            </w:hyperlink>
            <w:hyperlink r:id="rId66">
              <w:r>
                <w:rPr>
                  <w:rStyle w:val="InternetLink"/>
                </w:rPr>
                <w:t xml:space="preserve"> filed on March 15, 2010 (Registration </w:t>
              </w:r>
            </w:hyperlink>
            <w:hyperlink r:id="rId67">
              <w:r>
                <w:rPr>
                  <w:rStyle w:val="InternetLink"/>
                  <w:spacing w:val="0"/>
                </w:rPr>
                <w:t>No. 333-165467)).</w:t>
              </w:r>
            </w:hyperlink>
            <w:hyperlink r:id="rId68">
              <w:r>
                <w:rPr>
                  <w:rStyle w:val="InternetLink"/>
                </w:rPr>
                <w:t xml:space="preserve">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r>
              <w:rPr/>
              <w:t>10.6*</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69">
              <w:r>
                <w:rPr>
                  <w:rStyle w:val="InternetLink"/>
                </w:rPr>
                <w:t xml:space="preserve">Offer Letter, dated as of April 15, 2013, by and between MagnaChip Semiconductor, Ltd. (Korea) and Young-Joon Kim (incorporated by reference to Exhibit 10.36 to our Annual Report on </w:t>
              </w:r>
            </w:hyperlink>
            <w:hyperlink r:id="rId70">
              <w:r>
                <w:rPr>
                  <w:rStyle w:val="InternetLink"/>
                  <w:spacing w:val="0"/>
                </w:rPr>
                <w:t>Form 10-K</w:t>
              </w:r>
            </w:hyperlink>
            <w:hyperlink r:id="rId71">
              <w:r>
                <w:rPr>
                  <w:rStyle w:val="InternetLink"/>
                </w:rPr>
                <w:t xml:space="preserve"> filed on February 12, 2015).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0"/>
              <w:jc w:val="left"/>
              <w:rPr>
                <w:spacing w:val="0"/>
              </w:rPr>
            </w:pPr>
            <w:r>
              <w:rPr>
                <w:spacing w:val="0"/>
              </w:rPr>
              <w:t> </w:t>
            </w:r>
            <w:r>
              <w:rPr>
                <w:spacing w:val="0"/>
              </w:rPr>
              <w:t>10.6-1*</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72">
              <w:r>
                <w:rPr>
                  <w:rStyle w:val="InternetLink"/>
                </w:rPr>
                <w:t xml:space="preserve">Amendment of Offer Letter, dated July 27, 2015, from MagnaChip Semiconductor, Ltd. (Korea) to Young-Joon Kim (incorporated by reference to Exhibit 10.1 to our Quarterly Report on </w:t>
              </w:r>
            </w:hyperlink>
            <w:hyperlink r:id="rId73">
              <w:r>
                <w:rPr>
                  <w:rStyle w:val="InternetLink"/>
                  <w:spacing w:val="0"/>
                </w:rPr>
                <w:t>Form 10-Q</w:t>
              </w:r>
            </w:hyperlink>
            <w:hyperlink r:id="rId74">
              <w:r>
                <w:rPr>
                  <w:rStyle w:val="InternetLink"/>
                </w:rPr>
                <w:t xml:space="preserve"> filed on November 6, 2015).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0"/>
              <w:jc w:val="left"/>
              <w:rPr>
                <w:spacing w:val="0"/>
              </w:rPr>
            </w:pPr>
            <w:r>
              <w:rPr>
                <w:spacing w:val="0"/>
              </w:rPr>
              <w:t> </w:t>
            </w:r>
            <w:r>
              <w:rPr>
                <w:spacing w:val="0"/>
              </w:rPr>
              <w:t>10.6-2*</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75">
              <w:r>
                <w:rPr>
                  <w:rStyle w:val="InternetLink"/>
                </w:rPr>
                <w:t xml:space="preserve">Severance Agreement, dated November 3, 2015, from MagnaChip Semiconductor, Ltd. (Korea) and MagnaChip Semiconductor Corporation to Young-Joon Kim (incorporated by reference to Exhibit 10.2 to our Quarterly Report on Form </w:t>
              </w:r>
            </w:hyperlink>
            <w:hyperlink r:id="rId76">
              <w:r>
                <w:rPr>
                  <w:rStyle w:val="InternetLink"/>
                  <w:spacing w:val="0"/>
                </w:rPr>
                <w:t>10-Q</w:t>
              </w:r>
            </w:hyperlink>
            <w:hyperlink r:id="rId77">
              <w:r>
                <w:rPr>
                  <w:rStyle w:val="InternetLink"/>
                </w:rPr>
                <w:t xml:space="preserve"> filed on November 6, 2015).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0"/>
              <w:jc w:val="left"/>
              <w:rPr>
                <w:spacing w:val="0"/>
              </w:rPr>
            </w:pPr>
            <w:r>
              <w:rPr>
                <w:spacing w:val="0"/>
              </w:rPr>
              <w:t> </w:t>
            </w:r>
            <w:r>
              <w:rPr>
                <w:spacing w:val="0"/>
              </w:rPr>
              <w:t>10.6-3*</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78">
              <w:r>
                <w:rPr>
                  <w:rStyle w:val="InternetLink"/>
                </w:rPr>
                <w:t xml:space="preserve">Employment Agreement, dated as of April 26, 2018, by and between MagnaChip Semiconductor Corporation and Young Joon Kim (incorporated by reference to Exhibit 10.1 to our Current Report on Form </w:t>
              </w:r>
            </w:hyperlink>
            <w:hyperlink r:id="rId79">
              <w:r>
                <w:rPr>
                  <w:rStyle w:val="InternetLink"/>
                  <w:spacing w:val="0"/>
                </w:rPr>
                <w:t>8-K</w:t>
              </w:r>
            </w:hyperlink>
            <w:hyperlink r:id="rId80">
              <w:r>
                <w:rPr>
                  <w:rStyle w:val="InternetLink"/>
                </w:rPr>
                <w:t xml:space="preserve"> filed on April 27, 2018). </w:t>
              </w:r>
            </w:hyperlink>
          </w:p>
        </w:tc>
      </w:tr>
      <w:tr>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0"/>
              <w:jc w:val="left"/>
              <w:rPr>
                <w:spacing w:val="0"/>
              </w:rPr>
            </w:pPr>
            <w:r>
              <w:rPr>
                <w:spacing w:val="0"/>
              </w:rPr>
              <w:t> </w:t>
            </w:r>
            <w:r>
              <w:rPr>
                <w:spacing w:val="0"/>
              </w:rPr>
              <w:t>10.6-4*</w:t>
            </w:r>
          </w:p>
        </w:tc>
        <w:tc>
          <w:tcPr>
            <w:tcW w:w="60" w:type="dxa"/>
            <w:tcBorders/>
            <w:vAlign w:val="center"/>
          </w:tcPr>
          <w:p>
            <w:pPr>
              <w:pStyle w:val="TableContents"/>
              <w:bidi w:val="0"/>
              <w:spacing w:before="0" w:after="283"/>
              <w:jc w:val="left"/>
              <w:rPr/>
            </w:pPr>
            <w:r>
              <w:rPr/>
              <w:t> </w:t>
            </w:r>
          </w:p>
        </w:tc>
        <w:tc>
          <w:tcPr>
            <w:tcW w:w="9430" w:type="dxa"/>
            <w:tcBorders/>
            <w:vAlign w:val="center"/>
          </w:tcPr>
          <w:p>
            <w:pPr>
              <w:pStyle w:val="TableContents"/>
              <w:bidi w:val="0"/>
              <w:spacing w:before="0" w:after="283"/>
              <w:jc w:val="left"/>
              <w:rPr/>
            </w:pPr>
            <w:hyperlink r:id="rId81">
              <w:r>
                <w:rPr>
                  <w:rStyle w:val="InternetLink"/>
                </w:rPr>
                <w:t xml:space="preserve">Amendment to Employment Agreement by and between MagnaChip Semiconductor Corporation and Young Joon Kim, dated as of September 3, 2018 (incorporated by reference to </w:t>
              </w:r>
            </w:hyperlink>
            <w:hyperlink r:id="rId82">
              <w:r>
                <w:rPr>
                  <w:rStyle w:val="InternetLink"/>
                  <w:spacing w:val="0"/>
                </w:rPr>
                <w:t>Exhibit 10.29-4</w:t>
              </w:r>
            </w:hyperlink>
            <w:hyperlink r:id="rId83">
              <w:r>
                <w:rPr>
                  <w:rStyle w:val="InternetLink"/>
                </w:rPr>
                <w:t xml:space="preserve"> to our Annual Report on Form </w:t>
              </w:r>
            </w:hyperlink>
            <w:hyperlink r:id="rId84">
              <w:r>
                <w:rPr>
                  <w:rStyle w:val="InternetLink"/>
                  <w:spacing w:val="0"/>
                </w:rPr>
                <w:t>10-K</w:t>
              </w:r>
            </w:hyperlink>
            <w:hyperlink r:id="rId85">
              <w:r>
                <w:rPr>
                  <w:rStyle w:val="InternetLink"/>
                </w:rPr>
                <w:t xml:space="preserve"> filed on February 22, 2019). </w:t>
              </w:r>
            </w:hyperlink>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50"/>
        <w:gridCol w:w="60"/>
        <w:gridCol w:w="9395"/>
      </w:tblGrid>
      <w:tr>
        <w:trPr/>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bdr w:val="single" w:sz="8" w:space="1" w:color="000000"/>
              </w:rPr>
            </w:pPr>
            <w:r>
              <w:rPr>
                <w:bdr w:val="single" w:sz="8" w:space="1" w:color="000000"/>
              </w:rPr>
              <w:t>  </w:t>
            </w:r>
            <w:r>
              <w:rPr>
                <w:rFonts w:ascii="Times New Roman" w:hAnsi="Times New Roman"/>
                <w:b/>
                <w:sz w:val="16"/>
                <w:bdr w:val="single" w:sz="8" w:space="1" w:color="000000"/>
              </w:rPr>
              <w:t>No.  </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Exhibit Description</w:t>
            </w:r>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10.7*</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86">
              <w:r>
                <w:rPr>
                  <w:rStyle w:val="InternetLink"/>
                </w:rPr>
                <w:t xml:space="preserve">Offer Letter, dated as of September 27, 2013, by and between MagnaChip Semiconductor, Ltd. (Korea) and Theodore Kim (incorporated by reference to Exhibit 10.37 to our Annual Report on </w:t>
              </w:r>
            </w:hyperlink>
            <w:hyperlink r:id="rId87">
              <w:r>
                <w:rPr>
                  <w:rStyle w:val="InternetLink"/>
                  <w:spacing w:val="0"/>
                </w:rPr>
                <w:t>Form 10-K</w:t>
              </w:r>
            </w:hyperlink>
            <w:hyperlink r:id="rId88">
              <w:r>
                <w:rPr>
                  <w:rStyle w:val="InternetLink"/>
                </w:rPr>
                <w:t xml:space="preserve"> filed on February 12, 2015).</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0"/>
              <w:jc w:val="left"/>
              <w:rPr>
                <w:spacing w:val="0"/>
              </w:rPr>
            </w:pPr>
            <w:r>
              <w:rPr>
                <w:spacing w:val="0"/>
              </w:rPr>
              <w:t> </w:t>
            </w:r>
            <w:r>
              <w:rPr>
                <w:spacing w:val="0"/>
              </w:rPr>
              <w:t>10.7-1*</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89">
              <w:r>
                <w:rPr>
                  <w:rStyle w:val="InternetLink"/>
                </w:rPr>
                <w:t xml:space="preserve">Severance Agreement, dated November 3, 2015, from MagnaChip Semiconductor, Ltd. (Korea) and MagnaChip Semiconductor Corporation to Theodore S. Kim (incorporated by reference to Exhibit 10.4 to our Quarterly Report on Form </w:t>
              </w:r>
            </w:hyperlink>
            <w:hyperlink r:id="rId90">
              <w:r>
                <w:rPr>
                  <w:rStyle w:val="InternetLink"/>
                  <w:spacing w:val="0"/>
                </w:rPr>
                <w:t>10-Q</w:t>
              </w:r>
            </w:hyperlink>
            <w:hyperlink r:id="rId91">
              <w:r>
                <w:rPr>
                  <w:rStyle w:val="InternetLink"/>
                </w:rPr>
                <w:t xml:space="preserve"> filed on November 6, 2015).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0"/>
              <w:jc w:val="left"/>
              <w:rPr>
                <w:spacing w:val="0"/>
              </w:rPr>
            </w:pPr>
            <w:r>
              <w:rPr>
                <w:spacing w:val="0"/>
              </w:rPr>
              <w:t> </w:t>
            </w:r>
            <w:r>
              <w:rPr>
                <w:spacing w:val="0"/>
              </w:rPr>
              <w:t>10.7-2*</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92">
              <w:r>
                <w:rPr>
                  <w:rStyle w:val="InternetLink"/>
                </w:rPr>
                <w:t xml:space="preserve">Employment Agreement, dated as of October 22, 2018, by and between MagnaChip Semiconductor Corporation and Theodore Kim (incorporated by reference to Exhibit 10.1 to our Current Report on Form </w:t>
              </w:r>
            </w:hyperlink>
            <w:hyperlink r:id="rId93">
              <w:r>
                <w:rPr>
                  <w:rStyle w:val="InternetLink"/>
                  <w:spacing w:val="0"/>
                </w:rPr>
                <w:t>8-K</w:t>
              </w:r>
            </w:hyperlink>
            <w:hyperlink r:id="rId94">
              <w:r>
                <w:rPr>
                  <w:rStyle w:val="InternetLink"/>
                </w:rPr>
                <w:t xml:space="preserve"> filed on October 26, 2018).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10.8*</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95">
              <w:r>
                <w:rPr>
                  <w:rStyle w:val="InternetLink"/>
                </w:rPr>
                <w:t xml:space="preserve">Offer Letter, dated as of October 16, 2013, by and between MagnaChip Semiconductor, Ltd. (Korea) and Woung Moo Lee (incorporated by reference to Exhibit 10.36 to our Annual Report on Form </w:t>
              </w:r>
            </w:hyperlink>
            <w:hyperlink r:id="rId96">
              <w:r>
                <w:rPr>
                  <w:rStyle w:val="InternetLink"/>
                  <w:spacing w:val="0"/>
                </w:rPr>
                <w:t>10-K</w:t>
              </w:r>
            </w:hyperlink>
            <w:hyperlink r:id="rId97">
              <w:r>
                <w:rPr>
                  <w:rStyle w:val="InternetLink"/>
                </w:rPr>
                <w:t xml:space="preserve"> filed on February 22, 2016).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0"/>
              <w:jc w:val="left"/>
              <w:rPr>
                <w:spacing w:val="0"/>
              </w:rPr>
            </w:pPr>
            <w:r>
              <w:rPr>
                <w:spacing w:val="0"/>
              </w:rPr>
              <w:t> </w:t>
            </w:r>
            <w:r>
              <w:rPr>
                <w:spacing w:val="0"/>
              </w:rPr>
              <w:t>10.8-1*</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98">
              <w:r>
                <w:rPr>
                  <w:rStyle w:val="InternetLink"/>
                </w:rPr>
                <w:t xml:space="preserve">Severance Agreement, dated November 3, 2015, from MagnaChip Semiconductor, Ltd. (Korea) and MagnaChip Semiconductor Corporation to Woung Moo Lee (incorporated by reference to Exhibit 10.6 to our Quarterly Report on Form </w:t>
              </w:r>
            </w:hyperlink>
            <w:hyperlink r:id="rId99">
              <w:r>
                <w:rPr>
                  <w:rStyle w:val="InternetLink"/>
                  <w:spacing w:val="0"/>
                </w:rPr>
                <w:t>10-Q</w:t>
              </w:r>
            </w:hyperlink>
            <w:hyperlink r:id="rId100">
              <w:r>
                <w:rPr>
                  <w:rStyle w:val="InternetLink"/>
                </w:rPr>
                <w:t xml:space="preserve"> filed on November 6, 2015).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0"/>
              <w:jc w:val="left"/>
              <w:rPr>
                <w:spacing w:val="0"/>
              </w:rPr>
            </w:pPr>
            <w:r>
              <w:rPr>
                <w:spacing w:val="0"/>
              </w:rPr>
              <w:t> </w:t>
            </w:r>
            <w:r>
              <w:rPr>
                <w:spacing w:val="0"/>
              </w:rPr>
              <w:t>10.8-2*</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01">
              <w:r>
                <w:rPr>
                  <w:rStyle w:val="InternetLink"/>
                </w:rPr>
                <w:t xml:space="preserve">Employment Agreement, dated as of October 22, 2018, by and between MagnaChip Semiconductor Corporation and Woung Moo Lee (incorporated by reference to Exhibit 10.2 to our Current Report on Form </w:t>
              </w:r>
            </w:hyperlink>
            <w:hyperlink r:id="rId102">
              <w:r>
                <w:rPr>
                  <w:rStyle w:val="InternetLink"/>
                  <w:spacing w:val="0"/>
                </w:rPr>
                <w:t>8-K</w:t>
              </w:r>
            </w:hyperlink>
            <w:hyperlink r:id="rId103">
              <w:r>
                <w:rPr>
                  <w:rStyle w:val="InternetLink"/>
                </w:rPr>
                <w:t xml:space="preserve"> filed on October 26, 2018).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10.9*</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04">
              <w:r>
                <w:rPr>
                  <w:rStyle w:val="InternetLink"/>
                </w:rPr>
                <w:t xml:space="preserve">Executive Service Agreement, dated as of June 1, 2020, by and between Chan Ho Park, MagnaChip Semiconductor Corporation and MagnaChip Semiconductor, Ltd. (incorporated by reference to Exhibit 10.9 to our Quarterly Report on Form </w:t>
              </w:r>
            </w:hyperlink>
            <w:hyperlink r:id="rId105">
              <w:r>
                <w:rPr>
                  <w:rStyle w:val="InternetLink"/>
                  <w:spacing w:val="0"/>
                </w:rPr>
                <w:t>10-Q</w:t>
              </w:r>
            </w:hyperlink>
            <w:hyperlink r:id="rId106">
              <w:r>
                <w:rPr>
                  <w:rStyle w:val="InternetLink"/>
                </w:rPr>
                <w:t xml:space="preserve"> filed on August 7, 2020)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10.10*</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07">
              <w:r>
                <w:rPr>
                  <w:rStyle w:val="InternetLink"/>
                </w:rPr>
                <w:t xml:space="preserve">Executive Service Agreement, effective as of February 23, 2022, by and between Shin Young Park, Magnachip Semiconductor Corporation and Magnachip Semiconductor, Ltd. (incorporated by reference to Exhibit 10.30 to our Annual Report on Form </w:t>
              </w:r>
            </w:hyperlink>
            <w:hyperlink r:id="rId108">
              <w:r>
                <w:rPr>
                  <w:rStyle w:val="InternetLink"/>
                  <w:spacing w:val="0"/>
                </w:rPr>
                <w:t>10-K</w:t>
              </w:r>
            </w:hyperlink>
            <w:hyperlink r:id="rId109">
              <w:r>
                <w:rPr>
                  <w:rStyle w:val="InternetLink"/>
                </w:rPr>
                <w:t xml:space="preserve"> filed on February 23,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10.11*</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10">
              <w:r>
                <w:rPr>
                  <w:rStyle w:val="InternetLink"/>
                </w:rPr>
                <w:t xml:space="preserve">MagnaChip Semiconductor LLC Profit Sharing Plan as adopted on December 31, 2009 and amended on February 15, 2010 (incorporated by reference to Exhibit 10.54 to our Quarterly Report on Form </w:t>
              </w:r>
            </w:hyperlink>
            <w:hyperlink r:id="rId111">
              <w:r>
                <w:rPr>
                  <w:rStyle w:val="InternetLink"/>
                  <w:spacing w:val="0"/>
                </w:rPr>
                <w:t>10-Q</w:t>
              </w:r>
            </w:hyperlink>
            <w:hyperlink r:id="rId112">
              <w:r>
                <w:rPr>
                  <w:rStyle w:val="InternetLink"/>
                </w:rPr>
                <w:t xml:space="preserve"> filed on August 5, 2011).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10.12*</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13">
              <w:r>
                <w:rPr>
                  <w:rStyle w:val="InternetLink"/>
                </w:rPr>
                <w:t xml:space="preserve">MagnaChip Semiconductor Corporation 2011 Form of Stock Option Agreement (U.S. Participants) (incorporated by reference to Exhibit 10.55 to our Amendment No 9 to the Registration Statement on </w:t>
              </w:r>
            </w:hyperlink>
            <w:hyperlink r:id="rId114">
              <w:r>
                <w:rPr>
                  <w:rStyle w:val="InternetLink"/>
                  <w:spacing w:val="0"/>
                </w:rPr>
                <w:t>Form S-1</w:t>
              </w:r>
            </w:hyperlink>
            <w:hyperlink r:id="rId115">
              <w:r>
                <w:rPr>
                  <w:rStyle w:val="InternetLink"/>
                </w:rPr>
                <w:t xml:space="preserve"> filed on February 18, 2011 (Registration </w:t>
              </w:r>
            </w:hyperlink>
            <w:hyperlink r:id="rId116">
              <w:r>
                <w:rPr>
                  <w:rStyle w:val="InternetLink"/>
                  <w:spacing w:val="0"/>
                </w:rPr>
                <w:t>No. 333-165467)).</w:t>
              </w:r>
            </w:hyperlink>
            <w:hyperlink r:id="rId117">
              <w:r>
                <w:rPr>
                  <w:rStyle w:val="InternetLink"/>
                </w:rPr>
                <w:t xml:space="preserve">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10.13*</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18">
              <w:r>
                <w:rPr>
                  <w:rStyle w:val="InternetLink"/>
                </w:rPr>
                <w:t xml:space="preserve">MagnaChip Semiconductor Corporation 2011 Form of Stock Option Agreement </w:t>
              </w:r>
            </w:hyperlink>
            <w:hyperlink r:id="rId119">
              <w:r>
                <w:rPr>
                  <w:rStyle w:val="InternetLink"/>
                  <w:spacing w:val="0"/>
                </w:rPr>
                <w:t>(Non-U.S. Participants)</w:t>
              </w:r>
            </w:hyperlink>
            <w:hyperlink r:id="rId120">
              <w:r>
                <w:rPr>
                  <w:rStyle w:val="InternetLink"/>
                </w:rPr>
                <w:t xml:space="preserve"> (incorporated by reference to Exhibit 10.56 to our Amendment No 9 to the Registration Statement on </w:t>
              </w:r>
            </w:hyperlink>
            <w:hyperlink r:id="rId121">
              <w:r>
                <w:rPr>
                  <w:rStyle w:val="InternetLink"/>
                  <w:spacing w:val="0"/>
                </w:rPr>
                <w:t>Form S-1</w:t>
              </w:r>
            </w:hyperlink>
            <w:hyperlink r:id="rId122">
              <w:r>
                <w:rPr>
                  <w:rStyle w:val="InternetLink"/>
                </w:rPr>
                <w:t xml:space="preserve"> filed on February 18, 2011 (Registration </w:t>
              </w:r>
            </w:hyperlink>
            <w:hyperlink r:id="rId123">
              <w:r>
                <w:rPr>
                  <w:rStyle w:val="InternetLink"/>
                  <w:spacing w:val="0"/>
                </w:rPr>
                <w:t>No. 333-165467)).</w:t>
              </w:r>
            </w:hyperlink>
            <w:hyperlink r:id="rId124">
              <w:r>
                <w:rPr>
                  <w:rStyle w:val="InternetLink"/>
                </w:rPr>
                <w:t xml:space="preserve">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10.14*</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25">
              <w:r>
                <w:rPr>
                  <w:rStyle w:val="InternetLink"/>
                </w:rPr>
                <w:t xml:space="preserve">MagnaChip Semiconductor Corporation 2011 Form of Restricted Stock Units Agreement (U.S. Participants) (incorporated by reference to Exhibit 10.57 to our Amendment No 9 to the Registration Statement on </w:t>
              </w:r>
            </w:hyperlink>
            <w:hyperlink r:id="rId126">
              <w:r>
                <w:rPr>
                  <w:rStyle w:val="InternetLink"/>
                  <w:spacing w:val="0"/>
                </w:rPr>
                <w:t>Form S-1</w:t>
              </w:r>
            </w:hyperlink>
            <w:hyperlink r:id="rId127">
              <w:r>
                <w:rPr>
                  <w:rStyle w:val="InternetLink"/>
                </w:rPr>
                <w:t xml:space="preserve"> filed on February 18, 2011 (Registration </w:t>
              </w:r>
            </w:hyperlink>
            <w:hyperlink r:id="rId128">
              <w:r>
                <w:rPr>
                  <w:rStyle w:val="InternetLink"/>
                  <w:spacing w:val="0"/>
                </w:rPr>
                <w:t>No. 333-165467)).</w:t>
              </w:r>
            </w:hyperlink>
            <w:hyperlink r:id="rId129">
              <w:r>
                <w:rPr>
                  <w:rStyle w:val="InternetLink"/>
                </w:rPr>
                <w:t xml:space="preserve">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10.15*</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30">
              <w:r>
                <w:rPr>
                  <w:rStyle w:val="InternetLink"/>
                </w:rPr>
                <w:t xml:space="preserve">MagnaChip Semiconductor Corporation 2011 Form of Restricted Stock Units Agreement </w:t>
              </w:r>
            </w:hyperlink>
            <w:hyperlink r:id="rId131">
              <w:r>
                <w:rPr>
                  <w:rStyle w:val="InternetLink"/>
                  <w:spacing w:val="0"/>
                </w:rPr>
                <w:t>(Non-U.S.</w:t>
              </w:r>
            </w:hyperlink>
            <w:hyperlink r:id="rId132">
              <w:r>
                <w:rPr>
                  <w:rStyle w:val="InternetLink"/>
                </w:rPr>
                <w:t xml:space="preserve"> Participants) (incorporated by reference to Exhibit 10.58 to our Amendment No 9 to the Registration Statement on </w:t>
              </w:r>
            </w:hyperlink>
            <w:hyperlink r:id="rId133">
              <w:r>
                <w:rPr>
                  <w:rStyle w:val="InternetLink"/>
                  <w:spacing w:val="0"/>
                </w:rPr>
                <w:t>Form S-1</w:t>
              </w:r>
            </w:hyperlink>
            <w:hyperlink r:id="rId134">
              <w:r>
                <w:rPr>
                  <w:rStyle w:val="InternetLink"/>
                </w:rPr>
                <w:t xml:space="preserve"> filed on February 18, 2011 (Registration </w:t>
              </w:r>
            </w:hyperlink>
            <w:hyperlink r:id="rId135">
              <w:r>
                <w:rPr>
                  <w:rStyle w:val="InternetLink"/>
                  <w:spacing w:val="0"/>
                </w:rPr>
                <w:t>No. 333-165467)).</w:t>
              </w:r>
            </w:hyperlink>
            <w:hyperlink r:id="rId136">
              <w:r>
                <w:rPr>
                  <w:rStyle w:val="InternetLink"/>
                </w:rPr>
                <w:t xml:space="preserve"> </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10.16*</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137">
              <w:r>
                <w:rPr>
                  <w:rStyle w:val="InternetLink"/>
                </w:rPr>
                <w:t xml:space="preserve">MagnaChip Semiconductor Corporation 2011 Form of Restricted Stock Agreement (U.S. Participants) (incorporated by reference to Exhibit 10.59 to our Amendment No 9 to the Registration Statement on </w:t>
              </w:r>
            </w:hyperlink>
            <w:hyperlink r:id="rId138">
              <w:r>
                <w:rPr>
                  <w:rStyle w:val="InternetLink"/>
                  <w:spacing w:val="0"/>
                </w:rPr>
                <w:t>Form S-1</w:t>
              </w:r>
            </w:hyperlink>
            <w:hyperlink r:id="rId139">
              <w:r>
                <w:rPr>
                  <w:rStyle w:val="InternetLink"/>
                </w:rPr>
                <w:t xml:space="preserve"> filed on February 18, 2011 (Registration </w:t>
              </w:r>
            </w:hyperlink>
            <w:hyperlink r:id="rId140">
              <w:r>
                <w:rPr>
                  <w:rStyle w:val="InternetLink"/>
                  <w:spacing w:val="0"/>
                </w:rPr>
                <w:t>No. 333-165467)).</w:t>
              </w:r>
            </w:hyperlink>
            <w:hyperlink r:id="rId141">
              <w:r>
                <w:rPr>
                  <w:rStyle w:val="InternetLink"/>
                </w:rPr>
                <w:t xml:space="preserve"> </w:t>
              </w:r>
            </w:hyperlink>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24"/>
        <w:gridCol w:w="60"/>
        <w:gridCol w:w="9421"/>
      </w:tblGrid>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bdr w:val="single" w:sz="8" w:space="1" w:color="000000"/>
              </w:rPr>
            </w:pPr>
            <w:r>
              <w:rPr>
                <w:bdr w:val="single" w:sz="8" w:space="1" w:color="000000"/>
              </w:rPr>
              <w:t>  </w:t>
            </w:r>
            <w:r>
              <w:rPr>
                <w:rFonts w:ascii="Times New Roman" w:hAnsi="Times New Roman"/>
                <w:b/>
                <w:sz w:val="16"/>
                <w:bdr w:val="single" w:sz="8" w:space="1" w:color="000000"/>
              </w:rPr>
              <w:t>No.  </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Exhibit Description</w:t>
            </w:r>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10.17*</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42">
              <w:r>
                <w:rPr>
                  <w:rStyle w:val="InternetLink"/>
                </w:rPr>
                <w:t xml:space="preserve">MagnaChip Semiconductor Corporation 2011 Form of Restricted Stock Agreement </w:t>
              </w:r>
            </w:hyperlink>
            <w:hyperlink r:id="rId143">
              <w:r>
                <w:rPr>
                  <w:rStyle w:val="InternetLink"/>
                  <w:spacing w:val="0"/>
                </w:rPr>
                <w:t>(Non-U.S. Participants)</w:t>
              </w:r>
            </w:hyperlink>
            <w:hyperlink r:id="rId144">
              <w:r>
                <w:rPr>
                  <w:rStyle w:val="InternetLink"/>
                </w:rPr>
                <w:t xml:space="preserve"> (incorporated by reference to Exhibit 10.60 to our Amendment No 9 to the Registration Statement on </w:t>
              </w:r>
            </w:hyperlink>
            <w:hyperlink r:id="rId145">
              <w:r>
                <w:rPr>
                  <w:rStyle w:val="InternetLink"/>
                  <w:spacing w:val="0"/>
                </w:rPr>
                <w:t>Form S-1</w:t>
              </w:r>
            </w:hyperlink>
            <w:hyperlink r:id="rId146">
              <w:r>
                <w:rPr>
                  <w:rStyle w:val="InternetLink"/>
                </w:rPr>
                <w:t xml:space="preserve"> filed on February 18, 2011 (Registration </w:t>
              </w:r>
            </w:hyperlink>
            <w:hyperlink r:id="rId147">
              <w:r>
                <w:rPr>
                  <w:rStyle w:val="InternetLink"/>
                  <w:spacing w:val="0"/>
                </w:rPr>
                <w:t>No. 333-165467)).</w:t>
              </w:r>
            </w:hyperlink>
            <w:hyperlink r:id="rId148">
              <w:r>
                <w:rPr>
                  <w:rStyle w:val="InternetLink"/>
                </w:rPr>
                <w:t xml:space="preserve">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10.18*</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49">
              <w:r>
                <w:rPr>
                  <w:rStyle w:val="InternetLink"/>
                </w:rPr>
                <w:t xml:space="preserve">MagnaChip Semiconductor Corporation 2011 Form of Restricted Stock Units Agreement (Nonemployee Director) (incorporated by reference to Exhibit 10.1 to our Quarterly Report on Form </w:t>
              </w:r>
            </w:hyperlink>
            <w:hyperlink r:id="rId150">
              <w:r>
                <w:rPr>
                  <w:rStyle w:val="InternetLink"/>
                  <w:spacing w:val="0"/>
                </w:rPr>
                <w:t>10-Q</w:t>
              </w:r>
            </w:hyperlink>
            <w:hyperlink r:id="rId151">
              <w:r>
                <w:rPr>
                  <w:rStyle w:val="InternetLink"/>
                </w:rPr>
                <w:t xml:space="preserve"> filed on May 6, 2016).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10.19*</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52">
              <w:r>
                <w:rPr>
                  <w:rStyle w:val="InternetLink"/>
                </w:rPr>
                <w:t xml:space="preserve">Form of Restricted Stock Units Agreement (incorporated by reference to Exhibit 10.3 to our Current Report on Form </w:t>
              </w:r>
            </w:hyperlink>
            <w:hyperlink r:id="rId153">
              <w:r>
                <w:rPr>
                  <w:rStyle w:val="InternetLink"/>
                  <w:spacing w:val="0"/>
                </w:rPr>
                <w:t>8-K</w:t>
              </w:r>
            </w:hyperlink>
            <w:hyperlink r:id="rId154">
              <w:r>
                <w:rPr>
                  <w:rStyle w:val="InternetLink"/>
                </w:rPr>
                <w:t xml:space="preserve"> filed on October 26, 2018).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10.20*</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55">
              <w:r>
                <w:rPr>
                  <w:rStyle w:val="InternetLink"/>
                </w:rPr>
                <w:t xml:space="preserve">Form of Restricted Stock Units Agreement (TSR Performance) (incorporated by reference to Exhibit 10.4 to our Current Report on Form </w:t>
              </w:r>
            </w:hyperlink>
            <w:hyperlink r:id="rId156">
              <w:r>
                <w:rPr>
                  <w:rStyle w:val="InternetLink"/>
                  <w:spacing w:val="0"/>
                </w:rPr>
                <w:t>8-K</w:t>
              </w:r>
            </w:hyperlink>
            <w:hyperlink r:id="rId157">
              <w:r>
                <w:rPr>
                  <w:rStyle w:val="InternetLink"/>
                </w:rPr>
                <w:t xml:space="preserve"> filed on October 26, 2018).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10.21*</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58">
              <w:r>
                <w:rPr>
                  <w:rStyle w:val="InternetLink"/>
                </w:rPr>
                <w:t xml:space="preserve">Form of Restricted Stock Units Agreement (AOP Performance) (incorporated by reference to Exhibit 10.5 to our Current Report on Form </w:t>
              </w:r>
            </w:hyperlink>
            <w:hyperlink r:id="rId159">
              <w:r>
                <w:rPr>
                  <w:rStyle w:val="InternetLink"/>
                  <w:spacing w:val="0"/>
                </w:rPr>
                <w:t>8-K</w:t>
              </w:r>
            </w:hyperlink>
            <w:hyperlink r:id="rId160">
              <w:r>
                <w:rPr>
                  <w:rStyle w:val="InternetLink"/>
                </w:rPr>
                <w:t xml:space="preserve"> filed on October 26, 2018).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10.22*</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61">
              <w:r>
                <w:rPr>
                  <w:rStyle w:val="InternetLink"/>
                </w:rPr>
                <w:t xml:space="preserve">MagnaChip Semiconductor Corporation 2020 Form of Restricted Stock Units Agreement </w:t>
              </w:r>
            </w:hyperlink>
            <w:hyperlink r:id="rId162">
              <w:r>
                <w:rPr>
                  <w:rStyle w:val="InternetLink"/>
                  <w:spacing w:val="0"/>
                </w:rPr>
                <w:t>(Non-employee</w:t>
              </w:r>
            </w:hyperlink>
            <w:hyperlink r:id="rId163">
              <w:r>
                <w:rPr>
                  <w:rStyle w:val="InternetLink"/>
                </w:rPr>
                <w:t xml:space="preserve"> Directors) (incorporated by reference to Exhibit 99.2 to our Registration Statement on Form </w:t>
              </w:r>
            </w:hyperlink>
            <w:hyperlink r:id="rId164">
              <w:r>
                <w:rPr>
                  <w:rStyle w:val="InternetLink"/>
                  <w:spacing w:val="0"/>
                </w:rPr>
                <w:t>S-8</w:t>
              </w:r>
            </w:hyperlink>
            <w:hyperlink r:id="rId165">
              <w:r>
                <w:rPr>
                  <w:rStyle w:val="InternetLink"/>
                </w:rPr>
                <w:t xml:space="preserve"> filed on July 15, 2020)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10.23*</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66">
              <w:r>
                <w:rPr>
                  <w:rStyle w:val="InternetLink"/>
                </w:rPr>
                <w:t xml:space="preserve">MagnaChip Semiconductor Corporation 2020 Form of Restricted Stock Units Agreement (Section 16 Officers) (incorporated by reference to Exhibit 99.3 to our Registration Statement on </w:t>
              </w:r>
            </w:hyperlink>
            <w:hyperlink r:id="rId167">
              <w:r>
                <w:rPr>
                  <w:rStyle w:val="InternetLink"/>
                  <w:spacing w:val="0"/>
                </w:rPr>
                <w:t>Form S-8 filed</w:t>
              </w:r>
            </w:hyperlink>
            <w:hyperlink r:id="rId168">
              <w:r>
                <w:rPr>
                  <w:rStyle w:val="InternetLink"/>
                </w:rPr>
                <w:t xml:space="preserve"> on July 15, 2020).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10.24*</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69">
              <w:r>
                <w:rPr>
                  <w:rStyle w:val="InternetLink"/>
                </w:rPr>
                <w:t xml:space="preserve">MagnaChip Semiconductor Corporation 2020 Form of Restricted Stock Units Agreement—Financial Performance (CEO) (incorporated by reference to Exhibit 99.4 to our Registration Statement on </w:t>
              </w:r>
            </w:hyperlink>
            <w:hyperlink r:id="rId170">
              <w:r>
                <w:rPr>
                  <w:rStyle w:val="InternetLink"/>
                  <w:spacing w:val="0"/>
                </w:rPr>
                <w:t>Form S-8 filed</w:t>
              </w:r>
            </w:hyperlink>
            <w:hyperlink r:id="rId171">
              <w:r>
                <w:rPr>
                  <w:rStyle w:val="InternetLink"/>
                </w:rPr>
                <w:t xml:space="preserve"> on July 15, 2020).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10.25*</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72">
              <w:r>
                <w:rPr>
                  <w:rStyle w:val="InternetLink"/>
                </w:rPr>
                <w:t xml:space="preserve">MagnaChip Semiconductor Corporation 2020 Form of Restricted Stock Units Agreement—Financial </w:t>
              </w:r>
            </w:hyperlink>
            <w:hyperlink r:id="rId173">
              <w:r>
                <w:rPr>
                  <w:rStyle w:val="InternetLink"/>
                  <w:spacing w:val="0"/>
                </w:rPr>
                <w:t>Performance (Non-CEO Section 16</w:t>
              </w:r>
            </w:hyperlink>
            <w:hyperlink r:id="rId174">
              <w:r>
                <w:rPr>
                  <w:rStyle w:val="InternetLink"/>
                </w:rPr>
                <w:t xml:space="preserve"> Officers) (incorporated by reference to Exhibit 99.5 to our Registration Statement on </w:t>
              </w:r>
            </w:hyperlink>
            <w:hyperlink r:id="rId175">
              <w:r>
                <w:rPr>
                  <w:rStyle w:val="InternetLink"/>
                  <w:spacing w:val="0"/>
                </w:rPr>
                <w:t>Form S-8 filed</w:t>
              </w:r>
            </w:hyperlink>
            <w:hyperlink r:id="rId176">
              <w:r>
                <w:rPr>
                  <w:rStyle w:val="InternetLink"/>
                </w:rPr>
                <w:t xml:space="preserve"> on July 15, 2020).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10.26*</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77">
              <w:r>
                <w:rPr>
                  <w:rStyle w:val="InternetLink"/>
                </w:rPr>
                <w:t xml:space="preserve">MagnaChip Semiconductor Corporation 2020 Form of Restricted Stock Units Agreement—TSR Performance (CEO) (incorporated by reference to Exhibit 99.6 to our Registration Statement on </w:t>
              </w:r>
            </w:hyperlink>
            <w:hyperlink r:id="rId178">
              <w:r>
                <w:rPr>
                  <w:rStyle w:val="InternetLink"/>
                  <w:spacing w:val="0"/>
                </w:rPr>
                <w:t>Form S-8 filed</w:t>
              </w:r>
            </w:hyperlink>
            <w:hyperlink r:id="rId179">
              <w:r>
                <w:rPr>
                  <w:rStyle w:val="InternetLink"/>
                </w:rPr>
                <w:t xml:space="preserve"> on July 15, 2020).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10.27*</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80">
              <w:r>
                <w:rPr>
                  <w:rStyle w:val="InternetLink"/>
                </w:rPr>
                <w:t xml:space="preserve">MagnaChip Semiconductor Corporation 2020 Form of Restricted Stock Units Agreement—TSR </w:t>
              </w:r>
            </w:hyperlink>
            <w:hyperlink r:id="rId181">
              <w:r>
                <w:rPr>
                  <w:rStyle w:val="InternetLink"/>
                  <w:spacing w:val="0"/>
                </w:rPr>
                <w:t>Performance (Non-CEO Section 16</w:t>
              </w:r>
            </w:hyperlink>
            <w:hyperlink r:id="rId182">
              <w:r>
                <w:rPr>
                  <w:rStyle w:val="InternetLink"/>
                </w:rPr>
                <w:t xml:space="preserve"> Officers) (incorporated by reference to Exhibit 99.7 to our Registration Statement on </w:t>
              </w:r>
            </w:hyperlink>
            <w:hyperlink r:id="rId183">
              <w:r>
                <w:rPr>
                  <w:rStyle w:val="InternetLink"/>
                  <w:spacing w:val="0"/>
                </w:rPr>
                <w:t>Form S-8 filed</w:t>
              </w:r>
            </w:hyperlink>
            <w:hyperlink r:id="rId184">
              <w:r>
                <w:rPr>
                  <w:rStyle w:val="InternetLink"/>
                </w:rPr>
                <w:t xml:space="preserve"> on July 15, 2020).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10.28*</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85">
              <w:r>
                <w:rPr>
                  <w:rStyle w:val="InternetLink"/>
                </w:rPr>
                <w:t xml:space="preserve">Patent Cross-License Agreement, with an effective date as of June 15, 2017, by and between Infineon Technologies AG and Magnachip Semiconductor, Ltd. (incorporated by reference to Exhibit 10.8 to our Quarterly Report on Form </w:t>
              </w:r>
            </w:hyperlink>
            <w:hyperlink r:id="rId186">
              <w:r>
                <w:rPr>
                  <w:rStyle w:val="InternetLink"/>
                  <w:spacing w:val="0"/>
                </w:rPr>
                <w:t>10-Q</w:t>
              </w:r>
            </w:hyperlink>
            <w:hyperlink r:id="rId187">
              <w:r>
                <w:rPr>
                  <w:rStyle w:val="InternetLink"/>
                </w:rPr>
                <w:t xml:space="preserve"> filed on November 4, 2022)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10.29*</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88">
              <w:r>
                <w:rPr>
                  <w:rStyle w:val="InternetLink"/>
                </w:rPr>
                <w:t xml:space="preserve">First Amendment to the Patent Cross-License Agreement, with an effective date as of January 1, 2022, by and between Infineon Technologies AG and Magnachip Semiconductor, Ltd. (incorporated by reference to Exhibit 10.9 to our Quarterly Report on Form </w:t>
              </w:r>
            </w:hyperlink>
            <w:hyperlink r:id="rId189">
              <w:r>
                <w:rPr>
                  <w:rStyle w:val="InternetLink"/>
                  <w:spacing w:val="0"/>
                </w:rPr>
                <w:t>10-Q</w:t>
              </w:r>
            </w:hyperlink>
            <w:hyperlink r:id="rId190">
              <w:r>
                <w:rPr>
                  <w:rStyle w:val="InternetLink"/>
                </w:rPr>
                <w:t xml:space="preserve"> filed on November 4, 2022)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10.30*</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91">
              <w:r>
                <w:rPr>
                  <w:rStyle w:val="InternetLink"/>
                </w:rPr>
                <w:t xml:space="preserve">Form of 2020 Plan Restricted Stock Units Agreement </w:t>
              </w:r>
            </w:hyperlink>
            <w:hyperlink r:id="rId192">
              <w:r>
                <w:rPr>
                  <w:rStyle w:val="InternetLink"/>
                  <w:spacing w:val="0"/>
                </w:rPr>
                <w:t>(Non-employee</w:t>
              </w:r>
            </w:hyperlink>
            <w:hyperlink r:id="rId193">
              <w:r>
                <w:rPr>
                  <w:rStyle w:val="InternetLink"/>
                </w:rPr>
                <w:t xml:space="preserve"> Directors) (incorporated by reference to Exhibit 10.1 to our Quarterly Report on Form </w:t>
              </w:r>
            </w:hyperlink>
            <w:hyperlink r:id="rId194">
              <w:r>
                <w:rPr>
                  <w:rStyle w:val="InternetLink"/>
                  <w:spacing w:val="0"/>
                </w:rPr>
                <w:t>10-Q</w:t>
              </w:r>
            </w:hyperlink>
            <w:hyperlink r:id="rId195">
              <w:r>
                <w:rPr>
                  <w:rStyle w:val="InternetLink"/>
                </w:rPr>
                <w:t xml:space="preserve"> filed on November 4, 2022)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10.31*</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96">
              <w:r>
                <w:rPr>
                  <w:rStyle w:val="InternetLink"/>
                </w:rPr>
                <w:t xml:space="preserve">Form of 2020 Plan Restricted Stock Units Agreement (CEO and other Section 16 Officers) (incorporated by reference to Exhibit 10.2 to our Quarterly Report on Form </w:t>
              </w:r>
            </w:hyperlink>
            <w:hyperlink r:id="rId197">
              <w:r>
                <w:rPr>
                  <w:rStyle w:val="InternetLink"/>
                  <w:spacing w:val="0"/>
                </w:rPr>
                <w:t>10-Q</w:t>
              </w:r>
            </w:hyperlink>
            <w:hyperlink r:id="rId198">
              <w:r>
                <w:rPr>
                  <w:rStyle w:val="InternetLink"/>
                </w:rPr>
                <w:t xml:space="preserve"> filed on November 4, 2022) </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10.32*</w:t>
            </w:r>
          </w:p>
        </w:tc>
        <w:tc>
          <w:tcPr>
            <w:tcW w:w="6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hyperlink r:id="rId199">
              <w:r>
                <w:rPr>
                  <w:rStyle w:val="InternetLink"/>
                </w:rPr>
                <w:t xml:space="preserve">Form of 2020 Plan Restricted Stock Units Agreement—Financial Performance (CEO) (incorporated by reference to Exhibit 10.3 to our Quarterly Report on Form </w:t>
              </w:r>
            </w:hyperlink>
            <w:hyperlink r:id="rId200">
              <w:r>
                <w:rPr>
                  <w:rStyle w:val="InternetLink"/>
                  <w:spacing w:val="0"/>
                </w:rPr>
                <w:t>10-Q</w:t>
              </w:r>
            </w:hyperlink>
            <w:hyperlink r:id="rId201">
              <w:r>
                <w:rPr>
                  <w:rStyle w:val="InternetLink"/>
                </w:rPr>
                <w:t xml:space="preserve"> filed on November 4, 2022) </w:t>
              </w:r>
            </w:hyperlink>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10</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805"/>
        <w:gridCol w:w="60"/>
        <w:gridCol w:w="9340"/>
      </w:tblGrid>
      <w:tr>
        <w:trPr/>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40" w:type="dxa"/>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Exhibit</w:t>
            </w:r>
          </w:p>
          <w:p>
            <w:pPr>
              <w:pStyle w:val="TableContents"/>
              <w:bidi w:val="0"/>
              <w:spacing w:before="0" w:after="20"/>
              <w:jc w:val="center"/>
              <w:rPr>
                <w:spacing w:val="0"/>
                <w:bdr w:val="single" w:sz="8" w:space="1" w:color="000000"/>
              </w:rPr>
            </w:pPr>
            <w:r>
              <w:rPr>
                <w:spacing w:val="0"/>
                <w:bdr w:val="single" w:sz="8" w:space="1" w:color="000000"/>
              </w:rPr>
              <w:t>  </w:t>
            </w:r>
            <w:r>
              <w:rPr>
                <w:rFonts w:ascii="Times New Roman" w:hAnsi="Times New Roman"/>
                <w:b/>
                <w:spacing w:val="0"/>
                <w:sz w:val="16"/>
                <w:bdr w:val="single" w:sz="8" w:space="1" w:color="000000"/>
              </w:rPr>
              <w:t>No.  </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Exhibit Description</w:t>
            </w:r>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10.33*</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r:id="rId202">
              <w:r>
                <w:rPr>
                  <w:rStyle w:val="InternetLink"/>
                </w:rPr>
                <w:t xml:space="preserve">Form of 2020 Plan Restricted Stock Units Agreement—Financial Performance </w:t>
              </w:r>
            </w:hyperlink>
            <w:hyperlink r:id="rId203">
              <w:r>
                <w:rPr>
                  <w:rStyle w:val="InternetLink"/>
                  <w:spacing w:val="0"/>
                </w:rPr>
                <w:t>(Non-CEO</w:t>
              </w:r>
            </w:hyperlink>
            <w:hyperlink r:id="rId204">
              <w:r>
                <w:rPr>
                  <w:rStyle w:val="InternetLink"/>
                </w:rPr>
                <w:t xml:space="preserve"> Section 16 Officers) (incorporated by reference to Exhibit 10.4 to our Quarterly Report on Form </w:t>
              </w:r>
            </w:hyperlink>
            <w:hyperlink r:id="rId205">
              <w:r>
                <w:rPr>
                  <w:rStyle w:val="InternetLink"/>
                  <w:spacing w:val="0"/>
                </w:rPr>
                <w:t>10-Q</w:t>
              </w:r>
            </w:hyperlink>
            <w:hyperlink r:id="rId206">
              <w:r>
                <w:rPr>
                  <w:rStyle w:val="InternetLink"/>
                </w:rPr>
                <w:t xml:space="preserve"> filed on November 4, 2022)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10.34*</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r:id="rId207">
              <w:r>
                <w:rPr>
                  <w:rStyle w:val="InternetLink"/>
                </w:rPr>
                <w:t xml:space="preserve">Form of 2020 Plan Restricted Stock Units Agreement—TSR Performance (CEO) (incorporated by reference to Exhibit 10.5 to our Quarterly Report on Form </w:t>
              </w:r>
            </w:hyperlink>
            <w:hyperlink r:id="rId208">
              <w:r>
                <w:rPr>
                  <w:rStyle w:val="InternetLink"/>
                  <w:spacing w:val="0"/>
                </w:rPr>
                <w:t>10-Q</w:t>
              </w:r>
            </w:hyperlink>
            <w:hyperlink r:id="rId209">
              <w:r>
                <w:rPr>
                  <w:rStyle w:val="InternetLink"/>
                </w:rPr>
                <w:t xml:space="preserve"> filed on November 4, 2022)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10.35*</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r:id="rId210">
              <w:r>
                <w:rPr>
                  <w:rStyle w:val="InternetLink"/>
                </w:rPr>
                <w:t xml:space="preserve">Form of 2020 Plan Restricted Stock Units Agreement—TSR Performance </w:t>
              </w:r>
            </w:hyperlink>
            <w:hyperlink r:id="rId211">
              <w:r>
                <w:rPr>
                  <w:rStyle w:val="InternetLink"/>
                  <w:spacing w:val="0"/>
                </w:rPr>
                <w:t>(Non-CEO</w:t>
              </w:r>
            </w:hyperlink>
            <w:hyperlink r:id="rId212">
              <w:r>
                <w:rPr>
                  <w:rStyle w:val="InternetLink"/>
                </w:rPr>
                <w:t xml:space="preserve"> Section 16 Officers) (incorporated by reference to Exhibit 10.6 to our Quarterly Report on Form </w:t>
              </w:r>
            </w:hyperlink>
            <w:hyperlink r:id="rId213">
              <w:r>
                <w:rPr>
                  <w:rStyle w:val="InternetLink"/>
                  <w:spacing w:val="0"/>
                </w:rPr>
                <w:t>10-Q</w:t>
              </w:r>
            </w:hyperlink>
            <w:hyperlink r:id="rId214">
              <w:r>
                <w:rPr>
                  <w:rStyle w:val="InternetLink"/>
                </w:rPr>
                <w:t xml:space="preserve"> filed on November 4, 2022)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10.36</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r:id="rId215">
              <w:r>
                <w:rPr>
                  <w:rStyle w:val="InternetLink"/>
                </w:rPr>
                <w:t xml:space="preserve">Agreement, dated as of April 11, 2023, by and among Magnachip Semiconductor Corporation, Jackson Square Advisors LLC, GT Investments II Corp and Gilbert Nathan (incorporated by reference to Exhibit 10.1 to our Current Report on </w:t>
              </w:r>
            </w:hyperlink>
            <w:hyperlink r:id="rId216">
              <w:r>
                <w:rPr>
                  <w:rStyle w:val="InternetLink"/>
                  <w:spacing w:val="0"/>
                </w:rPr>
                <w:t>form 8-K filed</w:t>
              </w:r>
            </w:hyperlink>
            <w:hyperlink r:id="rId217">
              <w:r>
                <w:rPr>
                  <w:rStyle w:val="InternetLink"/>
                </w:rPr>
                <w:t xml:space="preserve"> on April 13, 2023).</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21.1#</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w:anchor="d183811dex211.htm">
              <w:r>
                <w:rPr>
                  <w:rStyle w:val="InternetLink"/>
                </w:rPr>
                <w:t>Subsidiaries of the Registrant</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23.1#</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w:anchor="d183811dex231.htm">
              <w:r>
                <w:rPr>
                  <w:rStyle w:val="InternetLink"/>
                </w:rPr>
                <w:t xml:space="preserve">Consent of Samil PricewaterhouseCoopers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31.1#</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w:anchor="d183811dex311.htm">
              <w:r>
                <w:rPr>
                  <w:rStyle w:val="InternetLink"/>
                </w:rPr>
                <w:t xml:space="preserve">Certification of Chief Executive Officer required by Rule </w:t>
              </w:r>
            </w:hyperlink>
            <w:hyperlink w:anchor="d183811dex311.htm">
              <w:r>
                <w:rPr>
                  <w:rStyle w:val="InternetLink"/>
                  <w:spacing w:val="0"/>
                </w:rPr>
                <w:t>13(a)-14(a),</w:t>
              </w:r>
            </w:hyperlink>
            <w:hyperlink w:anchor="d183811dex311.htm">
              <w:r>
                <w:rPr>
                  <w:rStyle w:val="InternetLink"/>
                </w:rPr>
                <w:t xml:space="preserve"> as adopted pursuant to </w:t>
              </w:r>
            </w:hyperlink>
            <w:hyperlink w:anchor="d183811dex311.htm">
              <w:r>
                <w:rPr>
                  <w:rStyle w:val="InternetLink"/>
                  <w:spacing w:val="0"/>
                  <w:u w:val="single"/>
                </w:rPr>
                <w:t>§</w:t>
              </w:r>
            </w:hyperlink>
            <w:hyperlink w:anchor="d183811dex311.htm">
              <w:r>
                <w:rPr>
                  <w:rStyle w:val="InternetLink"/>
                </w:rPr>
                <w:t xml:space="preserve"> 302 of the Sarbanes-Oxley Act of 2002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31.2#</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w:anchor="d183811dex312.htm">
              <w:r>
                <w:rPr>
                  <w:rStyle w:val="InternetLink"/>
                </w:rPr>
                <w:t xml:space="preserve">Certification of Chief Financial Officer required by Rule </w:t>
              </w:r>
            </w:hyperlink>
            <w:hyperlink w:anchor="d183811dex312.htm">
              <w:r>
                <w:rPr>
                  <w:rStyle w:val="InternetLink"/>
                  <w:spacing w:val="0"/>
                </w:rPr>
                <w:t>13(a)-14(a),</w:t>
              </w:r>
            </w:hyperlink>
            <w:hyperlink w:anchor="d183811dex312.htm">
              <w:r>
                <w:rPr>
                  <w:rStyle w:val="InternetLink"/>
                </w:rPr>
                <w:t xml:space="preserve"> as adopted pursuant to </w:t>
              </w:r>
            </w:hyperlink>
            <w:hyperlink w:anchor="d183811dex312.htm">
              <w:r>
                <w:rPr>
                  <w:rStyle w:val="InternetLink"/>
                  <w:spacing w:val="0"/>
                  <w:u w:val="single"/>
                </w:rPr>
                <w:t>§</w:t>
              </w:r>
            </w:hyperlink>
            <w:hyperlink w:anchor="d183811dex312.htm">
              <w:r>
                <w:rPr>
                  <w:rStyle w:val="InternetLink"/>
                </w:rPr>
                <w:t xml:space="preserve"> 302 of the Sarbanes-Oxley Act of 2002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32.1†</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w:anchor="d183811dex321.htm">
              <w:r>
                <w:rPr>
                  <w:rStyle w:val="InternetLink"/>
                </w:rPr>
                <w:t xml:space="preserve">Certification of Chief Executive Officer required by 18 U.S.C </w:t>
              </w:r>
            </w:hyperlink>
            <w:hyperlink w:anchor="d183811dex321.htm">
              <w:r>
                <w:rPr>
                  <w:rStyle w:val="InternetLink"/>
                  <w:spacing w:val="0"/>
                  <w:u w:val="single"/>
                </w:rPr>
                <w:t>§</w:t>
              </w:r>
            </w:hyperlink>
            <w:hyperlink w:anchor="d183811dex321.htm">
              <w:r>
                <w:rPr>
                  <w:rStyle w:val="InternetLink"/>
                </w:rPr>
                <w:t xml:space="preserve"> 1350, as adopted pursuant to </w:t>
              </w:r>
            </w:hyperlink>
            <w:hyperlink w:anchor="d183811dex321.htm">
              <w:r>
                <w:rPr>
                  <w:rStyle w:val="InternetLink"/>
                  <w:spacing w:val="0"/>
                  <w:u w:val="single"/>
                </w:rPr>
                <w:t>§</w:t>
              </w:r>
            </w:hyperlink>
            <w:hyperlink w:anchor="d183811dex321.htm">
              <w:r>
                <w:rPr>
                  <w:rStyle w:val="InternetLink"/>
                </w:rPr>
                <w:t xml:space="preserve"> 906 of the Sarbanes-Oxley Act of 2002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32.2†</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w:anchor="d183811dex322.htm">
              <w:r>
                <w:rPr>
                  <w:rStyle w:val="InternetLink"/>
                </w:rPr>
                <w:t xml:space="preserve">Certification of Chief Financial Officer required by 18 U.S.C. </w:t>
              </w:r>
            </w:hyperlink>
            <w:hyperlink w:anchor="d183811dex322.htm">
              <w:r>
                <w:rPr>
                  <w:rStyle w:val="InternetLink"/>
                  <w:spacing w:val="0"/>
                  <w:u w:val="single"/>
                </w:rPr>
                <w:t>§</w:t>
              </w:r>
            </w:hyperlink>
            <w:hyperlink w:anchor="d183811dex322.htm">
              <w:r>
                <w:rPr>
                  <w:rStyle w:val="InternetLink"/>
                </w:rPr>
                <w:t xml:space="preserve"> 1350, as adopted pursuant to </w:t>
              </w:r>
            </w:hyperlink>
            <w:hyperlink w:anchor="d183811dex322.htm">
              <w:r>
                <w:rPr>
                  <w:rStyle w:val="InternetLink"/>
                  <w:spacing w:val="0"/>
                  <w:u w:val="single"/>
                </w:rPr>
                <w:t>§</w:t>
              </w:r>
            </w:hyperlink>
            <w:hyperlink w:anchor="d183811dex322.htm">
              <w:r>
                <w:rPr>
                  <w:rStyle w:val="InternetLink"/>
                </w:rPr>
                <w:t xml:space="preserve"> 906 of the Sarbanes-Oxley Act of 2002 </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 </w:t>
            </w:r>
            <w:r>
              <w:rPr/>
              <w:t>97.1*#</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hyperlink w:anchor="d183811dex971.htm">
              <w:r>
                <w:rPr>
                  <w:rStyle w:val="InternetLink"/>
                </w:rPr>
                <w:t>Compensation Recovery Policy, adopted as of November 15, 2023</w:t>
              </w:r>
            </w:hyperlink>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101.INS#</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r>
              <w:rPr/>
              <w:t>Inline XBRL Instance Document</w:t>
            </w:r>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101.SCH#</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r>
              <w:rPr/>
              <w:t>Inline XBRL Taxonomy Extension Schema Document</w:t>
            </w:r>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101.CAL#</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r>
              <w:rPr/>
              <w:t>Inline XBRL Taxonomy Extension Calculation Linkbase Document</w:t>
            </w:r>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101.DEF#</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r>
              <w:rPr/>
              <w:t>Inline XBRL Taxonomy Extension Definition Linkbase Document</w:t>
            </w:r>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101.LAB#</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r>
              <w:rPr/>
              <w:t>Inline XBRL Taxonomy Extension Label Linkbase Document</w:t>
            </w:r>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101.PRE#</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r>
              <w:rPr/>
              <w:t>Inline XBRL Taxonomy Extension Presentation Linkbase Document</w:t>
            </w:r>
          </w:p>
        </w:tc>
      </w:tr>
      <w:tr>
        <w:trPr/>
        <w:tc>
          <w:tcPr>
            <w:tcW w:w="805" w:type="dxa"/>
            <w:tcBorders/>
            <w:vAlign w:val="center"/>
          </w:tcPr>
          <w:p>
            <w:pPr>
              <w:pStyle w:val="TableContents"/>
              <w:bidi w:val="0"/>
              <w:spacing w:before="0" w:after="283"/>
              <w:jc w:val="left"/>
              <w:rPr>
                <w:sz w:val="4"/>
                <w:szCs w:val="4"/>
              </w:rPr>
            </w:pPr>
            <w:r>
              <w:rPr>
                <w:sz w:val="4"/>
                <w:szCs w:val="4"/>
              </w:rPr>
            </w:r>
          </w:p>
        </w:tc>
        <w:tc>
          <w:tcPr>
            <w:tcW w:w="9400" w:type="dxa"/>
            <w:gridSpan w:val="2"/>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0"/>
              <w:jc w:val="left"/>
              <w:rPr/>
            </w:pPr>
            <w:r>
              <w:rPr/>
              <w:t>104</w:t>
            </w:r>
          </w:p>
        </w:tc>
        <w:tc>
          <w:tcPr>
            <w:tcW w:w="60" w:type="dxa"/>
            <w:tcBorders/>
            <w:vAlign w:val="center"/>
          </w:tcPr>
          <w:p>
            <w:pPr>
              <w:pStyle w:val="TableContents"/>
              <w:bidi w:val="0"/>
              <w:spacing w:before="0" w:after="0"/>
              <w:jc w:val="left"/>
              <w:rPr/>
            </w:pPr>
            <w:r>
              <w:rPr/>
              <w:t> </w:t>
            </w:r>
          </w:p>
        </w:tc>
        <w:tc>
          <w:tcPr>
            <w:tcW w:w="9340" w:type="dxa"/>
            <w:tcBorders/>
            <w:vAlign w:val="center"/>
          </w:tcPr>
          <w:p>
            <w:pPr>
              <w:pStyle w:val="TableContents"/>
              <w:bidi w:val="0"/>
              <w:spacing w:before="0" w:after="0"/>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Footnotes: </w:t>
      </w:r>
    </w:p>
    <w:p>
      <w:pPr>
        <w:pStyle w:val="TextBody"/>
        <w:bidi w:val="0"/>
        <w:spacing w:before="0" w:after="0"/>
        <w:jc w:val="left"/>
        <w:rPr>
          <w:spacing w:val="0"/>
          <w:shd w:fill="FFFFFF" w:val="clear"/>
        </w:rPr>
      </w:pPr>
      <w:r>
        <w:rPr>
          <w:spacing w:val="0"/>
          <w:shd w:fill="FFFFFF" w:val="clear"/>
        </w:rPr>
        <w:t> </w:t>
      </w:r>
    </w:p>
    <w:tbl>
      <w:tblPr>
        <w:tblW w:w="4900" w:type="dxa"/>
        <w:jc w:val="left"/>
        <w:tblInd w:w="0" w:type="dxa"/>
        <w:tblLayout w:type="fixed"/>
        <w:tblCellMar>
          <w:top w:w="0" w:type="dxa"/>
          <w:left w:w="0" w:type="dxa"/>
          <w:bottom w:w="0" w:type="dxa"/>
          <w:right w:w="0" w:type="dxa"/>
        </w:tblCellMar>
      </w:tblPr>
      <w:tblGrid>
        <w:gridCol w:w="155"/>
        <w:gridCol w:w="4745"/>
      </w:tblGrid>
      <w:tr>
        <w:trPr/>
        <w:tc>
          <w:tcPr>
            <w:tcW w:w="155" w:type="dxa"/>
            <w:tcBorders/>
            <w:vAlign w:val="center"/>
          </w:tcPr>
          <w:p>
            <w:pPr>
              <w:pStyle w:val="TableContents"/>
              <w:bidi w:val="0"/>
              <w:spacing w:before="0" w:after="0"/>
              <w:jc w:val="left"/>
              <w:rPr/>
            </w:pPr>
            <w:r>
              <w:rPr/>
              <w:t>*</w:t>
            </w:r>
          </w:p>
        </w:tc>
        <w:tc>
          <w:tcPr>
            <w:tcW w:w="47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Management contract, compensatory plan or arrangement </w:t>
            </w:r>
          </w:p>
        </w:tc>
      </w:tr>
    </w:tbl>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0"/>
              <w:jc w:val="left"/>
              <w:rPr/>
            </w:pPr>
            <w:r>
              <w:rPr/>
              <w:t>#</w:t>
            </w:r>
          </w:p>
        </w:tc>
        <w:tc>
          <w:tcPr>
            <w:tcW w:w="1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0"/>
              <w:jc w:val="left"/>
              <w:rPr/>
            </w:pPr>
            <w:r>
              <w:rPr/>
              <w:t>†</w:t>
            </w:r>
          </w:p>
        </w:tc>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Furnished herewith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16. Form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10-K</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Summary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Not applicable.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110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SIGNATURES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MAGNACHIP SEMICONDUCTOR CORPORATION </w:t>
      </w:r>
    </w:p>
    <w:p>
      <w:pPr>
        <w:pStyle w:val="TextBody"/>
        <w:bidi w:val="0"/>
        <w:spacing w:before="0" w:after="0"/>
        <w:ind w:left="0" w:right="0" w:hanging="0"/>
        <w:jc w:val="left"/>
        <w:rPr>
          <w:spacing w:val="0"/>
          <w:shd w:fill="FFFFFF" w:val="clear"/>
        </w:rPr>
      </w:pPr>
      <w:r>
        <w:rPr>
          <w:spacing w:val="0"/>
          <w:shd w:fill="FFFFFF" w:val="clear"/>
        </w:rPr>
        <w:t> </w:t>
      </w:r>
    </w:p>
    <w:tbl>
      <w:tblPr>
        <w:tblW w:w="4353" w:type="dxa"/>
        <w:jc w:val="left"/>
        <w:tblInd w:w="0" w:type="dxa"/>
        <w:tblLayout w:type="fixed"/>
        <w:tblCellMar>
          <w:top w:w="0" w:type="dxa"/>
          <w:left w:w="0" w:type="dxa"/>
          <w:bottom w:w="0" w:type="dxa"/>
          <w:right w:w="0" w:type="dxa"/>
        </w:tblCellMar>
      </w:tblPr>
      <w:tblGrid>
        <w:gridCol w:w="38"/>
        <w:gridCol w:w="60"/>
        <w:gridCol w:w="650"/>
        <w:gridCol w:w="6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By:</w:t>
            </w:r>
          </w:p>
        </w:tc>
        <w:tc>
          <w:tcPr>
            <w:tcW w:w="6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Young-Joon Kim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6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Young-Joon Kim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6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Chief Executive Officer and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Date:</w:t>
            </w:r>
          </w:p>
        </w:tc>
        <w:tc>
          <w:tcPr>
            <w:tcW w:w="6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March 8, 2024</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ind w:left="0" w:right="0" w:hanging="0"/>
        <w:jc w:val="left"/>
        <w:rPr>
          <w:spacing w:val="0"/>
          <w:shd w:fill="FFFFFF" w:val="clear"/>
        </w:rPr>
      </w:pPr>
      <w:r>
        <w:rPr>
          <w:spacing w:val="0"/>
          <w:shd w:fill="FFFFFF" w:val="clear"/>
        </w:rPr>
        <w:t> </w:t>
      </w:r>
    </w:p>
    <w:tbl>
      <w:tblPr>
        <w:tblW w:w="9805" w:type="dxa"/>
        <w:jc w:val="left"/>
        <w:tblInd w:w="0" w:type="dxa"/>
        <w:tblLayout w:type="fixed"/>
        <w:tblCellMar>
          <w:top w:w="0" w:type="dxa"/>
          <w:left w:w="0" w:type="dxa"/>
          <w:bottom w:w="0" w:type="dxa"/>
          <w:right w:w="0" w:type="dxa"/>
        </w:tblCellMar>
      </w:tblPr>
      <w:tblGrid>
        <w:gridCol w:w="8255"/>
        <w:gridCol w:w="120"/>
        <w:gridCol w:w="1430"/>
      </w:tblGrid>
      <w:tr>
        <w:trPr/>
        <w:tc>
          <w:tcPr>
            <w:tcW w:w="8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Date</w:t>
            </w:r>
          </w:p>
        </w:tc>
      </w:tr>
      <w:tr>
        <w:trPr/>
        <w:tc>
          <w:tcPr>
            <w:tcW w:w="8255"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Young-Joon Kim</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pPr>
            <w:r>
              <w:rPr/>
              <w:t>March 8, 2024</w:t>
            </w:r>
          </w:p>
        </w:tc>
      </w:tr>
      <w:tr>
        <w:trPr/>
        <w:tc>
          <w:tcPr>
            <w:tcW w:w="8255" w:type="dxa"/>
            <w:tcBorders/>
            <w:vAlign w:val="center"/>
          </w:tcPr>
          <w:p>
            <w:pPr>
              <w:pStyle w:val="TableContents"/>
              <w:bidi w:val="0"/>
              <w:spacing w:before="0" w:after="0"/>
              <w:jc w:val="left"/>
              <w:rPr/>
            </w:pPr>
            <w:r>
              <w:rPr/>
              <w:t xml:space="preserve">Young-Joon Kim, </w:t>
            </w:r>
          </w:p>
          <w:p>
            <w:pPr>
              <w:pStyle w:val="TableContents"/>
              <w:bidi w:val="0"/>
              <w:spacing w:before="0" w:after="0"/>
              <w:jc w:val="left"/>
              <w:rPr>
                <w:i/>
                <w:caps w:val="false"/>
                <w:smallCaps w:val="false"/>
                <w:spacing w:val="0"/>
              </w:rPr>
            </w:pPr>
            <w:r>
              <w:rPr>
                <w:i/>
                <w:caps w:val="false"/>
                <w:smallCaps w:val="false"/>
                <w:spacing w:val="0"/>
              </w:rPr>
              <w:t>Chief Executive Officer and Director (Principal Executive Officer)</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Shin Young Park</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pPr>
            <w:r>
              <w:rPr/>
              <w:t>March 8, 2024</w:t>
            </w:r>
          </w:p>
        </w:tc>
      </w:tr>
      <w:tr>
        <w:trPr/>
        <w:tc>
          <w:tcPr>
            <w:tcW w:w="8255" w:type="dxa"/>
            <w:tcBorders/>
            <w:vAlign w:val="center"/>
          </w:tcPr>
          <w:p>
            <w:pPr>
              <w:pStyle w:val="TableContents"/>
              <w:bidi w:val="0"/>
              <w:spacing w:before="0" w:after="0"/>
              <w:jc w:val="left"/>
              <w:rPr/>
            </w:pPr>
            <w:r>
              <w:rPr/>
              <w:t xml:space="preserve">Shin Young Park, </w:t>
            </w:r>
          </w:p>
          <w:p>
            <w:pPr>
              <w:pStyle w:val="TableContents"/>
              <w:bidi w:val="0"/>
              <w:spacing w:before="0" w:after="0"/>
              <w:jc w:val="left"/>
              <w:rPr>
                <w:i/>
                <w:caps w:val="false"/>
                <w:smallCaps w:val="false"/>
                <w:spacing w:val="0"/>
              </w:rPr>
            </w:pPr>
            <w:r>
              <w:rPr>
                <w:i/>
                <w:caps w:val="false"/>
                <w:smallCaps w:val="false"/>
                <w:spacing w:val="0"/>
              </w:rPr>
              <w:t>Chief Financial Officer (Principal Financial Officer and Principal Accounting Officer)</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Ilbok Lee</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pPr>
            <w:r>
              <w:rPr/>
              <w:t>March 8, 2024</w:t>
            </w:r>
          </w:p>
        </w:tc>
      </w:tr>
      <w:tr>
        <w:trPr/>
        <w:tc>
          <w:tcPr>
            <w:tcW w:w="8255" w:type="dxa"/>
            <w:tcBorders/>
            <w:vAlign w:val="center"/>
          </w:tcPr>
          <w:p>
            <w:pPr>
              <w:pStyle w:val="TableContents"/>
              <w:bidi w:val="0"/>
              <w:spacing w:before="0" w:after="0"/>
              <w:jc w:val="left"/>
              <w:rPr/>
            </w:pPr>
            <w:r>
              <w:rPr/>
              <w:t>Ilbok Lee,</w:t>
            </w:r>
          </w:p>
          <w:p>
            <w:pPr>
              <w:pStyle w:val="TableContents"/>
              <w:bidi w:val="0"/>
              <w:spacing w:before="0" w:after="0"/>
              <w:jc w:val="left"/>
              <w:rPr>
                <w:i/>
                <w:caps w:val="false"/>
                <w:smallCaps w:val="false"/>
                <w:spacing w:val="0"/>
              </w:rPr>
            </w:pPr>
            <w:r>
              <w:rPr>
                <w:i/>
                <w:caps w:val="false"/>
                <w:smallCaps w:val="false"/>
                <w:spacing w:val="0"/>
              </w:rPr>
              <w:t>Director</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Camillo Martino</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pPr>
            <w:r>
              <w:rPr/>
              <w:t>March 8, 2024</w:t>
            </w:r>
          </w:p>
        </w:tc>
      </w:tr>
      <w:tr>
        <w:trPr/>
        <w:tc>
          <w:tcPr>
            <w:tcW w:w="8255" w:type="dxa"/>
            <w:tcBorders/>
            <w:vAlign w:val="center"/>
          </w:tcPr>
          <w:p>
            <w:pPr>
              <w:pStyle w:val="TableContents"/>
              <w:bidi w:val="0"/>
              <w:spacing w:before="0" w:after="0"/>
              <w:jc w:val="left"/>
              <w:rPr/>
            </w:pPr>
            <w:r>
              <w:rPr/>
              <w:t xml:space="preserve">Camillo Martino, </w:t>
            </w:r>
          </w:p>
          <w:p>
            <w:pPr>
              <w:pStyle w:val="TableContents"/>
              <w:bidi w:val="0"/>
              <w:spacing w:before="0" w:after="0"/>
              <w:jc w:val="left"/>
              <w:rPr>
                <w:i/>
                <w:caps w:val="false"/>
                <w:smallCaps w:val="false"/>
                <w:spacing w:val="0"/>
              </w:rPr>
            </w:pPr>
            <w:r>
              <w:rPr>
                <w:i/>
                <w:caps w:val="false"/>
                <w:smallCaps w:val="false"/>
                <w:spacing w:val="0"/>
              </w:rPr>
              <w:t>Non-Executive</w:t>
            </w:r>
          </w:p>
          <w:p>
            <w:pPr>
              <w:pStyle w:val="TableContents"/>
              <w:bidi w:val="0"/>
              <w:spacing w:before="0" w:after="0"/>
              <w:jc w:val="left"/>
              <w:rPr>
                <w:i/>
                <w:caps w:val="false"/>
                <w:smallCaps w:val="false"/>
                <w:spacing w:val="0"/>
              </w:rPr>
            </w:pPr>
            <w:r>
              <w:rPr>
                <w:i/>
                <w:caps w:val="false"/>
                <w:smallCaps w:val="false"/>
                <w:spacing w:val="0"/>
              </w:rPr>
              <w:t>Chairman of the Board of Directors</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Gilbert Nathan</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pPr>
            <w:r>
              <w:rPr/>
              <w:t>March 8, 2024</w:t>
            </w:r>
          </w:p>
        </w:tc>
      </w:tr>
      <w:tr>
        <w:trPr/>
        <w:tc>
          <w:tcPr>
            <w:tcW w:w="8255" w:type="dxa"/>
            <w:tcBorders/>
            <w:vAlign w:val="center"/>
          </w:tcPr>
          <w:p>
            <w:pPr>
              <w:pStyle w:val="TableContents"/>
              <w:bidi w:val="0"/>
              <w:spacing w:before="0" w:after="0"/>
              <w:jc w:val="left"/>
              <w:rPr/>
            </w:pPr>
            <w:r>
              <w:rPr/>
              <w:t xml:space="preserve">Gilbert Nathan, </w:t>
            </w:r>
          </w:p>
          <w:p>
            <w:pPr>
              <w:pStyle w:val="TableContents"/>
              <w:bidi w:val="0"/>
              <w:spacing w:before="0" w:after="0"/>
              <w:jc w:val="left"/>
              <w:rPr>
                <w:i/>
                <w:caps w:val="false"/>
                <w:smallCaps w:val="false"/>
                <w:spacing w:val="0"/>
              </w:rPr>
            </w:pPr>
            <w:r>
              <w:rPr>
                <w:i/>
                <w:caps w:val="false"/>
                <w:smallCaps w:val="false"/>
                <w:spacing w:val="0"/>
              </w:rPr>
              <w:t>Director</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8255"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Liz Chung</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pPr>
            <w:r>
              <w:rPr/>
              <w:t>March 8, 2024</w:t>
            </w:r>
          </w:p>
        </w:tc>
      </w:tr>
      <w:tr>
        <w:trPr/>
        <w:tc>
          <w:tcPr>
            <w:tcW w:w="8255" w:type="dxa"/>
            <w:tcBorders/>
            <w:vAlign w:val="center"/>
          </w:tcPr>
          <w:p>
            <w:pPr>
              <w:pStyle w:val="TableContents"/>
              <w:bidi w:val="0"/>
              <w:spacing w:before="0" w:after="0"/>
              <w:jc w:val="left"/>
              <w:rPr/>
            </w:pPr>
            <w:r>
              <w:rPr/>
              <w:t xml:space="preserve">Liz Chung, </w:t>
            </w:r>
          </w:p>
          <w:p>
            <w:pPr>
              <w:pStyle w:val="TableContents"/>
              <w:bidi w:val="0"/>
              <w:spacing w:before="0" w:after="0"/>
              <w:jc w:val="left"/>
              <w:rPr>
                <w:i/>
                <w:caps w:val="false"/>
                <w:smallCaps w:val="false"/>
                <w:spacing w:val="0"/>
              </w:rPr>
            </w:pPr>
            <w:r>
              <w:rPr>
                <w:i/>
                <w:caps w:val="false"/>
                <w:smallCaps w:val="false"/>
                <w:spacing w:val="0"/>
              </w:rPr>
              <w:t>Director</w:t>
            </w:r>
          </w:p>
        </w:tc>
        <w:tc>
          <w:tcPr>
            <w:tcW w:w="12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spacing w:val="0"/>
          <w:shd w:fill="FFFFFF" w:val="clear"/>
        </w:rPr>
      </w:pPr>
      <w:r>
        <w:rPr>
          <w:spacing w:val="0"/>
          <w:shd w:fill="FFFFFF" w:val="clear"/>
        </w:rPr>
        <w:t> </w:t>
      </w:r>
    </w:p>
    <w:p>
      <w:pPr>
        <w:pStyle w:val="TextBody"/>
        <w:bidi w:val="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111 </w:t>
      </w:r>
    </w:p>
    <w:p>
      <w:pPr>
        <w:pStyle w:val="TextBody"/>
        <w:bidi w:val="0"/>
        <w:spacing w:before="0" w:after="0"/>
        <w:jc w:val="right"/>
        <w:rPr>
          <w:rFonts w:ascii="Times New Roman" w:hAnsi="Times New Roman"/>
          <w:b/>
          <w:sz w:val="20"/>
        </w:rPr>
      </w:pPr>
      <w:bookmarkStart w:id="2" w:name="d183811dex41.htm"/>
      <w:bookmarkStart w:id="3" w:name="ksd183811dex41"/>
      <w:bookmarkEnd w:id="2"/>
      <w:bookmarkEnd w:id="3"/>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DESCRIPTION OF REGISTRANTS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brief description of the capital stock of Magnachip Semiconductor Corporation (us, our, we, or the Company) is a summary. This summary is not complete and is subject to and qualified in its entirety by reference to the complete text of our Certificate of Incorporation (Certificate of Incorporation), and our Amended and Restated Bylaws (Bylaws) previously filed with the U.S. Securities and Exchange Commission and incorporated by reference as an exhibit to this Annual Report on Form 10-K of which this Exhibit 4.1 forms a part. We encourage you to read the Certificate of Incorporation and Bylaws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the Company may issue 155,000,000 shares of capital stock, of which 150,000,000 shares are designated as common stock, par value $0.01 per share, and 5,000,000 shares are designated as of preferred stock, par value $0.01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are entitled to share ratably in all of our assets remaining after we pay our liabilities and any liquidation preferences granted to the holders of outstanding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stock have no preemptive or other subscription or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There are no redemption or sinking fund provisions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authorizes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Effects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the board of directors before the date the interested stockholder attained that status;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 meeting of stockholders, and not by written consent, by at least two-thirds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DGCL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DGCL Section 203 defines an interested stockholder as any entity or person beneficially owning 15% or more of the outstanding voting stock of the corporation and any entity or person affiliated with or controlling or controlled by any such entity or person.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Provisions of the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in the Certificate of Incorporation and Bylaws may have the effect of delaying or preventing a change of control or changes in our management. Among other things, the Certificate of Incorporation and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without stockholder approval, preferred stock with such terms as our board of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action by written consent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advance notice requirements for stockholder proposals and director nominations.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MX.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0" w:after="0"/>
        <w:jc w:val="right"/>
        <w:rPr>
          <w:rFonts w:ascii="Times New Roman" w:hAnsi="Times New Roman"/>
          <w:b/>
          <w:sz w:val="20"/>
        </w:rPr>
      </w:pPr>
      <w:bookmarkStart w:id="4" w:name="d183811dex211.htm"/>
      <w:bookmarkStart w:id="5" w:name="ksd183811dex211"/>
      <w:bookmarkEnd w:id="4"/>
      <w:bookmarkEnd w:id="5"/>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SUBSIDIARIES OF MAGNACHIP SEMICONDUCTOR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2"/>
        <w:gridCol w:w="4899"/>
      </w:tblGrid>
      <w:tr>
        <w:trPr/>
        <w:tc>
          <w:tcPr>
            <w:tcW w:w="51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4" w:type="dxa"/>
            <w:tcBorders/>
            <w:vAlign w:val="bottom"/>
          </w:tcPr>
          <w:p>
            <w:pPr>
              <w:pStyle w:val="TableContents"/>
              <w:bidi w:val="0"/>
              <w:spacing w:before="0" w:after="283"/>
              <w:jc w:val="center"/>
              <w:rPr/>
            </w:pPr>
            <w:r>
              <w:rPr/>
              <w:t>Subsidiary</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Jurisdiction of Incorporation</w:t>
            </w:r>
          </w:p>
        </w:tc>
      </w:tr>
      <w:tr>
        <w:trPr/>
        <w:tc>
          <w:tcPr>
            <w:tcW w:w="5184" w:type="dxa"/>
            <w:tcBorders/>
            <w:vAlign w:val="bottom"/>
          </w:tcPr>
          <w:p>
            <w:pPr>
              <w:pStyle w:val="TableContents"/>
              <w:pBdr>
                <w:top w:val="single" w:sz="2"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pBdr>
                <w:top w:val="single" w:sz="2" w:space="1" w:color="000000"/>
              </w:pBdr>
              <w:bidi w:val="0"/>
              <w:spacing w:before="0" w:after="0"/>
              <w:jc w:val="left"/>
              <w:rPr/>
            </w:pPr>
            <w:r>
              <w:rPr/>
              <w:t> </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S.A.</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Luxembourg</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B.V.</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The Netherlands</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Ltd.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Korea</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Mixed-Signal, Ltd.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Korea</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SA Holdings LLC</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Delaware</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Limited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Taiwan</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Limited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Hong Kong SAR</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Technology Holding Company, Limited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Hong Kong SAR</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Inc.</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Japan</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Holding Company Limited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British Virgin Islands</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(Shanghai) Company Limited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China</w:t>
            </w:r>
          </w:p>
        </w:tc>
      </w:tr>
      <w:tr>
        <w:trPr/>
        <w:tc>
          <w:tcPr>
            <w:tcW w:w="5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Magnachip Technology Company, Ltd.</w:t>
            </w:r>
          </w:p>
        </w:tc>
        <w:tc>
          <w:tcPr>
            <w:tcW w:w="122" w:type="dxa"/>
            <w:tcBorders/>
            <w:vAlign w:val="bottom"/>
          </w:tcPr>
          <w:p>
            <w:pPr>
              <w:pStyle w:val="TableContents"/>
              <w:bidi w:val="0"/>
              <w:spacing w:before="0" w:after="283"/>
              <w:jc w:val="left"/>
              <w:rPr/>
            </w:pPr>
            <w:r>
              <w:rPr/>
              <w:t>  </w:t>
            </w:r>
          </w:p>
        </w:tc>
        <w:tc>
          <w:tcPr>
            <w:tcW w:w="4899" w:type="dxa"/>
            <w:tcBorders/>
            <w:vAlign w:val="bottom"/>
          </w:tcPr>
          <w:p>
            <w:pPr>
              <w:pStyle w:val="TableContents"/>
              <w:bidi w:val="0"/>
              <w:spacing w:before="0" w:after="283"/>
              <w:jc w:val="center"/>
              <w:rPr/>
            </w:pPr>
            <w:r>
              <w:rPr/>
              <w:t>China</w:t>
            </w:r>
          </w:p>
        </w:tc>
      </w:tr>
    </w:tbl>
    <w:p>
      <w:pPr>
        <w:pStyle w:val="TextBody"/>
        <w:bidi w:val="0"/>
        <w:spacing w:before="0" w:after="0"/>
        <w:jc w:val="right"/>
        <w:rPr>
          <w:rFonts w:ascii="Times New Roman" w:hAnsi="Times New Roman"/>
          <w:b/>
          <w:sz w:val="20"/>
        </w:rPr>
      </w:pPr>
      <w:bookmarkStart w:id="6" w:name="d183811dex231.htm"/>
      <w:bookmarkStart w:id="7" w:name="ksd183811dex231"/>
      <w:bookmarkEnd w:id="6"/>
      <w:bookmarkEnd w:id="7"/>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Registration Statements on Form S-8 (Nos. 333-172864, 333-180696, 333-186789, 333-202120, 333-209756, 333-216204, 333-223155, 333-229811, 333-236565, 333-239872 and 333-272902) of Magnachip Semiconductor Corporation of our report dated March 8, 2024 relating to the financial statements and the effectiveness of internal control over financial reporting, which appears in this Form 10-K.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Samil PricewaterhouseCoopers</w:t>
            </w:r>
          </w:p>
        </w:tc>
      </w:tr>
      <w:tr>
        <w:trPr/>
        <w:tc>
          <w:tcPr>
            <w:tcW w:w="4082" w:type="dxa"/>
            <w:tcBorders/>
          </w:tcPr>
          <w:p>
            <w:pPr>
              <w:pStyle w:val="TableContents"/>
              <w:bidi w:val="0"/>
              <w:spacing w:before="0" w:after="283"/>
              <w:jc w:val="left"/>
              <w:rPr/>
            </w:pPr>
            <w:r>
              <w:rPr/>
              <w:t>Seoul, Korea</w:t>
            </w:r>
          </w:p>
        </w:tc>
      </w:tr>
      <w:tr>
        <w:trPr/>
        <w:tc>
          <w:tcPr>
            <w:tcW w:w="4082" w:type="dxa"/>
            <w:tcBorders/>
          </w:tcPr>
          <w:p>
            <w:pPr>
              <w:pStyle w:val="TableContents"/>
              <w:bidi w:val="0"/>
              <w:spacing w:before="0" w:after="283"/>
              <w:jc w:val="left"/>
              <w:rPr/>
            </w:pPr>
            <w:r>
              <w:rPr/>
              <w:t>March 8, 2024</w:t>
            </w:r>
          </w:p>
        </w:tc>
      </w:tr>
    </w:tbl>
    <w:p>
      <w:pPr>
        <w:pStyle w:val="TextBody"/>
        <w:bidi w:val="0"/>
        <w:spacing w:before="0" w:after="0"/>
        <w:jc w:val="right"/>
        <w:rPr>
          <w:rFonts w:ascii="Times New Roman" w:hAnsi="Times New Roman"/>
          <w:b/>
          <w:sz w:val="20"/>
        </w:rPr>
      </w:pPr>
      <w:bookmarkStart w:id="8" w:name="d183811dex311.htm"/>
      <w:bookmarkStart w:id="9" w:name="ksd183811dex311"/>
      <w:bookmarkEnd w:id="8"/>
      <w:bookmarkEnd w:id="9"/>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Young-Joon Kim,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 of Magnachip Semiconductor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March 8,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082" w:type="dxa"/>
            <w:tcBorders/>
          </w:tcPr>
          <w:p>
            <w:pPr>
              <w:pStyle w:val="TableContents"/>
              <w:bidi w:val="0"/>
              <w:spacing w:before="0" w:after="283"/>
              <w:jc w:val="left"/>
              <w:rPr/>
            </w:pPr>
            <w:r>
              <w:rPr/>
              <w:t>Young-Joon Kim</w:t>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0" w:after="0"/>
        <w:jc w:val="right"/>
        <w:rPr>
          <w:rFonts w:ascii="Times New Roman" w:hAnsi="Times New Roman"/>
          <w:b/>
          <w:sz w:val="20"/>
        </w:rPr>
      </w:pPr>
      <w:bookmarkStart w:id="10" w:name="d183811dex312.htm"/>
      <w:bookmarkStart w:id="11" w:name="ksd183811dex312"/>
      <w:bookmarkEnd w:id="10"/>
      <w:bookmarkEnd w:id="11"/>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 of Magnachip Semiconductor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March 8,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082" w:type="dxa"/>
            <w:tcBorders/>
          </w:tcPr>
          <w:p>
            <w:pPr>
              <w:pStyle w:val="TableContents"/>
              <w:bidi w:val="0"/>
              <w:spacing w:before="0" w:after="283"/>
              <w:jc w:val="left"/>
              <w:rPr/>
            </w:pPr>
            <w:r>
              <w:rPr/>
              <w:t>Shin Young Park</w:t>
            </w:r>
          </w:p>
        </w:tc>
      </w:tr>
      <w:tr>
        <w:trPr/>
        <w:tc>
          <w:tcPr>
            <w:tcW w:w="4082" w:type="dxa"/>
            <w:tcBorders/>
          </w:tcPr>
          <w:p>
            <w:pPr>
              <w:pStyle w:val="TableContents"/>
              <w:bidi w:val="0"/>
              <w:spacing w:before="0" w:after="283"/>
              <w:jc w:val="left"/>
              <w:rPr/>
            </w:pPr>
            <w:r>
              <w:rPr/>
              <w:t>Chief Financial Officer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(Principal Financial Officer and</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r>
    </w:tbl>
    <w:p>
      <w:pPr>
        <w:pStyle w:val="TextBody"/>
        <w:bidi w:val="0"/>
        <w:spacing w:before="0" w:after="0"/>
        <w:jc w:val="right"/>
        <w:rPr>
          <w:rFonts w:ascii="Times New Roman" w:hAnsi="Times New Roman"/>
          <w:b/>
          <w:sz w:val="20"/>
        </w:rPr>
      </w:pPr>
      <w:bookmarkStart w:id="12" w:name="d183811dex321.htm"/>
      <w:bookmarkStart w:id="13" w:name="ksd183811dex321"/>
      <w:bookmarkEnd w:id="12"/>
      <w:bookmarkEnd w:id="13"/>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Pursuant to 18 U.S.C. § 1350, as adopted pursuant to Section 906 of the Sarbanes-Oxley Act of 2002, the undersigned officer of Magnachip Semiconductor Corporation (the Company)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 xml:space="preserve">(i) the Annual Report on Form 10-K of the Company for the year ended December 31, 2023 as filed with the Securities and Exchange Commission on the date hereof (the Report) fully complies with the requirements of Section 13(a) or Section 15(d), as applicable, of the Securities Exchange Act of 1934,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240" w:after="0"/>
        <w:jc w:val="left"/>
        <w:rPr>
          <w:rFonts w:ascii="Times New Roman" w:hAnsi="Times New Roman"/>
          <w:sz w:val="20"/>
        </w:rPr>
      </w:pPr>
      <w:r>
        <w:rPr>
          <w:rFonts w:ascii="Times New Roman" w:hAnsi="Times New Roman"/>
          <w:sz w:val="20"/>
        </w:rPr>
        <w:t xml:space="preserve">Dated: March 8,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082" w:type="dxa"/>
            <w:tcBorders/>
          </w:tcPr>
          <w:p>
            <w:pPr>
              <w:pStyle w:val="TableContents"/>
              <w:bidi w:val="0"/>
              <w:spacing w:before="0" w:after="283"/>
              <w:jc w:val="left"/>
              <w:rPr/>
            </w:pPr>
            <w:r>
              <w:rPr/>
              <w:t>Young-Joon Kim</w:t>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right"/>
        <w:rPr>
          <w:rFonts w:ascii="Times New Roman" w:hAnsi="Times New Roman"/>
          <w:b/>
          <w:sz w:val="20"/>
        </w:rPr>
      </w:pPr>
      <w:bookmarkStart w:id="14" w:name="d183811dex322.htm"/>
      <w:bookmarkStart w:id="15" w:name="ksd183811dex322"/>
      <w:bookmarkEnd w:id="14"/>
      <w:bookmarkEnd w:id="15"/>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Pursuant to 18 U.S.C. § 1350, as adopted pursuant to Section 906 of the Sarbanes-Oxley Act of 2002, the undersigned officer of Magnachip Semiconductor Corporation (the Company)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 xml:space="preserve">(i) the Annual Report on Form 10-K of the Company for the year ended December 31, 2023 as filed with the Securities and Exchange Commission on the date hereof (the Report) fully complies with the requirements of Section 13(a) or Section 15(d), as applicable, of the Securities Exchange Act of 1934,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240" w:after="0"/>
        <w:jc w:val="left"/>
        <w:rPr>
          <w:rFonts w:ascii="Times New Roman" w:hAnsi="Times New Roman"/>
          <w:sz w:val="20"/>
        </w:rPr>
      </w:pPr>
      <w:r>
        <w:rPr>
          <w:rFonts w:ascii="Times New Roman" w:hAnsi="Times New Roman"/>
          <w:sz w:val="20"/>
        </w:rPr>
        <w:t xml:space="preserve">Dated: March 8,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082" w:type="dxa"/>
            <w:tcBorders/>
          </w:tcPr>
          <w:p>
            <w:pPr>
              <w:pStyle w:val="TableContents"/>
              <w:bidi w:val="0"/>
              <w:spacing w:before="0" w:after="283"/>
              <w:jc w:val="left"/>
              <w:rPr/>
            </w:pPr>
            <w:r>
              <w:rPr/>
              <w:t>Shin Young Park</w:t>
            </w:r>
          </w:p>
        </w:tc>
      </w:tr>
      <w:tr>
        <w:trPr/>
        <w:tc>
          <w:tcPr>
            <w:tcW w:w="4082" w:type="dxa"/>
            <w:tcBorders/>
          </w:tcPr>
          <w:p>
            <w:pPr>
              <w:pStyle w:val="TableContents"/>
              <w:bidi w:val="0"/>
              <w:spacing w:before="0" w:after="283"/>
              <w:jc w:val="left"/>
              <w:rPr/>
            </w:pPr>
            <w:r>
              <w:rPr/>
              <w:t>Chief Financial Officer</w:t>
            </w:r>
          </w:p>
        </w:tc>
      </w:tr>
      <w:tr>
        <w:trPr/>
        <w:tc>
          <w:tcPr>
            <w:tcW w:w="4082" w:type="dxa"/>
            <w:tcBorders/>
          </w:tcPr>
          <w:p>
            <w:pPr>
              <w:pStyle w:val="TableContents"/>
              <w:bidi w:val="0"/>
              <w:spacing w:before="0" w:after="283"/>
              <w:jc w:val="left"/>
              <w:rPr/>
            </w:pPr>
            <w:r>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right"/>
        <w:rPr>
          <w:rFonts w:ascii="Times New Roman" w:hAnsi="Times New Roman"/>
          <w:b/>
          <w:sz w:val="20"/>
        </w:rPr>
      </w:pPr>
      <w:bookmarkStart w:id="16" w:name="d183811dex971.htm"/>
      <w:bookmarkStart w:id="17" w:name="ksd183811dex971"/>
      <w:bookmarkEnd w:id="16"/>
      <w:bookmarkEnd w:id="17"/>
      <w:r>
        <w:rPr>
          <w:rFonts w:ascii="Times New Roman" w:hAnsi="Times New Roman"/>
          <w:b/>
          <w:sz w:val="20"/>
        </w:rPr>
        <w:t xml:space="preserve">Exhibit 97.1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COMPENSATION RECOVERY POLICY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as of November 15, 2023 </w:t>
      </w:r>
    </w:p>
    <w:p>
      <w:pPr>
        <w:pStyle w:val="TextBody"/>
        <w:bidi w:val="0"/>
        <w:spacing w:before="240" w:after="0"/>
        <w:jc w:val="left"/>
        <w:rPr>
          <w:rFonts w:ascii="Times New Roman" w:hAnsi="Times New Roman"/>
          <w:sz w:val="20"/>
        </w:rPr>
      </w:pPr>
      <w:r>
        <w:rPr>
          <w:rFonts w:ascii="Times New Roman" w:hAnsi="Times New Roman"/>
          <w:sz w:val="20"/>
        </w:rPr>
        <w:t>Magnachip Semiconductor Corporation, a Delaware corporation (the </w:t>
      </w:r>
      <w:r>
        <w:rPr>
          <w:rFonts w:ascii="Times New Roman" w:hAnsi="Times New Roman"/>
          <w:sz w:val="20"/>
          <w:u w:val="single"/>
        </w:rPr>
        <w:t>Company</w:t>
      </w:r>
      <w:r>
        <w:rPr>
          <w:rFonts w:ascii="Times New Roman" w:hAnsi="Times New Roman"/>
          <w:sz w:val="20"/>
        </w:rPr>
        <w:t>), has adopted this Compensation Recovery Policy (this </w:t>
      </w:r>
      <w:r>
        <w:rPr>
          <w:rFonts w:ascii="Times New Roman" w:hAnsi="Times New Roman"/>
          <w:sz w:val="20"/>
          <w:u w:val="single"/>
        </w:rPr>
        <w:t>Policy</w:t>
      </w:r>
      <w:r>
        <w:rPr>
          <w:rFonts w:ascii="Times New Roman" w:hAnsi="Times New Roman"/>
          <w:sz w:val="20"/>
        </w:rPr>
        <w:t>) as described below. This Policy is effective as of October 2, 2023 (the </w:t>
      </w:r>
      <w:r>
        <w:rPr>
          <w:rFonts w:ascii="Times New Roman" w:hAnsi="Times New Roman"/>
          <w:sz w:val="20"/>
          <w:u w:val="single"/>
        </w:rPr>
        <w:t>Effective Date</w:t>
      </w:r>
      <w:r>
        <w:rPr>
          <w:rFonts w:ascii="Times New Roman" w:hAnsi="Times New Roman"/>
          <w:sz w:val="20"/>
        </w:rPr>
        <w:t>) and replaces, effective as of that date, the Companys Clawback Policy adopted as of October 23, 2017 (the </w:t>
      </w:r>
      <w:r>
        <w:rPr>
          <w:rFonts w:ascii="Times New Roman" w:hAnsi="Times New Roman"/>
          <w:sz w:val="20"/>
          <w:u w:val="single"/>
        </w:rPr>
        <w:t>Prior Policy</w:t>
      </w:r>
      <w:r>
        <w:rPr>
          <w:rFonts w:ascii="Times New Roman" w:hAnsi="Times New Roman"/>
          <w:sz w:val="20"/>
        </w:rPr>
        <w:t xml:space="preserve">). The Prior Policy remains in effect with respect to the compensation received prior to the Effective Date. Capitalized terms not otherwise defined when first used herein shall have the respective meanings ascribed to them in </w:t>
      </w:r>
      <w:r>
        <w:rPr>
          <w:rFonts w:ascii="Times New Roman" w:hAnsi="Times New Roman"/>
          <w:sz w:val="20"/>
          <w:u w:val="single"/>
        </w:rPr>
        <w:t>Section 3</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1. Overview </w:t>
      </w:r>
    </w:p>
    <w:p>
      <w:pPr>
        <w:pStyle w:val="TextBody"/>
        <w:bidi w:val="0"/>
        <w:spacing w:before="120" w:after="0"/>
        <w:jc w:val="left"/>
        <w:rPr>
          <w:rFonts w:ascii="Times New Roman" w:hAnsi="Times New Roman"/>
          <w:sz w:val="20"/>
        </w:rPr>
      </w:pPr>
      <w:r>
        <w:rPr>
          <w:rFonts w:ascii="Times New Roman" w:hAnsi="Times New Roman"/>
          <w:sz w:val="20"/>
        </w:rPr>
        <w:t>The Policy sets forth the circumstances and procedures under which the Company (or its subsidiary) shall recover Erroneously Awarded Compensation from Covered Persons in accordance with the rules issued by the United States Securities and Exchange Commission (the </w:t>
      </w:r>
      <w:r>
        <w:rPr>
          <w:rFonts w:ascii="Times New Roman" w:hAnsi="Times New Roman"/>
          <w:sz w:val="20"/>
          <w:u w:val="single"/>
        </w:rPr>
        <w:t>SEC</w:t>
      </w:r>
      <w:r>
        <w:rPr>
          <w:rFonts w:ascii="Times New Roman" w:hAnsi="Times New Roman"/>
          <w:sz w:val="20"/>
        </w:rPr>
        <w:t>) under the Securities Exchange Act of 1934, as amended (the </w:t>
      </w:r>
      <w:r>
        <w:rPr>
          <w:rFonts w:ascii="Times New Roman" w:hAnsi="Times New Roman"/>
          <w:sz w:val="20"/>
          <w:u w:val="single"/>
        </w:rPr>
        <w:t>Exchange Act</w:t>
      </w:r>
      <w:r>
        <w:rPr>
          <w:rFonts w:ascii="Times New Roman" w:hAnsi="Times New Roman"/>
          <w:sz w:val="20"/>
        </w:rPr>
        <w:t xml:space="preserve">), and the NYSE. This Policy also sets forth the circumstances and procedures under which the Company (or its subsidiary) may recover Incentive-Based Compensation and other equity-based compensation from Covered Persons and Participating Employees as set forth in </w:t>
      </w:r>
      <w:r>
        <w:rPr>
          <w:rFonts w:ascii="Times New Roman" w:hAnsi="Times New Roman"/>
          <w:sz w:val="20"/>
          <w:u w:val="single"/>
        </w:rPr>
        <w:t>Sections 5</w:t>
      </w:r>
      <w:r>
        <w:rPr>
          <w:rFonts w:ascii="Times New Roman" w:hAnsi="Times New Roman"/>
          <w:sz w:val="20"/>
        </w:rPr>
        <w:t xml:space="preserve"> and</w:t>
      </w:r>
      <w:r>
        <w:rPr>
          <w:rFonts w:ascii="Times New Roman" w:hAnsi="Times New Roman"/>
          <w:sz w:val="20"/>
          <w:u w:val="single"/>
        </w:rPr>
        <w:t> 6</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2. Compensation Recovery Requirement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Company is required to prepare a Financial Restatement, the Company (or its subsidiary) shall recover reasonably promptly all Erroneously Awarded Compensation with respect to such Financial Restatement.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3. Definitions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Applicable Recovery Period</w:t>
      </w:r>
      <w:r>
        <w:rPr>
          <w:rFonts w:ascii="Times New Roman" w:hAnsi="Times New Roman"/>
          <w:sz w:val="20"/>
        </w:rPr>
        <w:t xml:space="preserve"> means the three (3) completed fiscal years immediately preceding the Restatement Date for a Financial Restatement. In addition, in the event the Company has changed its fiscal year, (i) any transition period of less than nine (9) months occurring within or immediately following such three (3) completed fiscal years shall also be part of such Applicable Recovery Period, and (ii) any transition period of nine (9) to 12 months will be deemed to be a completed fiscal year.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Applicable Rules</w:t>
      </w:r>
      <w:r>
        <w:rPr>
          <w:rFonts w:ascii="Times New Roman" w:hAnsi="Times New Roman"/>
          <w:sz w:val="20"/>
        </w:rPr>
        <w:t xml:space="preserve"> means any rules or regulations adopted by the NYSE pursuant to Rule 10D-1 under the Exchange Act and any applicable rules or regulations adopted by the SEC pursuant to Section 10D of the Exchange Act.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Committee</w:t>
      </w:r>
      <w:r>
        <w:rPr>
          <w:rFonts w:ascii="Times New Roman" w:hAnsi="Times New Roman"/>
          <w:sz w:val="20"/>
        </w:rPr>
        <w:t xml:space="preserve"> means the Compensation Committee of the Board or, in the absence of such committee, a majority of independent directors serving on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Covered Person</w:t>
      </w:r>
      <w:r>
        <w:rPr>
          <w:rFonts w:ascii="Times New Roman" w:hAnsi="Times New Roman"/>
          <w:sz w:val="20"/>
        </w:rPr>
        <w:t xml:space="preserve"> means any Executive Officer. A persons status as a Covered Person with respect to Erroneously Awarded Compensation shall be determined as of the time of receipt of such Erroneously Awarded Compensation regardless of the persons current role or status with the Company. For example,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Erroneously Awarded Compensation</w:t>
      </w:r>
      <w:r>
        <w:rPr>
          <w:rFonts w:ascii="Times New Roman" w:hAnsi="Times New Roman"/>
          <w:sz w:val="20"/>
        </w:rPr>
        <w:t xml:space="preserve">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based, and the Company shall maintain documentation of the determination of such reasonable estimate and provide such documentation to the NYSE in accordance with the Applicable Rules. Incentive-Based Compensation is deemed received, earned or vested when the Financial Reporting Measure is attained, not when the actual payment, grant or vesting occurs.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Executive Officer</w:t>
      </w:r>
      <w:r>
        <w:rPr>
          <w:rFonts w:ascii="Times New Roman" w:hAnsi="Times New Roman"/>
          <w:sz w:val="20"/>
        </w:rPr>
        <w:t xml:space="preserve"> means any person who served the Company in any of the following roles at any time during the performance period applicable to Incentive-Based Compensation such person received during service in such role: president, principal executive officer, principal financial officer, principal accounting officer (or, if there is no such accounting officer, the controller), any vice president in charge of a principal business unit, division or function (such as sales, administration or finance), any other officer who performs a policy-making function, or any other person who performs similar policy-making functions for the Company. Officers of parents or subsidiaries of the Company may be deemed Executive Officers if they perform such policy-making functions for the Company.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Financial Reporting Measures</w:t>
      </w:r>
      <w:r>
        <w:rPr>
          <w:rFonts w:ascii="Times New Roman" w:hAnsi="Times New Roman"/>
          <w:sz w:val="20"/>
        </w:rPr>
        <w:t xml:space="preserve">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Financial Restatement</w:t>
      </w:r>
      <w:r>
        <w:rPr>
          <w:rFonts w:ascii="Times New Roman" w:hAnsi="Times New Roman"/>
          <w:sz w:val="20"/>
        </w:rPr>
        <w:t xml:space="preserve">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Incentive-Based Compensation</w:t>
      </w:r>
      <w:r>
        <w:rPr>
          <w:rFonts w:ascii="Times New Roman" w:hAnsi="Times New Roman"/>
          <w:sz w:val="20"/>
        </w:rPr>
        <w:t xml:space="preserve"> means any compensation provided, directly or indirectly, by the Company (or its subsidiary) that is granted, earned or vested based, in whole or in part, upon the attainment of a Financial Reporting Measure.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Participating Employee</w:t>
      </w:r>
      <w:r>
        <w:rPr>
          <w:rFonts w:ascii="Times New Roman" w:hAnsi="Times New Roman"/>
          <w:sz w:val="20"/>
        </w:rPr>
        <w:t xml:space="preserve"> means any current or former employee of the Company (or its subsidiary) who is not a Covered Person and who received Incentive-Based Compensation from the Company (or its subsidiary) during an Applicable Recovery Period.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Restatement Date</w:t>
      </w:r>
      <w:r>
        <w:rPr>
          <w:rFonts w:ascii="Times New Roman" w:hAnsi="Times New Roman"/>
          <w:sz w:val="20"/>
        </w:rPr>
        <w:t xml:space="preserve"> means, with respect to a Financial Restatement, the earlier to occur of: (i) the date on which the Board or the Audit Committee of the Board concludes, or reasonably should have concluded, that the Company is required to prepare the Financial Restatement or (ii) the date a court, regulator or other legally authorized body directs the Company to prepare the Financial Restatement.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4. Exception to Compensation Recovery Requirement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and its subsidiaries have made a reasonable attempt to recover such Erroneously Awarded Compensation; or (ii) recovery would likely cause an otherwise tax-qualified retirement plan to fail to be so qualified under applicable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5. Discretionary Compensation Recovery Circumstances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(and without limiting) the provisions of </w:t>
      </w:r>
      <w:r>
        <w:rPr>
          <w:rFonts w:ascii="Times New Roman" w:hAnsi="Times New Roman"/>
          <w:sz w:val="20"/>
          <w:u w:val="single"/>
        </w:rPr>
        <w:t>Section 2</w:t>
      </w:r>
      <w:r>
        <w:rPr>
          <w:rFonts w:ascii="Times New Roman" w:hAnsi="Times New Roman"/>
          <w:sz w:val="20"/>
        </w:rPr>
        <w:t xml:space="preserve"> above, in the event that the Company is required to prepare a Financial Restatement after the Effective Date, the Company (or its subsidiary) may recover from any Participating Employee, the amount that exceeds what would have been paid to the Participating Employee under the Financial Restatement;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5</w:t>
      </w:r>
      <w:r>
        <w:rPr>
          <w:rFonts w:ascii="Times New Roman" w:hAnsi="Times New Roman"/>
          <w:sz w:val="20"/>
        </w:rPr>
        <w:t xml:space="preserve"> will apply only to the extent the Board or the Committee, in its sole discretion, determines that the Participating Employee committed any act or omission that materially contributed to the circumstances requiring the Financial Restatement and such act or omission involved any of the following: (i) misconduct, wrongdoing or a violation of any rule, policy or the like of the Company (or its subsidiary) or of any applicable legal or regulatory requirements in the course of the Participating Employees employment with the Company (or its subsidiary); or (ii) a breach of a fiduciary duty to the Company (or its subsidiary) or its stockholders by the Participating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6. Recovery Where Intentional Misconduct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(and without limiting) the provisions of </w:t>
      </w:r>
      <w:r>
        <w:rPr>
          <w:rFonts w:ascii="Times New Roman" w:hAnsi="Times New Roman"/>
          <w:sz w:val="20"/>
          <w:u w:val="single"/>
        </w:rPr>
        <w:t>Section 2</w:t>
      </w:r>
      <w:r>
        <w:rPr>
          <w:rFonts w:ascii="Times New Roman" w:hAnsi="Times New Roman"/>
          <w:sz w:val="20"/>
        </w:rPr>
        <w:t xml:space="preserve"> and </w:t>
      </w:r>
      <w:r>
        <w:rPr>
          <w:rFonts w:ascii="Times New Roman" w:hAnsi="Times New Roman"/>
          <w:sz w:val="20"/>
          <w:u w:val="single"/>
        </w:rPr>
        <w:t>5</w:t>
      </w:r>
      <w:r>
        <w:rPr>
          <w:rFonts w:ascii="Times New Roman" w:hAnsi="Times New Roman"/>
          <w:sz w:val="20"/>
        </w:rPr>
        <w:t xml:space="preserve"> above, in the event the Company is required to prepare a Financial Restatement after the Effective Date and the Board or the Committee, in its sole discretion, determines that a Covered Persons or a Participating Employees act or omission contributed to the circumstances requiring the Financial Restatement and such act or omission involved any of the following: (i) willful, knowing or intentional misconduct or a willful, knowing or intentional violation of any rule, policy or the like of the Company (or its subsidiary) or of any applicable legal or regulatory requirements in the course of the Participating Employees employment with the Company (or its subsidiary); or (ii) fraud in the course of the Covered Persons or the Participating Employees employment with the Company (or its subsidiary), the Company (or its subsidiary) may recover from such Covered Person or Participating Employee up to 100% (as determined by the Board or the Committee in its sole discretion) of the Incentive-Based Compensation and any other equity-based compensation provided by the Company or any of its subsidiaries, including, without limitation, stock options, restricted stock awards, restricted stock units and stock appreciation rights received by such Covered Person or Participating Employee from the Company (or its subsidiary) during the Applicable Recovery Period. </w:t>
      </w:r>
    </w:p>
    <w:p>
      <w:pPr>
        <w:pStyle w:val="TextBody"/>
        <w:bidi w:val="0"/>
        <w:spacing w:before="360" w:after="0"/>
        <w:jc w:val="left"/>
        <w:rPr>
          <w:rFonts w:ascii="Times New Roman" w:hAnsi="Times New Roman"/>
          <w:b/>
          <w:sz w:val="20"/>
        </w:rPr>
      </w:pPr>
      <w:r>
        <w:rPr>
          <w:rFonts w:ascii="Times New Roman" w:hAnsi="Times New Roman"/>
          <w:b/>
          <w:sz w:val="20"/>
        </w:rPr>
        <w:t xml:space="preserve">7. Tax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pursuant to this Policy, the Company (or its subsidiary)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 </w:t>
      </w:r>
    </w:p>
    <w:p>
      <w:pPr>
        <w:pStyle w:val="TextBody"/>
        <w:bidi w:val="0"/>
        <w:spacing w:before="360" w:after="0"/>
        <w:jc w:val="left"/>
        <w:rPr>
          <w:rFonts w:ascii="Times New Roman" w:hAnsi="Times New Roman"/>
          <w:b/>
          <w:sz w:val="20"/>
        </w:rPr>
      </w:pPr>
      <w:r>
        <w:rPr>
          <w:rFonts w:ascii="Times New Roman" w:hAnsi="Times New Roman"/>
          <w:b/>
          <w:sz w:val="20"/>
        </w:rPr>
        <w:t xml:space="preserve">8. Method of Compensation Recovery </w:t>
      </w:r>
    </w:p>
    <w:p>
      <w:pPr>
        <w:pStyle w:val="TextBody"/>
        <w:bidi w:val="0"/>
        <w:spacing w:before="120" w:after="0"/>
        <w:jc w:val="left"/>
        <w:rPr>
          <w:rFonts w:ascii="Times New Roman" w:hAnsi="Times New Roman"/>
          <w:sz w:val="20"/>
        </w:rPr>
      </w:pPr>
      <w:r>
        <w:rPr>
          <w:rFonts w:ascii="Times New Roman" w:hAnsi="Times New Roman"/>
          <w:sz w:val="20"/>
        </w:rPr>
        <w:t xml:space="preserve">The Committee shall determine, in its sole discretion, the method for recovering Erroneously Awarded Compensation hereunder, which may include, without limitation, any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reimbursement of cash Incentive-Based Compensation previously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seeking recovery of any gain realized on the vesting, exercise, settlement, sale, transfer or other disposition of any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cancelling or rescinding some or all outstanding vested or unvested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adjusting or withholding from unpaid compensation or other set-off;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cancelling or offsetting against planned future grants of equity-based awards;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or contract.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Covered Person will be deemed to have satisfied such persons obligation to return Erroneously Awarded Compensation to the Company if such Erroneously Awarded Compensation is returned in the exact same form in which it was received; </w:t>
      </w:r>
      <w:r>
        <w:rPr>
          <w:rFonts w:ascii="Times New Roman" w:hAnsi="Times New Roman"/>
          <w:sz w:val="20"/>
          <w:u w:val="single"/>
        </w:rPr>
        <w:t>provided</w:t>
      </w:r>
      <w:r>
        <w:rPr>
          <w:rFonts w:ascii="Times New Roman" w:hAnsi="Times New Roman"/>
          <w:sz w:val="20"/>
        </w:rPr>
        <w:t xml:space="preserve"> that equity withheld to satisfy tax obligations will be deemed to have been received in cash in an amount equal to the tax withholding payment made. </w:t>
      </w:r>
    </w:p>
    <w:p>
      <w:pPr>
        <w:pStyle w:val="TextBody"/>
        <w:bidi w:val="0"/>
        <w:spacing w:before="360" w:after="0"/>
        <w:jc w:val="left"/>
        <w:rPr>
          <w:rFonts w:ascii="Times New Roman" w:hAnsi="Times New Roman"/>
          <w:b/>
          <w:sz w:val="20"/>
        </w:rPr>
      </w:pPr>
      <w:r>
        <w:rPr>
          <w:rFonts w:ascii="Times New Roman" w:hAnsi="Times New Roman"/>
          <w:b/>
          <w:sz w:val="20"/>
        </w:rPr>
        <w:t xml:space="preserve">9. Policy Interpretation </w:t>
      </w:r>
    </w:p>
    <w:p>
      <w:pPr>
        <w:pStyle w:val="TextBody"/>
        <w:bidi w:val="0"/>
        <w:spacing w:before="120" w:after="0"/>
        <w:jc w:val="left"/>
        <w:rPr>
          <w:rFonts w:ascii="Times New Roman" w:hAnsi="Times New Roman"/>
          <w:sz w:val="20"/>
        </w:rPr>
      </w:pPr>
      <w:r>
        <w:rPr>
          <w:rFonts w:ascii="Times New Roman" w:hAnsi="Times New Roman"/>
          <w:sz w:val="20"/>
        </w:rPr>
        <w:t xml:space="preserve">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that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w:t>
      </w:r>
    </w:p>
    <w:p>
      <w:pPr>
        <w:pStyle w:val="TextBody"/>
        <w:bidi w:val="0"/>
        <w:spacing w:before="360" w:after="0"/>
        <w:jc w:val="left"/>
        <w:rPr>
          <w:rFonts w:ascii="Times New Roman" w:hAnsi="Times New Roman"/>
          <w:b/>
          <w:sz w:val="20"/>
        </w:rPr>
      </w:pPr>
      <w:r>
        <w:rPr>
          <w:rFonts w:ascii="Times New Roman" w:hAnsi="Times New Roman"/>
          <w:b/>
          <w:sz w:val="20"/>
        </w:rPr>
        <w:t xml:space="preserve">10. Policy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w:t>
      </w:r>
    </w:p>
    <w:p>
      <w:pPr>
        <w:pStyle w:val="TextBody"/>
        <w:bidi w:val="0"/>
        <w:spacing w:before="360" w:after="0"/>
        <w:jc w:val="left"/>
        <w:rPr>
          <w:rFonts w:ascii="Times New Roman" w:hAnsi="Times New Roman"/>
          <w:b/>
          <w:sz w:val="20"/>
        </w:rPr>
      </w:pPr>
      <w:r>
        <w:rPr>
          <w:rFonts w:ascii="Times New Roman" w:hAnsi="Times New Roman"/>
          <w:b/>
          <w:sz w:val="20"/>
        </w:rPr>
        <w:t xml:space="preserve">11. Compensation Recovery Repayments not Subject to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325702/000119312520091932/d908763dex101.htm" TargetMode="External"/><Relationship Id="rId5" Type="http://schemas.openxmlformats.org/officeDocument/2006/relationships/hyperlink" Target="http://www.sec.gov/Archives/edgar/data/1325702/000119312520091932/d908763dex101.htm" TargetMode="External"/><Relationship Id="rId6" Type="http://schemas.openxmlformats.org/officeDocument/2006/relationships/hyperlink" Target="http://www.sec.gov/Archives/edgar/data/1325702/000119312520091932/d908763dex101.htm" TargetMode="External"/><Relationship Id="rId7" Type="http://schemas.openxmlformats.org/officeDocument/2006/relationships/hyperlink" Target="http://www.sec.gov/Archives/edgar/data/1325702/000119312521097514/d159514dex21.htm" TargetMode="External"/><Relationship Id="rId8" Type="http://schemas.openxmlformats.org/officeDocument/2006/relationships/hyperlink" Target="http://www.sec.gov/Archives/edgar/data/1325702/000119312521097514/d159514dex21.htm" TargetMode="External"/><Relationship Id="rId9" Type="http://schemas.openxmlformats.org/officeDocument/2006/relationships/hyperlink" Target="http://www.sec.gov/Archives/edgar/data/1325702/000119312521097514/d159514dex21.htm" TargetMode="External"/><Relationship Id="rId10" Type="http://schemas.openxmlformats.org/officeDocument/2006/relationships/hyperlink" Target="http://www.sec.gov/Archives/edgar/data/1325702/000119312521189259/d153829dex21.htm" TargetMode="External"/><Relationship Id="rId11" Type="http://schemas.openxmlformats.org/officeDocument/2006/relationships/hyperlink" Target="http://www.sec.gov/Archives/edgar/data/1325702/000119312521189259/d153829dex21.htm" TargetMode="External"/><Relationship Id="rId12" Type="http://schemas.openxmlformats.org/officeDocument/2006/relationships/hyperlink" Target="http://www.sec.gov/Archives/edgar/data/1325702/000119312521189259/d153829dex21.htm" TargetMode="External"/><Relationship Id="rId13" Type="http://schemas.openxmlformats.org/officeDocument/2006/relationships/hyperlink" Target="http://www.sec.gov/Archives/edgar/data/1325702/000119312521254078/d214342dex21.htm" TargetMode="External"/><Relationship Id="rId14" Type="http://schemas.openxmlformats.org/officeDocument/2006/relationships/hyperlink" Target="http://www.sec.gov/Archives/edgar/data/1325702/000119312521254078/d214342dex21.htm" TargetMode="External"/><Relationship Id="rId15" Type="http://schemas.openxmlformats.org/officeDocument/2006/relationships/hyperlink" Target="http://www.sec.gov/Archives/edgar/data/1325702/000119312521254078/d214342dex21.htm" TargetMode="External"/><Relationship Id="rId16" Type="http://schemas.openxmlformats.org/officeDocument/2006/relationships/hyperlink" Target="http://www.sec.gov/Archives/edgar/data/1325702/000119312521355865/d152828dex101.htm" TargetMode="External"/><Relationship Id="rId17" Type="http://schemas.openxmlformats.org/officeDocument/2006/relationships/hyperlink" Target="http://www.sec.gov/Archives/edgar/data/1325702/000119312521355865/d152828dex101.htm" TargetMode="External"/><Relationship Id="rId18" Type="http://schemas.openxmlformats.org/officeDocument/2006/relationships/hyperlink" Target="http://www.sec.gov/Archives/edgar/data/1325702/000119312521355865/d152828dex101.htm" TargetMode="External"/><Relationship Id="rId19" Type="http://schemas.openxmlformats.org/officeDocument/2006/relationships/hyperlink" Target="http://www.sec.gov/Archives/edgar/data/1325702/000119312522097445/d347902dex101.htm" TargetMode="External"/><Relationship Id="rId20" Type="http://schemas.openxmlformats.org/officeDocument/2006/relationships/hyperlink" Target="http://www.sec.gov/Archives/edgar/data/1325702/000119312522097445/d347902dex101.htm" TargetMode="External"/><Relationship Id="rId21" Type="http://schemas.openxmlformats.org/officeDocument/2006/relationships/hyperlink" Target="http://www.sec.gov/Archives/edgar/data/1325702/000119312522097445/d347902dex101.htm" TargetMode="External"/><Relationship Id="rId22" Type="http://schemas.openxmlformats.org/officeDocument/2006/relationships/hyperlink" Target="http://www.sec.gov/Archives/edgar/data/0001325702/000119312522280137/d306034dex107.htm" TargetMode="External"/><Relationship Id="rId23" Type="http://schemas.openxmlformats.org/officeDocument/2006/relationships/hyperlink" Target="http://www.sec.gov/Archives/edgar/data/0001325702/000119312522280137/d306034dex107.htm" TargetMode="External"/><Relationship Id="rId24" Type="http://schemas.openxmlformats.org/officeDocument/2006/relationships/hyperlink" Target="http://www.sec.gov/Archives/edgar/data/0001325702/000119312522280137/d306034dex107.htm" TargetMode="External"/><Relationship Id="rId25" Type="http://schemas.openxmlformats.org/officeDocument/2006/relationships/hyperlink" Target="http://www.sec.gov/Archives/edgar/data/1325702/000119312511062703/dex31.htm" TargetMode="External"/><Relationship Id="rId26" Type="http://schemas.openxmlformats.org/officeDocument/2006/relationships/hyperlink" Target="http://www.sec.gov/Archives/edgar/data/1325702/000119312511062703/dex31.htm" TargetMode="External"/><Relationship Id="rId27" Type="http://schemas.openxmlformats.org/officeDocument/2006/relationships/hyperlink" Target="http://www.sec.gov/Archives/edgar/data/1325702/000119312511062703/dex31.htm" TargetMode="External"/><Relationship Id="rId28" Type="http://schemas.openxmlformats.org/officeDocument/2006/relationships/hyperlink" Target="http://www.sec.gov/Archives/edgar/data/1325702/000119312511062703/dex32.htm" TargetMode="External"/><Relationship Id="rId29" Type="http://schemas.openxmlformats.org/officeDocument/2006/relationships/hyperlink" Target="http://www.sec.gov/Archives/edgar/data/1325702/000119312511062703/dex32.htm" TargetMode="External"/><Relationship Id="rId30" Type="http://schemas.openxmlformats.org/officeDocument/2006/relationships/hyperlink" Target="http://www.sec.gov/Archives/edgar/data/1325702/000119312511062703/dex32.htm" TargetMode="External"/><Relationship Id="rId31" Type="http://schemas.openxmlformats.org/officeDocument/2006/relationships/hyperlink" Target="http://www.sec.gov/Archives/edgar/data/1325702/000119312520329844/d85816dex31.htm" TargetMode="External"/><Relationship Id="rId32" Type="http://schemas.openxmlformats.org/officeDocument/2006/relationships/hyperlink" Target="http://www.sec.gov/Archives/edgar/data/1325702/000119312520329844/d85816dex31.htm" TargetMode="External"/><Relationship Id="rId33" Type="http://schemas.openxmlformats.org/officeDocument/2006/relationships/hyperlink" Target="http://www.sec.gov/Archives/edgar/data/1325702/000119312520329844/d85816dex31.htm" TargetMode="External"/><Relationship Id="rId34" Type="http://schemas.openxmlformats.org/officeDocument/2006/relationships/hyperlink" Target="http://www.sec.gov/Archives/edgar/data/1325702/000119312516582070/d161114dex31.htm" TargetMode="External"/><Relationship Id="rId35" Type="http://schemas.openxmlformats.org/officeDocument/2006/relationships/hyperlink" Target="http://www.sec.gov/Archives/edgar/data/1325702/000119312516582070/d161114dex31.htm" TargetMode="External"/><Relationship Id="rId36" Type="http://schemas.openxmlformats.org/officeDocument/2006/relationships/hyperlink" Target="http://www.sec.gov/Archives/edgar/data/1325702/000119312516582070/d161114dex31.htm" TargetMode="External"/><Relationship Id="rId37" Type="http://schemas.openxmlformats.org/officeDocument/2006/relationships/hyperlink" Target="http://www.sec.gov/Archives/edgar/data/1325702/000095012310047545/f54652a2exv3w6.htm" TargetMode="External"/><Relationship Id="rId38" Type="http://schemas.openxmlformats.org/officeDocument/2006/relationships/hyperlink" Target="http://www.sec.gov/Archives/edgar/data/1325702/000095012310047545/f54652a2exv3w6.htm" TargetMode="External"/><Relationship Id="rId39" Type="http://schemas.openxmlformats.org/officeDocument/2006/relationships/hyperlink" Target="http://www.sec.gov/Archives/edgar/data/1325702/000095012310047545/f54652a2exv3w6.htm" TargetMode="External"/><Relationship Id="rId40" Type="http://schemas.openxmlformats.org/officeDocument/2006/relationships/hyperlink" Target="http://www.sec.gov/Archives/edgar/data/1325702/000095012310047545/f54652a2exv3w6.htm" TargetMode="External"/><Relationship Id="rId41" Type="http://schemas.openxmlformats.org/officeDocument/2006/relationships/hyperlink" Target="http://www.sec.gov/Archives/edgar/data/1325702/000095012310047545/f54652a2exv3w6.htm" TargetMode="External"/><Relationship Id="rId42" Type="http://schemas.openxmlformats.org/officeDocument/2006/relationships/hyperlink" Target="http://www.sec.gov/Archives/edgar/data/1325702/000095014215000541/eh1500371_ex0301.htm" TargetMode="External"/><Relationship Id="rId43" Type="http://schemas.openxmlformats.org/officeDocument/2006/relationships/hyperlink" Target="http://www.sec.gov/Archives/edgar/data/1325702/000095014215000541/eh1500371_ex0301.htm" TargetMode="External"/><Relationship Id="rId44" Type="http://schemas.openxmlformats.org/officeDocument/2006/relationships/hyperlink" Target="http://www.sec.gov/Archives/edgar/data/1325702/000095014215000541/eh1500371_ex0301.htm" TargetMode="External"/><Relationship Id="rId45" Type="http://schemas.openxmlformats.org/officeDocument/2006/relationships/hyperlink" Target="http://www.sec.gov/Archives/edgar/data/1325702/000119312521355865/d152828dex31.htm" TargetMode="External"/><Relationship Id="rId46" Type="http://schemas.openxmlformats.org/officeDocument/2006/relationships/hyperlink" Target="http://www.sec.gov/Archives/edgar/data/1325702/000119312521355865/d152828dex31.htm" TargetMode="External"/><Relationship Id="rId47" Type="http://schemas.openxmlformats.org/officeDocument/2006/relationships/hyperlink" Target="http://www.sec.gov/Archives/edgar/data/1325702/000119312521355865/d152828dex31.htm" TargetMode="External"/><Relationship Id="rId48" Type="http://schemas.openxmlformats.org/officeDocument/2006/relationships/hyperlink" Target="http://www.sec.gov/Archives/edgar/data/1325702/000095012310036061/f54652a1exv10w2.htm" TargetMode="External"/><Relationship Id="rId49" Type="http://schemas.openxmlformats.org/officeDocument/2006/relationships/hyperlink" Target="http://www.sec.gov/Archives/edgar/data/1325702/000095012310036061/f54652a1exv10w2.htm" TargetMode="External"/><Relationship Id="rId50" Type="http://schemas.openxmlformats.org/officeDocument/2006/relationships/hyperlink" Target="http://www.sec.gov/Archives/edgar/data/1325702/000095012310036061/f54652a1exv10w2.htm" TargetMode="External"/><Relationship Id="rId51" Type="http://schemas.openxmlformats.org/officeDocument/2006/relationships/hyperlink" Target="http://www.sec.gov/Archives/edgar/data/1325702/000095012310036061/f54652a1exv10w2.htm" TargetMode="External"/><Relationship Id="rId52" Type="http://schemas.openxmlformats.org/officeDocument/2006/relationships/hyperlink" Target="http://www.sec.gov/Archives/edgar/data/1325702/000095012310036061/f54652a1exv10w2.htm" TargetMode="External"/><Relationship Id="rId53" Type="http://schemas.openxmlformats.org/officeDocument/2006/relationships/hyperlink" Target="http://www.sec.gov/Archives/edgar/data/1325702/000119312519048327/d695091dex1024.htm" TargetMode="External"/><Relationship Id="rId54" Type="http://schemas.openxmlformats.org/officeDocument/2006/relationships/hyperlink" Target="http://www.sec.gov/Archives/edgar/data/1325702/000119312519048327/d695091dex1024.htm" TargetMode="External"/><Relationship Id="rId55" Type="http://schemas.openxmlformats.org/officeDocument/2006/relationships/hyperlink" Target="http://www.sec.gov/Archives/edgar/data/1325702/000119312519048327/d695091dex1024.htm" TargetMode="External"/><Relationship Id="rId56" Type="http://schemas.openxmlformats.org/officeDocument/2006/relationships/hyperlink" Target="http://www.sec.gov/Archives/edgar/data/1325702/000119312520171326/d922566dex101.htm" TargetMode="External"/><Relationship Id="rId57" Type="http://schemas.openxmlformats.org/officeDocument/2006/relationships/hyperlink" Target="http://www.sec.gov/Archives/edgar/data/1325702/000119312520171326/d922566dex101.htm" TargetMode="External"/><Relationship Id="rId58" Type="http://schemas.openxmlformats.org/officeDocument/2006/relationships/hyperlink" Target="http://www.sec.gov/Archives/edgar/data/1325702/000119312520171326/d922566dex101.htm" TargetMode="External"/><Relationship Id="rId59" Type="http://schemas.openxmlformats.org/officeDocument/2006/relationships/hyperlink" Target="http://www.sec.gov/Archives/edgar/data/1325702/000119312511039495/dex1026.htm" TargetMode="External"/><Relationship Id="rId60" Type="http://schemas.openxmlformats.org/officeDocument/2006/relationships/hyperlink" Target="http://www.sec.gov/Archives/edgar/data/1325702/000119312511039495/dex1026.htm" TargetMode="External"/><Relationship Id="rId61" Type="http://schemas.openxmlformats.org/officeDocument/2006/relationships/hyperlink" Target="http://www.sec.gov/Archives/edgar/data/1325702/000119312511039495/dex1026.htm" TargetMode="External"/><Relationship Id="rId62" Type="http://schemas.openxmlformats.org/officeDocument/2006/relationships/hyperlink" Target="http://www.sec.gov/Archives/edgar/data/1325702/000119312511039495/dex1026.htm" TargetMode="External"/><Relationship Id="rId63" Type="http://schemas.openxmlformats.org/officeDocument/2006/relationships/hyperlink" Target="http://www.sec.gov/Archives/edgar/data/1325702/000119312511039495/dex1026.htm" TargetMode="External"/><Relationship Id="rId64" Type="http://schemas.openxmlformats.org/officeDocument/2006/relationships/hyperlink" Target="http://www.sec.gov/Archives/edgar/data/1325702/000095012310024348/f54652orexv10w49.htm" TargetMode="External"/><Relationship Id="rId65" Type="http://schemas.openxmlformats.org/officeDocument/2006/relationships/hyperlink" Target="http://www.sec.gov/Archives/edgar/data/1325702/000095012310024348/f54652orexv10w49.htm" TargetMode="External"/><Relationship Id="rId66" Type="http://schemas.openxmlformats.org/officeDocument/2006/relationships/hyperlink" Target="http://www.sec.gov/Archives/edgar/data/1325702/000095012310024348/f54652orexv10w49.htm" TargetMode="External"/><Relationship Id="rId67" Type="http://schemas.openxmlformats.org/officeDocument/2006/relationships/hyperlink" Target="http://www.sec.gov/Archives/edgar/data/1325702/000095012310024348/f54652orexv10w49.htm" TargetMode="External"/><Relationship Id="rId68" Type="http://schemas.openxmlformats.org/officeDocument/2006/relationships/hyperlink" Target="http://www.sec.gov/Archives/edgar/data/1325702/000095012310024348/f54652orexv10w49.htm" TargetMode="External"/><Relationship Id="rId69" Type="http://schemas.openxmlformats.org/officeDocument/2006/relationships/hyperlink" Target="http://www.sec.gov/Archives/edgar/data/1325702/000119312515046730/d655531dex1036.htm" TargetMode="External"/><Relationship Id="rId70" Type="http://schemas.openxmlformats.org/officeDocument/2006/relationships/hyperlink" Target="http://www.sec.gov/Archives/edgar/data/1325702/000119312515046730/d655531dex1036.htm" TargetMode="External"/><Relationship Id="rId71" Type="http://schemas.openxmlformats.org/officeDocument/2006/relationships/hyperlink" Target="http://www.sec.gov/Archives/edgar/data/1325702/000119312515046730/d655531dex1036.htm" TargetMode="External"/><Relationship Id="rId72" Type="http://schemas.openxmlformats.org/officeDocument/2006/relationships/hyperlink" Target="http://www.sec.gov/Archives/edgar/data/1325702/000119312515370252/d78736dex101.htm" TargetMode="External"/><Relationship Id="rId73" Type="http://schemas.openxmlformats.org/officeDocument/2006/relationships/hyperlink" Target="http://www.sec.gov/Archives/edgar/data/1325702/000119312515370252/d78736dex101.htm" TargetMode="External"/><Relationship Id="rId74" Type="http://schemas.openxmlformats.org/officeDocument/2006/relationships/hyperlink" Target="http://www.sec.gov/Archives/edgar/data/1325702/000119312515370252/d78736dex101.htm" TargetMode="External"/><Relationship Id="rId75" Type="http://schemas.openxmlformats.org/officeDocument/2006/relationships/hyperlink" Target="http://www.sec.gov/Archives/edgar/data/1325702/000119312515370252/d78736dex102.htm" TargetMode="External"/><Relationship Id="rId76" Type="http://schemas.openxmlformats.org/officeDocument/2006/relationships/hyperlink" Target="http://www.sec.gov/Archives/edgar/data/1325702/000119312515370252/d78736dex102.htm" TargetMode="External"/><Relationship Id="rId77" Type="http://schemas.openxmlformats.org/officeDocument/2006/relationships/hyperlink" Target="http://www.sec.gov/Archives/edgar/data/1325702/000119312515370252/d78736dex102.htm" TargetMode="External"/><Relationship Id="rId78" Type="http://schemas.openxmlformats.org/officeDocument/2006/relationships/hyperlink" Target="http://www.sec.gov/Archives/edgar/data/1325702/000119312518138973/d571231dex101.htm" TargetMode="External"/><Relationship Id="rId79" Type="http://schemas.openxmlformats.org/officeDocument/2006/relationships/hyperlink" Target="http://www.sec.gov/Archives/edgar/data/1325702/000119312518138973/d571231dex101.htm" TargetMode="External"/><Relationship Id="rId80" Type="http://schemas.openxmlformats.org/officeDocument/2006/relationships/hyperlink" Target="http://www.sec.gov/Archives/edgar/data/1325702/000119312518138973/d571231dex101.htm" TargetMode="External"/><Relationship Id="rId81" Type="http://schemas.openxmlformats.org/officeDocument/2006/relationships/hyperlink" Target="http://www.sec.gov/Archives/edgar/data/1325702/000119312519048327/d695091dex10294.htm" TargetMode="External"/><Relationship Id="rId82" Type="http://schemas.openxmlformats.org/officeDocument/2006/relationships/hyperlink" Target="http://www.sec.gov/Archives/edgar/data/1325702/000119312519048327/d695091dex10294.htm" TargetMode="External"/><Relationship Id="rId83" Type="http://schemas.openxmlformats.org/officeDocument/2006/relationships/hyperlink" Target="http://www.sec.gov/Archives/edgar/data/1325702/000119312519048327/d695091dex10294.htm" TargetMode="External"/><Relationship Id="rId84" Type="http://schemas.openxmlformats.org/officeDocument/2006/relationships/hyperlink" Target="http://www.sec.gov/Archives/edgar/data/1325702/000119312519048327/d695091dex10294.htm" TargetMode="External"/><Relationship Id="rId85" Type="http://schemas.openxmlformats.org/officeDocument/2006/relationships/hyperlink" Target="http://www.sec.gov/Archives/edgar/data/1325702/000119312519048327/d695091dex10294.htm" TargetMode="External"/><Relationship Id="rId86" Type="http://schemas.openxmlformats.org/officeDocument/2006/relationships/hyperlink" Target="http://www.sec.gov/Archives/edgar/data/1325702/000119312515046730/d655531dex1037.htm" TargetMode="External"/><Relationship Id="rId87" Type="http://schemas.openxmlformats.org/officeDocument/2006/relationships/hyperlink" Target="http://www.sec.gov/Archives/edgar/data/1325702/000119312515046730/d655531dex1037.htm" TargetMode="External"/><Relationship Id="rId88" Type="http://schemas.openxmlformats.org/officeDocument/2006/relationships/hyperlink" Target="http://www.sec.gov/Archives/edgar/data/1325702/000119312515046730/d655531dex1037.htm" TargetMode="External"/><Relationship Id="rId89" Type="http://schemas.openxmlformats.org/officeDocument/2006/relationships/hyperlink" Target="http://www.sec.gov/Archives/edgar/data/1325702/000119312515370252/d78736dex104.htm" TargetMode="External"/><Relationship Id="rId90" Type="http://schemas.openxmlformats.org/officeDocument/2006/relationships/hyperlink" Target="http://www.sec.gov/Archives/edgar/data/1325702/000119312515370252/d78736dex104.htm" TargetMode="External"/><Relationship Id="rId91" Type="http://schemas.openxmlformats.org/officeDocument/2006/relationships/hyperlink" Target="http://www.sec.gov/Archives/edgar/data/1325702/000119312515370252/d78736dex104.htm" TargetMode="External"/><Relationship Id="rId92" Type="http://schemas.openxmlformats.org/officeDocument/2006/relationships/hyperlink" Target="http://www.sec.gov/Archives/edgar/data/1325702/000119312518309120/d645333dex101.htm" TargetMode="External"/><Relationship Id="rId93" Type="http://schemas.openxmlformats.org/officeDocument/2006/relationships/hyperlink" Target="http://www.sec.gov/Archives/edgar/data/1325702/000119312518309120/d645333dex101.htm" TargetMode="External"/><Relationship Id="rId94" Type="http://schemas.openxmlformats.org/officeDocument/2006/relationships/hyperlink" Target="http://www.sec.gov/Archives/edgar/data/1325702/000119312518309120/d645333dex101.htm" TargetMode="External"/><Relationship Id="rId95" Type="http://schemas.openxmlformats.org/officeDocument/2006/relationships/hyperlink" Target="http://www.sec.gov/Archives/edgar/data/1325702/000119312516470674/d103672dex1036.htm" TargetMode="External"/><Relationship Id="rId96" Type="http://schemas.openxmlformats.org/officeDocument/2006/relationships/hyperlink" Target="http://www.sec.gov/Archives/edgar/data/1325702/000119312516470674/d103672dex1036.htm" TargetMode="External"/><Relationship Id="rId97" Type="http://schemas.openxmlformats.org/officeDocument/2006/relationships/hyperlink" Target="http://www.sec.gov/Archives/edgar/data/1325702/000119312516470674/d103672dex1036.htm" TargetMode="External"/><Relationship Id="rId98" Type="http://schemas.openxmlformats.org/officeDocument/2006/relationships/hyperlink" Target="http://www.sec.gov/Archives/edgar/data/1325702/000119312515370252/d78736dex106.htm" TargetMode="External"/><Relationship Id="rId99" Type="http://schemas.openxmlformats.org/officeDocument/2006/relationships/hyperlink" Target="http://www.sec.gov/Archives/edgar/data/1325702/000119312515370252/d78736dex106.htm" TargetMode="External"/><Relationship Id="rId100" Type="http://schemas.openxmlformats.org/officeDocument/2006/relationships/hyperlink" Target="http://www.sec.gov/Archives/edgar/data/1325702/000119312515370252/d78736dex106.htm" TargetMode="External"/><Relationship Id="rId101" Type="http://schemas.openxmlformats.org/officeDocument/2006/relationships/hyperlink" Target="http://www.sec.gov/Archives/edgar/data/1325702/000119312518309120/d645333dex102.htm" TargetMode="External"/><Relationship Id="rId102" Type="http://schemas.openxmlformats.org/officeDocument/2006/relationships/hyperlink" Target="http://www.sec.gov/Archives/edgar/data/1325702/000119312518309120/d645333dex102.htm" TargetMode="External"/><Relationship Id="rId103" Type="http://schemas.openxmlformats.org/officeDocument/2006/relationships/hyperlink" Target="http://www.sec.gov/Archives/edgar/data/1325702/000119312518309120/d645333dex102.htm" TargetMode="External"/><Relationship Id="rId104" Type="http://schemas.openxmlformats.org/officeDocument/2006/relationships/hyperlink" Target="http://www.sec.gov/Archives/edgar/data/1325702/000119312520212439/d53649dex109.htm" TargetMode="External"/><Relationship Id="rId105" Type="http://schemas.openxmlformats.org/officeDocument/2006/relationships/hyperlink" Target="http://www.sec.gov/Archives/edgar/data/1325702/000119312520212439/d53649dex109.htm" TargetMode="External"/><Relationship Id="rId106" Type="http://schemas.openxmlformats.org/officeDocument/2006/relationships/hyperlink" Target="http://www.sec.gov/Archives/edgar/data/1325702/000119312520212439/d53649dex109.htm" TargetMode="External"/><Relationship Id="rId107" Type="http://schemas.openxmlformats.org/officeDocument/2006/relationships/hyperlink" Target="http://www.sec.gov/Archives/edgar/data/1325702/000119312522050017/d282977dex1030.htm" TargetMode="External"/><Relationship Id="rId108" Type="http://schemas.openxmlformats.org/officeDocument/2006/relationships/hyperlink" Target="http://www.sec.gov/Archives/edgar/data/1325702/000119312522050017/d282977dex1030.htm" TargetMode="External"/><Relationship Id="rId109" Type="http://schemas.openxmlformats.org/officeDocument/2006/relationships/hyperlink" Target="http://www.sec.gov/Archives/edgar/data/1325702/000119312522050017/d282977dex1030.htm" TargetMode="External"/><Relationship Id="rId110" Type="http://schemas.openxmlformats.org/officeDocument/2006/relationships/hyperlink" Target="http://www.sec.gov/Archives/edgar/data/1325702/000119312511211470/dex1054.htm" TargetMode="External"/><Relationship Id="rId111" Type="http://schemas.openxmlformats.org/officeDocument/2006/relationships/hyperlink" Target="http://www.sec.gov/Archives/edgar/data/1325702/000119312511211470/dex1054.htm" TargetMode="External"/><Relationship Id="rId112" Type="http://schemas.openxmlformats.org/officeDocument/2006/relationships/hyperlink" Target="http://www.sec.gov/Archives/edgar/data/1325702/000119312511211470/dex1054.htm" TargetMode="External"/><Relationship Id="rId113" Type="http://schemas.openxmlformats.org/officeDocument/2006/relationships/hyperlink" Target="http://www.sec.gov/Archives/edgar/data/1325702/000119312511039495/dex1055.htm" TargetMode="External"/><Relationship Id="rId114" Type="http://schemas.openxmlformats.org/officeDocument/2006/relationships/hyperlink" Target="http://www.sec.gov/Archives/edgar/data/1325702/000119312511039495/dex1055.htm" TargetMode="External"/><Relationship Id="rId115" Type="http://schemas.openxmlformats.org/officeDocument/2006/relationships/hyperlink" Target="http://www.sec.gov/Archives/edgar/data/1325702/000119312511039495/dex1055.htm" TargetMode="External"/><Relationship Id="rId116" Type="http://schemas.openxmlformats.org/officeDocument/2006/relationships/hyperlink" Target="http://www.sec.gov/Archives/edgar/data/1325702/000119312511039495/dex1055.htm" TargetMode="External"/><Relationship Id="rId117" Type="http://schemas.openxmlformats.org/officeDocument/2006/relationships/hyperlink" Target="http://www.sec.gov/Archives/edgar/data/1325702/000119312511039495/dex1055.htm" TargetMode="External"/><Relationship Id="rId118" Type="http://schemas.openxmlformats.org/officeDocument/2006/relationships/hyperlink" Target="http://www.sec.gov/Archives/edgar/data/1325702/000119312511039495/dex1056.htm" TargetMode="External"/><Relationship Id="rId119" Type="http://schemas.openxmlformats.org/officeDocument/2006/relationships/hyperlink" Target="http://www.sec.gov/Archives/edgar/data/1325702/000119312511039495/dex1056.htm" TargetMode="External"/><Relationship Id="rId120" Type="http://schemas.openxmlformats.org/officeDocument/2006/relationships/hyperlink" Target="http://www.sec.gov/Archives/edgar/data/1325702/000119312511039495/dex1056.htm" TargetMode="External"/><Relationship Id="rId121" Type="http://schemas.openxmlformats.org/officeDocument/2006/relationships/hyperlink" Target="http://www.sec.gov/Archives/edgar/data/1325702/000119312511039495/dex1056.htm" TargetMode="External"/><Relationship Id="rId122" Type="http://schemas.openxmlformats.org/officeDocument/2006/relationships/hyperlink" Target="http://www.sec.gov/Archives/edgar/data/1325702/000119312511039495/dex1056.htm" TargetMode="External"/><Relationship Id="rId123" Type="http://schemas.openxmlformats.org/officeDocument/2006/relationships/hyperlink" Target="http://www.sec.gov/Archives/edgar/data/1325702/000119312511039495/dex1056.htm" TargetMode="External"/><Relationship Id="rId124" Type="http://schemas.openxmlformats.org/officeDocument/2006/relationships/hyperlink" Target="http://www.sec.gov/Archives/edgar/data/1325702/000119312511039495/dex1056.htm" TargetMode="External"/><Relationship Id="rId125" Type="http://schemas.openxmlformats.org/officeDocument/2006/relationships/hyperlink" Target="http://www.sec.gov/Archives/edgar/data/1325702/000119312511039495/dex1057.htm" TargetMode="External"/><Relationship Id="rId126" Type="http://schemas.openxmlformats.org/officeDocument/2006/relationships/hyperlink" Target="http://www.sec.gov/Archives/edgar/data/1325702/000119312511039495/dex1057.htm" TargetMode="External"/><Relationship Id="rId127" Type="http://schemas.openxmlformats.org/officeDocument/2006/relationships/hyperlink" Target="http://www.sec.gov/Archives/edgar/data/1325702/000119312511039495/dex1057.htm" TargetMode="External"/><Relationship Id="rId128" Type="http://schemas.openxmlformats.org/officeDocument/2006/relationships/hyperlink" Target="http://www.sec.gov/Archives/edgar/data/1325702/000119312511039495/dex1057.htm" TargetMode="External"/><Relationship Id="rId129" Type="http://schemas.openxmlformats.org/officeDocument/2006/relationships/hyperlink" Target="http://www.sec.gov/Archives/edgar/data/1325702/000119312511039495/dex1057.htm" TargetMode="External"/><Relationship Id="rId130" Type="http://schemas.openxmlformats.org/officeDocument/2006/relationships/hyperlink" Target="http://www.sec.gov/Archives/edgar/data/1325702/000119312511039495/dex1058.htm" TargetMode="External"/><Relationship Id="rId131" Type="http://schemas.openxmlformats.org/officeDocument/2006/relationships/hyperlink" Target="http://www.sec.gov/Archives/edgar/data/1325702/000119312511039495/dex1058.htm" TargetMode="External"/><Relationship Id="rId132" Type="http://schemas.openxmlformats.org/officeDocument/2006/relationships/hyperlink" Target="http://www.sec.gov/Archives/edgar/data/1325702/000119312511039495/dex1058.htm" TargetMode="External"/><Relationship Id="rId133" Type="http://schemas.openxmlformats.org/officeDocument/2006/relationships/hyperlink" Target="http://www.sec.gov/Archives/edgar/data/1325702/000119312511039495/dex1058.htm" TargetMode="External"/><Relationship Id="rId134" Type="http://schemas.openxmlformats.org/officeDocument/2006/relationships/hyperlink" Target="http://www.sec.gov/Archives/edgar/data/1325702/000119312511039495/dex1058.htm" TargetMode="External"/><Relationship Id="rId135" Type="http://schemas.openxmlformats.org/officeDocument/2006/relationships/hyperlink" Target="http://www.sec.gov/Archives/edgar/data/1325702/000119312511039495/dex1058.htm" TargetMode="External"/><Relationship Id="rId136" Type="http://schemas.openxmlformats.org/officeDocument/2006/relationships/hyperlink" Target="http://www.sec.gov/Archives/edgar/data/1325702/000119312511039495/dex1058.htm" TargetMode="External"/><Relationship Id="rId137" Type="http://schemas.openxmlformats.org/officeDocument/2006/relationships/hyperlink" Target="http://www.sec.gov/Archives/edgar/data/1325702/000119312511039495/dex1059.htm" TargetMode="External"/><Relationship Id="rId138" Type="http://schemas.openxmlformats.org/officeDocument/2006/relationships/hyperlink" Target="http://www.sec.gov/Archives/edgar/data/1325702/000119312511039495/dex1059.htm" TargetMode="External"/><Relationship Id="rId139" Type="http://schemas.openxmlformats.org/officeDocument/2006/relationships/hyperlink" Target="http://www.sec.gov/Archives/edgar/data/1325702/000119312511039495/dex1059.htm" TargetMode="External"/><Relationship Id="rId140" Type="http://schemas.openxmlformats.org/officeDocument/2006/relationships/hyperlink" Target="http://www.sec.gov/Archives/edgar/data/1325702/000119312511039495/dex1059.htm" TargetMode="External"/><Relationship Id="rId141" Type="http://schemas.openxmlformats.org/officeDocument/2006/relationships/hyperlink" Target="http://www.sec.gov/Archives/edgar/data/1325702/000119312511039495/dex1059.htm" TargetMode="External"/><Relationship Id="rId142" Type="http://schemas.openxmlformats.org/officeDocument/2006/relationships/hyperlink" Target="http://www.sec.gov/Archives/edgar/data/1325702/000119312511039495/dex1060.htm" TargetMode="External"/><Relationship Id="rId143" Type="http://schemas.openxmlformats.org/officeDocument/2006/relationships/hyperlink" Target="http://www.sec.gov/Archives/edgar/data/1325702/000119312511039495/dex1060.htm" TargetMode="External"/><Relationship Id="rId144" Type="http://schemas.openxmlformats.org/officeDocument/2006/relationships/hyperlink" Target="http://www.sec.gov/Archives/edgar/data/1325702/000119312511039495/dex1060.htm" TargetMode="External"/><Relationship Id="rId145" Type="http://schemas.openxmlformats.org/officeDocument/2006/relationships/hyperlink" Target="http://www.sec.gov/Archives/edgar/data/1325702/000119312511039495/dex1060.htm" TargetMode="External"/><Relationship Id="rId146" Type="http://schemas.openxmlformats.org/officeDocument/2006/relationships/hyperlink" Target="http://www.sec.gov/Archives/edgar/data/1325702/000119312511039495/dex1060.htm" TargetMode="External"/><Relationship Id="rId147" Type="http://schemas.openxmlformats.org/officeDocument/2006/relationships/hyperlink" Target="http://www.sec.gov/Archives/edgar/data/1325702/000119312511039495/dex1060.htm" TargetMode="External"/><Relationship Id="rId148" Type="http://schemas.openxmlformats.org/officeDocument/2006/relationships/hyperlink" Target="http://www.sec.gov/Archives/edgar/data/1325702/000119312511039495/dex1060.htm" TargetMode="External"/><Relationship Id="rId149" Type="http://schemas.openxmlformats.org/officeDocument/2006/relationships/hyperlink" Target="http://www.sec.gov/Archives/edgar/data/1325702/000119312516580819/d184718dex101.htm" TargetMode="External"/><Relationship Id="rId150" Type="http://schemas.openxmlformats.org/officeDocument/2006/relationships/hyperlink" Target="http://www.sec.gov/Archives/edgar/data/1325702/000119312516580819/d184718dex101.htm" TargetMode="External"/><Relationship Id="rId151" Type="http://schemas.openxmlformats.org/officeDocument/2006/relationships/hyperlink" Target="http://www.sec.gov/Archives/edgar/data/1325702/000119312516580819/d184718dex101.htm" TargetMode="External"/><Relationship Id="rId152" Type="http://schemas.openxmlformats.org/officeDocument/2006/relationships/hyperlink" Target="http://www.sec.gov/Archives/edgar/data/1325702/000119312518309120/d645333dex103.htm" TargetMode="External"/><Relationship Id="rId153" Type="http://schemas.openxmlformats.org/officeDocument/2006/relationships/hyperlink" Target="http://www.sec.gov/Archives/edgar/data/1325702/000119312518309120/d645333dex103.htm" TargetMode="External"/><Relationship Id="rId154" Type="http://schemas.openxmlformats.org/officeDocument/2006/relationships/hyperlink" Target="http://www.sec.gov/Archives/edgar/data/1325702/000119312518309120/d645333dex103.htm" TargetMode="External"/><Relationship Id="rId155" Type="http://schemas.openxmlformats.org/officeDocument/2006/relationships/hyperlink" Target="http://www.sec.gov/Archives/edgar/data/1325702/000119312518309120/d645333dex104.htm" TargetMode="External"/><Relationship Id="rId156" Type="http://schemas.openxmlformats.org/officeDocument/2006/relationships/hyperlink" Target="http://www.sec.gov/Archives/edgar/data/1325702/000119312518309120/d645333dex104.htm" TargetMode="External"/><Relationship Id="rId157" Type="http://schemas.openxmlformats.org/officeDocument/2006/relationships/hyperlink" Target="http://www.sec.gov/Archives/edgar/data/1325702/000119312518309120/d645333dex104.htm" TargetMode="External"/><Relationship Id="rId158" Type="http://schemas.openxmlformats.org/officeDocument/2006/relationships/hyperlink" Target="http://www.sec.gov/Archives/edgar/data/1325702/000119312518309120/d645333dex105.htm" TargetMode="External"/><Relationship Id="rId159" Type="http://schemas.openxmlformats.org/officeDocument/2006/relationships/hyperlink" Target="http://www.sec.gov/Archives/edgar/data/1325702/000119312518309120/d645333dex105.htm" TargetMode="External"/><Relationship Id="rId160" Type="http://schemas.openxmlformats.org/officeDocument/2006/relationships/hyperlink" Target="http://www.sec.gov/Archives/edgar/data/1325702/000119312518309120/d645333dex105.htm" TargetMode="External"/><Relationship Id="rId161" Type="http://schemas.openxmlformats.org/officeDocument/2006/relationships/hyperlink" Target="http://www.sec.gov/Archives/edgar/data/1325702/000119312520193326/d945107dex992.htm" TargetMode="External"/><Relationship Id="rId162" Type="http://schemas.openxmlformats.org/officeDocument/2006/relationships/hyperlink" Target="http://www.sec.gov/Archives/edgar/data/1325702/000119312520193326/d945107dex992.htm" TargetMode="External"/><Relationship Id="rId163" Type="http://schemas.openxmlformats.org/officeDocument/2006/relationships/hyperlink" Target="http://www.sec.gov/Archives/edgar/data/1325702/000119312520193326/d945107dex992.htm" TargetMode="External"/><Relationship Id="rId164" Type="http://schemas.openxmlformats.org/officeDocument/2006/relationships/hyperlink" Target="http://www.sec.gov/Archives/edgar/data/1325702/000119312520193326/d945107dex992.htm" TargetMode="External"/><Relationship Id="rId165" Type="http://schemas.openxmlformats.org/officeDocument/2006/relationships/hyperlink" Target="http://www.sec.gov/Archives/edgar/data/1325702/000119312520193326/d945107dex992.htm" TargetMode="External"/><Relationship Id="rId166" Type="http://schemas.openxmlformats.org/officeDocument/2006/relationships/hyperlink" Target="http://www.sec.gov/Archives/edgar/data/1325702/000119312520193326/d945107dex993.htm" TargetMode="External"/><Relationship Id="rId167" Type="http://schemas.openxmlformats.org/officeDocument/2006/relationships/hyperlink" Target="http://www.sec.gov/Archives/edgar/data/1325702/000119312520193326/d945107dex993.htm" TargetMode="External"/><Relationship Id="rId168" Type="http://schemas.openxmlformats.org/officeDocument/2006/relationships/hyperlink" Target="http://www.sec.gov/Archives/edgar/data/1325702/000119312520193326/d945107dex993.htm" TargetMode="External"/><Relationship Id="rId169" Type="http://schemas.openxmlformats.org/officeDocument/2006/relationships/hyperlink" Target="http://www.sec.gov/Archives/edgar/data/1325702/000119312520193326/d945107dex994.htm" TargetMode="External"/><Relationship Id="rId170" Type="http://schemas.openxmlformats.org/officeDocument/2006/relationships/hyperlink" Target="http://www.sec.gov/Archives/edgar/data/1325702/000119312520193326/d945107dex994.htm" TargetMode="External"/><Relationship Id="rId171" Type="http://schemas.openxmlformats.org/officeDocument/2006/relationships/hyperlink" Target="http://www.sec.gov/Archives/edgar/data/1325702/000119312520193326/d945107dex994.htm" TargetMode="External"/><Relationship Id="rId172" Type="http://schemas.openxmlformats.org/officeDocument/2006/relationships/hyperlink" Target="http://www.sec.gov/Archives/edgar/data/1325702/000119312520193326/d945107dex995.htm" TargetMode="External"/><Relationship Id="rId173" Type="http://schemas.openxmlformats.org/officeDocument/2006/relationships/hyperlink" Target="http://www.sec.gov/Archives/edgar/data/1325702/000119312520193326/d945107dex995.htm" TargetMode="External"/><Relationship Id="rId174" Type="http://schemas.openxmlformats.org/officeDocument/2006/relationships/hyperlink" Target="http://www.sec.gov/Archives/edgar/data/1325702/000119312520193326/d945107dex995.htm" TargetMode="External"/><Relationship Id="rId175" Type="http://schemas.openxmlformats.org/officeDocument/2006/relationships/hyperlink" Target="http://www.sec.gov/Archives/edgar/data/1325702/000119312520193326/d945107dex995.htm" TargetMode="External"/><Relationship Id="rId176" Type="http://schemas.openxmlformats.org/officeDocument/2006/relationships/hyperlink" Target="http://www.sec.gov/Archives/edgar/data/1325702/000119312520193326/d945107dex995.htm" TargetMode="External"/><Relationship Id="rId177" Type="http://schemas.openxmlformats.org/officeDocument/2006/relationships/hyperlink" Target="http://www.sec.gov/Archives/edgar/data/1325702/000119312520193326/d945107dex996.htm" TargetMode="External"/><Relationship Id="rId178" Type="http://schemas.openxmlformats.org/officeDocument/2006/relationships/hyperlink" Target="http://www.sec.gov/Archives/edgar/data/1325702/000119312520193326/d945107dex996.htm" TargetMode="External"/><Relationship Id="rId179" Type="http://schemas.openxmlformats.org/officeDocument/2006/relationships/hyperlink" Target="http://www.sec.gov/Archives/edgar/data/1325702/000119312520193326/d945107dex996.htm" TargetMode="External"/><Relationship Id="rId180" Type="http://schemas.openxmlformats.org/officeDocument/2006/relationships/hyperlink" Target="http://www.sec.gov/Archives/edgar/data/1325702/000119312520193326/d945107dex997.htm" TargetMode="External"/><Relationship Id="rId181" Type="http://schemas.openxmlformats.org/officeDocument/2006/relationships/hyperlink" Target="http://www.sec.gov/Archives/edgar/data/1325702/000119312520193326/d945107dex997.htm" TargetMode="External"/><Relationship Id="rId182" Type="http://schemas.openxmlformats.org/officeDocument/2006/relationships/hyperlink" Target="http://www.sec.gov/Archives/edgar/data/1325702/000119312520193326/d945107dex997.htm" TargetMode="External"/><Relationship Id="rId183" Type="http://schemas.openxmlformats.org/officeDocument/2006/relationships/hyperlink" Target="http://www.sec.gov/Archives/edgar/data/1325702/000119312520193326/d945107dex997.htm" TargetMode="External"/><Relationship Id="rId184" Type="http://schemas.openxmlformats.org/officeDocument/2006/relationships/hyperlink" Target="http://www.sec.gov/Archives/edgar/data/1325702/000119312520193326/d945107dex997.htm" TargetMode="External"/><Relationship Id="rId185" Type="http://schemas.openxmlformats.org/officeDocument/2006/relationships/hyperlink" Target="http://www.sec.gov/Archives/edgar/data/1325702/000119312522280137/d306034dex108.htm" TargetMode="External"/><Relationship Id="rId186" Type="http://schemas.openxmlformats.org/officeDocument/2006/relationships/hyperlink" Target="http://www.sec.gov/Archives/edgar/data/1325702/000119312522280137/d306034dex108.htm" TargetMode="External"/><Relationship Id="rId187" Type="http://schemas.openxmlformats.org/officeDocument/2006/relationships/hyperlink" Target="http://www.sec.gov/Archives/edgar/data/1325702/000119312522280137/d306034dex108.htm" TargetMode="External"/><Relationship Id="rId188" Type="http://schemas.openxmlformats.org/officeDocument/2006/relationships/hyperlink" Target="http://www.sec.gov/Archives/edgar/data/1325702/000119312522280137/d306034dex109.htm" TargetMode="External"/><Relationship Id="rId189" Type="http://schemas.openxmlformats.org/officeDocument/2006/relationships/hyperlink" Target="http://www.sec.gov/Archives/edgar/data/1325702/000119312522280137/d306034dex109.htm" TargetMode="External"/><Relationship Id="rId190" Type="http://schemas.openxmlformats.org/officeDocument/2006/relationships/hyperlink" Target="http://www.sec.gov/Archives/edgar/data/1325702/000119312522280137/d306034dex109.htm" TargetMode="External"/><Relationship Id="rId191" Type="http://schemas.openxmlformats.org/officeDocument/2006/relationships/hyperlink" Target="http://www.sec.gov/Archives/edgar/data/1325702/000119312522280137/d306034dex101.htm" TargetMode="External"/><Relationship Id="rId192" Type="http://schemas.openxmlformats.org/officeDocument/2006/relationships/hyperlink" Target="http://www.sec.gov/Archives/edgar/data/1325702/000119312522280137/d306034dex101.htm" TargetMode="External"/><Relationship Id="rId193" Type="http://schemas.openxmlformats.org/officeDocument/2006/relationships/hyperlink" Target="http://www.sec.gov/Archives/edgar/data/1325702/000119312522280137/d306034dex101.htm" TargetMode="External"/><Relationship Id="rId194" Type="http://schemas.openxmlformats.org/officeDocument/2006/relationships/hyperlink" Target="http://www.sec.gov/Archives/edgar/data/1325702/000119312522280137/d306034dex101.htm" TargetMode="External"/><Relationship Id="rId195" Type="http://schemas.openxmlformats.org/officeDocument/2006/relationships/hyperlink" Target="http://www.sec.gov/Archives/edgar/data/1325702/000119312522280137/d306034dex101.htm" TargetMode="External"/><Relationship Id="rId196" Type="http://schemas.openxmlformats.org/officeDocument/2006/relationships/hyperlink" Target="http://www.sec.gov/Archives/edgar/data/1325702/000119312522280137/d306034dex102.htm" TargetMode="External"/><Relationship Id="rId197" Type="http://schemas.openxmlformats.org/officeDocument/2006/relationships/hyperlink" Target="http://www.sec.gov/Archives/edgar/data/1325702/000119312522280137/d306034dex102.htm" TargetMode="External"/><Relationship Id="rId198" Type="http://schemas.openxmlformats.org/officeDocument/2006/relationships/hyperlink" Target="http://www.sec.gov/Archives/edgar/data/1325702/000119312522280137/d306034dex102.htm" TargetMode="External"/><Relationship Id="rId199" Type="http://schemas.openxmlformats.org/officeDocument/2006/relationships/hyperlink" Target="http://www.sec.gov/Archives/edgar/data/1325702/000119312522280137/d306034dex103.htm" TargetMode="External"/><Relationship Id="rId200" Type="http://schemas.openxmlformats.org/officeDocument/2006/relationships/hyperlink" Target="http://www.sec.gov/Archives/edgar/data/1325702/000119312522280137/d306034dex103.htm" TargetMode="External"/><Relationship Id="rId201" Type="http://schemas.openxmlformats.org/officeDocument/2006/relationships/hyperlink" Target="http://www.sec.gov/Archives/edgar/data/1325702/000119312522280137/d306034dex103.htm" TargetMode="External"/><Relationship Id="rId202" Type="http://schemas.openxmlformats.org/officeDocument/2006/relationships/hyperlink" Target="http://www.sec.gov/Archives/edgar/data/1325702/000119312522280137/d306034dex104.htm" TargetMode="External"/><Relationship Id="rId203" Type="http://schemas.openxmlformats.org/officeDocument/2006/relationships/hyperlink" Target="http://www.sec.gov/Archives/edgar/data/1325702/000119312522280137/d306034dex104.htm" TargetMode="External"/><Relationship Id="rId204" Type="http://schemas.openxmlformats.org/officeDocument/2006/relationships/hyperlink" Target="http://www.sec.gov/Archives/edgar/data/1325702/000119312522280137/d306034dex104.htm" TargetMode="External"/><Relationship Id="rId205" Type="http://schemas.openxmlformats.org/officeDocument/2006/relationships/hyperlink" Target="http://www.sec.gov/Archives/edgar/data/1325702/000119312522280137/d306034dex104.htm" TargetMode="External"/><Relationship Id="rId206" Type="http://schemas.openxmlformats.org/officeDocument/2006/relationships/hyperlink" Target="http://www.sec.gov/Archives/edgar/data/1325702/000119312522280137/d306034dex104.htm" TargetMode="External"/><Relationship Id="rId207" Type="http://schemas.openxmlformats.org/officeDocument/2006/relationships/hyperlink" Target="http://www.sec.gov/Archives/edgar/data/1325702/000119312522280137/d306034dex105.htm" TargetMode="External"/><Relationship Id="rId208" Type="http://schemas.openxmlformats.org/officeDocument/2006/relationships/hyperlink" Target="http://www.sec.gov/Archives/edgar/data/1325702/000119312522280137/d306034dex105.htm" TargetMode="External"/><Relationship Id="rId209" Type="http://schemas.openxmlformats.org/officeDocument/2006/relationships/hyperlink" Target="http://www.sec.gov/Archives/edgar/data/1325702/000119312522280137/d306034dex105.htm" TargetMode="External"/><Relationship Id="rId210" Type="http://schemas.openxmlformats.org/officeDocument/2006/relationships/hyperlink" Target="http://www.sec.gov/Archives/edgar/data/1325702/000119312522280137/d306034dex106.htm" TargetMode="External"/><Relationship Id="rId211" Type="http://schemas.openxmlformats.org/officeDocument/2006/relationships/hyperlink" Target="http://www.sec.gov/Archives/edgar/data/1325702/000119312522280137/d306034dex106.htm" TargetMode="External"/><Relationship Id="rId212" Type="http://schemas.openxmlformats.org/officeDocument/2006/relationships/hyperlink" Target="http://www.sec.gov/Archives/edgar/data/1325702/000119312522280137/d306034dex106.htm" TargetMode="External"/><Relationship Id="rId213" Type="http://schemas.openxmlformats.org/officeDocument/2006/relationships/hyperlink" Target="http://www.sec.gov/Archives/edgar/data/1325702/000119312522280137/d306034dex106.htm" TargetMode="External"/><Relationship Id="rId214" Type="http://schemas.openxmlformats.org/officeDocument/2006/relationships/hyperlink" Target="http://www.sec.gov/Archives/edgar/data/1325702/000119312522280137/d306034dex106.htm" TargetMode="External"/><Relationship Id="rId215" Type="http://schemas.openxmlformats.org/officeDocument/2006/relationships/hyperlink" Target="http://www.sec.gov/Archives/edgar/data/1325702/000119312523100523/d482271dex101.htm" TargetMode="External"/><Relationship Id="rId216" Type="http://schemas.openxmlformats.org/officeDocument/2006/relationships/hyperlink" Target="http://www.sec.gov/Archives/edgar/data/1325702/000119312523100523/d482271dex101.htm" TargetMode="External"/><Relationship Id="rId217" Type="http://schemas.openxmlformats.org/officeDocument/2006/relationships/hyperlink" Target="http://www.sec.gov/Archives/edgar/data/1325702/000119312523100523/d482271dex101.htm" TargetMode="External"/><Relationship Id="rId218" Type="http://schemas.openxmlformats.org/officeDocument/2006/relationships/fontTable" Target="fontTable.xml"/><Relationship Id="rId2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62213</Words>
  <Characters>346273</Characters>
  <CharactersWithSpaces>413291</CharactersWithSpaces>
  <Paragraphs>12272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EX-97.1</dc:title>
</cp:coreProperties>
</file>