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13-4064930</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1,170,939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1,405,964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1,405,964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MagnaChip Semiconductor Corp</w:t>
      </w:r>
    </w:p>
    <w:p>
      <w:pPr>
        <w:spacing w:after="0" w:line="101" w:lineRule="exact"/>
        <w:rPr>
          <w:rFonts w:ascii="Arial" w:cs="Arial" w:eastAsia="Arial" w:hAnsi="Arial"/>
          <w:sz w:val="22"/>
          <w:szCs w:val="22"/>
          <w:b w:val="1"/>
          <w:bCs w:val="1"/>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4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C/O MAGNACHIP SEMICONDUCTOR S.A., 74, RUE DE MERL, LUXEMBOURG L-2146,</w:t>
      </w: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LUXEMBOURG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40" w:right="744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AllianceBernstein L.P.</w:t>
      </w:r>
    </w:p>
    <w:p>
      <w:pPr>
        <w:spacing w:after="0" w:line="12" w:lineRule="exact"/>
        <w:rPr>
          <w:rFonts w:ascii="Arial" w:cs="Arial" w:eastAsia="Arial" w:hAnsi="Arial"/>
          <w:sz w:val="19"/>
          <w:szCs w:val="19"/>
          <w:b w:val="1"/>
          <w:bCs w:val="1"/>
          <w:color w:val="auto"/>
        </w:rPr>
      </w:pPr>
    </w:p>
    <w:p>
      <w:pPr>
        <w:ind w:left="1540" w:right="410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6" w:lineRule="exact"/>
        <w:rPr>
          <w:rFonts w:ascii="Arial" w:cs="Arial" w:eastAsia="Arial" w:hAnsi="Arial"/>
          <w:sz w:val="19"/>
          <w:szCs w:val="19"/>
          <w:b w:val="1"/>
          <w:bCs w:val="1"/>
          <w:color w:val="auto"/>
        </w:rPr>
      </w:pPr>
    </w:p>
    <w:p>
      <w:pPr>
        <w:ind w:left="1540" w:right="220"/>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Jennifer Will at AllianceBernstein (212-969-1157) with any questions. All other questions can be directed to Section13USFilings@alliancebernstein.com.</w:t>
      </w:r>
    </w:p>
    <w:p>
      <w:pPr>
        <w:spacing w:after="0" w:line="87" w:lineRule="exact"/>
        <w:rPr>
          <w:rFonts w:ascii="Arial" w:cs="Arial" w:eastAsia="Arial" w:hAnsi="Arial"/>
          <w:sz w:val="19"/>
          <w:szCs w:val="19"/>
          <w:b w:val="1"/>
          <w:bCs w:val="1"/>
          <w:color w:val="auto"/>
        </w:rPr>
      </w:pPr>
    </w:p>
    <w:p>
      <w:pPr>
        <w:ind w:left="1540" w:right="846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40" w:right="710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40" w:right="804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55933J203</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40"/>
          </w:cols>
          <w:pgMar w:left="400" w:top="423" w:right="459" w:bottom="0" w:gutter="0" w:footer="0" w:header="0"/>
        </w:sectPr>
      </w:pPr>
    </w:p>
    <w:p>
      <w:pPr>
        <w:spacing w:after="0" w:line="131"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60"/>
            <w:col w:w="8700"/>
          </w:cols>
          <w:pgMar w:left="400" w:top="423" w:right="459" w:bottom="0" w:gutter="0" w:footer="0" w:header="0"/>
          <w:type w:val="continuous"/>
        </w:sect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40" w:hanging="627"/>
        <w:spacing w:after="0"/>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40" w:right="740"/>
        <w:spacing w:after="0" w:line="250" w:lineRule="auto"/>
        <w:rPr>
          <w:rFonts w:ascii="Arial" w:cs="Arial" w:eastAsia="Arial" w:hAnsi="Arial"/>
          <w:sz w:val="22"/>
          <w:szCs w:val="22"/>
          <w:color w:val="auto"/>
        </w:rPr>
      </w:pPr>
      <w:r>
        <w:rPr>
          <w:rFonts w:ascii="Arial" w:cs="Arial" w:eastAsia="Arial" w:hAnsi="Arial"/>
          <w:sz w:val="22"/>
          <w:szCs w:val="22"/>
          <w:color w:val="auto"/>
        </w:rPr>
        <w:t>1,405,964 shares acquired solely for investment purposes on behalf of client discretionary investment advisory accounts.*</w:t>
      </w:r>
    </w:p>
    <w:p>
      <w:pPr>
        <w:spacing w:after="0" w:line="93" w:lineRule="exact"/>
        <w:rPr>
          <w:rFonts w:ascii="Arial" w:cs="Arial" w:eastAsia="Arial" w:hAnsi="Arial"/>
          <w:sz w:val="22"/>
          <w:szCs w:val="22"/>
          <w:color w:val="auto"/>
        </w:rPr>
      </w:pPr>
    </w:p>
    <w:p>
      <w:pPr>
        <w:ind w:left="1540" w:right="8040" w:hanging="627"/>
        <w:spacing w:after="0" w:line="358" w:lineRule="auto"/>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4.0%</w:t>
      </w:r>
    </w:p>
    <w:p>
      <w:pPr>
        <w:sectPr>
          <w:pgSz w:w="11900" w:h="16838" w:orient="portrait"/>
          <w:cols w:equalWidth="0" w:num="1">
            <w:col w:w="11040"/>
          </w:cols>
          <w:pgMar w:left="400" w:top="423" w:right="45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40" w:hanging="806"/>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806"/>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806"/>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800" w:hanging="806"/>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1,170,939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1,405,964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ectPr>
          <w:pgSz w:w="11900" w:h="16838" w:orient="portrait"/>
          <w:cols w:equalWidth="0" w:num="2">
            <w:col w:w="6540" w:space="260"/>
            <w:col w:w="4240"/>
          </w:cols>
          <w:pgMar w:left="400" w:top="423" w:right="459" w:bottom="0" w:gutter="0" w:footer="0" w:header="0"/>
          <w:type w:val="continuous"/>
        </w:sectPr>
      </w:pPr>
    </w:p>
    <w:bookmarkStart w:id="3" w:name="page4"/>
    <w:bookmarkEnd w:id="3"/>
    <w:p>
      <w:pPr>
        <w:ind w:right="60"/>
        <w:spacing w:after="0" w:line="252" w:lineRule="auto"/>
        <w:rPr>
          <w:sz w:val="20"/>
          <w:szCs w:val="20"/>
          <w:color w:val="auto"/>
        </w:rPr>
      </w:pPr>
      <w:r>
        <w:rPr>
          <w:rFonts w:ascii="Arial" w:cs="Arial" w:eastAsia="Arial" w:hAnsi="Arial"/>
          <w:sz w:val="21"/>
          <w:szCs w:val="21"/>
          <w:color w:val="auto"/>
        </w:rPr>
        <w:t>*AllianceBernstein L.P. is a majority owned subsidiary of AXA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Date: February 15, 2021</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2021-02-08T13:08:15Z</dcterms:created>
  <dcterms:modified xsi:type="dcterms:W3CDTF">2021-02-08T13:08:15Z</dcterms:modified>
</cp:coreProperties>
</file>