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178435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8"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June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165100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6"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08"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Luxembourg, Grand Duchy of Luxembourg</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9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(Zip Code)</w:t>
      </w:r>
    </w:p>
    <w:p>
      <w:pPr>
        <w:spacing w:after="0" w:line="11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(352) 45-62-62</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158115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38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5"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 Other Events</w:t>
      </w:r>
    </w:p>
    <w:p>
      <w:pPr>
        <w:spacing w:after="0" w:line="121"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As previously disclosed, on March 25, 2021, Magnachip Semiconductor Corporation, a Delaware corporation (the “Company”), South Dearborn Limited, an exempted company incorporated in the Cayman Islands with limited liability (“Parent”) formed by an affiliate of Wise Road Capital LTD (“Wise Road”), and Michigan Merger Sub, Inc., a Delaware corporation and a wholly owned subsidiary of Parent (“Merger Sub”), entered into an Agreement and Plan of Merger (the “Merger Agreement”). The Merger Agreement provides that, among other things, and subject to the terms and conditions thereof, Merger Sub will be merged with and into the Company (the “Merger”), with the Company continuing its corporate existence under the General Corporation Law of the State of Delaware as the surviving corporation in the Merger and becoming a wholly owned subsidiary of Parent. In connection with the Merger, the Company filed its definitive proxy statement on Schedule 14A with the U.S. Securities and Exchange Commission (the “SEC”) on May 7, 2021 (as amended and supplemented, the “Proxy Statement”).</w:t>
      </w:r>
    </w:p>
    <w:p>
      <w:pPr>
        <w:spacing w:after="0" w:line="178"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On June 16, 2021, Magnachip Semiconductor, Ltd., the Korean operating subsidiary of the Company (“MSK”), received a letter from the Korean Ministry of Trade, Industry and Energy (“MOTIE”) requesting MSK to either apply for an approval or file a report, as may be applicable, under Article 11-2 of the Act on Prevention of Divulgence and Protection of Industrial Technology (the “ITA”) concerning the Merger.</w:t>
      </w:r>
    </w:p>
    <w:p>
      <w:pPr>
        <w:spacing w:after="0" w:line="165"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Under the terms of the Merger Agreement, MSK’s receipt of the request from MOTIE to apply for approval or file a report pursuant to the ITA concerning the Merger may be deemed to have resulted in the closing of the Merger now being conditioned on the receipt of MOTIE’s authorization without the imposition of a burdensome condition as defined in the Merger Agreement.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 xml:space="preserve">This communication is being made in respect of the proposed transaction involving the Company and Wise Road. In connection with the proposed transaction, the Company has filed relevant materials with the SEC, including the Proxy Statement. Promptly after filing the Proxy Statement with the SEC, the Company mailed the Proxy Statement and a proxy card to each shareholder of the Company entitled to vote at the special meeting relating to the proposed transaction. This communication is not a substitute for the Proxy Statement or any other document that the Company may file with the SEC or send to its shareholders in connection with the proposed transaction. BEFORE MAKING ANY VOTING DECISION, SHAREHOLDERS OF MAGNACHIP ARE URGED TO READ THESE MATERIALS (INCLUDING ANY AMENDMENTS OR SUPPLEMENTS THERETO) AND ANY OTHER RELEVANT DOCUMENTS IN CONNECTION WITH THE PROPOSED TRANSACTION THAT MAGNACHIP WILL FILE WITH THE SEC WHEN THEY BECOME AVAILABLE BECAUSE THEY WILL CONTAIN IMPORTANT INFORMATION ABOUT THE PROPOSED TRANSACTION AND THE PARTIES TO THE PROPOSED TRANSACTION. The Proxy Statement and other relevant materials in connection with the proposed transaction, and any other documents filed by the Company with the SEC, may be obtained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This communication does not constitute a solicitation of proxy, an offer to purchase, or a solicitation of an offer to sell any securities. The Board and the Company’s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are set forth in the Proxy Statement. Additional information regarding these individuals is set forth in the Company’s Annual Report on Form 10-K for the fiscal year ended December 31, 2020, filed with the SEC on March 9, 2021, and Annual Report Amendment No. 1 on Form 10-K/A for the year ended December 31, 2020, filed with the SEC on April 30, 2021. To the extent the Company’s directors and executive officers or their holdings of the Company’s securities have changed from the amounts disclosed in those filings, to the Company’s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ectPr>
          <w:pgSz w:w="11900" w:h="16838" w:orient="portrait"/>
          <w:cols w:equalWidth="0" w:num="1">
            <w:col w:w="10960"/>
          </w:cols>
          <w:pgMar w:left="440" w:top="270"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 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and statements relating to the proposed transaction among the Company and Wise Road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Merger Agreement with respect to the proposed transaction with Wise Road; the diversion of and attention of management of the Company on transaction-related issues; legal proceedings, judgments or settlements, including those that may be instituted against the Company, the Board and the Company’s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7"/>
          <w:szCs w:val="17"/>
          <w:u w:val="single" w:color="auto"/>
          <w:color w:val="auto"/>
        </w:rPr>
        <w:t>www.magnachip.com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www.sec.gov</w:t>
      </w:r>
      <w:r>
        <w:rPr>
          <w:rFonts w:ascii="Arial" w:cs="Arial" w:eastAsia="Arial" w:hAnsi="Arial"/>
          <w:sz w:val="17"/>
          <w:szCs w:val="17"/>
          <w:color w:val="auto"/>
        </w:rPr>
        <w:t>. Forward-looking statements speak only as of the date they are made, and the Company undertakes no obligation to update them in light of new information or future events.</w:t>
      </w:r>
    </w:p>
    <w:p>
      <w:pPr>
        <w:sectPr>
          <w:pgSz w:w="11900" w:h="16838" w:orient="portrait"/>
          <w:cols w:equalWidth="0" w:num="1">
            <w:col w:w="11020"/>
          </w:cols>
          <w:pgMar w:left="440" w:top="270"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17, 2021</w:t>
      </w:r>
    </w:p>
    <w:p>
      <w:pPr>
        <w:spacing w:after="0" w:line="248"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ind w:left="6280"/>
        <w:spacing w:after="0"/>
        <w:tabs>
          <w:tab w:leader="none" w:pos="6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4326255</wp:posOffset>
            </wp:positionH>
            <wp:positionV relativeFrom="paragraph">
              <wp:posOffset>14605</wp:posOffset>
            </wp:positionV>
            <wp:extent cx="26657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Theodore Kim</w:t>
      </w:r>
    </w:p>
    <w:p>
      <w:pPr>
        <w:spacing w:after="0" w:line="23" w:lineRule="exact"/>
        <w:rPr>
          <w:sz w:val="20"/>
          <w:szCs w:val="20"/>
          <w:color w:val="auto"/>
        </w:rPr>
      </w:pPr>
    </w:p>
    <w:p>
      <w:pPr>
        <w:jc w:val="right"/>
        <w:spacing w:after="0"/>
        <w:tabs>
          <w:tab w:leader="none" w:pos="4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 General Counsel and Secretary</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2021-06-17T05:14:32Z</dcterms:created>
  <dcterms:modified xsi:type="dcterms:W3CDTF">2021-06-17T05:14:32Z</dcterms:modified>
</cp:coreProperties>
</file>