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July 25,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4620" w:type="dxa"/>
            <w:vAlign w:val="bottom"/>
          </w:tcPr>
          <w:p>
            <w:pPr>
              <w:jc w:val="center"/>
              <w:ind w:right="2262"/>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506"/>
              <w:spacing w:after="0"/>
              <w:rPr>
                <w:sz w:val="20"/>
                <w:szCs w:val="20"/>
                <w:color w:val="auto"/>
              </w:rPr>
            </w:pPr>
            <w:r>
              <w:rPr>
                <w:rFonts w:ascii="Arial" w:cs="Arial" w:eastAsia="Arial" w:hAnsi="Arial"/>
                <w:sz w:val="18"/>
                <w:szCs w:val="18"/>
                <w:b w:val="1"/>
                <w:bCs w:val="1"/>
                <w:color w:val="auto"/>
                <w:w w:val="88"/>
              </w:rPr>
              <w:t>333-126019-09</w:t>
            </w:r>
          </w:p>
        </w:tc>
        <w:tc>
          <w:tcPr>
            <w:tcW w:w="3420" w:type="dxa"/>
            <w:vAlign w:val="bottom"/>
          </w:tcPr>
          <w:p>
            <w:pPr>
              <w:jc w:val="center"/>
              <w:ind w:left="230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620" w:type="dxa"/>
            <w:vAlign w:val="bottom"/>
          </w:tcPr>
          <w:p>
            <w:pPr>
              <w:jc w:val="center"/>
              <w:ind w:right="226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00" w:type="dxa"/>
            <w:vAlign w:val="bottom"/>
          </w:tcPr>
          <w:p>
            <w:pPr>
              <w:jc w:val="center"/>
              <w:ind w:right="5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3420" w:type="dxa"/>
            <w:vAlign w:val="bottom"/>
          </w:tcPr>
          <w:p>
            <w:pPr>
              <w:jc w:val="center"/>
              <w:ind w:left="23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20" w:type="dxa"/>
            <w:vAlign w:val="bottom"/>
          </w:tcPr>
          <w:p>
            <w:pPr>
              <w:jc w:val="center"/>
              <w:ind w:right="2262"/>
              <w:spacing w:after="0"/>
              <w:rPr>
                <w:sz w:val="20"/>
                <w:szCs w:val="20"/>
                <w:color w:val="auto"/>
              </w:rPr>
            </w:pPr>
            <w:r>
              <w:rPr>
                <w:rFonts w:ascii="Arial" w:cs="Arial" w:eastAsia="Arial" w:hAnsi="Arial"/>
                <w:sz w:val="14"/>
                <w:szCs w:val="14"/>
                <w:b w:val="1"/>
                <w:bCs w:val="1"/>
                <w:color w:val="auto"/>
                <w:w w:val="89"/>
              </w:rPr>
              <w:t>of Incorporation)</w:t>
            </w:r>
          </w:p>
        </w:tc>
        <w:tc>
          <w:tcPr>
            <w:tcW w:w="2300" w:type="dxa"/>
            <w:vAlign w:val="bottom"/>
          </w:tcPr>
          <w:p>
            <w:pPr>
              <w:jc w:val="center"/>
              <w:ind w:right="486"/>
              <w:spacing w:after="0"/>
              <w:rPr>
                <w:sz w:val="20"/>
                <w:szCs w:val="20"/>
                <w:color w:val="auto"/>
              </w:rPr>
            </w:pPr>
            <w:r>
              <w:rPr>
                <w:rFonts w:ascii="Arial" w:cs="Arial" w:eastAsia="Arial" w:hAnsi="Arial"/>
                <w:sz w:val="14"/>
                <w:szCs w:val="14"/>
                <w:b w:val="1"/>
                <w:bCs w:val="1"/>
                <w:color w:val="auto"/>
                <w:w w:val="91"/>
              </w:rPr>
              <w:t>File Number)</w:t>
            </w:r>
          </w:p>
        </w:tc>
        <w:tc>
          <w:tcPr>
            <w:tcW w:w="3420" w:type="dxa"/>
            <w:vAlign w:val="bottom"/>
          </w:tcPr>
          <w:p>
            <w:pPr>
              <w:jc w:val="center"/>
              <w:ind w:left="22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920" w:type="dxa"/>
            <w:vAlign w:val="bottom"/>
            <w:gridSpan w:val="2"/>
          </w:tcPr>
          <w:p>
            <w:pPr>
              <w:jc w:val="center"/>
              <w:ind w:right="160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3420" w:type="dxa"/>
            <w:vAlign w:val="bottom"/>
          </w:tcPr>
          <w:p>
            <w:pPr>
              <w:spacing w:after="0"/>
              <w:rPr>
                <w:sz w:val="24"/>
                <w:szCs w:val="24"/>
                <w:color w:val="auto"/>
              </w:rPr>
            </w:pPr>
          </w:p>
        </w:tc>
      </w:tr>
      <w:tr>
        <w:trPr>
          <w:trHeight w:val="231"/>
        </w:trPr>
        <w:tc>
          <w:tcPr>
            <w:tcW w:w="462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300" w:type="dxa"/>
            <w:vAlign w:val="bottom"/>
          </w:tcPr>
          <w:p>
            <w:pPr>
              <w:spacing w:after="0"/>
              <w:rPr>
                <w:sz w:val="20"/>
                <w:szCs w:val="20"/>
                <w:color w:val="auto"/>
              </w:rPr>
            </w:pPr>
          </w:p>
        </w:tc>
        <w:tc>
          <w:tcPr>
            <w:tcW w:w="3420" w:type="dxa"/>
            <w:vAlign w:val="bottom"/>
          </w:tcPr>
          <w:p>
            <w:pPr>
              <w:jc w:val="center"/>
              <w:ind w:right="4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620" w:type="dxa"/>
            <w:vAlign w:val="bottom"/>
          </w:tcPr>
          <w:p>
            <w:pPr>
              <w:jc w:val="center"/>
              <w:ind w:left="5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300" w:type="dxa"/>
            <w:vAlign w:val="bottom"/>
          </w:tcPr>
          <w:p>
            <w:pPr>
              <w:spacing w:after="0"/>
              <w:rPr>
                <w:sz w:val="15"/>
                <w:szCs w:val="15"/>
                <w:color w:val="auto"/>
              </w:rPr>
            </w:pPr>
          </w:p>
        </w:tc>
        <w:tc>
          <w:tcPr>
            <w:tcW w:w="3420" w:type="dxa"/>
            <w:vAlign w:val="bottom"/>
          </w:tcPr>
          <w:p>
            <w:pPr>
              <w:jc w:val="center"/>
              <w:ind w:right="4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July 26, 2006, MagnaChip Semiconductor LLC (the “Company”) entered into the Fourth Amendment to Credit Agreement (as amended, the “Credit Agreement”), dated as of July 26, 2006 (the “Amendment”), with MagnaChip Semiconductor S.A. and MagnaChip Semiconductor Finance Company, as borrowers, the Subsidiary Guarantors party thereto, the Lenders party thereto (the “Lenders”), UBS AG, Stamford Branch, as administrative agent and collateral agent (the “Agent”), and U.S. Bank National Association (“US Bank”).</w:t>
      </w:r>
    </w:p>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Under the Amendment, among other things, (i) the Company agreed to furnish to the Agent and the Lenders monthly financial statements along with an officer’s certificate with respect to the occurrence of any events of default under the Credit Agreement, (ii) certain restrictions were imposed on the ability of the Company and its subsidiaries to make acquisitions and capital expenditures, (iii) the financial covenants set forth in Section 6.10 of the Credit Agreement were revised,</w:t>
      </w:r>
    </w:p>
    <w:p>
      <w:pPr>
        <w:spacing w:after="0" w:line="1" w:lineRule="exact"/>
        <w:rPr>
          <w:sz w:val="20"/>
          <w:szCs w:val="20"/>
          <w:color w:val="auto"/>
        </w:rPr>
      </w:pPr>
    </w:p>
    <w:p>
      <w:pPr>
        <w:ind w:firstLine="8"/>
        <w:spacing w:after="0" w:line="254" w:lineRule="auto"/>
        <w:tabs>
          <w:tab w:leader="none" w:pos="29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schedule of applicable margins under the Credit Agreement was revised, (v) the Lenders, the Agent and US Bank waived certain defaults and obligations, and (vi) the Agent consented to the Company’s voting in favor of increasing the share capital of one of the Company’s subsidiaries. The foregoing description does not purport to be complete and is qualified in its entirety by reference to the text of the Amendment, which is attached hereto as Exhibit 10.3.d to this report and is incorporated herein by reference.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the Company and its consolidated subsidiaries for the quarter ended July 2, 2006, as presented in a press release dated July 27,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6"/>
          <w:szCs w:val="16"/>
          <w:b w:val="1"/>
          <w:bCs w:val="1"/>
          <w:color w:val="auto"/>
        </w:rPr>
        <w:t>Material Impairments.</w:t>
      </w:r>
    </w:p>
    <w:p>
      <w:pPr>
        <w:spacing w:after="0" w:line="96"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In connection with the preparation of the Company’s financial statements for the period ended July 2, 2006, the Company’s management performed an impairment review of one of the Company’s fabrication facilities (the “Fab”) and certain related technology and customer-based intangible assets (the “asset group”) in accordance with Statement of Financial Accounting Standards (“SFAS”) 144, Accounting for the Impairment or Disposal of Long-Lived Assets.</w:t>
      </w:r>
    </w:p>
    <w:p>
      <w:pPr>
        <w:spacing w:after="0" w:line="88"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Based on management’s conclusion that the carrying amount of the asset group exceeded its fair value, on July 25, 2006, the Audit Committee of the Company’s Board of Directors approved management’s recording of an impairment charge in the amount of $92.5 million which is included in the Company’s consolidated results of operations for the quarter ended July 2, 2006. The net book value of the asset group before the impairment charge was approximately $186 million.</w:t>
      </w:r>
    </w:p>
    <w:p>
      <w:pPr>
        <w:spacing w:after="0" w:line="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SFAS 144 requires the Company to evaluate the recoverability of certain long-lived assets whenever events or changes in circumstances indicate that the carrying amount may not be recoverable. From the fourth quarter of 2005 through the end of March 2006, the capacity utilization of the Fab was under the level that the Company believes to be normal, primarily due to a transition in product mix coupled with a seasonal decrease in market demand, which the Company deemed to be temporary and recoverable. However, in the second quarter of 2006, management determined, based on revised forecasting, that the projected demand for certain of its products was significantly less than previously forecasted and that this decline was not temporary or seasonal. Therefore, the Company assessed whether there had been a material impairment on the assets of the Fab pursuant to SFAS 144.</w:t>
      </w:r>
    </w:p>
    <w:p>
      <w:pPr>
        <w:sectPr>
          <w:pgSz w:w="11900" w:h="16838" w:orient="portrait"/>
          <w:cols w:equalWidth="0" w:num="1">
            <w:col w:w="11380"/>
          </w:cols>
          <w:pgMar w:left="240" w:top="274" w:right="27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560" w:type="dxa"/>
            <w:vAlign w:val="bottom"/>
          </w:tcPr>
          <w:p>
            <w:pPr>
              <w:spacing w:after="0"/>
              <w:rPr>
                <w:sz w:val="15"/>
                <w:szCs w:val="15"/>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660" w:type="dxa"/>
            <w:vAlign w:val="bottom"/>
          </w:tcPr>
          <w:p>
            <w:pPr>
              <w:ind w:left="120"/>
              <w:spacing w:after="0"/>
              <w:rPr>
                <w:sz w:val="20"/>
                <w:szCs w:val="20"/>
                <w:color w:val="auto"/>
              </w:rPr>
            </w:pPr>
            <w:r>
              <w:rPr>
                <w:rFonts w:ascii="Arial" w:cs="Arial" w:eastAsia="Arial" w:hAnsi="Arial"/>
                <w:sz w:val="18"/>
                <w:szCs w:val="18"/>
                <w:color w:val="auto"/>
              </w:rPr>
              <w:t>10.3.d</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Semiconductor Finance Company, as borrowers, MagnaChip Semiconductor LLC, the Subsidiary Guarantors party thereto, the Lenders party</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thereto, UBS AG, Stamford Branch, as administrative agent and collateral agent, and U.S. Bank National Association.</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3"/>
              </w:rPr>
              <w:t>Press release for MagnaChip Semiconductor LLC dated July 27, 2006, announcing the results for the second quarter ended July 2, 2006.</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Dated: July 27, 2006</w:t>
            </w: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By: /s/ Sang Park</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56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309"/>
        </w:trPr>
        <w:tc>
          <w:tcPr>
            <w:tcW w:w="660" w:type="dxa"/>
            <w:vAlign w:val="bottom"/>
          </w:tcPr>
          <w:p>
            <w:pPr>
              <w:ind w:left="120"/>
              <w:spacing w:after="0"/>
              <w:rPr>
                <w:sz w:val="20"/>
                <w:szCs w:val="20"/>
                <w:color w:val="auto"/>
              </w:rPr>
            </w:pPr>
            <w:r>
              <w:rPr>
                <w:rFonts w:ascii="Arial" w:cs="Arial" w:eastAsia="Arial" w:hAnsi="Arial"/>
                <w:sz w:val="18"/>
                <w:szCs w:val="18"/>
                <w:color w:val="auto"/>
              </w:rPr>
              <w:t>10.3.d</w:t>
            </w:r>
          </w:p>
        </w:tc>
        <w:tc>
          <w:tcPr>
            <w:tcW w:w="56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0"/>
              </w:rPr>
              <w:t>Semiconductor Finance Company, as borrowers, MagnaChip Semiconductor LLC, the Subsidiary Guarantors party thereto, the Lenders party</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thereto, UBS AG, Stamford Branch, as administrative agent and collateral agent, and U.S. Bank National Association.</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3"/>
              </w:rPr>
              <w:t>Press release for MagnaChip Semiconductor LLC dated July 27, 2006, announcing the results for the second quarter ended July 2, 2006.</w:t>
            </w:r>
          </w:p>
        </w:tc>
      </w:tr>
    </w:tbl>
    <w:p>
      <w:pPr>
        <w:sectPr>
          <w:pgSz w:w="11900" w:h="16838" w:orient="portrait"/>
          <w:cols w:equalWidth="0" w:num="1">
            <w:col w:w="11420"/>
          </w:cols>
          <w:pgMar w:left="240" w:top="25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u w:val="single" w:color="auto"/>
          <w:color w:val="auto"/>
        </w:rPr>
        <w:t>Exhibit 10.3.d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CREDIT AGREEMENT</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FOURTH AMENDMENT TO CREDIT AGREEMENT (as the same may be amended, restated, supplemented, extended or otherwise modified from time to time,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entered into as of July 26, 2006,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the Subsidiary Guarantors listed on the signature pages hereto (each of Borrowers, Holdings and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 and U.S. Bank National Association, a national association duly organized and existing under the federal laws of the United States of America (“</w:t>
      </w:r>
      <w:r>
        <w:rPr>
          <w:rFonts w:ascii="Arial" w:cs="Arial" w:eastAsia="Arial" w:hAnsi="Arial"/>
          <w:sz w:val="16"/>
          <w:szCs w:val="16"/>
          <w:b w:val="1"/>
          <w:bCs w:val="1"/>
          <w:color w:val="auto"/>
        </w:rPr>
        <w:t>US Bank</w:t>
      </w:r>
      <w:r>
        <w:rPr>
          <w:rFonts w:ascii="Arial" w:cs="Arial" w:eastAsia="Arial" w:hAnsi="Arial"/>
          <w:sz w:val="16"/>
          <w:szCs w:val="16"/>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The Borrowers, Holdings, Subsidiary Guarantors, UBS Securities LLC, as lead arranger, as documentation agent and as syndication agent, UBS Loan Finance LLC, as swingline lender, Korea Exchange Bank, as issuing bank and Agents are parties to that certain Credit Agreement dated as of December 23, 2004 (as amended hereby, and as the same has been and hereafter may be amended, restated, supplemented or otherwise modified from time to time, the “</w:t>
      </w:r>
      <w:r>
        <w:rPr>
          <w:rFonts w:ascii="Arial" w:cs="Arial" w:eastAsia="Arial" w:hAnsi="Arial"/>
          <w:sz w:val="16"/>
          <w:szCs w:val="16"/>
          <w:b w:val="1"/>
          <w:b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MagnaChip Semiconductor, Ltd., a limited liability company organized under the laws of the Republic of Korea, and US Bank, as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w:t>
      </w:r>
      <w:r>
        <w:rPr>
          <w:rFonts w:ascii="Arial" w:cs="Arial" w:eastAsia="Arial" w:hAnsi="Arial"/>
          <w:sz w:val="16"/>
          <w:szCs w:val="16"/>
          <w:b w:val="1"/>
          <w:bCs w:val="1"/>
          <w:color w:val="auto"/>
        </w:rPr>
        <w:t>Collateral Trustee</w:t>
      </w:r>
      <w:r>
        <w:rPr>
          <w:rFonts w:ascii="Arial" w:cs="Arial" w:eastAsia="Arial" w:hAnsi="Arial"/>
          <w:sz w:val="16"/>
          <w:szCs w:val="16"/>
          <w:color w:val="auto"/>
        </w:rPr>
        <w:t>”), have entered into the Accounts Receivable Assignment Agreement dated as of December 23, 2004 (as amended, the “</w:t>
      </w:r>
      <w:r>
        <w:rPr>
          <w:rFonts w:ascii="Arial" w:cs="Arial" w:eastAsia="Arial" w:hAnsi="Arial"/>
          <w:sz w:val="16"/>
          <w:szCs w:val="16"/>
          <w:b w:val="1"/>
          <w:bCs w:val="1"/>
          <w:color w:val="auto"/>
        </w:rPr>
        <w:t>A/R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Holdings, Luxco and UBS AG, Stamford Brach, have entered into the Pledge Agreement relating to 10,159 Shares of MagnaChip Semiconductor</w:t>
      </w:r>
      <w:r>
        <w:rPr>
          <w:rFonts w:ascii="Arial" w:cs="Arial" w:eastAsia="Arial" w:hAnsi="Arial"/>
          <w:sz w:val="16"/>
          <w:szCs w:val="16"/>
          <w:b w:val="1"/>
          <w:bCs w:val="1"/>
          <w:color w:val="auto"/>
        </w:rPr>
        <w:t xml:space="preserve"> </w:t>
      </w:r>
      <w:r>
        <w:rPr>
          <w:rFonts w:ascii="Arial" w:cs="Arial" w:eastAsia="Arial" w:hAnsi="Arial"/>
          <w:sz w:val="16"/>
          <w:szCs w:val="16"/>
          <w:color w:val="auto"/>
        </w:rPr>
        <w:t>S.A., dated December 23, 2004 (as amended, the “</w:t>
      </w:r>
      <w:r>
        <w:rPr>
          <w:rFonts w:ascii="Arial" w:cs="Arial" w:eastAsia="Arial" w:hAnsi="Arial"/>
          <w:sz w:val="16"/>
          <w:szCs w:val="16"/>
          <w:b w:val="1"/>
          <w:bCs w:val="1"/>
          <w:color w:val="auto"/>
        </w:rPr>
        <w:t>Luxco Pledge Agreement</w:t>
      </w:r>
      <w:r>
        <w:rPr>
          <w:rFonts w:ascii="Arial" w:cs="Arial" w:eastAsia="Arial" w:hAnsi="Arial"/>
          <w:sz w:val="16"/>
          <w:szCs w:val="16"/>
          <w:color w:val="auto"/>
        </w:rPr>
        <w:t>”). Unless otherwise specified herein, all capitalized terms used in this Amendment shall have the meanings ascribed to them in the Credit Agreement.</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 The Borrowers have requested that the Agents and the Required Lenders (i) amend Sections 5.01, 6.07(f), 6.10(a), (b) and (c) and Annex I of the Credit Agreement and add a new Section 6.10(d) to the Credit Agreement upon the terms and subject to the conditions as herein set forth and waive various Events of Default related thereto; (ii) waive, and instruct the Collateral Trustee to waive, certain obligations set forth in the A/R Agreement and Section 5.01(j) of the Credit Agreement; and (iii) consent to the taking of certain actions under the Luxco Pledge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6" w:name="page7"/>
    <w:bookmarkEnd w:id="6"/>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foregoing, the covenants and conditions contained herein and other good and valuable consideration, the receipt and sufficiency of which are hereby acknowledged, the parties hereto agree as follows:</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and Waiver of Provisions in Credit Agreement, A/R Agreement and Luxco Pledge Agreement</w:t>
      </w:r>
      <w:r>
        <w:rPr>
          <w:rFonts w:ascii="Arial" w:cs="Arial" w:eastAsia="Arial" w:hAnsi="Arial"/>
          <w:sz w:val="18"/>
          <w:szCs w:val="18"/>
          <w:b w:val="1"/>
          <w:bCs w:val="1"/>
          <w:color w:val="auto"/>
        </w:rPr>
        <w:t>.</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Section 5.01 of the Credit Agreement is hereby amended by adding a new clause (l) thereto, which shall read as follows:</w:t>
      </w:r>
    </w:p>
    <w:p>
      <w:pPr>
        <w:spacing w:after="0" w:line="90"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Monthly Reports</w:t>
      </w:r>
      <w:r>
        <w:rPr>
          <w:rFonts w:ascii="Arial" w:cs="Arial" w:eastAsia="Arial" w:hAnsi="Arial"/>
          <w:sz w:val="16"/>
          <w:szCs w:val="16"/>
          <w:color w:val="auto"/>
        </w:rPr>
        <w:t>. As soon as available and in any event within 20 days after the end of each fiscal month of each fiscal year (except with respect to any months for which quarterly or yearly financial statements are prepared), beginning with the fiscal month ending July 31, 2006, the consolidated balance sheet of Holdings as of the end of such fiscal month and related consolidated statements of income and cash flows for such fiscal month and for the then elapsed portion of the fiscal year, in comparative form with (i) the budget delivered pursuant to Section 5.01(g) in respect of such fiscal month and such then elapsed portion of such fiscal year and (ii) the consolidated statements of income and cash flows for the comparable periods in the previous fiscal year, and notes thereto (including, with respect to any Subsidiary of Holdings that is not a Subsidiary Guarantor, and each other Subsidiary of Holdings for which such note is required to be prepared pursuant to the requirements of applicable law or GAAP, a note with a consolidating balance sheet and financial statement of income and cash flows separating out each such Subsidiary) and accompanied by a certificate of a Financial Officer of a Loan Party certifying that no Event of Default has occurred or, if such Event of Default has occurred, specifying the nature and extent thereof and any corrective action taken or proposed to be taken with respect thereto, and also stating that such financial statements fairly present, in all material respects, the consolidated financial condition, results of operations and cash flows of Holdings as of the date and for the periods specified in accordance with GAAP consistently applied, and on a basis consistent with audited financial statements referred to in clause (a) of this Section, subject to normal year-end audit adjustments.”</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Section 6.07(f) of the Credit Agreement is hereby amended and restated in its entirety to read as follows:</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 xml:space="preserve">“(f) Permitted Acquisitions;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Permitted Acquisition shall be permitted on or after July 26, 2006 until such time as the Total Leverage Ratio on the last day of the fiscal quarter ended immediately prior to the date of such proposed Permitted Acquisition is less than 4.700 to 1.0.”</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Sections 6.10(a), (b) and (c) of the Credit Agreement are each hereby amended and restated in their entirety to read as follows:</w:t>
      </w:r>
    </w:p>
    <w:p>
      <w:pPr>
        <w:spacing w:after="0" w:line="90" w:lineRule="exact"/>
        <w:rPr>
          <w:sz w:val="20"/>
          <w:szCs w:val="20"/>
          <w:color w:val="auto"/>
        </w:rPr>
      </w:pPr>
    </w:p>
    <w:p>
      <w:pPr>
        <w:ind w:left="920" w:right="240" w:firstLine="42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Permit the Total Leverage Ratio, at the last day of each fiscal quarter during any period set forth in the table below, to exceed the ratio set forth opposite such period in the table below:</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9"/>
              </w:rPr>
              <w:t>Leverage Ratio</w:t>
            </w:r>
          </w:p>
        </w:tc>
      </w:tr>
      <w:tr>
        <w:trPr>
          <w:trHeight w:val="195"/>
        </w:trPr>
        <w:tc>
          <w:tcPr>
            <w:tcW w:w="1680" w:type="dxa"/>
            <w:vAlign w:val="bottom"/>
          </w:tcPr>
          <w:p>
            <w:pPr>
              <w:spacing w:after="0" w:line="195" w:lineRule="exact"/>
              <w:rPr>
                <w:sz w:val="20"/>
                <w:szCs w:val="20"/>
                <w:color w:val="auto"/>
              </w:rPr>
            </w:pPr>
            <w:r>
              <w:rPr>
                <w:rFonts w:ascii="Arial" w:cs="Arial" w:eastAsia="Arial" w:hAnsi="Arial"/>
                <w:sz w:val="18"/>
                <w:szCs w:val="18"/>
                <w:color w:val="auto"/>
              </w:rPr>
              <w:t>Closing Date</w:t>
            </w:r>
          </w:p>
        </w:tc>
        <w:tc>
          <w:tcPr>
            <w:tcW w:w="580" w:type="dxa"/>
            <w:vAlign w:val="bottom"/>
          </w:tcPr>
          <w:p>
            <w:pPr>
              <w:jc w:val="right"/>
              <w:ind w:right="112"/>
              <w:spacing w:after="0" w:line="195" w:lineRule="exact"/>
              <w:rPr>
                <w:sz w:val="20"/>
                <w:szCs w:val="20"/>
                <w:color w:val="auto"/>
              </w:rPr>
            </w:pPr>
            <w:r>
              <w:rPr>
                <w:rFonts w:ascii="Arial" w:cs="Arial" w:eastAsia="Arial" w:hAnsi="Arial"/>
                <w:sz w:val="18"/>
                <w:szCs w:val="18"/>
                <w:color w:val="auto"/>
              </w:rPr>
              <w:t>-</w:t>
            </w:r>
          </w:p>
        </w:tc>
        <w:tc>
          <w:tcPr>
            <w:tcW w:w="2240" w:type="dxa"/>
            <w:vAlign w:val="bottom"/>
          </w:tcPr>
          <w:p>
            <w:pPr>
              <w:ind w:left="120"/>
              <w:spacing w:after="0" w:line="195" w:lineRule="exact"/>
              <w:rPr>
                <w:sz w:val="20"/>
                <w:szCs w:val="20"/>
                <w:color w:val="auto"/>
              </w:rPr>
            </w:pPr>
            <w:r>
              <w:rPr>
                <w:rFonts w:ascii="Arial" w:cs="Arial" w:eastAsia="Arial" w:hAnsi="Arial"/>
                <w:sz w:val="18"/>
                <w:szCs w:val="18"/>
                <w:color w:val="auto"/>
              </w:rPr>
              <w:t>December 31, 2005</w:t>
            </w:r>
          </w:p>
        </w:tc>
        <w:tc>
          <w:tcPr>
            <w:tcW w:w="5100" w:type="dxa"/>
            <w:vAlign w:val="bottom"/>
          </w:tcPr>
          <w:p>
            <w:pPr>
              <w:spacing w:after="0"/>
              <w:rPr>
                <w:sz w:val="16"/>
                <w:szCs w:val="16"/>
                <w:color w:val="auto"/>
              </w:rPr>
            </w:pPr>
          </w:p>
        </w:tc>
        <w:tc>
          <w:tcPr>
            <w:tcW w:w="9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6"/>
              </w:rPr>
              <w:t>5.100 to 1.0</w:t>
            </w:r>
          </w:p>
        </w:tc>
        <w:tc>
          <w:tcPr>
            <w:tcW w:w="20" w:type="dxa"/>
            <w:vAlign w:val="bottom"/>
          </w:tcPr>
          <w:p>
            <w:pPr>
              <w:spacing w:after="0"/>
              <w:rPr>
                <w:sz w:val="16"/>
                <w:szCs w:val="16"/>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January 1, 2006</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March 31, 2006</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4.700 to 1.0</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April 1, 2006</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June 30, 2006</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4.850 to 1.0</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July 1, 2006</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September 30, 2006</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6.850 to 1.0</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October 1, 2006</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December 31, 2006</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4.700 to 1.0</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January 1, 2007</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September 30, 2007</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4.500 to 1.0</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October 1, 2007</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December 31, 2007</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4.250 to 1.0</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January 1, 2008</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40" w:type="dxa"/>
            <w:vAlign w:val="bottom"/>
          </w:tcPr>
          <w:p>
            <w:pPr>
              <w:ind w:left="120"/>
              <w:spacing w:after="0"/>
              <w:rPr>
                <w:sz w:val="20"/>
                <w:szCs w:val="20"/>
                <w:color w:val="auto"/>
              </w:rPr>
            </w:pPr>
            <w:r>
              <w:rPr>
                <w:rFonts w:ascii="Arial" w:cs="Arial" w:eastAsia="Arial" w:hAnsi="Arial"/>
                <w:sz w:val="18"/>
                <w:szCs w:val="18"/>
                <w:color w:val="auto"/>
              </w:rPr>
              <w:t>December 31, 2008</w:t>
            </w:r>
          </w:p>
        </w:tc>
        <w:tc>
          <w:tcPr>
            <w:tcW w:w="51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3.200 to 1.0</w:t>
            </w:r>
          </w:p>
        </w:tc>
      </w:t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w w:val="90"/>
              </w:rPr>
              <w:t>January 1, 2009 and thereafter</w:t>
            </w:r>
          </w:p>
        </w:tc>
        <w:tc>
          <w:tcPr>
            <w:tcW w:w="22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w w:val="88"/>
              </w:rPr>
              <w:t>2.625 to 1.0</w:t>
            </w:r>
          </w:p>
        </w:tc>
      </w:tr>
      <w:tr>
        <w:trPr>
          <w:trHeight w:val="365"/>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100" w:type="dxa"/>
            <w:vAlign w:val="bottom"/>
          </w:tcPr>
          <w:p>
            <w:pPr>
              <w:jc w:val="right"/>
              <w:ind w:right="4212"/>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firstLine="421"/>
        <w:spacing w:after="0" w:line="268" w:lineRule="auto"/>
        <w:tabs>
          <w:tab w:leader="none" w:pos="66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Interest Coverage Ratio</w:t>
      </w:r>
      <w:r>
        <w:rPr>
          <w:rFonts w:ascii="Arial" w:cs="Arial" w:eastAsia="Arial" w:hAnsi="Arial"/>
          <w:sz w:val="18"/>
          <w:szCs w:val="18"/>
          <w:color w:val="auto"/>
        </w:rPr>
        <w:t>. Permit the Consolidated Interest Coverage Ratio, for any Test Period ending during any period set forth below, to be less than the ratio set forth opposite such period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6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Interest Coverage Ratio</w:t>
            </w:r>
          </w:p>
        </w:tc>
      </w:tr>
      <w:tr>
        <w:trPr>
          <w:trHeight w:val="195"/>
        </w:trPr>
        <w:tc>
          <w:tcPr>
            <w:tcW w:w="1580" w:type="dxa"/>
            <w:vAlign w:val="bottom"/>
          </w:tcPr>
          <w:p>
            <w:pPr>
              <w:spacing w:after="0" w:line="195" w:lineRule="exact"/>
              <w:rPr>
                <w:sz w:val="20"/>
                <w:szCs w:val="20"/>
                <w:color w:val="auto"/>
              </w:rPr>
            </w:pPr>
            <w:r>
              <w:rPr>
                <w:rFonts w:ascii="Arial" w:cs="Arial" w:eastAsia="Arial" w:hAnsi="Arial"/>
                <w:sz w:val="18"/>
                <w:szCs w:val="18"/>
                <w:color w:val="auto"/>
              </w:rPr>
              <w:t>Closing Date</w:t>
            </w:r>
          </w:p>
        </w:tc>
        <w:tc>
          <w:tcPr>
            <w:tcW w:w="64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w:t>
            </w:r>
          </w:p>
        </w:tc>
        <w:tc>
          <w:tcPr>
            <w:tcW w:w="5980" w:type="dxa"/>
            <w:vAlign w:val="bottom"/>
          </w:tcPr>
          <w:p>
            <w:pPr>
              <w:ind w:left="80"/>
              <w:spacing w:after="0" w:line="195" w:lineRule="exact"/>
              <w:rPr>
                <w:sz w:val="20"/>
                <w:szCs w:val="20"/>
                <w:color w:val="auto"/>
              </w:rPr>
            </w:pPr>
            <w:r>
              <w:rPr>
                <w:rFonts w:ascii="Arial" w:cs="Arial" w:eastAsia="Arial" w:hAnsi="Arial"/>
                <w:sz w:val="18"/>
                <w:szCs w:val="18"/>
                <w:color w:val="auto"/>
              </w:rPr>
              <w:t>December 31, 2005</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2.500 to 1.0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January 1, 2006</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980" w:type="dxa"/>
            <w:vAlign w:val="bottom"/>
          </w:tcPr>
          <w:p>
            <w:pPr>
              <w:ind w:left="80"/>
              <w:spacing w:after="0"/>
              <w:rPr>
                <w:sz w:val="20"/>
                <w:szCs w:val="20"/>
                <w:color w:val="auto"/>
              </w:rPr>
            </w:pPr>
            <w:r>
              <w:rPr>
                <w:rFonts w:ascii="Arial" w:cs="Arial" w:eastAsia="Arial" w:hAnsi="Arial"/>
                <w:sz w:val="18"/>
                <w:szCs w:val="18"/>
                <w:color w:val="auto"/>
              </w:rPr>
              <w:t>March 31, 2006</w:t>
            </w:r>
          </w:p>
        </w:tc>
        <w:tc>
          <w:tcPr>
            <w:tcW w:w="1380" w:type="dxa"/>
            <w:vAlign w:val="bottom"/>
          </w:tcPr>
          <w:p>
            <w:pPr>
              <w:jc w:val="right"/>
              <w:spacing w:after="0"/>
              <w:rPr>
                <w:sz w:val="20"/>
                <w:szCs w:val="20"/>
                <w:color w:val="auto"/>
              </w:rPr>
            </w:pPr>
            <w:r>
              <w:rPr>
                <w:rFonts w:ascii="Arial" w:cs="Arial" w:eastAsia="Arial" w:hAnsi="Arial"/>
                <w:sz w:val="18"/>
                <w:szCs w:val="18"/>
                <w:color w:val="auto"/>
              </w:rPr>
              <w:t>3.000 to 1.0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April 1, 2006</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980" w:type="dxa"/>
            <w:vAlign w:val="bottom"/>
          </w:tcPr>
          <w:p>
            <w:pPr>
              <w:ind w:left="80"/>
              <w:spacing w:after="0"/>
              <w:rPr>
                <w:sz w:val="20"/>
                <w:szCs w:val="20"/>
                <w:color w:val="auto"/>
              </w:rPr>
            </w:pPr>
            <w:r>
              <w:rPr>
                <w:rFonts w:ascii="Arial" w:cs="Arial" w:eastAsia="Arial" w:hAnsi="Arial"/>
                <w:sz w:val="18"/>
                <w:szCs w:val="18"/>
                <w:color w:val="auto"/>
              </w:rPr>
              <w:t>September 30, 2006</w:t>
            </w:r>
          </w:p>
        </w:tc>
        <w:tc>
          <w:tcPr>
            <w:tcW w:w="1380" w:type="dxa"/>
            <w:vAlign w:val="bottom"/>
          </w:tcPr>
          <w:p>
            <w:pPr>
              <w:jc w:val="right"/>
              <w:spacing w:after="0"/>
              <w:rPr>
                <w:sz w:val="20"/>
                <w:szCs w:val="20"/>
                <w:color w:val="auto"/>
              </w:rPr>
            </w:pPr>
            <w:r>
              <w:rPr>
                <w:rFonts w:ascii="Arial" w:cs="Arial" w:eastAsia="Arial" w:hAnsi="Arial"/>
                <w:sz w:val="18"/>
                <w:szCs w:val="18"/>
                <w:color w:val="auto"/>
              </w:rPr>
              <w:t>2.000 to 1.0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October 1, 2006</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980" w:type="dxa"/>
            <w:vAlign w:val="bottom"/>
          </w:tcPr>
          <w:p>
            <w:pPr>
              <w:ind w:left="80"/>
              <w:spacing w:after="0"/>
              <w:rPr>
                <w:sz w:val="20"/>
                <w:szCs w:val="20"/>
                <w:color w:val="auto"/>
              </w:rPr>
            </w:pPr>
            <w:r>
              <w:rPr>
                <w:rFonts w:ascii="Arial" w:cs="Arial" w:eastAsia="Arial" w:hAnsi="Arial"/>
                <w:sz w:val="18"/>
                <w:szCs w:val="18"/>
                <w:color w:val="auto"/>
              </w:rPr>
              <w:t>December 31, 2006</w:t>
            </w:r>
          </w:p>
        </w:tc>
        <w:tc>
          <w:tcPr>
            <w:tcW w:w="1380" w:type="dxa"/>
            <w:vAlign w:val="bottom"/>
          </w:tcPr>
          <w:p>
            <w:pPr>
              <w:jc w:val="right"/>
              <w:spacing w:after="0"/>
              <w:rPr>
                <w:sz w:val="20"/>
                <w:szCs w:val="20"/>
                <w:color w:val="auto"/>
              </w:rPr>
            </w:pPr>
            <w:r>
              <w:rPr>
                <w:rFonts w:ascii="Arial" w:cs="Arial" w:eastAsia="Arial" w:hAnsi="Arial"/>
                <w:sz w:val="18"/>
                <w:szCs w:val="18"/>
                <w:color w:val="auto"/>
              </w:rPr>
              <w:t>3.000 to 1.0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January 1, 2007</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980" w:type="dxa"/>
            <w:vAlign w:val="bottom"/>
          </w:tcPr>
          <w:p>
            <w:pPr>
              <w:ind w:left="80"/>
              <w:spacing w:after="0"/>
              <w:rPr>
                <w:sz w:val="20"/>
                <w:szCs w:val="20"/>
                <w:color w:val="auto"/>
              </w:rPr>
            </w:pPr>
            <w:r>
              <w:rPr>
                <w:rFonts w:ascii="Arial" w:cs="Arial" w:eastAsia="Arial" w:hAnsi="Arial"/>
                <w:sz w:val="18"/>
                <w:szCs w:val="18"/>
                <w:color w:val="auto"/>
              </w:rPr>
              <w:t>September 30, 2007</w:t>
            </w:r>
          </w:p>
        </w:tc>
        <w:tc>
          <w:tcPr>
            <w:tcW w:w="1380" w:type="dxa"/>
            <w:vAlign w:val="bottom"/>
          </w:tcPr>
          <w:p>
            <w:pPr>
              <w:jc w:val="right"/>
              <w:spacing w:after="0"/>
              <w:rPr>
                <w:sz w:val="20"/>
                <w:szCs w:val="20"/>
                <w:color w:val="auto"/>
              </w:rPr>
            </w:pPr>
            <w:r>
              <w:rPr>
                <w:rFonts w:ascii="Arial" w:cs="Arial" w:eastAsia="Arial" w:hAnsi="Arial"/>
                <w:sz w:val="18"/>
                <w:szCs w:val="18"/>
                <w:color w:val="auto"/>
              </w:rPr>
              <w:t>3.150 to 1.0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October 1, 2007</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980" w:type="dxa"/>
            <w:vAlign w:val="bottom"/>
          </w:tcPr>
          <w:p>
            <w:pPr>
              <w:ind w:left="80"/>
              <w:spacing w:after="0"/>
              <w:rPr>
                <w:sz w:val="20"/>
                <w:szCs w:val="20"/>
                <w:color w:val="auto"/>
              </w:rPr>
            </w:pPr>
            <w:r>
              <w:rPr>
                <w:rFonts w:ascii="Arial" w:cs="Arial" w:eastAsia="Arial" w:hAnsi="Arial"/>
                <w:sz w:val="18"/>
                <w:szCs w:val="18"/>
                <w:color w:val="auto"/>
              </w:rPr>
              <w:t>December 31, 2007</w:t>
            </w:r>
          </w:p>
        </w:tc>
        <w:tc>
          <w:tcPr>
            <w:tcW w:w="1380" w:type="dxa"/>
            <w:vAlign w:val="bottom"/>
          </w:tcPr>
          <w:p>
            <w:pPr>
              <w:jc w:val="right"/>
              <w:spacing w:after="0"/>
              <w:rPr>
                <w:sz w:val="20"/>
                <w:szCs w:val="20"/>
                <w:color w:val="auto"/>
              </w:rPr>
            </w:pPr>
            <w:r>
              <w:rPr>
                <w:rFonts w:ascii="Arial" w:cs="Arial" w:eastAsia="Arial" w:hAnsi="Arial"/>
                <w:sz w:val="18"/>
                <w:szCs w:val="18"/>
                <w:color w:val="auto"/>
              </w:rPr>
              <w:t>3.300 to 1.0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January 1, 2008</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980" w:type="dxa"/>
            <w:vAlign w:val="bottom"/>
          </w:tcPr>
          <w:p>
            <w:pPr>
              <w:ind w:left="80"/>
              <w:spacing w:after="0"/>
              <w:rPr>
                <w:sz w:val="20"/>
                <w:szCs w:val="20"/>
                <w:color w:val="auto"/>
              </w:rPr>
            </w:pPr>
            <w:r>
              <w:rPr>
                <w:rFonts w:ascii="Arial" w:cs="Arial" w:eastAsia="Arial" w:hAnsi="Arial"/>
                <w:sz w:val="18"/>
                <w:szCs w:val="18"/>
                <w:color w:val="auto"/>
              </w:rPr>
              <w:t>December 31, 2008</w:t>
            </w:r>
          </w:p>
        </w:tc>
        <w:tc>
          <w:tcPr>
            <w:tcW w:w="1380" w:type="dxa"/>
            <w:vAlign w:val="bottom"/>
          </w:tcPr>
          <w:p>
            <w:pPr>
              <w:jc w:val="right"/>
              <w:spacing w:after="0"/>
              <w:rPr>
                <w:sz w:val="20"/>
                <w:szCs w:val="20"/>
                <w:color w:val="auto"/>
              </w:rPr>
            </w:pPr>
            <w:r>
              <w:rPr>
                <w:rFonts w:ascii="Arial" w:cs="Arial" w:eastAsia="Arial" w:hAnsi="Arial"/>
                <w:sz w:val="18"/>
                <w:szCs w:val="18"/>
                <w:color w:val="auto"/>
              </w:rPr>
              <w:t>4.500 to 1.0</w:t>
            </w: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w w:val="89"/>
              </w:rPr>
              <w:t>January 1, 2009 and thereafter</w:t>
            </w:r>
          </w:p>
        </w:tc>
        <w:tc>
          <w:tcPr>
            <w:tcW w:w="5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5.250 to 1.0</w:t>
            </w:r>
          </w:p>
        </w:tc>
      </w:tr>
    </w:tbl>
    <w:p>
      <w:pPr>
        <w:spacing w:after="0" w:line="75" w:lineRule="exact"/>
        <w:rPr>
          <w:sz w:val="20"/>
          <w:szCs w:val="20"/>
          <w:color w:val="auto"/>
        </w:rPr>
      </w:pPr>
    </w:p>
    <w:p>
      <w:pPr>
        <w:ind w:right="140" w:firstLine="421"/>
        <w:spacing w:after="0" w:line="332" w:lineRule="auto"/>
        <w:tabs>
          <w:tab w:leader="none" w:pos="65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Minimum Interest Coverage Ratio (Excluding CapEx)</w:t>
      </w:r>
      <w:r>
        <w:rPr>
          <w:rFonts w:ascii="Arial" w:cs="Arial" w:eastAsia="Arial" w:hAnsi="Arial"/>
          <w:sz w:val="16"/>
          <w:szCs w:val="16"/>
          <w:color w:val="auto"/>
        </w:rPr>
        <w:t>. Permit the Consolidated Interest Coverage Ratio (Excluding CapEx), for any Test Period ending during any period set forth in the table below, to be less than the ratio set forth opposite such period in the table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00" w:type="dxa"/>
            <w:vAlign w:val="bottom"/>
          </w:tcPr>
          <w:p>
            <w:pPr>
              <w:jc w:val="right"/>
              <w:ind w:right="23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Test Period</w:t>
            </w:r>
          </w:p>
        </w:tc>
        <w:tc>
          <w:tcPr>
            <w:tcW w:w="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5"/>
              </w:rPr>
              <w:t>Coverage Ratio</w:t>
            </w:r>
          </w:p>
        </w:tc>
        <w:tc>
          <w:tcPr>
            <w:tcW w:w="0" w:type="dxa"/>
            <w:vAlign w:val="bottom"/>
          </w:tcPr>
          <w:p>
            <w:pPr>
              <w:spacing w:after="0"/>
              <w:rPr>
                <w:sz w:val="1"/>
                <w:szCs w:val="1"/>
                <w:color w:val="auto"/>
              </w:rPr>
            </w:pPr>
          </w:p>
        </w:tc>
      </w:tr>
      <w:tr>
        <w:trPr>
          <w:trHeight w:val="168"/>
        </w:trPr>
        <w:tc>
          <w:tcPr>
            <w:tcW w:w="16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7"/>
              </w:rPr>
              <w:t>(Excluding CapEx)</w:t>
            </w:r>
          </w:p>
        </w:tc>
        <w:tc>
          <w:tcPr>
            <w:tcW w:w="0" w:type="dxa"/>
            <w:vAlign w:val="bottom"/>
          </w:tcPr>
          <w:p>
            <w:pPr>
              <w:spacing w:after="0"/>
              <w:rPr>
                <w:sz w:val="1"/>
                <w:szCs w:val="1"/>
                <w:color w:val="auto"/>
              </w:rPr>
            </w:pPr>
          </w:p>
        </w:tc>
      </w:tr>
      <w:tr>
        <w:trPr>
          <w:trHeight w:val="195"/>
        </w:trPr>
        <w:tc>
          <w:tcPr>
            <w:tcW w:w="1600" w:type="dxa"/>
            <w:vAlign w:val="bottom"/>
          </w:tcPr>
          <w:p>
            <w:pPr>
              <w:spacing w:after="0" w:line="195" w:lineRule="exact"/>
              <w:rPr>
                <w:sz w:val="20"/>
                <w:szCs w:val="20"/>
                <w:color w:val="auto"/>
              </w:rPr>
            </w:pPr>
            <w:r>
              <w:rPr>
                <w:rFonts w:ascii="Arial" w:cs="Arial" w:eastAsia="Arial" w:hAnsi="Arial"/>
                <w:sz w:val="18"/>
                <w:szCs w:val="18"/>
                <w:color w:val="auto"/>
              </w:rPr>
              <w:t>Closing Date</w:t>
            </w:r>
          </w:p>
        </w:tc>
        <w:tc>
          <w:tcPr>
            <w:tcW w:w="560" w:type="dxa"/>
            <w:vAlign w:val="bottom"/>
          </w:tcPr>
          <w:p>
            <w:pPr>
              <w:jc w:val="right"/>
              <w:ind w:right="152"/>
              <w:spacing w:after="0" w:line="195" w:lineRule="exact"/>
              <w:rPr>
                <w:sz w:val="20"/>
                <w:szCs w:val="20"/>
                <w:color w:val="auto"/>
              </w:rPr>
            </w:pPr>
            <w:r>
              <w:rPr>
                <w:rFonts w:ascii="Arial" w:cs="Arial" w:eastAsia="Arial" w:hAnsi="Arial"/>
                <w:sz w:val="18"/>
                <w:szCs w:val="18"/>
                <w:color w:val="auto"/>
              </w:rPr>
              <w:t>-</w:t>
            </w:r>
          </w:p>
        </w:tc>
        <w:tc>
          <w:tcPr>
            <w:tcW w:w="2000" w:type="dxa"/>
            <w:vAlign w:val="bottom"/>
          </w:tcPr>
          <w:p>
            <w:pPr>
              <w:spacing w:after="0" w:line="195" w:lineRule="exact"/>
              <w:rPr>
                <w:sz w:val="20"/>
                <w:szCs w:val="20"/>
                <w:color w:val="auto"/>
              </w:rPr>
            </w:pPr>
            <w:r>
              <w:rPr>
                <w:rFonts w:ascii="Arial" w:cs="Arial" w:eastAsia="Arial" w:hAnsi="Arial"/>
                <w:sz w:val="18"/>
                <w:szCs w:val="18"/>
                <w:color w:val="auto"/>
              </w:rPr>
              <w:t>December 31, 2005</w:t>
            </w:r>
          </w:p>
        </w:tc>
        <w:tc>
          <w:tcPr>
            <w:tcW w:w="432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1.000 to 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January 1, 2006</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r>
              <w:rPr>
                <w:rFonts w:ascii="Arial" w:cs="Arial" w:eastAsia="Arial" w:hAnsi="Arial"/>
                <w:sz w:val="18"/>
                <w:szCs w:val="18"/>
                <w:color w:val="auto"/>
              </w:rPr>
              <w:t>June 30, 2006</w:t>
            </w:r>
          </w:p>
        </w:tc>
        <w:tc>
          <w:tcPr>
            <w:tcW w:w="4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 to 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July 1, 2006</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r>
              <w:rPr>
                <w:rFonts w:ascii="Arial" w:cs="Arial" w:eastAsia="Arial" w:hAnsi="Arial"/>
                <w:sz w:val="18"/>
                <w:szCs w:val="18"/>
                <w:color w:val="auto"/>
              </w:rPr>
              <w:t>September 30, 2006</w:t>
            </w:r>
          </w:p>
        </w:tc>
        <w:tc>
          <w:tcPr>
            <w:tcW w:w="4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0.875 to 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October 1, 2006</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r>
              <w:rPr>
                <w:rFonts w:ascii="Arial" w:cs="Arial" w:eastAsia="Arial" w:hAnsi="Arial"/>
                <w:sz w:val="18"/>
                <w:szCs w:val="18"/>
                <w:color w:val="auto"/>
              </w:rPr>
              <w:t>December 31, 2006</w:t>
            </w:r>
          </w:p>
        </w:tc>
        <w:tc>
          <w:tcPr>
            <w:tcW w:w="4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 to 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January 1, 2007</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r>
              <w:rPr>
                <w:rFonts w:ascii="Arial" w:cs="Arial" w:eastAsia="Arial" w:hAnsi="Arial"/>
                <w:sz w:val="18"/>
                <w:szCs w:val="18"/>
                <w:color w:val="auto"/>
              </w:rPr>
              <w:t>June 30, 2007</w:t>
            </w:r>
          </w:p>
        </w:tc>
        <w:tc>
          <w:tcPr>
            <w:tcW w:w="4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 to 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July 1, 2007</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r>
              <w:rPr>
                <w:rFonts w:ascii="Arial" w:cs="Arial" w:eastAsia="Arial" w:hAnsi="Arial"/>
                <w:sz w:val="18"/>
                <w:szCs w:val="18"/>
                <w:color w:val="auto"/>
              </w:rPr>
              <w:t>December 31, 2007</w:t>
            </w:r>
          </w:p>
        </w:tc>
        <w:tc>
          <w:tcPr>
            <w:tcW w:w="4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 to 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January 1, 2008</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0"/>
                <w:szCs w:val="20"/>
                <w:color w:val="auto"/>
              </w:rPr>
            </w:pPr>
            <w:r>
              <w:rPr>
                <w:rFonts w:ascii="Arial" w:cs="Arial" w:eastAsia="Arial" w:hAnsi="Arial"/>
                <w:sz w:val="18"/>
                <w:szCs w:val="18"/>
                <w:color w:val="auto"/>
              </w:rPr>
              <w:t>December 31, 2008</w:t>
            </w:r>
          </w:p>
        </w:tc>
        <w:tc>
          <w:tcPr>
            <w:tcW w:w="4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 to 1.0</w:t>
            </w:r>
          </w:p>
        </w:tc>
        <w:tc>
          <w:tcPr>
            <w:tcW w:w="0" w:type="dxa"/>
            <w:vAlign w:val="bottom"/>
          </w:tcPr>
          <w:p>
            <w:pPr>
              <w:spacing w:after="0"/>
              <w:rPr>
                <w:sz w:val="1"/>
                <w:szCs w:val="1"/>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w w:val="86"/>
              </w:rPr>
              <w:t>January 1, 2009 and thereafter</w:t>
            </w:r>
          </w:p>
        </w:tc>
        <w:tc>
          <w:tcPr>
            <w:tcW w:w="20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 to 1.0</w:t>
            </w:r>
          </w:p>
        </w:tc>
        <w:tc>
          <w:tcPr>
            <w:tcW w:w="0" w:type="dxa"/>
            <w:vAlign w:val="bottom"/>
          </w:tcPr>
          <w:p>
            <w:pPr>
              <w:spacing w:after="0"/>
              <w:rPr>
                <w:sz w:val="1"/>
                <w:szCs w:val="1"/>
                <w:color w:val="auto"/>
              </w:rPr>
            </w:pPr>
          </w:p>
        </w:tc>
      </w:tr>
      <w:tr>
        <w:trPr>
          <w:trHeight w:val="365"/>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320" w:type="dxa"/>
            <w:vAlign w:val="bottom"/>
          </w:tcPr>
          <w:p>
            <w:pPr>
              <w:jc w:val="right"/>
              <w:ind w:right="3552"/>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1160" w:top="280" w:right="299" w:bottom="1440" w:gutter="0" w:footer="0" w:header="0"/>
        </w:sectPr>
      </w:pPr>
    </w:p>
    <w:bookmarkStart w:id="8" w:name="page9"/>
    <w:bookmarkEnd w:id="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A new clause (d) is hereby added to Section 6.10 of the Credit Agreement, which reads as follows:</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Capital Expenditure Limit</w:t>
      </w:r>
      <w:r>
        <w:rPr>
          <w:rFonts w:ascii="Arial" w:cs="Arial" w:eastAsia="Arial" w:hAnsi="Arial"/>
          <w:sz w:val="18"/>
          <w:szCs w:val="18"/>
          <w:color w:val="auto"/>
        </w:rPr>
        <w:t>. Make Capital Expenditures during the following periods that exceed the aggregate amounts set forth opposite each of such periods: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Capital Expenditures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January 1, 2006 - September 30, 2006</w:t>
            </w: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October 1, 2006 - December 31, 2006</w:t>
            </w:r>
          </w:p>
        </w:tc>
        <w:tc>
          <w:tcPr>
            <w:tcW w:w="11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55,000,000</w:t>
            </w:r>
          </w:p>
        </w:tc>
      </w:tr>
    </w:tbl>
    <w:p>
      <w:pPr>
        <w:spacing w:after="0" w:line="66" w:lineRule="exact"/>
        <w:rPr>
          <w:sz w:val="20"/>
          <w:szCs w:val="20"/>
          <w:color w:val="auto"/>
        </w:rPr>
      </w:pPr>
    </w:p>
    <w:p>
      <w:pPr>
        <w:ind w:left="460" w:right="20" w:firstLine="443"/>
        <w:spacing w:after="0" w:line="268" w:lineRule="auto"/>
        <w:tabs>
          <w:tab w:leader="none" w:pos="113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Annex I to the Credit Agreement (relating to the Applicable Margin) is hereby amended and restated in its entirety by replacing it with Annex I to this Amendment.</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117" w:val="left"/>
        </w:tabs>
        <w:numPr>
          <w:ilvl w:val="0"/>
          <w:numId w:val="6"/>
        </w:numPr>
        <w:rPr>
          <w:rFonts w:ascii="Arial" w:cs="Arial" w:eastAsia="Arial" w:hAnsi="Arial"/>
          <w:sz w:val="18"/>
          <w:szCs w:val="18"/>
          <w:color w:val="auto"/>
        </w:rPr>
      </w:pPr>
      <w:r>
        <w:rPr>
          <w:rFonts w:ascii="Arial" w:cs="Arial" w:eastAsia="Arial" w:hAnsi="Arial"/>
          <w:sz w:val="18"/>
          <w:szCs w:val="18"/>
          <w:color w:val="auto"/>
        </w:rPr>
        <w:t>Letters of Credit have been issued by Korean Exchange Bank as Issuing Bank between July 1, 2006 and the date hereof, as more specifically identified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 Date</w:t>
            </w:r>
          </w:p>
        </w:tc>
        <w:tc>
          <w:tcPr>
            <w:tcW w:w="220" w:type="dxa"/>
            <w:vAlign w:val="bottom"/>
          </w:tcPr>
          <w:p>
            <w:pPr>
              <w:spacing w:after="0"/>
              <w:rPr>
                <w:sz w:val="15"/>
                <w:szCs w:val="15"/>
                <w:color w:val="auto"/>
              </w:rPr>
            </w:pPr>
          </w:p>
        </w:tc>
        <w:tc>
          <w:tcPr>
            <w:tcW w:w="6500" w:type="dxa"/>
            <w:vAlign w:val="bottom"/>
            <w:tcBorders>
              <w:bottom w:val="single" w:sz="8" w:color="auto"/>
            </w:tcBorders>
          </w:tcPr>
          <w:p>
            <w:pPr>
              <w:jc w:val="right"/>
              <w:ind w:right="2813"/>
              <w:spacing w:after="0"/>
              <w:rPr>
                <w:sz w:val="20"/>
                <w:szCs w:val="20"/>
                <w:color w:val="auto"/>
              </w:rPr>
            </w:pPr>
            <w:r>
              <w:rPr>
                <w:rFonts w:ascii="Arial" w:cs="Arial" w:eastAsia="Arial" w:hAnsi="Arial"/>
                <w:sz w:val="14"/>
                <w:szCs w:val="14"/>
                <w:b w:val="1"/>
                <w:bCs w:val="1"/>
                <w:color w:val="auto"/>
              </w:rPr>
              <w:t>LC Number</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 Date</w:t>
            </w:r>
          </w:p>
        </w:tc>
        <w:tc>
          <w:tcPr>
            <w:tcW w:w="2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5"/>
                <w:szCs w:val="15"/>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r>
      <w:tr>
        <w:trPr>
          <w:trHeight w:val="195"/>
        </w:trPr>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July 3</w:t>
            </w:r>
          </w:p>
        </w:tc>
        <w:tc>
          <w:tcPr>
            <w:tcW w:w="220" w:type="dxa"/>
            <w:vAlign w:val="bottom"/>
          </w:tcPr>
          <w:p>
            <w:pPr>
              <w:spacing w:after="0"/>
              <w:rPr>
                <w:sz w:val="16"/>
                <w:szCs w:val="16"/>
                <w:color w:val="auto"/>
              </w:rPr>
            </w:pPr>
          </w:p>
        </w:tc>
        <w:tc>
          <w:tcPr>
            <w:tcW w:w="6500" w:type="dxa"/>
            <w:vAlign w:val="bottom"/>
          </w:tcPr>
          <w:p>
            <w:pPr>
              <w:jc w:val="center"/>
              <w:spacing w:after="0" w:line="195" w:lineRule="exact"/>
              <w:rPr>
                <w:sz w:val="20"/>
                <w:szCs w:val="20"/>
                <w:color w:val="auto"/>
              </w:rPr>
            </w:pPr>
            <w:r>
              <w:rPr>
                <w:rFonts w:ascii="Arial" w:cs="Arial" w:eastAsia="Arial" w:hAnsi="Arial"/>
                <w:sz w:val="18"/>
                <w:szCs w:val="18"/>
                <w:color w:val="auto"/>
                <w:w w:val="90"/>
              </w:rPr>
              <w:t>M06EB607XS00018</w:t>
            </w:r>
          </w:p>
        </w:tc>
        <w:tc>
          <w:tcPr>
            <w:tcW w:w="20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85"/>
              </w:rPr>
              <w:t>September 1</w:t>
            </w:r>
          </w:p>
        </w:tc>
        <w:tc>
          <w:tcPr>
            <w:tcW w:w="220" w:type="dxa"/>
            <w:vAlign w:val="bottom"/>
          </w:tcPr>
          <w:p>
            <w:pPr>
              <w:spacing w:after="0"/>
              <w:rPr>
                <w:sz w:val="16"/>
                <w:szCs w:val="16"/>
                <w:color w:val="auto"/>
              </w:rPr>
            </w:pPr>
          </w:p>
        </w:tc>
        <w:tc>
          <w:tcPr>
            <w:tcW w:w="580" w:type="dxa"/>
            <w:vAlign w:val="bottom"/>
          </w:tcPr>
          <w:p>
            <w:pPr>
              <w:jc w:val="center"/>
              <w:spacing w:after="0" w:line="195" w:lineRule="exact"/>
              <w:rPr>
                <w:sz w:val="20"/>
                <w:szCs w:val="20"/>
                <w:color w:val="auto"/>
              </w:rPr>
            </w:pPr>
            <w:r>
              <w:rPr>
                <w:rFonts w:ascii="Arial" w:cs="Arial" w:eastAsia="Arial" w:hAnsi="Arial"/>
                <w:sz w:val="18"/>
                <w:szCs w:val="18"/>
                <w:color w:val="auto"/>
                <w:w w:val="94"/>
              </w:rPr>
              <w:t>USD</w:t>
            </w:r>
          </w:p>
        </w:tc>
        <w:tc>
          <w:tcPr>
            <w:tcW w:w="20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7"/>
              </w:rPr>
              <w:t>61,926</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9"/>
              </w:rPr>
              <w:t>July 5</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M06EB607XS00025</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September 4</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49,632</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10</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M06EB607BS00018</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August 9</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33,442</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10</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M06EB607BU00018</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October 9</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220,000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10</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M06EB607BU00025</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October 9</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440,000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10</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M06EB607NS00096</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August 9</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15,936,200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10</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M06EB607XS00032</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September 9</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20,300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10</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M06EB607XS00040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September 30</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74,404</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7"/>
              </w:rPr>
              <w:t>July 11</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M06EB607BS00025</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10</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700,000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7"/>
              </w:rPr>
              <w:t>July 11</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M06EB607BU00032</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September 10</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1,122,000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7"/>
              </w:rPr>
              <w:t>July 11</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M06EB607BU00040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10</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914,000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7"/>
              </w:rPr>
              <w:t>July 11</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M06EB606NS00096</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10</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271,900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13</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M06EB607BU00057</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12</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126,080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14</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M06EB607BU00064</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13</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984,000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14</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M06EB607BU00071</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13</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1,920,000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14</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M06EB607BU00089</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13</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1,122,000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14</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M06EB607BU00096</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13</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984,000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14</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M06EB607BU00107</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13</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2,496,000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18</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M06EB607BS00032</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17</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10,370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18</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M06EB607BS00040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17</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10,105</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18</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M06EB607BU00114</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17</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1,898,000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18</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M06EB607BU00121</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17</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984,000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18</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M06EB607NS00139</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17</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1,250,000</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18</w:t>
            </w: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M06EB607NS00146</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August 17</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1,372,000</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1"/>
              </w:rPr>
              <w:t>July 19</w:t>
            </w:r>
          </w:p>
        </w:tc>
        <w:tc>
          <w:tcPr>
            <w:tcW w:w="220" w:type="dxa"/>
            <w:vAlign w:val="bottom"/>
          </w:tcPr>
          <w:p>
            <w:pPr>
              <w:spacing w:after="0"/>
              <w:rPr>
                <w:sz w:val="19"/>
                <w:szCs w:val="19"/>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0"/>
              </w:rPr>
              <w:t>M06EB607BS00057</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September 18</w:t>
            </w:r>
          </w:p>
        </w:tc>
        <w:tc>
          <w:tcPr>
            <w:tcW w:w="2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JPY</w:t>
            </w:r>
          </w:p>
        </w:tc>
        <w:tc>
          <w:tcPr>
            <w:tcW w:w="1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2,080,000</w:t>
            </w:r>
          </w:p>
        </w:tc>
      </w:tr>
      <w:tr>
        <w:trPr>
          <w:trHeight w:val="365"/>
        </w:trPr>
        <w:tc>
          <w:tcPr>
            <w:tcW w:w="1600" w:type="dxa"/>
            <w:vAlign w:val="bottom"/>
          </w:tcPr>
          <w:p>
            <w:pPr>
              <w:spacing w:after="0"/>
              <w:rPr>
                <w:sz w:val="24"/>
                <w:szCs w:val="24"/>
                <w:color w:val="auto"/>
              </w:rPr>
            </w:pPr>
          </w:p>
        </w:tc>
        <w:tc>
          <w:tcPr>
            <w:tcW w:w="6720" w:type="dxa"/>
            <w:vAlign w:val="bottom"/>
            <w:gridSpan w:val="2"/>
          </w:tcPr>
          <w:p>
            <w:pPr>
              <w:jc w:val="right"/>
              <w:ind w:right="247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the request for or the issuance of such Letters of Credit (or any Letters of Credit requested or issued after the date hereof until the Effective Date) occurred at a time after the occurrence of an Event of Default that was caused by virtue of non-compliance with any of the covenants which are being amended hereby, the separate Default or Event of Default that occurred as a result of the request or issuance of such Letters of Credit is hereby waived; provided that the foregoing waiver shall not be deemed (i) a waiver of any other Default or Event of Default which has occurred, exists or hereafter may occur under the Credit Agreement or any other Loan Document, or (ii) to establish a custom or course of dealing among the Administrative Agent, Collateral Agent, Lenders, Borrowers, other Loan Parties or any of them.</w:t>
      </w:r>
    </w:p>
    <w:p>
      <w:pPr>
        <w:spacing w:after="0" w:line="63" w:lineRule="exact"/>
        <w:rPr>
          <w:sz w:val="20"/>
          <w:szCs w:val="20"/>
          <w:color w:val="auto"/>
        </w:rPr>
      </w:pPr>
    </w:p>
    <w:p>
      <w:pPr>
        <w:ind w:left="460" w:firstLine="443"/>
        <w:spacing w:after="0" w:line="256"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Agents and Lenders hereby waive, the Required Lenders hereby instruct the Collateral Trustee to waive, and the Collateral Trustee hereby waives, the obligations set forth in the A/R Agreement and Section 5.01(j) of the Credit Agreement, insofar as they relate to any agreements or transactions involving accounts in the aggregate amount outstanding at any time not to exceed $250,000 owing from KEC Corporation or any of its Affiliates, or any right, title, claim, interest, benefit or sum arising in respect thereof.</w:t>
      </w:r>
    </w:p>
    <w:p>
      <w:pPr>
        <w:spacing w:after="0" w:line="62" w:lineRule="exact"/>
        <w:rPr>
          <w:rFonts w:ascii="Arial" w:cs="Arial" w:eastAsia="Arial" w:hAnsi="Arial"/>
          <w:sz w:val="18"/>
          <w:szCs w:val="18"/>
          <w:color w:val="auto"/>
        </w:rPr>
      </w:pPr>
    </w:p>
    <w:p>
      <w:pPr>
        <w:ind w:left="460" w:right="60" w:firstLine="443"/>
        <w:spacing w:after="0" w:line="254"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Notice is hereby given that Holdings intends to vote in favor of increasing the share capital of Luxco by 10,482 shares. In accordance with Section 11(C) of the Luxco Pledge Agreement, UBS AG, Stamford Branch, as pledgee (“</w:t>
      </w:r>
      <w:r>
        <w:rPr>
          <w:rFonts w:ascii="Arial" w:cs="Arial" w:eastAsia="Arial" w:hAnsi="Arial"/>
          <w:sz w:val="18"/>
          <w:szCs w:val="18"/>
          <w:u w:val="single" w:color="auto"/>
          <w:color w:val="auto"/>
        </w:rPr>
        <w:t>Pledgee</w:t>
      </w:r>
      <w:r>
        <w:rPr>
          <w:rFonts w:ascii="Arial" w:cs="Arial" w:eastAsia="Arial" w:hAnsi="Arial"/>
          <w:sz w:val="18"/>
          <w:szCs w:val="18"/>
          <w:color w:val="auto"/>
        </w:rPr>
        <w:t xml:space="preserve">”) under the Luxco Pledge Agreement, hereby acknowledges and consents to the taking of such action by Holdings;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consent shall not be effective until Holdings has provided Pledgee with prior written notice of the date on which such increase in share capital shall occur and made arrangements reasonably acceptable to the Pledgee to pledge such additional share capital and, if applicable, deliver to Pledgee all certificates representing such share capital within ten (10) days after such issuance.</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Acknowledgement by Borrowers of Obligations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140" w:firstLine="438"/>
        <w:spacing w:after="0" w:line="256" w:lineRule="auto"/>
        <w:rPr>
          <w:sz w:val="20"/>
          <w:szCs w:val="20"/>
          <w:color w:val="auto"/>
        </w:rPr>
      </w:pPr>
      <w:r>
        <w:rPr>
          <w:rFonts w:ascii="Arial" w:cs="Arial" w:eastAsia="Arial" w:hAnsi="Arial"/>
          <w:sz w:val="18"/>
          <w:szCs w:val="18"/>
          <w:color w:val="auto"/>
        </w:rPr>
        <w:t>The Borrowers hereby acknowledge, confirm, and agree that as of the close of business on July 2, 2006, (a) the Borrowers are not indebted to the Lenders in respect of the Revolving Loans and (b) the Borrowers are indebted to the Lenders in respect of the Letters of Credit in the principal amount of approximately $11,837,495.06 (subject to currency exchange fluctuations and reductions for any Letters of Credit which are drawn and reimbursed after July 2, 2006).</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Representations, Warranties and Covenants of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the Agents and Lenders to execute and deliver this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Amendment, each of the Loan Parties represent, warrant and covenant that:</w:t>
      </w:r>
    </w:p>
    <w:p>
      <w:pPr>
        <w:spacing w:after="0" w:line="84" w:lineRule="exact"/>
        <w:rPr>
          <w:sz w:val="20"/>
          <w:szCs w:val="20"/>
          <w:color w:val="auto"/>
        </w:rPr>
      </w:pPr>
    </w:p>
    <w:p>
      <w:pPr>
        <w:ind w:left="460" w:right="320" w:firstLine="443"/>
        <w:spacing w:after="0" w:line="323" w:lineRule="auto"/>
        <w:tabs>
          <w:tab w:leader="none" w:pos="1137"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execution, delivery and performance by the Loan Parties of this Amendment and all documents and instruments delivered in connection herewith and the Credit Agreement and all other Loan Documents have been duly authorized, and this Amendment and all documents and instruments delivered in connection herewith and the Credit Agreement and all other Loan Documents are legal, valid and binding obligations of the Loan Parties enforceable against the Loan Parties in accordance with their respective terms, except as the enforcement thereof may be subject to (i) the effect of any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0" w:name="page11"/>
    <w:bookmarkEnd w:id="10"/>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bankruptcy, insolvency, reorganization, moratorium or similar law affecting creditors’ rights generally and (ii) general principles of equity (regardless of whether such enforcement is sought in a proceeding in equity or at law);</w:t>
      </w:r>
    </w:p>
    <w:p>
      <w:pPr>
        <w:spacing w:after="0" w:line="51" w:lineRule="exact"/>
        <w:rPr>
          <w:sz w:val="20"/>
          <w:szCs w:val="20"/>
          <w:color w:val="auto"/>
        </w:rPr>
      </w:pPr>
    </w:p>
    <w:p>
      <w:pPr>
        <w:ind w:right="40" w:firstLine="443"/>
        <w:spacing w:after="0" w:line="294"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After giving effect to this Amendment, each of the representations and warranties made by or on behalf of such Loan Party to either Agent or any Lender in any of the Loan Documents was true and correct when made and in all material respects is true and correct on and as of the date of this Amendment with the same full force and effect as if each of such representations and warranties had been made by such Loan Party on the date hereof and in this Amendment, and each of the agreements and covenants in the Credit Agreement and the other Loan Documents is hereby reaffirmed with the same force and effect as if each were separately stated herein and made as of the date hereof;</w:t>
      </w:r>
    </w:p>
    <w:p>
      <w:pPr>
        <w:spacing w:after="0" w:line="34" w:lineRule="exact"/>
        <w:rPr>
          <w:rFonts w:ascii="Arial" w:cs="Arial" w:eastAsia="Arial" w:hAnsi="Arial"/>
          <w:sz w:val="16"/>
          <w:szCs w:val="16"/>
          <w:color w:val="auto"/>
        </w:rPr>
      </w:pPr>
    </w:p>
    <w:p>
      <w:pPr>
        <w:ind w:right="100" w:firstLine="443"/>
        <w:spacing w:after="0" w:line="294" w:lineRule="auto"/>
        <w:tabs>
          <w:tab w:leader="none" w:pos="677"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Amendment and all documents and instruments delivered in connection herewith nor the consummation of the transactions contemplated hereby or thereby does or shall contravene, result in a breach of, or violate (i) any provision of any Loan Party’s corporate charter, bylaws, operating agreement, purchase agreement, or other governing documents, (ii) any law or regulation, or any order or decree of any court or government instrumentality, or (iii) any indenture, mortgage, deed of trust, lease, agreement or other instrument to which any Loan Party is a party or by which any Loan Party or any of its property is bound;</w:t>
      </w:r>
    </w:p>
    <w:p>
      <w:pPr>
        <w:spacing w:after="0" w:line="34" w:lineRule="exact"/>
        <w:rPr>
          <w:rFonts w:ascii="Arial" w:cs="Arial" w:eastAsia="Arial" w:hAnsi="Arial"/>
          <w:sz w:val="16"/>
          <w:szCs w:val="16"/>
          <w:color w:val="auto"/>
        </w:rPr>
      </w:pPr>
    </w:p>
    <w:p>
      <w:pPr>
        <w:ind w:right="240" w:firstLine="443"/>
        <w:spacing w:after="0" w:line="259"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recitals to this Amendment are true and correct.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43"/>
        <w:spacing w:after="0" w:line="290" w:lineRule="auto"/>
        <w:tabs>
          <w:tab w:leader="none" w:pos="6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37" w:lineRule="exact"/>
        <w:rPr>
          <w:rFonts w:ascii="Arial" w:cs="Arial" w:eastAsia="Arial" w:hAnsi="Arial"/>
          <w:sz w:val="16"/>
          <w:szCs w:val="16"/>
          <w:color w:val="auto"/>
        </w:rPr>
      </w:pPr>
    </w:p>
    <w:p>
      <w:pPr>
        <w:ind w:firstLine="443"/>
        <w:spacing w:after="0" w:line="290"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 (iii) 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All of the provisions of the Credit Agreement and the other Loan Documents, including, without limitation, the time of the essence provisions, are hereby reiterated, and if ever waived, reinstated.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1" w:name="page12"/>
    <w:bookmarkEnd w:id="11"/>
    <w:p>
      <w:pPr>
        <w:ind w:right="260" w:firstLine="443"/>
        <w:spacing w:after="0" w:line="330" w:lineRule="auto"/>
        <w:tabs>
          <w:tab w:leader="none" w:pos="677"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1" w:lineRule="exact"/>
        <w:rPr>
          <w:sz w:val="20"/>
          <w:szCs w:val="20"/>
          <w:color w:val="auto"/>
        </w:rPr>
      </w:pPr>
    </w:p>
    <w:p>
      <w:pPr>
        <w:ind w:right="120" w:firstLine="438"/>
        <w:spacing w:after="0" w:line="310"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Costs and Expenses</w:t>
      </w:r>
      <w:r>
        <w:rPr>
          <w:rFonts w:ascii="Arial" w:cs="Arial" w:eastAsia="Arial" w:hAnsi="Arial"/>
          <w:sz w:val="16"/>
          <w:szCs w:val="16"/>
          <w:color w:val="auto"/>
        </w:rPr>
        <w:t>. Each of the Borrowers and the other Loan Parties agrees jointly and severally to reimburse Agents and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pacing w:after="0" w:line="16" w:lineRule="exact"/>
        <w:rPr>
          <w:sz w:val="20"/>
          <w:szCs w:val="20"/>
          <w:color w:val="auto"/>
        </w:rPr>
      </w:pPr>
    </w:p>
    <w:p>
      <w:pPr>
        <w:ind w:right="640" w:firstLine="438"/>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(AS OPPOSED TO CONFLICTS OF LAWS PROVISIONS) OF THE STATE OF NEW YORK.</w:t>
      </w:r>
    </w:p>
    <w:p>
      <w:pPr>
        <w:spacing w:after="0" w:line="39"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for any other purposes.</w:t>
      </w:r>
    </w:p>
    <w:p>
      <w:pPr>
        <w:spacing w:after="0" w:line="39" w:lineRule="exact"/>
        <w:rPr>
          <w:sz w:val="20"/>
          <w:szCs w:val="20"/>
          <w:color w:val="auto"/>
        </w:rPr>
      </w:pPr>
    </w:p>
    <w:p>
      <w:pPr>
        <w:ind w:right="20" w:firstLine="438"/>
        <w:spacing w:after="0" w:line="29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27"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all conditions to be satisfied by such party.</w:t>
      </w:r>
    </w:p>
    <w:p>
      <w:pPr>
        <w:spacing w:after="0" w:line="39" w:lineRule="exact"/>
        <w:rPr>
          <w:sz w:val="20"/>
          <w:szCs w:val="20"/>
          <w:color w:val="auto"/>
        </w:rPr>
      </w:pPr>
    </w:p>
    <w:p>
      <w:pPr>
        <w:ind w:right="380" w:firstLine="438"/>
        <w:spacing w:after="0" w:line="26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agrees to take, and to cause its Subsidiaries to take, all further actions and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and to cause its Subsidiaries to execute and deliver, all further documents as the Agents, or either of them, may from time to time reasonably request to carry out the transactions contemplated by this Amendment.</w:t>
      </w:r>
    </w:p>
    <w:p>
      <w:pPr>
        <w:spacing w:after="0" w:line="51" w:lineRule="exact"/>
        <w:rPr>
          <w:sz w:val="20"/>
          <w:szCs w:val="20"/>
          <w:color w:val="auto"/>
        </w:rPr>
      </w:pPr>
    </w:p>
    <w:p>
      <w:pPr>
        <w:ind w:right="60" w:firstLine="438"/>
        <w:spacing w:after="0" w:line="26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at the time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all of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have been met (or waived) as determined by the Required Lenders in their sole discretion (as evidenced by the Required Lenders’ execution and delivery of this Amendment):</w:t>
      </w:r>
    </w:p>
    <w:p>
      <w:pPr>
        <w:spacing w:after="0" w:line="57" w:lineRule="exact"/>
        <w:rPr>
          <w:sz w:val="20"/>
          <w:szCs w:val="20"/>
          <w:color w:val="auto"/>
        </w:rPr>
      </w:pPr>
    </w:p>
    <w:p>
      <w:pPr>
        <w:ind w:right="280" w:firstLine="443"/>
        <w:spacing w:after="0" w:line="268"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Duly executed signature pages for this Amendment signed by the Required Lenders and Loan Parties shall have been delivered to Administrative Agent.</w:t>
      </w:r>
    </w:p>
    <w:p>
      <w:pPr>
        <w:spacing w:after="0" w:line="50" w:lineRule="exact"/>
        <w:rPr>
          <w:rFonts w:ascii="Arial" w:cs="Arial" w:eastAsia="Arial" w:hAnsi="Arial"/>
          <w:sz w:val="18"/>
          <w:szCs w:val="18"/>
          <w:color w:val="auto"/>
        </w:rPr>
      </w:pPr>
    </w:p>
    <w:p>
      <w:pPr>
        <w:ind w:right="360" w:firstLine="443"/>
        <w:spacing w:after="0" w:line="268"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herein shall be true and correct in all material respects, and no Event of Default or Default shall exist on the date hereof.</w:t>
      </w:r>
    </w:p>
    <w:p>
      <w:pPr>
        <w:spacing w:after="0" w:line="50" w:lineRule="exact"/>
        <w:rPr>
          <w:rFonts w:ascii="Arial" w:cs="Arial" w:eastAsia="Arial" w:hAnsi="Arial"/>
          <w:sz w:val="18"/>
          <w:szCs w:val="18"/>
          <w:color w:val="auto"/>
        </w:rPr>
      </w:pPr>
    </w:p>
    <w:p>
      <w:pPr>
        <w:ind w:right="120" w:firstLine="443"/>
        <w:spacing w:after="0" w:line="268"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Payment of Commitment Fees and Letter of Credit Fees</w:t>
      </w:r>
      <w:r>
        <w:rPr>
          <w:rFonts w:ascii="Arial" w:cs="Arial" w:eastAsia="Arial" w:hAnsi="Arial"/>
          <w:sz w:val="18"/>
          <w:szCs w:val="18"/>
          <w:color w:val="auto"/>
        </w:rPr>
        <w:t>. All outstanding Commitment Fees and Fees related to any of the Letters of Credit shall each have been paid in cash to the Administrative Agent.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2" w:name="page13"/>
    <w:bookmarkEnd w:id="12"/>
    <w:p>
      <w:pPr>
        <w:ind w:left="-140" w:firstLine="443"/>
        <w:spacing w:after="0" w:line="332" w:lineRule="auto"/>
        <w:tabs>
          <w:tab w:leader="none" w:pos="54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Fee</w:t>
      </w:r>
      <w:r>
        <w:rPr>
          <w:rFonts w:ascii="Arial" w:cs="Arial" w:eastAsia="Arial" w:hAnsi="Arial"/>
          <w:sz w:val="16"/>
          <w:szCs w:val="16"/>
          <w:color w:val="auto"/>
        </w:rPr>
        <w:t>. The Borrowers shall have paid to the Administrative Agent, for the ratable benefit of each Lender that has executed and delivered this Amendment, an amendment fee of 20 basis points times the amount of each such Lender’s Commitment.</w:t>
      </w:r>
    </w:p>
    <w:p>
      <w:pPr>
        <w:spacing w:after="0" w:line="4" w:lineRule="exact"/>
        <w:rPr>
          <w:rFonts w:ascii="Arial" w:cs="Arial" w:eastAsia="Arial" w:hAnsi="Arial"/>
          <w:sz w:val="16"/>
          <w:szCs w:val="16"/>
          <w:color w:val="auto"/>
        </w:rPr>
      </w:pPr>
    </w:p>
    <w:p>
      <w:pPr>
        <w:ind w:left="540" w:hanging="237"/>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All of the expenses owing the Agents under Section 10.03 of the Credit Agreement shall have been paid in full.</w:t>
      </w:r>
    </w:p>
    <w:p>
      <w:pPr>
        <w:spacing w:after="0" w:line="194" w:lineRule="exact"/>
        <w:rPr>
          <w:rFonts w:ascii="Arial" w:cs="Arial" w:eastAsia="Arial" w:hAnsi="Arial"/>
          <w:sz w:val="16"/>
          <w:szCs w:val="16"/>
          <w:color w:val="auto"/>
        </w:rPr>
      </w:pPr>
    </w:p>
    <w:p>
      <w:pPr>
        <w:ind w:left="4280" w:hanging="307"/>
        <w:spacing w:after="0"/>
        <w:tabs>
          <w:tab w:leader="none" w:pos="4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Signature Pages Follow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840" w:top="280" w:right="83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Fourth Amendment to Credit Agreement has been executed by the parties hereto as of the date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S.A., 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Luxembourg company</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Dipanjan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Dipanjan Deb</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FINANCE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 a Delaware limited liability</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Dipanjan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Dipanjan Deb</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LLC, 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Delaware limited liability company</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Executive Vice President, Corporate</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Operations, and CFO</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60"/>
          </w:cols>
          <w:pgMar w:left="700" w:top="280" w:right="939" w:bottom="1440" w:gutter="0" w:footer="0" w:header="0"/>
        </w:sectPr>
      </w:pPr>
    </w:p>
    <w:bookmarkStart w:id="14" w:name="page15"/>
    <w:bookmarkEnd w:id="14"/>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California corporation</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Jason Hartlove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Jason Hartlove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9019"/>
          </w:cols>
          <w:pgMar w:left="1440" w:top="280" w:right="1440"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HOLDINGS LLC, a Delaware limited liability</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Dipanjan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Dipanjan Deb</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16" w:name="page17"/>
    <w:bookmarkEnd w:id="1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company incorporated in England and Wales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registered number 05232381</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80"/>
          </w:cols>
          <w:pgMar w:left="1440" w:top="280" w:right="1379" w:bottom="1440" w:gutter="0" w:footer="0" w:header="0"/>
        </w:sectPr>
      </w:pPr>
    </w:p>
    <w:bookmarkStart w:id="17" w:name="page18"/>
    <w:bookmarkEnd w:id="1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Japanese company</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Representative Director</w:t>
      </w:r>
    </w:p>
    <w:p>
      <w:pPr>
        <w:sectPr>
          <w:pgSz w:w="11900" w:h="16838" w:orient="portrait"/>
          <w:cols w:equalWidth="0" w:num="1">
            <w:col w:w="9019"/>
          </w:cols>
          <w:pgMar w:left="1440" w:top="28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For execution as a deed: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380" w:type="dxa"/>
            <w:vAlign w:val="bottom"/>
            <w:gridSpan w:val="3"/>
          </w:tcPr>
          <w:p>
            <w:pPr>
              <w:spacing w:after="0"/>
              <w:rPr>
                <w:sz w:val="20"/>
                <w:szCs w:val="20"/>
                <w:color w:val="auto"/>
              </w:rPr>
            </w:pPr>
            <w:r>
              <w:rPr>
                <w:rFonts w:ascii="Arial" w:cs="Arial" w:eastAsia="Arial" w:hAnsi="Arial"/>
                <w:sz w:val="18"/>
                <w:szCs w:val="18"/>
                <w:color w:val="auto"/>
              </w:rPr>
              <w:t>EXECUTED AS A DEED by</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as duly appointed attorney</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pursuant to a power of attorney</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dated</w:t>
            </w:r>
          </w:p>
        </w:tc>
        <w:tc>
          <w:tcPr>
            <w:tcW w:w="4640" w:type="dxa"/>
            <w:vAlign w:val="bottom"/>
          </w:tcPr>
          <w:p>
            <w:pPr>
              <w:spacing w:after="0"/>
              <w:rPr>
                <w:sz w:val="18"/>
                <w:szCs w:val="18"/>
                <w:color w:val="auto"/>
              </w:rPr>
            </w:pP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MAGNACHIP SEMICONDUCTOR</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4640" w:type="dxa"/>
            <w:vAlign w:val="bottom"/>
          </w:tcPr>
          <w:p>
            <w:pPr>
              <w:spacing w:after="0"/>
              <w:rPr>
                <w:sz w:val="18"/>
                <w:szCs w:val="18"/>
                <w:color w:val="auto"/>
              </w:rPr>
            </w:pP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3"/>
        </w:trPr>
        <w:tc>
          <w:tcPr>
            <w:tcW w:w="74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w w:val="86"/>
              </w:rPr>
              <w:t>Witness:</w:t>
            </w: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0" w:type="dxa"/>
            <w:vAlign w:val="bottom"/>
            <w:gridSpan w:val="2"/>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w w:val="84"/>
              </w:rPr>
              <w:t>Address:</w:t>
            </w: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380" w:type="dxa"/>
            <w:vAlign w:val="bottom"/>
            <w:gridSpan w:val="3"/>
          </w:tcPr>
          <w:p>
            <w:pPr>
              <w:spacing w:after="0"/>
              <w:rPr>
                <w:sz w:val="20"/>
                <w:szCs w:val="20"/>
                <w:color w:val="auto"/>
              </w:rPr>
            </w:pPr>
            <w:r>
              <w:rPr>
                <w:rFonts w:ascii="Arial" w:cs="Arial" w:eastAsia="Arial" w:hAnsi="Arial"/>
                <w:sz w:val="18"/>
                <w:szCs w:val="18"/>
                <w:color w:val="auto"/>
              </w:rPr>
              <w:t>SIGNED by</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/s/ Robert Krakauer</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80" w:type="dxa"/>
            <w:vAlign w:val="bottom"/>
            <w:gridSpan w:val="3"/>
            <w:vMerge w:val="continue"/>
          </w:tcPr>
          <w:p>
            <w:pPr>
              <w:spacing w:after="0"/>
              <w:rPr>
                <w:sz w:val="18"/>
                <w:szCs w:val="18"/>
                <w:color w:val="auto"/>
              </w:rPr>
            </w:pP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Pr>
          <w:p>
            <w:pPr>
              <w:jc w:val="right"/>
              <w:ind w:right="552"/>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as duly appointed attorney</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pursuant to a power of attorney</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dated</w:t>
            </w:r>
          </w:p>
        </w:tc>
        <w:tc>
          <w:tcPr>
            <w:tcW w:w="4640" w:type="dxa"/>
            <w:vAlign w:val="bottom"/>
          </w:tcPr>
          <w:p>
            <w:pPr>
              <w:spacing w:after="0"/>
              <w:rPr>
                <w:sz w:val="18"/>
                <w:szCs w:val="18"/>
                <w:color w:val="auto"/>
              </w:rPr>
            </w:pP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MAGNACHIP SEMICONDUCTOR</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4640" w:type="dxa"/>
            <w:vAlign w:val="bottom"/>
          </w:tcPr>
          <w:p>
            <w:pPr>
              <w:spacing w:after="0"/>
              <w:rPr>
                <w:sz w:val="18"/>
                <w:szCs w:val="18"/>
                <w:color w:val="auto"/>
              </w:rPr>
            </w:pP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126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4"/>
        </w:trPr>
        <w:tc>
          <w:tcPr>
            <w:tcW w:w="640" w:type="dxa"/>
            <w:vAlign w:val="bottom"/>
          </w:tcPr>
          <w:p>
            <w:pPr>
              <w:spacing w:after="0"/>
              <w:rPr>
                <w:sz w:val="20"/>
                <w:szCs w:val="20"/>
                <w:color w:val="auto"/>
              </w:rPr>
            </w:pPr>
            <w:r>
              <w:rPr>
                <w:rFonts w:ascii="Arial" w:cs="Arial" w:eastAsia="Arial" w:hAnsi="Arial"/>
                <w:sz w:val="18"/>
                <w:szCs w:val="18"/>
                <w:color w:val="auto"/>
                <w:w w:val="89"/>
              </w:rPr>
              <w:t>Witness:</w:t>
            </w:r>
          </w:p>
        </w:tc>
        <w:tc>
          <w:tcPr>
            <w:tcW w:w="1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0" w:type="dxa"/>
            <w:vAlign w:val="bottom"/>
            <w:gridSpan w:val="2"/>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John McFarland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-2990850</wp:posOffset>
            </wp:positionV>
            <wp:extent cx="30270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Address: 891 Daechi-dong, Gangnam-Gu</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Seoul Korea</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2006</w:t>
      </w:r>
    </w:p>
    <w:p>
      <w:pPr>
        <w:sectPr>
          <w:pgSz w:w="11900" w:h="16838" w:orient="portrait"/>
          <w:cols w:equalWidth="0" w:num="1">
            <w:col w:w="10860"/>
          </w:cols>
          <w:pgMar w:left="240" w:top="274" w:right="799" w:bottom="1440" w:gutter="0" w:footer="0" w:header="0"/>
        </w:sectPr>
      </w:pPr>
    </w:p>
    <w:bookmarkStart w:id="19" w:name="page20"/>
    <w:bookmarkEnd w:id="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Taiwan company</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20" w:name="page21"/>
    <w:bookmarkEnd w:id="2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HOLDING COMPANY LIMITED, a British</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Virgin Islands company</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CORPORATION, a Cayman Islands company</w:t>
      </w:r>
    </w:p>
    <w:p>
      <w:pPr>
        <w:spacing w:after="0" w:line="26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23" w:name="page24"/>
    <w:bookmarkEnd w:id="2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TECHNOLOGY CORPORATION,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Taiwan company</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20"/>
          </w:cols>
          <w:pgMar w:left="1440" w:top="280" w:right="1439" w:bottom="1440" w:gutter="0" w:footer="0" w:header="0"/>
        </w:sectPr>
      </w:pPr>
    </w:p>
    <w:bookmarkStart w:id="24" w:name="page25"/>
    <w:bookmarkEnd w:id="2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SOLEY FOR THE PURPOSE OF AGREEING</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 SECTION 1.(G) HEREOF</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Thomas E.Tabor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Thomas E.Tabor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20"/>
          </w:cols>
          <w:pgMar w:left="1440" w:top="280" w:right="1439" w:bottom="1440" w:gutter="0" w:footer="0" w:header="0"/>
        </w:sectPr>
      </w:pPr>
    </w:p>
    <w:bookmarkStart w:id="25" w:name="page26"/>
    <w:bookmarkEnd w:id="2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AG, STAMFORD BRANCH, as Administrative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Richard L. Tavrow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L. Tavrow</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 as Swingline Lender</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Richard L. Tavrow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L. Tavrow</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Associate Director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Banking Products Services. US</w:t>
      </w:r>
    </w:p>
    <w:p>
      <w:pPr>
        <w:sectPr>
          <w:pgSz w:w="11900" w:h="16838" w:orient="portrait"/>
          <w:cols w:equalWidth="0" w:num="1">
            <w:col w:w="10200"/>
          </w:cols>
          <w:pgMar w:left="1440" w:top="280" w:right="259" w:bottom="1440" w:gutter="0" w:footer="0" w:header="0"/>
        </w:sectPr>
      </w:pPr>
    </w:p>
    <w:bookmarkStart w:id="26" w:name="page27"/>
    <w:bookmarkEnd w:id="2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Pedro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Pedro Ramirez</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120"/>
          </w:cols>
          <w:pgMar w:left="1440" w:top="280" w:right="1339" w:bottom="1440" w:gutter="0" w:footer="0" w:header="0"/>
        </w:sectPr>
      </w:pPr>
    </w:p>
    <w:bookmarkStart w:id="27" w:name="page28"/>
    <w:bookmarkEnd w:id="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Suzanne Crymes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Suzanne Crymes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28" w:name="page29"/>
    <w:bookmarkEnd w:id="2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Kowalezuk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Kowalezuk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29" w:name="page30"/>
    <w:bookmarkEnd w:id="2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Paul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O’Leary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Marcus M.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Marcus M. Tarkington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30" w:name="page31"/>
    <w:bookmarkEnd w:id="30"/>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Annex I</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320" w:type="dxa"/>
            <w:vAlign w:val="bottom"/>
            <w:gridSpan w:val="4"/>
          </w:tcPr>
          <w:p>
            <w:pPr>
              <w:ind w:left="1820"/>
              <w:spacing w:after="0"/>
              <w:rPr>
                <w:sz w:val="20"/>
                <w:szCs w:val="20"/>
                <w:color w:val="auto"/>
              </w:rPr>
            </w:pPr>
            <w:r>
              <w:rPr>
                <w:rFonts w:ascii="Arial" w:cs="Arial" w:eastAsia="Arial" w:hAnsi="Arial"/>
                <w:sz w:val="18"/>
                <w:szCs w:val="18"/>
                <w:b w:val="1"/>
                <w:bCs w:val="1"/>
                <w:color w:val="auto"/>
              </w:rPr>
              <w:t>Applicable Margin</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5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89"/>
              </w:rPr>
              <w:t>Revolving Loans</w:t>
            </w: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Leverage Ratio</w:t>
            </w:r>
          </w:p>
        </w:tc>
        <w:tc>
          <w:tcPr>
            <w:tcW w:w="5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Eurodollar</w:t>
            </w:r>
          </w:p>
        </w:tc>
        <w:tc>
          <w:tcPr>
            <w:tcW w:w="32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2"/>
              </w:rPr>
              <w:t>ABR</w:t>
            </w:r>
          </w:p>
        </w:tc>
        <w:tc>
          <w:tcPr>
            <w:tcW w:w="6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Level I</w:t>
            </w:r>
          </w:p>
        </w:tc>
        <w:tc>
          <w:tcPr>
            <w:tcW w:w="5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2.00%</w:t>
            </w:r>
          </w:p>
        </w:tc>
        <w:tc>
          <w:tcPr>
            <w:tcW w:w="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6"/>
              </w:rPr>
              <w:t>1.00%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&lt; 3.0:1.0</w:t>
            </w:r>
          </w:p>
        </w:tc>
        <w:tc>
          <w:tcPr>
            <w:tcW w:w="5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53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Level II</w:t>
            </w:r>
          </w:p>
        </w:tc>
        <w:tc>
          <w:tcPr>
            <w:tcW w:w="7320" w:type="dxa"/>
            <w:vAlign w:val="bottom"/>
            <w:gridSpan w:val="4"/>
          </w:tcPr>
          <w:p>
            <w:pPr>
              <w:ind w:left="6280"/>
              <w:spacing w:after="0"/>
              <w:rPr>
                <w:sz w:val="20"/>
                <w:szCs w:val="20"/>
                <w:color w:val="auto"/>
              </w:rPr>
            </w:pPr>
            <w:r>
              <w:rPr>
                <w:rFonts w:ascii="Arial" w:cs="Arial" w:eastAsia="Arial" w:hAnsi="Arial"/>
                <w:sz w:val="18"/>
                <w:szCs w:val="18"/>
                <w:color w:val="auto"/>
              </w:rPr>
              <w:t>2.50%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1.50%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&gt;3.0:1.0 but</w:t>
            </w:r>
          </w:p>
        </w:tc>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rPr>
              <w:t>&lt;4.0:1.0</w:t>
            </w:r>
          </w:p>
        </w:tc>
        <w:tc>
          <w:tcPr>
            <w:tcW w:w="5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Level III</w:t>
            </w:r>
          </w:p>
        </w:tc>
        <w:tc>
          <w:tcPr>
            <w:tcW w:w="7320" w:type="dxa"/>
            <w:vAlign w:val="bottom"/>
            <w:gridSpan w:val="4"/>
            <w:shd w:val="clear" w:color="auto" w:fill="CCEEFF"/>
          </w:tcPr>
          <w:p>
            <w:pPr>
              <w:ind w:left="6280"/>
              <w:spacing w:after="0" w:line="201" w:lineRule="exact"/>
              <w:rPr>
                <w:sz w:val="20"/>
                <w:szCs w:val="20"/>
                <w:color w:val="auto"/>
              </w:rPr>
            </w:pPr>
            <w:r>
              <w:rPr>
                <w:rFonts w:ascii="Arial" w:cs="Arial" w:eastAsia="Arial" w:hAnsi="Arial"/>
                <w:sz w:val="18"/>
                <w:szCs w:val="18"/>
                <w:color w:val="auto"/>
              </w:rPr>
              <w:t>3.25%</w:t>
            </w:r>
          </w:p>
        </w:tc>
        <w:tc>
          <w:tcPr>
            <w:tcW w:w="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6"/>
              </w:rPr>
              <w:t>2.25%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&gt;4.0:1.0</w:t>
            </w:r>
          </w:p>
        </w:tc>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&lt;5.0:1.0</w:t>
            </w:r>
          </w:p>
        </w:tc>
        <w:tc>
          <w:tcPr>
            <w:tcW w:w="5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53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Level IV</w:t>
            </w:r>
          </w:p>
        </w:tc>
        <w:tc>
          <w:tcPr>
            <w:tcW w:w="7320" w:type="dxa"/>
            <w:vAlign w:val="bottom"/>
            <w:gridSpan w:val="4"/>
          </w:tcPr>
          <w:p>
            <w:pPr>
              <w:ind w:left="6280"/>
              <w:spacing w:after="0"/>
              <w:rPr>
                <w:sz w:val="20"/>
                <w:szCs w:val="20"/>
                <w:color w:val="auto"/>
              </w:rPr>
            </w:pPr>
            <w:r>
              <w:rPr>
                <w:rFonts w:ascii="Arial" w:cs="Arial" w:eastAsia="Arial" w:hAnsi="Arial"/>
                <w:sz w:val="18"/>
                <w:szCs w:val="18"/>
                <w:color w:val="auto"/>
              </w:rPr>
              <w:t>4.00%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3.00%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&gt;5.0:1.0</w:t>
            </w:r>
          </w:p>
        </w:tc>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2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rPr>
              <w:t>&lt;5.5:1.0</w:t>
            </w:r>
          </w:p>
        </w:tc>
        <w:tc>
          <w:tcPr>
            <w:tcW w:w="5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Level V</w:t>
            </w:r>
          </w:p>
        </w:tc>
        <w:tc>
          <w:tcPr>
            <w:tcW w:w="7320" w:type="dxa"/>
            <w:vAlign w:val="bottom"/>
            <w:gridSpan w:val="4"/>
            <w:shd w:val="clear" w:color="auto" w:fill="CCEEFF"/>
          </w:tcPr>
          <w:p>
            <w:pPr>
              <w:ind w:left="6280"/>
              <w:spacing w:after="0" w:line="201" w:lineRule="exact"/>
              <w:rPr>
                <w:sz w:val="20"/>
                <w:szCs w:val="20"/>
                <w:color w:val="auto"/>
              </w:rPr>
            </w:pPr>
            <w:r>
              <w:rPr>
                <w:rFonts w:ascii="Arial" w:cs="Arial" w:eastAsia="Arial" w:hAnsi="Arial"/>
                <w:sz w:val="18"/>
                <w:szCs w:val="18"/>
                <w:color w:val="auto"/>
              </w:rPr>
              <w:t>4.75%</w:t>
            </w:r>
          </w:p>
        </w:tc>
        <w:tc>
          <w:tcPr>
            <w:tcW w:w="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6"/>
              </w:rPr>
              <w:t>3.75%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&gt;5.5:1.0</w:t>
            </w:r>
          </w:p>
        </w:tc>
        <w:tc>
          <w:tcPr>
            <w:tcW w:w="5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00"/>
        <w:spacing w:after="0" w:line="290" w:lineRule="auto"/>
        <w:rPr>
          <w:sz w:val="20"/>
          <w:szCs w:val="20"/>
          <w:color w:val="auto"/>
        </w:rPr>
      </w:pPr>
      <w:r>
        <w:rPr>
          <w:rFonts w:ascii="Arial" w:cs="Arial" w:eastAsia="Arial" w:hAnsi="Arial"/>
          <w:sz w:val="16"/>
          <w:szCs w:val="16"/>
          <w:color w:val="auto"/>
        </w:rPr>
        <w:t xml:space="preserve">Each change in the Applicable Margin or Applicable Fee resulting from a change in the Total Leverage Ratio shall be effective with respect to all Loans and Letters of Credit outstanding on and after the date of delivery to the Administrative Agent of the financial statements and certificates required by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indicating such change until the date immediately preceding the next date of delivery of such financial statements and certificates indicating another such change. Notwithstanding the foregoing, (i) the Total Leverage Ratio shall be deemed to be in Level II from the Closing Date to the date of delivery to the Administrative Agent of the financial statements and certificates required by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the fiscal period ended at least six months after the Closing Date, (ii) the Total Leverage Ratio shall be deemed to be in Level V at any time during which Borrower has failed to deliver the financial statements and certificates required by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respectively, and at any time during the existence of an Event of Default.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5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114300</wp:posOffset>
            </wp:positionV>
            <wp:extent cx="2375535" cy="608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755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July 27, 2006 </w:t>
      </w:r>
      <w:r>
        <w:rPr>
          <w:rFonts w:ascii="Arial" w:cs="Arial" w:eastAsia="Arial" w:hAnsi="Arial"/>
          <w:sz w:val="18"/>
          <w:szCs w:val="18"/>
          <w:color w:val="auto"/>
        </w:rPr>
        <w:t>– MagnaChip Semiconductor today announced results for the second quarter ended July 2,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July 2, 2006 was $197.6 million, compared to $236.0 million in the second quarter of 2005.</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Gross margin was $20.3 million or 10.3% of revenue for the quarter ended July 2, 2006, compared to $60.4 million or 25.6% of revenue for the second quarter of 2005.</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expenses were $149.6 million in the current quarter. This included restructuring and impairment charges of $93.7 million. The impairment was made to one of the Company’s wafer fabrication facilities that has been significantly under-utilized and related customer intangibles. Excluding the restructuring and impairment charges, operating expenses for the second quarter of 2006 were $55.9 million or 28.3% of revenue, compared to $57.4 million or 24.3% of revenue, which excluded special charges during the second quarter of 2005. Operating loss was $129.3 million during the quarter. Excluding the restructuring and impairment charges, the operating loss for the second quarter of 2006 was $35.6 million compared to an operating income of $3.0 million before special charges in the prior year’s second quarter.</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interest expense for the second quarter of 2006 was $14.4 million, compared to $14.0 million in the second quarter of 2005. Net loss for the three months ended July 2, 2006 was $132.1 million. Excluding the restructuring and impairment charges, the loss was $38.4 million, compared to a net loss of $22.2 million excluding special charges in the prior year’s second quarter.</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Sang Park, President and CEO of MagnaChip Semiconductor, commented, “This was a disappointing quarter due to pricing pressures seen across the entire industry, higher channel inventory levels and due to company-specific execution issues. I joined the company during such a difficult quarter because of my confidence in MagnaChip’s growth prospects. We have a strong employee base, with good potential in our technology and product portfolio, world-class customers and significant capacity in our manufacturing facilities. As a result, the company’s recent performance is not acceptable and we are targeting dramatic actions in the second half of 2006 that will result in improved financial results in the future. In my first thirty days, we have launched aggressive corrective actions for the business going forward that stress a renewed sense of urgency and accountability. I am confident that we are taking the right steps.”</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more focused than ever before on executing the turnaround of our revenue through execution of new product introduction ramps that we have in progress and expansion of our</w:t>
      </w:r>
    </w:p>
    <w:p>
      <w:pPr>
        <w:sectPr>
          <w:pgSz w:w="11900" w:h="16838" w:orient="portrait"/>
          <w:cols w:equalWidth="0" w:num="1">
            <w:col w:w="11420"/>
          </w:cols>
          <w:pgMar w:left="240" w:top="131" w:right="239" w:bottom="1440" w:gutter="0" w:footer="0" w:header="0"/>
        </w:sectPr>
      </w:pPr>
    </w:p>
    <w:bookmarkStart w:id="32" w:name="page33"/>
    <w:bookmarkEnd w:id="3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foundry services. Our 2 Megapixel CMOS image sensor SOC and our high-performance 1.3 Megapixel CMOS image sensor SOC have passed important qualification milestones with key customers, and we expect volume from these products to ramp in the fourth quarter and into 2007. We believe that our recovery in this key market has begun. The end market for display driver IC’s had lower sell through of product than expected. As a result, we will be working through inventory issues in the channel into the next quarter. Our wafer foundry business continues to show stable growth, and we expect to expand our 0.18 process geometry services to Analog customers into the fourth quarter.”</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Robert Krakauer, EVP of Corporate Operations and CFO of MagnaChip Semiconductor, said, “The gross margin decline in the second quarter was primarily due to the lower revenue level compounded by industry-wide pricing pressure and a product mix that skewed toward lower margin products. The infrastructure we have in place is designed to support a multi-billion dollar revenue per year company, not one generating below $200 million a quarter. As part of the changes we are making, we have made key changes in our sales organization to more adequately support our second half ramp strategy. We expect that as our company’s performance regains the revenue growth momentum in-line with our leadership position and historic levels, our profitability will return to higher historic levels as well.”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2006 Outlook</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third quarter of 2006, the Company expects revenues to be approximately 6% to 9% lower compared to the second quarter given inventory issues in our end markets, with flat gross margins.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MagnaChip will report full results for the second quarter 2006 on Thursday, July 27, 2006 at 10:00 a.m. in New York (11:00 p.m., Thursday, July 27 in Seoul). The conference call will be available at www.magnachip.com and by telephone at +1-(201) 689-8560. A replay of the call will be available in two hours after the call through midnight on Thursday, August 3, 2006 in New York (noon on Friday, August 4, 2006 in Seoul) at www.magnachip.com and by telephone at +1-(201) 612-7415. The account number to access the replay is 3055 and the conference ID number is 206378,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approximately 11,900 registered and pending patents. As a result, MagnaChip is a valued partner in providing leading technology solutions to its customers worldwide. For more information, visit www.magnachip.com.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w:t>
      </w:r>
    </w:p>
    <w:p>
      <w:pPr>
        <w:sectPr>
          <w:pgSz w:w="11900" w:h="16838" w:orient="portrait"/>
          <w:cols w:equalWidth="0" w:num="1">
            <w:col w:w="11420"/>
          </w:cols>
          <w:pgMar w:left="240" w:top="280" w:right="23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quarterly report on Form 10-Q for the quarter ended April 2, 2006.</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ectPr>
          <w:pgSz w:w="11900" w:h="16838" w:orient="portrait"/>
          <w:cols w:equalWidth="0" w:num="1">
            <w:col w:w="11120"/>
          </w:cols>
          <w:pgMar w:left="240" w:top="280" w:right="5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Robert Krakauer, EVP Corporate Operations, CFO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82-2-3459-3682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rkrakauer@magnachip.com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David Pasquale, EVP at The Ruth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2">
            <w:col w:w="5240" w:space="720"/>
            <w:col w:w="5160"/>
          </w:cols>
          <w:pgMar w:left="240" w:top="280" w:right="5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except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July 2, 2006</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July 3,2005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$ 197,613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Cost of sales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177,342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33,934</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27,488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(129,372)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Interest expenses, net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(14,352)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gridSpan w:val="2"/>
            <w:vMerge w:val="continue"/>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(129,204)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gridSpan w:val="2"/>
            <w:vMerge w:val="continue"/>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(132,063)</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 (33,484)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(134,769)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 (35,962)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Key Ration &amp; Information:</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Operating Expenses as a % of Revenue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Depreciation &amp; Amortization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52,205</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51,478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Non-US GAAP Financial Information</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7"/>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8"/>
              </w:rPr>
              <w:t>July 2, 2006</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July 3, 2005</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60"/>
              <w:spacing w:after="0" w:line="130" w:lineRule="exact"/>
              <w:rPr>
                <w:sz w:val="20"/>
                <w:szCs w:val="20"/>
                <w:color w:val="auto"/>
              </w:rPr>
            </w:pPr>
            <w:r>
              <w:rPr>
                <w:rFonts w:ascii="Arial" w:cs="Arial" w:eastAsia="Arial" w:hAnsi="Arial"/>
                <w:sz w:val="14"/>
                <w:szCs w:val="14"/>
                <w:b w:val="1"/>
                <w:bCs w:val="1"/>
                <w:color w:val="auto"/>
                <w:w w:val="87"/>
              </w:rPr>
              <w:t>Operating</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Operating</w:t>
            </w:r>
          </w:p>
        </w:tc>
        <w:tc>
          <w:tcPr>
            <w:tcW w:w="6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Net Income</w:t>
            </w: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0"/>
              </w:rPr>
              <w:t>(Loss)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(Loss)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Profit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0"/>
              </w:rPr>
              <w:t>(Loss)</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(129,372)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(132,063)</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$60,404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(8,322)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(33,484)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Special items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Restructuring and impairment charges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(2) IPR&amp;D amortization</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2,605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11,325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Non-US GAAP Profit</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20,271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(35,688)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(38,379)</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60,404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3,003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(22,159)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418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rPr>
              <w:t>10.3%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4180" w:type="dxa"/>
            <w:vAlign w:val="bottom"/>
          </w:tcPr>
          <w:p>
            <w:pPr>
              <w:jc w:val="right"/>
              <w:ind w:right="1052"/>
              <w:spacing w:after="0"/>
              <w:rPr>
                <w:sz w:val="20"/>
                <w:szCs w:val="20"/>
                <w:color w:val="auto"/>
              </w:rPr>
            </w:pPr>
            <w:r>
              <w:rPr>
                <w:rFonts w:ascii="Arial" w:cs="Arial" w:eastAsia="Arial" w:hAnsi="Arial"/>
                <w:sz w:val="18"/>
                <w:szCs w:val="18"/>
                <w:color w:val="auto"/>
              </w:rPr>
              <w:t>28.3%</w:t>
            </w:r>
          </w:p>
        </w:tc>
        <w:tc>
          <w:tcPr>
            <w:tcW w:w="15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418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(18.1)%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July 2, 2006 and July 3, 2005 are as follows:</w:t>
      </w:r>
    </w:p>
    <w:p>
      <w:pPr>
        <w:spacing w:after="0" w:line="51" w:lineRule="exact"/>
        <w:rPr>
          <w:sz w:val="20"/>
          <w:szCs w:val="20"/>
          <w:color w:val="auto"/>
        </w:rPr>
      </w:pPr>
    </w:p>
    <w:p>
      <w:pPr>
        <w:ind w:left="460" w:right="8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and impairment charges during the three months ended July 2, 2006 represent asset impairment charges on one of the Company’s fabrication facilities and restructuring charges associated with changes in certain management. Restructuring and Impairment charges taken during the three months ended July 3, 2005 include charges from headcount reduction and asset impairment.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IPR&amp;D recorded in purchase accounting which was expensed immediately.</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265,237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382,865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153,367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858,589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78,234</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926,595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111,801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(179,807)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858,589</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4"/>
    </w:lvl>
  </w:abstractNum>
  <w:abstractNum w:abstractNumId="2">
    <w:nsid w:val="515F007C"/>
    <w:multiLevelType w:val="hybridMultilevel"/>
    <w:lvl w:ilvl="0">
      <w:lvlJc w:val="left"/>
      <w:lvlText w:val="(%1)"/>
      <w:numFmt w:val="lowerLetter"/>
      <w:start w:val="3"/>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lowerLetter"/>
      <w:start w:val="5"/>
    </w:lvl>
  </w:abstractNum>
  <w:abstractNum w:abstractNumId="6">
    <w:nsid w:val="216231B"/>
    <w:multiLevelType w:val="hybridMultilevel"/>
    <w:lvl w:ilvl="0">
      <w:lvlJc w:val="left"/>
      <w:lvlText w:val="(%1)"/>
      <w:numFmt w:val="lowerLetter"/>
      <w:start w:val="7"/>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4"/>
    </w:lvl>
    <w:lvl w:ilvl="1">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2019-12-12T04:53:24Z</dcterms:created>
  <dcterms:modified xsi:type="dcterms:W3CDTF">2019-12-12T04:53:24Z</dcterms:modified>
</cp:coreProperties>
</file>