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65059d10q.htm"/>
        <w:bookmarkStart w:id="1" w:name="ksd265059d10q"/>
        <w:bookmarkEnd w:id="0"/>
        <w:bookmarkEnd w:id="1"/>
        <w:r>
          <w:rPr>
            <w:rStyle w:val="InternetLink"/>
          </w:rPr>
          <w:t>Table of Contents</w:t>
        </w:r>
      </w:hyperlink>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p>
    <w:p>
      <w:pPr>
        <w:pStyle w:val="TextBody"/>
        <w:bidi w:val="0"/>
        <w:spacing w:before="8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00" w:after="0"/>
        <w:ind w:left="0" w:right="0" w:hanging="0"/>
        <w:jc w:val="center"/>
        <w:rPr>
          <w:rFonts w:ascii="Times New Roman" w:hAnsi="Times New Roman"/>
          <w:b/>
          <w:sz w:val="36"/>
        </w:rPr>
      </w:pPr>
      <w:r>
        <w:rPr>
          <w:rFonts w:ascii="Times New Roman" w:hAnsi="Times New Roman"/>
          <w:b/>
          <w:sz w:val="36"/>
        </w:rPr>
        <w:t xml:space="preserve">FORM </w:t>
      </w:r>
    </w:p>
    <w:p>
      <w:pPr>
        <w:pStyle w:val="TextBody"/>
        <w:bidi w:val="0"/>
        <w:spacing w:before="200" w:after="0"/>
        <w:jc w:val="center"/>
        <w:rPr>
          <w:rFonts w:ascii="Times New Roman" w:hAnsi="Times New Roman"/>
          <w:b/>
          <w:spacing w:val="0"/>
          <w:sz w:val="36"/>
        </w:rPr>
      </w:pPr>
      <w:r>
        <w:rPr>
          <w:rFonts w:ascii="Times New Roman" w:hAnsi="Times New Roman"/>
          <w:b/>
          <w:spacing w:val="0"/>
          <w:sz w:val="36"/>
        </w:rPr>
        <w:t>10-Q</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QUARTERLY REPORT PURSUANT TO SECTION 13 OR 15(d) OF THE SECURITIES EXCHANGE ACT OF 1934 </w:t>
            </w:r>
          </w:p>
        </w:tc>
      </w:tr>
    </w:tbl>
    <w:p>
      <w:pPr>
        <w:pStyle w:val="TextBody"/>
        <w:bidi w:val="0"/>
        <w:spacing w:before="200" w:after="0"/>
        <w:ind w:left="0" w:right="0" w:hanging="0"/>
        <w:jc w:val="center"/>
        <w:rPr>
          <w:rFonts w:ascii="Times New Roman" w:hAnsi="Times New Roman"/>
          <w:b/>
          <w:spacing w:val="0"/>
          <w:sz w:val="20"/>
        </w:rPr>
      </w:pPr>
      <w:r>
        <w:rPr>
          <w:rFonts w:ascii="Times New Roman" w:hAnsi="Times New Roman"/>
          <w:b/>
          <w:spacing w:val="0"/>
          <w:sz w:val="20"/>
        </w:rPr>
        <w:t xml:space="preserve">For the quarterly period ended June 30, 2023 </w:t>
      </w:r>
    </w:p>
    <w:p>
      <w:pPr>
        <w:pStyle w:val="TextBody"/>
        <w:bidi w:val="0"/>
        <w:spacing w:before="200" w:after="0"/>
        <w:ind w:left="0" w:right="0" w:hanging="0"/>
        <w:jc w:val="center"/>
        <w:rPr>
          <w:rFonts w:ascii="Times New Roman" w:hAnsi="Times New Roman"/>
          <w:b/>
          <w:spacing w:val="0"/>
          <w:sz w:val="20"/>
        </w:rPr>
      </w:pPr>
      <w:r>
        <w:rPr>
          <w:rFonts w:ascii="Times New Roman" w:hAnsi="Times New Roman"/>
          <w:b/>
          <w:spacing w:val="0"/>
          <w:sz w:val="20"/>
        </w:rPr>
        <w:t xml:space="preserve">or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bidi w:val="0"/>
        <w:spacing w:before="200" w:after="0"/>
        <w:ind w:left="0" w:right="0" w:hanging="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to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spacing w:val="0"/>
          <w:u w:val="single"/>
        </w:rPr>
      </w:pPr>
      <w:r>
        <w:rPr>
          <w:spacing w:val="0"/>
          <w:u w:val="single"/>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 </w:t>
      </w:r>
    </w:p>
    <w:p>
      <w:pPr>
        <w:pStyle w:val="TextBody"/>
        <w:bidi w:val="0"/>
        <w:spacing w:before="200" w:after="0"/>
        <w:ind w:left="0" w:right="0" w:hanging="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00" w:after="0"/>
        <w:jc w:val="center"/>
        <w:rPr>
          <w:rFonts w:ascii="Times New Roman" w:hAnsi="Times New Roman"/>
          <w:b/>
          <w:spacing w:val="0"/>
          <w:sz w:val="20"/>
        </w:rPr>
      </w:pPr>
      <w:r>
        <w:rPr>
          <w:rFonts w:ascii="Times New Roman" w:hAnsi="Times New Roman"/>
          <w:b/>
          <w:spacing w:val="0"/>
          <w:sz w:val="20"/>
        </w:rPr>
        <w:t>001-34791</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pPr>
      <w:r>
        <w:rPr/>
        <w:drawing>
          <wp:inline distT="0" distB="0" distL="0" distR="0">
            <wp:extent cx="31908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0875" cy="628650"/>
                    </a:xfrm>
                    <a:prstGeom prst="rect">
                      <a:avLst/>
                    </a:prstGeom>
                  </pic:spPr>
                </pic:pic>
              </a:graphicData>
            </a:graphic>
          </wp:inline>
        </w:drawing>
      </w:r>
    </w:p>
    <w:p>
      <w:pPr>
        <w:pStyle w:val="TextBody"/>
        <w:bidi w:val="0"/>
        <w:spacing w:before="200" w:after="0"/>
        <w:ind w:left="0" w:right="0" w:hanging="0"/>
        <w:jc w:val="center"/>
        <w:rPr>
          <w:rFonts w:ascii="Times New Roman" w:hAnsi="Times New Roman"/>
          <w:b/>
          <w:spacing w:val="0"/>
          <w:sz w:val="48"/>
        </w:rPr>
      </w:pPr>
      <w:r>
        <w:rPr>
          <w:rFonts w:ascii="Times New Roman" w:hAnsi="Times New Roman"/>
          <w:b/>
          <w:spacing w:val="0"/>
          <w:sz w:val="48"/>
        </w:rPr>
        <w:t xml:space="preserve">Magnachip Semiconductor Corporation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(State or other jurisdiction of</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incorporation or organization)</w:t>
            </w:r>
          </w:p>
        </w:tc>
        <w:tc>
          <w:tcPr>
            <w:tcW w:w="6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(I.R.S. Employer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Identification No.)</w:t>
            </w:r>
          </w:p>
        </w:tc>
      </w:tr>
    </w:tbl>
    <w:p>
      <w:pPr>
        <w:pStyle w:val="TextBody"/>
        <w:bidi w:val="0"/>
        <w:spacing w:before="200" w:after="0"/>
        <w:ind w:left="0" w:right="0" w:hanging="0"/>
        <w:jc w:val="center"/>
        <w:rPr>
          <w:rFonts w:ascii="Times New Roman" w:hAnsi="Times New Roman"/>
          <w:b/>
          <w:spacing w:val="0"/>
          <w:sz w:val="20"/>
        </w:rPr>
      </w:pPr>
      <w:r>
        <w:rPr>
          <w:rFonts w:ascii="Times New Roman" w:hAnsi="Times New Roman"/>
          <w:b/>
          <w:spacing w:val="0"/>
          <w:sz w:val="20"/>
        </w:rPr>
        <w:t xml:space="preserve">c/o Magnachip Semiconductor, Ltd.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15F, 76 Jikji-daero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436beon-gil</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Heungdeok-gu</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Cheongju-si,</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Chungcheongbuk-do,</w:t>
      </w:r>
    </w:p>
    <w:p>
      <w:pPr>
        <w:pStyle w:val="TextBody"/>
        <w:bidi w:val="0"/>
        <w:spacing w:before="0" w:after="0"/>
        <w:jc w:val="center"/>
        <w:rPr>
          <w:rFonts w:ascii="Times New Roman" w:hAnsi="Times New Roman"/>
          <w:b/>
          <w:sz w:val="20"/>
        </w:rPr>
      </w:pPr>
      <w:r>
        <w:rPr>
          <w:rFonts w:ascii="Times New Roman" w:hAnsi="Times New Roman"/>
          <w:b/>
          <w:sz w:val="20"/>
        </w:rPr>
        <w:t xml:space="preserve">Republic of Korea 28581 </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(Address of principal executive offices) (Zip Code) </w:t>
      </w:r>
    </w:p>
    <w:p>
      <w:pPr>
        <w:pStyle w:val="TextBody"/>
        <w:bidi w:val="0"/>
        <w:spacing w:before="200" w:after="0"/>
        <w:ind w:left="0" w:right="0" w:hanging="0"/>
        <w:jc w:val="center"/>
        <w:rPr>
          <w:rFonts w:ascii="Times New Roman" w:hAnsi="Times New Roman"/>
          <w:b/>
          <w:spacing w:val="0"/>
          <w:sz w:val="20"/>
        </w:rPr>
      </w:pPr>
      <w:r>
        <w:rPr>
          <w:rFonts w:ascii="Times New Roman" w:hAnsi="Times New Roman"/>
          <w:b/>
          <w:spacing w:val="0"/>
          <w:sz w:val="20"/>
        </w:rPr>
        <w:t xml:space="preserve">Registrant’s telephone number, including area code: +82 (2) 6903-3000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00" w:after="0"/>
        <w:ind w:left="0" w:right="0" w:hanging="0"/>
        <w:jc w:val="center"/>
        <w:rPr>
          <w:rFonts w:ascii="Times New Roman" w:hAnsi="Times New Roman"/>
          <w:b/>
          <w:spacing w:val="0"/>
          <w:sz w:val="20"/>
        </w:rPr>
      </w:pPr>
      <w:r>
        <w:rPr>
          <w:rFonts w:ascii="Times New Roman" w:hAnsi="Times New Roman"/>
          <w:b/>
          <w:spacing w:val="0"/>
          <w:sz w:val="20"/>
        </w:rPr>
        <w:t xml:space="preserve">Securities registered pursuant to Section 12(b) of the Act: </w:t>
      </w:r>
    </w:p>
    <w:p>
      <w:pPr>
        <w:pStyle w:val="TextBody"/>
        <w:bidi w:val="0"/>
        <w:spacing w:before="0" w:after="0"/>
        <w:ind w:left="0" w:right="0" w:hanging="0"/>
        <w:jc w:val="left"/>
        <w:rPr>
          <w:spacing w:val="0"/>
        </w:rPr>
      </w:pPr>
      <w:r>
        <w:rPr>
          <w:spacing w:val="0"/>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200" w:after="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 </w:t>
      </w:r>
    </w:p>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00" w:after="0"/>
        <w:jc w:val="left"/>
        <w:rPr>
          <w:rFonts w:ascii="Times New Roman" w:hAnsi="Times New Roman"/>
          <w:spacing w:val="0"/>
          <w:sz w:val="20"/>
        </w:rPr>
      </w:pPr>
      <w:r>
        <w:rPr>
          <w:rFonts w:ascii="Times New Roman" w:hAnsi="Times New Roman"/>
          <w:spacing w:val="0"/>
          <w:sz w:val="20"/>
        </w:rPr>
        <w:t>S-T</w:t>
      </w:r>
    </w:p>
    <w:p>
      <w:pPr>
        <w:pStyle w:val="TextBody"/>
        <w:bidi w:val="0"/>
        <w:spacing w:before="20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  Yes    ☐  No </w:t>
      </w:r>
    </w:p>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0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00" w:after="0"/>
        <w:jc w:val="left"/>
        <w:rPr>
          <w:rFonts w:ascii="Times New Roman" w:hAnsi="Times New Roman"/>
          <w:sz w:val="20"/>
        </w:rPr>
      </w:pPr>
      <w:r>
        <w:rPr>
          <w:rFonts w:ascii="Times New Roman" w:hAnsi="Times New Roman"/>
          <w:sz w:val="20"/>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0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0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ind w:left="0" w:right="0" w:hanging="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pPr>
            <w:r>
              <w:rPr/>
              <w:t>Large accelerated filer</w:t>
            </w:r>
          </w:p>
        </w:tc>
        <w:tc>
          <w:tcPr>
            <w:tcW w:w="6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Accelerated filer</w:t>
            </w:r>
          </w:p>
        </w:tc>
        <w:tc>
          <w:tcPr>
            <w:tcW w:w="6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Smaller reporting company</w:t>
            </w:r>
          </w:p>
        </w:tc>
        <w:tc>
          <w:tcPr>
            <w:tcW w:w="6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2615" w:type="dxa"/>
            <w:tcBorders/>
            <w:vAlign w:val="center"/>
          </w:tcPr>
          <w:p>
            <w:pPr>
              <w:pStyle w:val="TableContents"/>
              <w:bidi w:val="0"/>
              <w:spacing w:before="0" w:after="0"/>
              <w:jc w:val="left"/>
              <w:rPr/>
            </w:pPr>
            <w:r>
              <w:rPr/>
              <w:t>Emerging growth company</w:t>
            </w:r>
          </w:p>
        </w:tc>
        <w:tc>
          <w:tcPr>
            <w:tcW w:w="6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w:t>
            </w:r>
          </w:p>
        </w:tc>
      </w:tr>
    </w:tbl>
    <w:p>
      <w:pPr>
        <w:pStyle w:val="TextBody"/>
        <w:bidi w:val="0"/>
        <w:spacing w:before="200" w:after="0"/>
        <w:ind w:left="0" w:right="0" w:hanging="0"/>
        <w:jc w:val="left"/>
        <w:rPr>
          <w:rFonts w:ascii="Times New Roman" w:hAnsi="Times New Roman"/>
          <w:spacing w:val="0"/>
          <w:sz w:val="20"/>
        </w:rPr>
      </w:pPr>
      <w:r>
        <w:rPr>
          <w:rFonts w:ascii="Times New Roman" w:hAnsi="Times New Roman"/>
          <w:spacing w:val="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0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00" w:after="0"/>
        <w:jc w:val="left"/>
        <w:rPr>
          <w:rFonts w:ascii="Times New Roman" w:hAnsi="Times New Roman"/>
          <w:sz w:val="20"/>
        </w:rPr>
      </w:pPr>
      <w:r>
        <w:rPr>
          <w:rFonts w:ascii="Times New Roman" w:hAnsi="Times New Roman"/>
          <w:sz w:val="20"/>
        </w:rPr>
        <w:t xml:space="preserve">of the Exchange Act).    ☐  Yes    ☒  No </w:t>
      </w:r>
    </w:p>
    <w:p>
      <w:pPr>
        <w:pStyle w:val="TextBody"/>
        <w:bidi w:val="0"/>
        <w:spacing w:before="200" w:after="0"/>
        <w:jc w:val="left"/>
        <w:rPr>
          <w:rFonts w:ascii="Times New Roman" w:hAnsi="Times New Roman"/>
          <w:spacing w:val="0"/>
          <w:sz w:val="20"/>
        </w:rPr>
      </w:pPr>
      <w:r>
        <w:rPr>
          <w:rFonts w:ascii="Times New Roman" w:hAnsi="Times New Roman"/>
          <w:spacing w:val="0"/>
          <w:sz w:val="20"/>
        </w:rPr>
        <w:t xml:space="preserve">As of July 31, 2023, the registrant had 40,259,499 shares of common stock outstanding.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a265059_1">
              <w:r>
                <w:rPr>
                  <w:rStyle w:val="InternetLink"/>
                  <w:rFonts w:ascii="Times New Roman" w:hAnsi="Times New Roman"/>
                  <w:sz w:val="20"/>
                </w:rPr>
                <w:t xml:space="preserve">PART I FINANCIAL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2">
              <w:r>
                <w:rPr>
                  <w:rStyle w:val="InternetLink"/>
                  <w:rFonts w:ascii="Times New Roman" w:hAnsi="Times New Roman"/>
                  <w:sz w:val="20"/>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3">
              <w:r>
                <w:rPr>
                  <w:rStyle w:val="InternetLink"/>
                  <w:rFonts w:ascii="Times New Roman" w:hAnsi="Times New Roman"/>
                  <w:sz w:val="20"/>
                </w:rPr>
                <w:t>Magnachip Semiconductor Corporation and Subsidiaries Consolidated Balance Sheets as of June 30, 2023 and December 31,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4">
              <w:r>
                <w:rPr>
                  <w:rStyle w:val="InternetLink"/>
                  <w:rFonts w:ascii="Times New Roman" w:hAnsi="Times New Roman"/>
                  <w:sz w:val="20"/>
                </w:rPr>
                <w:t>Magnachip Semiconductor Corporation and Subsidiaries Consolidated Statements of Operations for the Three and Six Months Ended June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5">
              <w:r>
                <w:rPr>
                  <w:rStyle w:val="InternetLink"/>
                  <w:rFonts w:ascii="Times New Roman" w:hAnsi="Times New Roman"/>
                  <w:sz w:val="20"/>
                </w:rPr>
                <w:t>Magnachip Semiconductor Corporation and Subsidiaries Consolidated Statements of Comprehensive Income (Loss) for the Three and Six Months Ended June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6">
              <w:r>
                <w:rPr>
                  <w:rStyle w:val="InternetLink"/>
                  <w:rFonts w:ascii="Times New Roman" w:hAnsi="Times New Roman"/>
                  <w:sz w:val="20"/>
                </w:rPr>
                <w:t>Magnachip Semiconductor Corporation and Subsidiaries Consolidated Statements of Changes in Stockholders’ Equity for the Three and Six Months Ended June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7">
              <w:r>
                <w:rPr>
                  <w:rStyle w:val="InternetLink"/>
                  <w:rFonts w:ascii="Times New Roman" w:hAnsi="Times New Roman"/>
                  <w:sz w:val="20"/>
                </w:rPr>
                <w:t>Magnachip Semiconductor Corporation and Subsidiaries Consolidated Statements of Cash Flows for the Six Months Ended June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a265059_8">
              <w:r>
                <w:rPr>
                  <w:rStyle w:val="InternetLink"/>
                  <w:rFonts w:ascii="Times New Roman" w:hAnsi="Times New Roman"/>
                  <w:sz w:val="20"/>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9">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0">
              <w:r>
                <w:rPr>
                  <w:rStyle w:val="InternetLink"/>
                  <w:rFonts w:ascii="Times New Roman" w:hAnsi="Times New Roman"/>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1">
              <w:r>
                <w:rPr>
                  <w:rStyle w:val="InternetLink"/>
                  <w:rFonts w:ascii="Times New Roman" w:hAnsi="Times New Roman"/>
                  <w:sz w:val="20"/>
                </w:rPr>
                <w:t>Controls and Procedures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xb265059_12">
              <w:r>
                <w:rPr>
                  <w:rStyle w:val="InternetLink"/>
                  <w:rFonts w:ascii="Times New Roman" w:hAnsi="Times New Roman"/>
                  <w:sz w:val="20"/>
                </w:rPr>
                <w:t xml:space="preserve">PART II OTHER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5">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6">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7">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xb265059_18">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exind265059_19">
              <w:r>
                <w:rPr>
                  <w:rStyle w:val="InternetLink"/>
                  <w:rFonts w:ascii="Times New Roman" w:hAnsi="Times New Roman"/>
                  <w:sz w:val="20"/>
                </w:rPr>
                <w:t xml:space="preserve">Exhibits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sig265059_20">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rPr>
      </w:pPr>
      <w:r>
        <w:rPr>
          <w:spacing w:val="0"/>
        </w:rPr>
        <w:t> </w:t>
      </w:r>
    </w:p>
    <w:tbl>
      <w:tblPr>
        <w:tblW w:w="5470" w:type="dxa"/>
        <w:jc w:val="left"/>
        <w:tblInd w:w="0" w:type="dxa"/>
        <w:tblLayout w:type="fixed"/>
        <w:tblCellMar>
          <w:top w:w="0" w:type="dxa"/>
          <w:left w:w="0" w:type="dxa"/>
          <w:bottom w:w="0" w:type="dxa"/>
          <w:right w:w="0" w:type="dxa"/>
        </w:tblCellMar>
      </w:tblPr>
      <w:tblGrid>
        <w:gridCol w:w="740"/>
        <w:gridCol w:w="4730"/>
      </w:tblGrid>
      <w:tr>
        <w:trPr/>
        <w:tc>
          <w:tcPr>
            <w:tcW w:w="740" w:type="dxa"/>
            <w:tcBorders/>
            <w:vAlign w:val="center"/>
          </w:tcPr>
          <w:p>
            <w:pPr>
              <w:pStyle w:val="TableContents"/>
              <w:bidi w:val="0"/>
              <w:spacing w:before="0" w:after="0"/>
              <w:jc w:val="left"/>
              <w:rPr>
                <w:b/>
                <w:spacing w:val="0"/>
              </w:rPr>
            </w:pPr>
            <w:bookmarkStart w:id="3" w:name="txa265059_2"/>
            <w:bookmarkEnd w:id="3"/>
            <w:r>
              <w:rPr>
                <w:b/>
                <w:spacing w:val="0"/>
              </w:rPr>
              <w:t>Item 1.</w:t>
            </w:r>
          </w:p>
        </w:tc>
        <w:tc>
          <w:tcPr>
            <w:tcW w:w="47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CONSOLIDATED BALANCE SHEETS (Unaudited)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095"/>
        <w:gridCol w:w="120"/>
        <w:gridCol w:w="260"/>
        <w:gridCol w:w="1631"/>
        <w:gridCol w:w="288"/>
        <w:gridCol w:w="111"/>
        <w:gridCol w:w="346"/>
        <w:gridCol w:w="2181"/>
        <w:gridCol w:w="173"/>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1"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27"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1" w:type="dxa"/>
            <w:gridSpan w:val="2"/>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527"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7"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172,954</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225,477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 net</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35,009</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35,380</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32,337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39,883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receivables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3,498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7,847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9,553</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10,560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Hedge collateral (Note 6)</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2,120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2,940</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 (Note 16)</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19,070</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15,766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274,541</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337,853</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101,067</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110,747</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5,224</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5,265</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1,706</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1,930</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Long-term prepaid expenses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7,430</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10,939</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37,141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38,324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16,626</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11,587</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443,735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516,645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and 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t>
            </w:r>
          </w:p>
        </w:tc>
        <w:tc>
          <w:tcPr>
            <w:tcW w:w="1631" w:type="dxa"/>
            <w:tcBorders/>
            <w:vAlign w:val="center"/>
          </w:tcPr>
          <w:p>
            <w:pPr>
              <w:pStyle w:val="TableContents"/>
              <w:bidi w:val="0"/>
              <w:spacing w:before="0" w:after="283"/>
              <w:jc w:val="right"/>
              <w:rPr/>
            </w:pPr>
            <w:r>
              <w:rPr/>
              <w:t>20,367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w:t>
            </w:r>
          </w:p>
        </w:tc>
        <w:tc>
          <w:tcPr>
            <w:tcW w:w="2181" w:type="dxa"/>
            <w:tcBorders/>
            <w:vAlign w:val="center"/>
          </w:tcPr>
          <w:p>
            <w:pPr>
              <w:pStyle w:val="TableContents"/>
              <w:bidi w:val="0"/>
              <w:spacing w:before="0" w:after="283"/>
              <w:jc w:val="right"/>
              <w:rPr/>
            </w:pPr>
            <w:r>
              <w:rPr/>
              <w:t>17,998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accounts payable</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8,473</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9,702</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(Note 5)</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10,456</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9,688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income taxes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91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3,154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1,745</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1,397</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4,506</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5,306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45,638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47,245</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20,123</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23,121</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3,671</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4,091</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10,011</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14,035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79,443</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88,492</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16)</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left"/>
              <w:rPr>
                <w:sz w:val="4"/>
                <w:szCs w:val="4"/>
              </w:rPr>
            </w:pPr>
            <w:r>
              <w:rPr>
                <w:sz w:val="4"/>
                <w:szCs w:val="4"/>
              </w:rPr>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$0.01 par value, 150,000,000 shares authorized, 56,449,782 shares issued and 40,133,898 outstanding at June 30, 2023 and 56,432,449 shares issued and 43,824,575 outstanding at December 31, 2022</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564</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564</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269,297</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266,058</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310,089</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335,506</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Treasury stock, 16,315,884 shares at June 30, 2023 and 12,607,874 shares at December 31, 2022, respectively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(199,248</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(161,422</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(16,410</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(12,553</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364,292</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428,153</w:t>
            </w:r>
          </w:p>
        </w:tc>
        <w:tc>
          <w:tcPr>
            <w:tcW w:w="173"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8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w:t>
            </w:r>
          </w:p>
        </w:tc>
        <w:tc>
          <w:tcPr>
            <w:tcW w:w="1631" w:type="dxa"/>
            <w:tcBorders/>
            <w:shd w:fill="CCEEFF" w:val="clear"/>
            <w:vAlign w:val="center"/>
          </w:tcPr>
          <w:p>
            <w:pPr>
              <w:pStyle w:val="TableContents"/>
              <w:bidi w:val="0"/>
              <w:spacing w:before="0" w:after="283"/>
              <w:jc w:val="right"/>
              <w:rPr/>
            </w:pPr>
            <w:r>
              <w:rPr/>
              <w:t>443,735</w:t>
            </w:r>
          </w:p>
        </w:tc>
        <w:tc>
          <w:tcPr>
            <w:tcW w:w="28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2181" w:type="dxa"/>
            <w:tcBorders/>
            <w:shd w:fill="CCEEFF" w:val="clear"/>
            <w:vAlign w:val="center"/>
          </w:tcPr>
          <w:p>
            <w:pPr>
              <w:pStyle w:val="TableContents"/>
              <w:bidi w:val="0"/>
              <w:spacing w:before="0" w:after="283"/>
              <w:jc w:val="right"/>
              <w:rPr/>
            </w:pPr>
            <w:r>
              <w:rPr/>
              <w:t>516,645</w:t>
            </w:r>
          </w:p>
        </w:tc>
        <w:tc>
          <w:tcPr>
            <w:tcW w:w="173"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8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8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w:t>
      </w:r>
    </w:p>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statements</w:t>
      </w:r>
    </w:p>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OPERATIONS (Unau</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d</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ited) </w:t>
      </w:r>
    </w:p>
    <w:p>
      <w:pPr>
        <w:pStyle w:val="TextBody"/>
        <w:bidi w:val="0"/>
        <w:spacing w:before="0" w:after="0"/>
        <w:jc w:val="left"/>
        <w:rPr>
          <w:spacing w:val="0"/>
        </w:rPr>
      </w:pPr>
      <w:r>
        <w:rPr>
          <w:spacing w:val="0"/>
        </w:rPr>
        <w:t> </w:t>
      </w:r>
    </w:p>
    <w:tbl>
      <w:tblPr>
        <w:tblW w:w="9950" w:type="dxa"/>
        <w:jc w:val="left"/>
        <w:tblInd w:w="0" w:type="dxa"/>
        <w:tblLayout w:type="fixed"/>
        <w:tblCellMar>
          <w:top w:w="0" w:type="dxa"/>
          <w:left w:w="0" w:type="dxa"/>
          <w:bottom w:w="0" w:type="dxa"/>
          <w:right w:w="0" w:type="dxa"/>
        </w:tblCellMar>
      </w:tblPr>
      <w:tblGrid>
        <w:gridCol w:w="4055"/>
        <w:gridCol w:w="120"/>
        <w:gridCol w:w="140"/>
        <w:gridCol w:w="1100"/>
        <w:gridCol w:w="155"/>
        <w:gridCol w:w="60"/>
        <w:gridCol w:w="140"/>
        <w:gridCol w:w="1100"/>
        <w:gridCol w:w="155"/>
        <w:gridCol w:w="60"/>
        <w:gridCol w:w="140"/>
        <w:gridCol w:w="1100"/>
        <w:gridCol w:w="155"/>
        <w:gridCol w:w="60"/>
        <w:gridCol w:w="140"/>
        <w:gridCol w:w="1100"/>
        <w:gridCol w:w="170"/>
      </w:tblGrid>
      <w:tr>
        <w:trPr/>
        <w:tc>
          <w:tcPr>
            <w:tcW w:w="4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5" w:type="dxa"/>
            <w:gridSpan w:val="6"/>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60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465" w:type="dxa"/>
            <w:gridSpan w:val="13"/>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51,375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91,288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102,889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185,298</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15,095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20,171</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60,979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101,376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117,984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205,469</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37,867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63,620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119,700</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17,828</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72,431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92,352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137,528</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13,538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67,941</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24,302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26,899</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25,364</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797</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26,943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58,106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53,060</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14,881</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1,776</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(610</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gain (loss),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(7,702</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429</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(loss) before income tax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(29,621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8,774</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expense (benefit)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2,586</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6,188</w:t>
            </w:r>
          </w:p>
        </w:tc>
        <w:tc>
          <w:tcPr>
            <w:tcW w:w="17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earnings (loss) per common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0.14</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 earnings (loss)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0.13</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41,741,310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44,897,278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42,561,514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45,248,293</w:t>
            </w:r>
          </w:p>
        </w:tc>
        <w:tc>
          <w:tcPr>
            <w:tcW w:w="170" w:type="dxa"/>
            <w:tcBorders/>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44,897,278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46,329,559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COMPREHENSIVE INCOME (LOSS)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485"/>
        <w:gridCol w:w="120"/>
        <w:gridCol w:w="164"/>
        <w:gridCol w:w="744"/>
        <w:gridCol w:w="181"/>
        <w:gridCol w:w="70"/>
        <w:gridCol w:w="164"/>
        <w:gridCol w:w="887"/>
        <w:gridCol w:w="155"/>
        <w:gridCol w:w="60"/>
        <w:gridCol w:w="140"/>
        <w:gridCol w:w="755"/>
        <w:gridCol w:w="155"/>
        <w:gridCol w:w="60"/>
        <w:gridCol w:w="140"/>
        <w:gridCol w:w="755"/>
        <w:gridCol w:w="170"/>
      </w:tblGrid>
      <w:tr>
        <w:trPr/>
        <w:tc>
          <w:tcPr>
            <w:tcW w:w="54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5" w:type="dxa"/>
            <w:gridSpan w:val="6"/>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30" w:type="dxa"/>
            <w:gridSpan w:val="14"/>
            <w:tcBorders/>
            <w:vAlign w:val="center"/>
          </w:tcPr>
          <w:p>
            <w:pPr>
              <w:pStyle w:val="TableContents"/>
              <w:bidi w:val="0"/>
              <w:spacing w:before="0" w:after="0"/>
              <w:jc w:val="center"/>
              <w:rPr>
                <w:b/>
                <w:spacing w:val="0"/>
              </w:rPr>
            </w:pPr>
            <w:r>
              <w:rPr>
                <w:b/>
                <w:spacing w:val="0"/>
              </w:rPr>
              <w:t>(In thousands of U.S. dollars)</w:t>
            </w:r>
          </w:p>
        </w:tc>
        <w:tc>
          <w:tcPr>
            <w:tcW w:w="170" w:type="dxa"/>
            <w:tcBorders/>
            <w:vAlign w:val="center"/>
          </w:tcPr>
          <w:p>
            <w:pPr>
              <w:pStyle w:val="TableContents"/>
              <w:bidi w:val="0"/>
              <w:spacing w:before="0" w:after="283"/>
              <w:jc w:val="left"/>
              <w:rPr/>
            </w:pPr>
            <w:r>
              <w:rPr/>
              <w:t> </w:t>
            </w:r>
          </w:p>
        </w:tc>
      </w:tr>
      <w:tr>
        <w:trPr/>
        <w:tc>
          <w:tcPr>
            <w:tcW w:w="54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744" w:type="dxa"/>
            <w:tcBorders/>
            <w:shd w:fill="CCEEFF" w:val="clear"/>
            <w:vAlign w:val="center"/>
          </w:tcPr>
          <w:p>
            <w:pPr>
              <w:pStyle w:val="TableContents"/>
              <w:bidi w:val="0"/>
              <w:spacing w:before="0" w:after="283"/>
              <w:jc w:val="right"/>
              <w:rPr/>
            </w:pPr>
            <w:r>
              <w:rPr/>
              <w:t>(3,947</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(3,340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6,188</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4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(2,285</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(9,907</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adjustments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4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valuation of derivatives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(375</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(7,741</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Reclassification adjustment for loss on derivatives included in net income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right"/>
              <w:rPr/>
            </w:pPr>
            <w:r>
              <w:rPr/>
              <w:t>1,243</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2,558</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other comprehensive loss</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(1,417</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(11,543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(15,090</w:t>
            </w:r>
          </w:p>
        </w:tc>
        <w:tc>
          <w:tcPr>
            <w:tcW w:w="170" w:type="dxa"/>
            <w:tcBorders/>
            <w:shd w:fill="CCEEFF" w:val="clear"/>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comprehensive loss</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744" w:type="dxa"/>
            <w:tcBorders/>
            <w:vAlign w:val="center"/>
          </w:tcPr>
          <w:p>
            <w:pPr>
              <w:pStyle w:val="TableContents"/>
              <w:bidi w:val="0"/>
              <w:spacing w:before="0" w:after="283"/>
              <w:jc w:val="right"/>
              <w:rPr/>
            </w:pPr>
            <w:r>
              <w:rPr/>
              <w:t>(5,364</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w:t>
            </w:r>
          </w:p>
        </w:tc>
        <w:tc>
          <w:tcPr>
            <w:tcW w:w="887" w:type="dxa"/>
            <w:tcBorders/>
            <w:vAlign w:val="center"/>
          </w:tcPr>
          <w:p>
            <w:pPr>
              <w:pStyle w:val="TableContents"/>
              <w:bidi w:val="0"/>
              <w:spacing w:before="0" w:after="283"/>
              <w:jc w:val="right"/>
              <w:rPr/>
            </w:pPr>
            <w:r>
              <w:rPr/>
              <w:t>(14,883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(8,902</w:t>
            </w:r>
          </w:p>
        </w:tc>
        <w:tc>
          <w:tcPr>
            <w:tcW w:w="170" w:type="dxa"/>
            <w:tcBorders/>
            <w:vAlign w:val="center"/>
          </w:tcPr>
          <w:p>
            <w:pPr>
              <w:pStyle w:val="TableContents"/>
              <w:bidi w:val="0"/>
              <w:spacing w:before="0" w:after="283"/>
              <w:jc w:val="left"/>
              <w:rPr/>
            </w:pPr>
            <w:r>
              <w:rPr/>
              <w:t>) </w:t>
            </w:r>
          </w:p>
        </w:tc>
      </w:tr>
      <w:tr>
        <w:trPr/>
        <w:tc>
          <w:tcPr>
            <w:tcW w:w="54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CONSOLIDATED STATEMENTS OF CHANGES IN STOCKHOLDERS’ EQUITY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 </w:t>
      </w:r>
    </w:p>
    <w:p>
      <w:pPr>
        <w:pStyle w:val="TextBody"/>
        <w:bidi w:val="0"/>
        <w:spacing w:before="0" w:after="0"/>
        <w:ind w:left="0" w:right="0" w:hanging="0"/>
        <w:jc w:val="left"/>
        <w:rPr>
          <w:spacing w:val="0"/>
        </w:rPr>
      </w:pPr>
      <w:r>
        <w:rPr>
          <w:spacing w:val="0"/>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5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34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spacing w:val="0"/>
              </w:rPr>
            </w:pPr>
            <w:r>
              <w:rPr>
                <w:spacing w:val="0"/>
              </w:rPr>
              <w:t> </w:t>
            </w:r>
          </w:p>
        </w:tc>
        <w:tc>
          <w:tcPr>
            <w:tcW w:w="950" w:type="dxa"/>
            <w:gridSpan w:val="2"/>
            <w:vMerge w:val="restart"/>
            <w:tcBorders/>
            <w:vAlign w:val="center"/>
          </w:tcPr>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015" w:type="dxa"/>
            <w:gridSpan w:val="2"/>
            <w:vMerge w:val="restart"/>
            <w:tcBorders/>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spacing w:val="0"/>
              </w:rPr>
            </w:pPr>
            <w:r>
              <w:rPr>
                <w:spacing w:val="0"/>
              </w:rPr>
              <w:t> </w:t>
            </w:r>
          </w:p>
        </w:tc>
        <w:tc>
          <w:tcPr>
            <w:tcW w:w="940" w:type="dxa"/>
            <w:gridSpan w:val="2"/>
            <w:vMerge w:val="restart"/>
            <w:tcBorders/>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3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of U.S. dollars, except share data)</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June 30, 2023:</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31" w:type="dxa"/>
            <w:tcBorders/>
            <w:shd w:fill="CCEEFF" w:val="clear"/>
            <w:vAlign w:val="center"/>
          </w:tcPr>
          <w:p>
            <w:pPr>
              <w:pStyle w:val="TableContents"/>
              <w:bidi w:val="0"/>
              <w:spacing w:before="0" w:after="0"/>
              <w:jc w:val="left"/>
              <w:rPr/>
            </w:pPr>
            <w:r>
              <w:rPr/>
              <w:t> </w:t>
            </w:r>
          </w:p>
        </w:tc>
        <w:tc>
          <w:tcPr>
            <w:tcW w:w="629"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1" w:type="dxa"/>
            <w:tcBorders/>
            <w:shd w:fill="CCEEFF" w:val="clear"/>
            <w:vAlign w:val="center"/>
          </w:tcPr>
          <w:p>
            <w:pPr>
              <w:pStyle w:val="TableContents"/>
              <w:bidi w:val="0"/>
              <w:spacing w:before="0" w:after="0"/>
              <w:jc w:val="left"/>
              <w:rPr/>
            </w:pPr>
            <w:r>
              <w:rPr/>
              <w:t> </w:t>
            </w:r>
          </w:p>
        </w:tc>
        <w:tc>
          <w:tcPr>
            <w:tcW w:w="809"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251" w:type="dxa"/>
            <w:tcBorders/>
            <w:shd w:fill="CCEEFF" w:val="clear"/>
            <w:vAlign w:val="center"/>
          </w:tcPr>
          <w:p>
            <w:pPr>
              <w:pStyle w:val="TableContents"/>
              <w:bidi w:val="0"/>
              <w:spacing w:before="0" w:after="0"/>
              <w:jc w:val="left"/>
              <w:rPr/>
            </w:pPr>
            <w:r>
              <w:rPr/>
              <w:t> </w:t>
            </w:r>
          </w:p>
        </w:tc>
        <w:tc>
          <w:tcPr>
            <w:tcW w:w="1359"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42,589,315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267,187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314,036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(173,441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(14,993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393,353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2,092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Settlement of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Acquisition of 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(2,468,017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(25,807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(25,807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(3,947</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40,133,898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269,297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310,089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(199,248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(16,410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364,292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Three Months Ended June 30,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March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44,894,385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261,830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353,070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(148,523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(5,777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461,162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1,988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1,988</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(11,543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(11,543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(3,340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(3,340</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44,903,718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263,698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349,730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(148,523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(17,320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448,147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spacing w:val="0"/>
        </w:rPr>
      </w:pPr>
      <w:r>
        <w:rPr>
          <w:spacing w:val="0"/>
        </w:rPr>
        <w:t> </w:t>
      </w:r>
    </w:p>
    <w:tbl>
      <w:tblPr>
        <w:tblW w:w="1263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1"/>
        <w:gridCol w:w="809"/>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5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34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35"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spacing w:val="0"/>
              </w:rPr>
            </w:pPr>
            <w:r>
              <w:rPr>
                <w:spacing w:val="0"/>
              </w:rPr>
              <w:t> </w:t>
            </w:r>
          </w:p>
        </w:tc>
        <w:tc>
          <w:tcPr>
            <w:tcW w:w="950" w:type="dxa"/>
            <w:gridSpan w:val="2"/>
            <w:vMerge w:val="restart"/>
            <w:tcBorders/>
            <w:vAlign w:val="center"/>
          </w:tcPr>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015" w:type="dxa"/>
            <w:gridSpan w:val="2"/>
            <w:vMerge w:val="restart"/>
            <w:tcBorders/>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spacing w:val="0"/>
              </w:rPr>
            </w:pPr>
            <w:r>
              <w:rPr>
                <w:spacing w:val="0"/>
              </w:rPr>
              <w:t> </w:t>
            </w:r>
          </w:p>
        </w:tc>
        <w:tc>
          <w:tcPr>
            <w:tcW w:w="940" w:type="dxa"/>
            <w:gridSpan w:val="2"/>
            <w:vMerge w:val="restart"/>
            <w:tcBorders/>
            <w:vAlign w:val="center"/>
          </w:tcPr>
          <w:p>
            <w:pPr>
              <w:pStyle w:val="TableContents"/>
              <w:bidi w:val="0"/>
              <w:spacing w:before="0" w:after="0"/>
              <w:jc w:val="center"/>
              <w:rPr>
                <w:b/>
                <w:spacing w:val="0"/>
              </w:rPr>
            </w:pPr>
            <w:r>
              <w:rPr>
                <w:b/>
                <w:spacing w:val="0"/>
              </w:rPr>
              <w:t>Total</w:t>
            </w:r>
          </w:p>
        </w:tc>
        <w:tc>
          <w:tcPr>
            <w:tcW w:w="170" w:type="dxa"/>
            <w:vMerge w:val="restart"/>
            <w:tcBorders/>
            <w:vAlign w:val="center"/>
          </w:tcPr>
          <w:p>
            <w:pPr>
              <w:pStyle w:val="TableContents"/>
              <w:bidi w:val="0"/>
              <w:spacing w:before="0" w:after="0"/>
              <w:jc w:val="left"/>
              <w:rPr>
                <w:spacing w:val="0"/>
              </w:rPr>
            </w:pPr>
            <w:r>
              <w:rPr>
                <w:spacing w:val="0"/>
              </w:rPr>
              <w:t> </w:t>
            </w:r>
          </w:p>
        </w:tc>
      </w:tr>
      <w:tr>
        <w:trPr/>
        <w:tc>
          <w:tcPr>
            <w:tcW w:w="3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of U.S. dollars, except share data)</w:t>
            </w:r>
          </w:p>
        </w:tc>
        <w:tc>
          <w:tcPr>
            <w:tcW w:w="12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Six Months Ended June 30, 2023:</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35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43,824,575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266,058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809" w:type="dxa"/>
            <w:tcBorders/>
            <w:vAlign w:val="center"/>
          </w:tcPr>
          <w:p>
            <w:pPr>
              <w:pStyle w:val="TableContents"/>
              <w:bidi w:val="0"/>
              <w:spacing w:before="0" w:after="283"/>
              <w:jc w:val="right"/>
              <w:rPr/>
            </w:pPr>
            <w:r>
              <w:rPr/>
              <w:t>335,506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(161,422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(12,553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428,153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3,212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3,212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Settlement of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Acquisition of 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(3,708,010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(37,826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(37,826</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(3,857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(3,857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(25,417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(25,417</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40,133,898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269,297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310,089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(199,248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(16,410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364,292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Six Months Ended June 30,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December 31,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45,659,304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241,197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343,542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(130,306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(2,230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452,762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3,626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3,626</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152,326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Accelerated stock repurchase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(1,031,576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(15,090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(15,090</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6,188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6,188</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Balance at June 30,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44,903,718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263,698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809" w:type="dxa"/>
            <w:tcBorders/>
            <w:shd w:fill="CCEEFF" w:val="clear"/>
            <w:vAlign w:val="center"/>
          </w:tcPr>
          <w:p>
            <w:pPr>
              <w:pStyle w:val="TableContents"/>
              <w:bidi w:val="0"/>
              <w:spacing w:before="0" w:after="283"/>
              <w:jc w:val="right"/>
              <w:rPr/>
            </w:pPr>
            <w:r>
              <w:rPr/>
              <w:t>349,730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(148,523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(17,320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448,147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6</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CASH FLOWS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930"/>
        <w:gridCol w:w="120"/>
        <w:gridCol w:w="197"/>
        <w:gridCol w:w="1140"/>
        <w:gridCol w:w="219"/>
        <w:gridCol w:w="84"/>
        <w:gridCol w:w="197"/>
        <w:gridCol w:w="1143"/>
        <w:gridCol w:w="175"/>
      </w:tblGrid>
      <w:tr>
        <w:trPr/>
        <w:tc>
          <w:tcPr>
            <w:tcW w:w="6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0" w:type="dxa"/>
            <w:gridSpan w:val="6"/>
            <w:tcBorders/>
            <w:vAlign w:val="center"/>
          </w:tcPr>
          <w:p>
            <w:pPr>
              <w:pStyle w:val="TableContents"/>
              <w:bidi w:val="0"/>
              <w:spacing w:before="0" w:after="0"/>
              <w:jc w:val="center"/>
              <w:rPr>
                <w:b/>
                <w:spacing w:val="0"/>
              </w:rPr>
            </w:pPr>
            <w:r>
              <w:rPr>
                <w:b/>
                <w:spacing w:val="0"/>
              </w:rPr>
              <w:t>Six Months Ended</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0" w:type="dxa"/>
            <w:gridSpan w:val="6"/>
            <w:tcBorders/>
            <w:vAlign w:val="center"/>
          </w:tcPr>
          <w:p>
            <w:pPr>
              <w:pStyle w:val="TableContents"/>
              <w:bidi w:val="0"/>
              <w:spacing w:before="0" w:after="0"/>
              <w:jc w:val="center"/>
              <w:rPr>
                <w:b/>
                <w:spacing w:val="0"/>
              </w:rPr>
            </w:pPr>
            <w:r>
              <w:rPr>
                <w:b/>
                <w:spacing w:val="0"/>
              </w:rPr>
              <w:t>(In thousands of U.S. dollars)</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(25,417</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6,188</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income (loss) to 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8,502</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7,602</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4,091</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3,240</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foreign currency,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9,117</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29,183</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 for inventory reserves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1,121</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5,282</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3,212</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3,626</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net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450</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712</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(342</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(12,377</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4,911</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(5,486</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4,407</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11,640</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395</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(2,089</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2,880</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2,429</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accounts payable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(6,488</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(5,861</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1,104</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(2,709</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income taxes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(2,972</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(11,513</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(471</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(2,153</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(214</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570</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severance benefits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(5,728</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(2,934</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(487</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(385</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(1,929</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24,965</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investing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settlement of hedge collateral</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3,335</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2,805</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hedge collateral</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(2,586</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(6,844</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(1,518</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(1,511</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for intellectual property registration</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(163</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(153</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of guarantee deposits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(6,907</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(1,049</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net</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1,445</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14</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(6,394</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(6,738</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flows from financing activities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exercise of stock options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27</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1,786</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Acquisition of treasury stock</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(36,840</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(1,826</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 of financing related to water treatment facility arrangement</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(248</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(261</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Repayment of principal portion of finance lease liabilities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(46</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(32</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(37,107</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(333</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Effect of exchange rates on cash and cash equivalents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(7,093</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(23,644</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(52,523</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(5,750</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and cash equivalents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beginning of period</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225,477</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279,547</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end of period</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172,954</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273,797</w:t>
            </w:r>
          </w:p>
        </w:tc>
        <w:tc>
          <w:tcPr>
            <w:tcW w:w="175" w:type="dxa"/>
            <w:tcBorders/>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Supplemental cash flow information</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income taxes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3,599</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14,022</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plant and equipment additions in other accounts payable</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477</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4,050</w:t>
            </w:r>
          </w:p>
        </w:tc>
        <w:tc>
          <w:tcPr>
            <w:tcW w:w="175" w:type="dxa"/>
            <w:tcBorders/>
            <w:vAlign w:val="center"/>
          </w:tcPr>
          <w:p>
            <w:pPr>
              <w:pStyle w:val="TableContents"/>
              <w:bidi w:val="0"/>
              <w:spacing w:before="0" w:after="283"/>
              <w:jc w:val="left"/>
              <w:rPr/>
            </w:pPr>
            <w:r>
              <w:rPr/>
              <w:t> </w:t>
            </w:r>
          </w:p>
        </w:tc>
      </w:tr>
      <w:tr>
        <w:trPr/>
        <w:tc>
          <w:tcPr>
            <w:tcW w:w="693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r>
      <w:tr>
        <w:trPr/>
        <w:tc>
          <w:tcPr>
            <w:tcW w:w="69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Unsettled common stock repurchases</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1,379</w:t>
            </w:r>
          </w:p>
        </w:tc>
        <w:tc>
          <w:tcPr>
            <w:tcW w:w="21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1143"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z w:val="20"/>
        </w:rPr>
      </w:pPr>
      <w:r>
        <w:rPr>
          <w:rFonts w:ascii="Times New Roman" w:hAnsi="Times New Roman"/>
          <w:b/>
          <w:sz w:val="20"/>
        </w:rPr>
        <w:t xml:space="preserve">NOTES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(TABULAR DOLLARS IN THOUSANDS, EXCEPT SHARE DATA)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Company’s standard products business includes its Display Solutions and Power Solutions business lines. The Company’s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The Company’s Power Solutions products include discrete and integrated circuit solutions for power management in communications, consumer, computing, servers, automotive, and industrial applications.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 2020, the Company completed the sale of the Company’s Foundry Services Group business and its fabrication facility located in Cheongju, Korea, known as “Fab 4”. Following the consummation of the sale, and for up to three years, the Company is expected to provide transitional foundry services associated with its fabrication facility located in Gumi, Korea, known as “Fab 3”, at an agreed upon cost plus </w:t>
      </w:r>
    </w:p>
    <w:p>
      <w:pPr>
        <w:pStyle w:val="TextBody"/>
        <w:bidi w:val="0"/>
        <w:spacing w:before="240" w:after="0"/>
        <w:jc w:val="left"/>
        <w:rPr>
          <w:rFonts w:ascii="Times New Roman" w:hAnsi="Times New Roman"/>
          <w:spacing w:val="0"/>
          <w:sz w:val="20"/>
        </w:rPr>
      </w:pPr>
      <w:r>
        <w:rPr>
          <w:rFonts w:ascii="Times New Roman" w:hAnsi="Times New Roman"/>
          <w:spacing w:val="0"/>
          <w:sz w:val="20"/>
        </w:rPr>
        <w:t>mark-up</w:t>
      </w:r>
    </w:p>
    <w:p>
      <w:pPr>
        <w:pStyle w:val="TextBody"/>
        <w:bidi w:val="0"/>
        <w:spacing w:before="240" w:after="0"/>
        <w:jc w:val="left"/>
        <w:rPr>
          <w:rFonts w:ascii="Times New Roman" w:hAnsi="Times New Roman"/>
          <w:sz w:val="20"/>
        </w:rPr>
      </w:pPr>
      <w:r>
        <w:rPr>
          <w:rFonts w:ascii="Times New Roman" w:hAnsi="Times New Roman"/>
          <w:sz w:val="20"/>
        </w:rPr>
        <w:t xml:space="preserve">(the “Transitional Fab 3 Foundry Services”).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The results of operations for the three and six months ended June 30, 2023 are not necessarily indicative of the results to be expected for a full year or for any other periods. </w:t>
      </w:r>
    </w:p>
    <w:p>
      <w:pPr>
        <w:pStyle w:val="TextBody"/>
        <w:bidi w:val="0"/>
        <w:spacing w:before="240" w:after="0"/>
        <w:jc w:val="left"/>
        <w:rPr>
          <w:rFonts w:ascii="Times New Roman" w:hAnsi="Times New Roman"/>
          <w:sz w:val="20"/>
        </w:rPr>
      </w:pPr>
      <w:r>
        <w:rPr>
          <w:rFonts w:ascii="Times New Roman" w:hAnsi="Times New Roman"/>
          <w:sz w:val="20"/>
        </w:rPr>
        <w:t xml:space="preserve">The December 31, 2022 balance sheet data was derived from the Company’s audited financial statements, but does not include all disclosures required by U.S. GAAP. The interim consolidated financial statements should be read in conjunction with the Company’s Annual Report on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no material changes to the Company’s significant accounting policies as of and for the six months ended June 30, 2023 as compared to the significant accounting policies described in the Company’s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December 31, 2022.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2. Inventories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Inventories as of June 30, 2023 and December 31, 2022 consist of the following (in thousands): </w:t>
      </w:r>
    </w:p>
    <w:p>
      <w:pPr>
        <w:pStyle w:val="TextBody"/>
        <w:bidi w:val="0"/>
        <w:spacing w:before="0" w:after="0"/>
        <w:jc w:val="left"/>
        <w:rPr>
          <w:spacing w:val="0"/>
        </w:rPr>
      </w:pPr>
      <w:r>
        <w:rPr>
          <w:spacing w:val="0"/>
        </w:rPr>
        <w:t> </w:t>
      </w:r>
    </w:p>
    <w:tbl>
      <w:tblPr>
        <w:tblW w:w="4964" w:type="dxa"/>
        <w:jc w:val="left"/>
        <w:tblInd w:w="0" w:type="dxa"/>
        <w:tblLayout w:type="fixed"/>
        <w:tblCellMar>
          <w:top w:w="0" w:type="dxa"/>
          <w:left w:w="0" w:type="dxa"/>
          <w:bottom w:w="0" w:type="dxa"/>
          <w:right w:w="0" w:type="dxa"/>
        </w:tblCellMar>
      </w:tblPr>
      <w:tblGrid>
        <w:gridCol w:w="2090"/>
        <w:gridCol w:w="120"/>
        <w:gridCol w:w="140"/>
        <w:gridCol w:w="755"/>
        <w:gridCol w:w="155"/>
        <w:gridCol w:w="120"/>
        <w:gridCol w:w="220"/>
        <w:gridCol w:w="1194"/>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Finished goods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6,799</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35,379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40,265</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Raw materials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7,460</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36</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(14,677</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Inventories,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32,337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39,883</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Changes in inventory reserve for the three and six months ended June 30, 2023 and 2022 are as follows (in thousands): </w:t>
      </w:r>
    </w:p>
    <w:p>
      <w:pPr>
        <w:pStyle w:val="TextBody"/>
        <w:bidi w:val="0"/>
        <w:spacing w:before="0" w:after="0"/>
        <w:jc w:val="left"/>
        <w:rPr>
          <w:spacing w:val="0"/>
        </w:rPr>
      </w:pPr>
      <w:r>
        <w:rPr>
          <w:spacing w:val="0"/>
        </w:rPr>
        <w:t> </w:t>
      </w:r>
    </w:p>
    <w:tbl>
      <w:tblPr>
        <w:tblW w:w="9855" w:type="dxa"/>
        <w:jc w:val="left"/>
        <w:tblInd w:w="0" w:type="dxa"/>
        <w:tblLayout w:type="fixed"/>
        <w:tblCellMar>
          <w:top w:w="0" w:type="dxa"/>
          <w:left w:w="0" w:type="dxa"/>
          <w:bottom w:w="0" w:type="dxa"/>
          <w:right w:w="0" w:type="dxa"/>
        </w:tblCellMar>
      </w:tblPr>
      <w:tblGrid>
        <w:gridCol w:w="3440"/>
        <w:gridCol w:w="120"/>
        <w:gridCol w:w="230"/>
        <w:gridCol w:w="1245"/>
        <w:gridCol w:w="155"/>
        <w:gridCol w:w="120"/>
        <w:gridCol w:w="183"/>
        <w:gridCol w:w="992"/>
        <w:gridCol w:w="155"/>
        <w:gridCol w:w="120"/>
        <w:gridCol w:w="230"/>
        <w:gridCol w:w="1245"/>
        <w:gridCol w:w="155"/>
        <w:gridCol w:w="120"/>
        <w:gridCol w:w="183"/>
        <w:gridCol w:w="992"/>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Six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Six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5" w:type="dxa"/>
            <w:gridSpan w:val="6"/>
            <w:tcBorders/>
            <w:vAlign w:val="center"/>
          </w:tcPr>
          <w:p>
            <w:pPr>
              <w:pStyle w:val="TableContents"/>
              <w:bidi w:val="0"/>
              <w:spacing w:before="0" w:after="0"/>
              <w:jc w:val="center"/>
              <w:rPr>
                <w:b/>
                <w:spacing w:val="0"/>
              </w:rPr>
            </w:pPr>
            <w:r>
              <w:rPr>
                <w:b/>
                <w:spacing w:val="0"/>
              </w:rPr>
              <w:t>June 30, 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25" w:type="dxa"/>
            <w:gridSpan w:val="6"/>
            <w:tcBorders/>
            <w:vAlign w:val="center"/>
          </w:tcPr>
          <w:p>
            <w:pPr>
              <w:pStyle w:val="TableContents"/>
              <w:bidi w:val="0"/>
              <w:spacing w:before="0" w:after="0"/>
              <w:jc w:val="center"/>
              <w:rPr>
                <w:b/>
                <w:spacing w:val="0"/>
              </w:rPr>
            </w:pPr>
            <w:r>
              <w:rPr>
                <w:b/>
                <w:spacing w:val="0"/>
              </w:rPr>
              <w:t>June 30, 2022</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(14,941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(14,677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(5,555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92" w:type="dxa"/>
            <w:tcBorders/>
            <w:shd w:fill="CCEEFF" w:val="clear"/>
            <w:vAlign w:val="center"/>
          </w:tcPr>
          <w:p>
            <w:pPr>
              <w:pStyle w:val="TableContents"/>
              <w:bidi w:val="0"/>
              <w:spacing w:before="0" w:after="283"/>
              <w:jc w:val="right"/>
              <w:rPr/>
            </w:pPr>
            <w:r>
              <w:rPr/>
              <w:t>(5,730</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reserve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(2,023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(4,607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(6,093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(7,700</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Sale of previously reserved inventory</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2,047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3,523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872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2,324</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(1,084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(5,221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(5,376</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Write off</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482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295</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534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486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605</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Ending balance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(14,745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(14,745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(10,206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992" w:type="dxa"/>
            <w:tcBorders/>
            <w:vAlign w:val="center"/>
          </w:tcPr>
          <w:p>
            <w:pPr>
              <w:pStyle w:val="TableContents"/>
              <w:bidi w:val="0"/>
              <w:spacing w:before="0" w:after="283"/>
              <w:jc w:val="right"/>
              <w:rPr/>
            </w:pPr>
            <w:r>
              <w:rPr/>
              <w:t>(10,206</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work-in-process</w:t>
      </w:r>
    </w:p>
    <w:p>
      <w:pPr>
        <w:pStyle w:val="TextBody"/>
        <w:bidi w:val="0"/>
        <w:spacing w:before="240" w:after="0"/>
        <w:jc w:val="left"/>
        <w:rPr>
          <w:rFonts w:ascii="Times New Roman" w:hAnsi="Times New Roman"/>
          <w:sz w:val="20"/>
        </w:rPr>
      </w:pPr>
      <w:r>
        <w:rPr>
          <w:rFonts w:ascii="Times New Roman" w:hAnsi="Times New Roman"/>
          <w:sz w:val="20"/>
        </w:rPr>
        <w:t xml:space="preserve">and raw materials. Write off of this reserve is recognized only when the related inventory has been disposed or scrapped.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3. Property, Plant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plant and equipment as of June 30, 2023 and December 31, 2022 are comprised of the following (in thousands): </w:t>
      </w:r>
    </w:p>
    <w:p>
      <w:pPr>
        <w:pStyle w:val="TextBody"/>
        <w:bidi w:val="0"/>
        <w:spacing w:before="0" w:after="0"/>
        <w:jc w:val="left"/>
        <w:rPr>
          <w:spacing w:val="0"/>
        </w:rPr>
      </w:pPr>
      <w:r>
        <w:rPr>
          <w:spacing w:val="0"/>
        </w:rPr>
        <w:t> </w:t>
      </w:r>
    </w:p>
    <w:tbl>
      <w:tblPr>
        <w:tblW w:w="5834" w:type="dxa"/>
        <w:jc w:val="left"/>
        <w:tblInd w:w="0" w:type="dxa"/>
        <w:tblLayout w:type="fixed"/>
        <w:tblCellMar>
          <w:top w:w="0" w:type="dxa"/>
          <w:left w:w="0" w:type="dxa"/>
          <w:bottom w:w="0" w:type="dxa"/>
          <w:right w:w="0" w:type="dxa"/>
        </w:tblCellMar>
      </w:tblPr>
      <w:tblGrid>
        <w:gridCol w:w="2840"/>
        <w:gridCol w:w="120"/>
        <w:gridCol w:w="140"/>
        <w:gridCol w:w="875"/>
        <w:gridCol w:w="155"/>
        <w:gridCol w:w="120"/>
        <w:gridCol w:w="194"/>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24,048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24,780</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Machinery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134,806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137,666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389</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33,689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33,890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193,245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196,725</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(105,929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(101,502</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12,583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13,034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 in progress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2,490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101,067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110,747</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Aggregate depreciation expenses totaled $8,183 thousand and $7,239 thousand for the six months ended June 30, 2023 and 2022,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Intangible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Intangible assets as of June 30, 2023 and December 31, 2022 are comprised of the following (in thousands): </w:t>
      </w:r>
    </w:p>
    <w:p>
      <w:pPr>
        <w:pStyle w:val="TextBody"/>
        <w:bidi w:val="0"/>
        <w:spacing w:before="0" w:after="0"/>
        <w:jc w:val="left"/>
        <w:rPr>
          <w:spacing w:val="0"/>
        </w:rPr>
      </w:pPr>
      <w:r>
        <w:rPr>
          <w:spacing w:val="0"/>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vAlign w:val="center"/>
          </w:tcPr>
          <w:p>
            <w:pPr>
              <w:pStyle w:val="TableContents"/>
              <w:bidi w:val="0"/>
              <w:spacing w:before="0" w:after="0"/>
              <w:jc w:val="center"/>
              <w:rPr>
                <w:b/>
                <w:spacing w:val="0"/>
              </w:rPr>
            </w:pPr>
            <w:r>
              <w:rPr>
                <w:b/>
                <w:spacing w:val="0"/>
              </w:rPr>
              <w:t>June 30, 2023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8,923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(7,217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1,706</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8,923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(7,217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1,706</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(7,181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1,930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2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(7,181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1,930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2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Aggregate amortization expenses for intangible assets totaled $319 thousand and $363 thousand for the six months ended June 30, 2023 and 2022,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Accrued Expenses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as of June 30, 2023 and December 31, 2022 are comprised of the following (in thousands): </w:t>
      </w:r>
    </w:p>
    <w:p>
      <w:pPr>
        <w:pStyle w:val="TextBody"/>
        <w:bidi w:val="0"/>
        <w:spacing w:before="0" w:after="0"/>
        <w:jc w:val="left"/>
        <w:rPr>
          <w:spacing w:val="0"/>
        </w:rPr>
      </w:pPr>
      <w:r>
        <w:rPr>
          <w:spacing w:val="0"/>
        </w:rPr>
        <w:t> </w:t>
      </w:r>
    </w:p>
    <w:tbl>
      <w:tblPr>
        <w:tblW w:w="7874" w:type="dxa"/>
        <w:jc w:val="left"/>
        <w:tblInd w:w="0" w:type="dxa"/>
        <w:tblLayout w:type="fixed"/>
        <w:tblCellMar>
          <w:top w:w="0" w:type="dxa"/>
          <w:left w:w="0" w:type="dxa"/>
          <w:bottom w:w="0" w:type="dxa"/>
          <w:right w:w="0" w:type="dxa"/>
        </w:tblCellMar>
      </w:tblPr>
      <w:tblGrid>
        <w:gridCol w:w="5210"/>
        <w:gridCol w:w="120"/>
        <w:gridCol w:w="149"/>
        <w:gridCol w:w="725"/>
        <w:gridCol w:w="60"/>
        <w:gridCol w:w="120"/>
        <w:gridCol w:w="283"/>
        <w:gridCol w:w="1132"/>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7,210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7,620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1,522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1,642</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838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383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10,456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9,688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0</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6. Derivative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Korean subsidiary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Details of the zero cost collar contracts as of June 30, 2023 are as follows (in thousands): </w:t>
      </w:r>
    </w:p>
    <w:p>
      <w:pPr>
        <w:pStyle w:val="TextBody"/>
        <w:bidi w:val="0"/>
        <w:spacing w:before="0" w:after="0"/>
        <w:jc w:val="left"/>
        <w:rPr>
          <w:spacing w:val="0"/>
        </w:rPr>
      </w:pPr>
      <w:r>
        <w:rPr>
          <w:spacing w:val="0"/>
        </w:rPr>
        <w:t> </w:t>
      </w:r>
    </w:p>
    <w:tbl>
      <w:tblPr>
        <w:tblW w:w="685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282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March 07, 2022</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24,000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July 2023 to December 2023</w:t>
            </w:r>
          </w:p>
        </w:tc>
      </w:tr>
      <w:tr>
        <w:trPr/>
        <w:tc>
          <w:tcPr>
            <w:tcW w:w="1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April 27, 2022</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July 2023 to December 2023</w:t>
            </w:r>
          </w:p>
        </w:tc>
      </w:tr>
      <w:tr>
        <w:trPr/>
        <w:tc>
          <w:tcPr>
            <w:tcW w:w="1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March 08, 2023</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25" w:type="dxa"/>
            <w:tcBorders/>
            <w:shd w:fill="CCEEFF" w:val="clear"/>
            <w:vAlign w:val="center"/>
          </w:tcPr>
          <w:p>
            <w:pPr>
              <w:pStyle w:val="TableContents"/>
              <w:bidi w:val="0"/>
              <w:spacing w:before="0" w:after="283"/>
              <w:jc w:val="left"/>
              <w:rPr/>
            </w:pPr>
            <w:r>
              <w:rPr/>
              <w:t>July 2023 to December 2023</w:t>
            </w:r>
          </w:p>
        </w:tc>
      </w:tr>
      <w:tr>
        <w:trPr/>
        <w:tc>
          <w:tcPr>
            <w:tcW w:w="1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April 03, 2023</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December 2023 to June 2024</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Details of the zero cost collar contracts as of December 31, 2022 are as follows (in thousands): </w:t>
      </w:r>
    </w:p>
    <w:p>
      <w:pPr>
        <w:pStyle w:val="TextBody"/>
        <w:bidi w:val="0"/>
        <w:spacing w:before="0" w:after="0"/>
        <w:jc w:val="left"/>
        <w:rPr>
          <w:spacing w:val="0"/>
        </w:rPr>
      </w:pPr>
      <w:r>
        <w:rPr>
          <w:spacing w:val="0"/>
        </w:rPr>
        <w:t> </w:t>
      </w:r>
    </w:p>
    <w:tbl>
      <w:tblPr>
        <w:tblW w:w="715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2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jc w:val="center"/>
              <w:rPr>
                <w:b/>
                <w:spacing w:val="0"/>
              </w:rPr>
            </w:pPr>
            <w:r>
              <w:rPr>
                <w:b/>
                <w:spacing w:val="0"/>
              </w:rPr>
              <w:t>Month of settlement</w:t>
            </w:r>
          </w:p>
        </w:tc>
      </w:tr>
      <w:tr>
        <w:trPr/>
        <w:tc>
          <w:tcPr>
            <w:tcW w:w="1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January 04, 2022</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January 2023 to June 2023</w:t>
            </w:r>
          </w:p>
        </w:tc>
      </w:tr>
      <w:tr>
        <w:trPr/>
        <w:tc>
          <w:tcPr>
            <w:tcW w:w="1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March 07, 2022</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July 2023 to December 2023</w:t>
            </w:r>
          </w:p>
        </w:tc>
      </w:tr>
      <w:tr>
        <w:trPr/>
        <w:tc>
          <w:tcPr>
            <w:tcW w:w="1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April 27, 2022</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42,000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January 2023 to December 2023</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values of the Company’s outstanding zero cost collar contracts recorded as liabilities as of June 30, 2023 and December 31, 2022 are as follows (in thousands): </w:t>
      </w:r>
    </w:p>
    <w:p>
      <w:pPr>
        <w:pStyle w:val="TextBody"/>
        <w:bidi w:val="0"/>
        <w:spacing w:before="0" w:after="0"/>
        <w:jc w:val="left"/>
        <w:rPr>
          <w:spacing w:val="0"/>
        </w:rPr>
      </w:pPr>
      <w:r>
        <w:rPr>
          <w:spacing w:val="0"/>
        </w:rPr>
        <w:t> </w:t>
      </w:r>
    </w:p>
    <w:tbl>
      <w:tblPr>
        <w:tblW w:w="8510" w:type="dxa"/>
        <w:jc w:val="left"/>
        <w:tblInd w:w="0" w:type="dxa"/>
        <w:tblLayout w:type="fixed"/>
        <w:tblCellMar>
          <w:top w:w="0" w:type="dxa"/>
          <w:left w:w="0" w:type="dxa"/>
          <w:bottom w:w="0" w:type="dxa"/>
          <w:right w:w="0" w:type="dxa"/>
        </w:tblCellMar>
      </w:tblPr>
      <w:tblGrid>
        <w:gridCol w:w="3425"/>
        <w:gridCol w:w="120"/>
        <w:gridCol w:w="60"/>
        <w:gridCol w:w="2180"/>
        <w:gridCol w:w="60"/>
        <w:gridCol w:w="120"/>
        <w:gridCol w:w="175"/>
        <w:gridCol w:w="700"/>
        <w:gridCol w:w="60"/>
        <w:gridCol w:w="120"/>
        <w:gridCol w:w="283"/>
        <w:gridCol w:w="1132"/>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Derivatives designated as hedging instruments:</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righ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2,015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Offsetting of derivative liabilities as of June 30, 2023 is as follows (in thousands): </w:t>
      </w:r>
    </w:p>
    <w:p>
      <w:pPr>
        <w:pStyle w:val="TextBody"/>
        <w:bidi w:val="0"/>
        <w:spacing w:before="0" w:after="0"/>
        <w:jc w:val="left"/>
        <w:rPr>
          <w:spacing w:val="0"/>
        </w:rPr>
      </w:pPr>
      <w:r>
        <w:rPr>
          <w:spacing w:val="0"/>
        </w:rPr>
        <w:t> </w:t>
      </w:r>
    </w:p>
    <w:tbl>
      <w:tblPr>
        <w:tblW w:w="11035" w:type="dxa"/>
        <w:jc w:val="left"/>
        <w:tblInd w:w="0" w:type="dxa"/>
        <w:tblLayout w:type="fixed"/>
        <w:tblCellMar>
          <w:top w:w="0" w:type="dxa"/>
          <w:left w:w="0" w:type="dxa"/>
          <w:bottom w:w="0" w:type="dxa"/>
          <w:right w:w="0" w:type="dxa"/>
        </w:tblCellMar>
      </w:tblPr>
      <w:tblGrid>
        <w:gridCol w:w="965"/>
        <w:gridCol w:w="120"/>
        <w:gridCol w:w="358"/>
        <w:gridCol w:w="1432"/>
        <w:gridCol w:w="60"/>
        <w:gridCol w:w="120"/>
        <w:gridCol w:w="413"/>
        <w:gridCol w:w="1122"/>
        <w:gridCol w:w="60"/>
        <w:gridCol w:w="120"/>
        <w:gridCol w:w="328"/>
        <w:gridCol w:w="1312"/>
        <w:gridCol w:w="60"/>
        <w:gridCol w:w="120"/>
        <w:gridCol w:w="328"/>
        <w:gridCol w:w="892"/>
        <w:gridCol w:w="60"/>
        <w:gridCol w:w="120"/>
        <w:gridCol w:w="277"/>
        <w:gridCol w:w="1258"/>
        <w:gridCol w:w="155"/>
        <w:gridCol w:w="60"/>
        <w:gridCol w:w="328"/>
        <w:gridCol w:w="892"/>
        <w:gridCol w:w="75"/>
      </w:tblGrid>
      <w:tr>
        <w:trPr/>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5" w:type="dxa"/>
            <w:vMerge w:val="restart"/>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June 30, 2023</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96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1,776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1,776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(1,120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656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Offsetting of derivative liabilities as of December 31, 2022 is as follows (in thousands): </w:t>
      </w:r>
    </w:p>
    <w:p>
      <w:pPr>
        <w:pStyle w:val="TextBody"/>
        <w:bidi w:val="0"/>
        <w:spacing w:before="0" w:after="0"/>
        <w:jc w:val="left"/>
        <w:rPr>
          <w:spacing w:val="0"/>
        </w:rPr>
      </w:pPr>
      <w:r>
        <w:rPr>
          <w:spacing w:val="0"/>
        </w:rPr>
        <w:t> </w:t>
      </w:r>
    </w:p>
    <w:tbl>
      <w:tblPr>
        <w:tblW w:w="11095" w:type="dxa"/>
        <w:jc w:val="left"/>
        <w:tblInd w:w="0" w:type="dxa"/>
        <w:tblLayout w:type="fixed"/>
        <w:tblCellMar>
          <w:top w:w="0" w:type="dxa"/>
          <w:left w:w="0" w:type="dxa"/>
          <w:bottom w:w="0" w:type="dxa"/>
          <w:right w:w="0" w:type="dxa"/>
        </w:tblCellMar>
      </w:tblPr>
      <w:tblGrid>
        <w:gridCol w:w="1025"/>
        <w:gridCol w:w="120"/>
        <w:gridCol w:w="358"/>
        <w:gridCol w:w="1432"/>
        <w:gridCol w:w="60"/>
        <w:gridCol w:w="120"/>
        <w:gridCol w:w="413"/>
        <w:gridCol w:w="1122"/>
        <w:gridCol w:w="60"/>
        <w:gridCol w:w="120"/>
        <w:gridCol w:w="328"/>
        <w:gridCol w:w="1312"/>
        <w:gridCol w:w="60"/>
        <w:gridCol w:w="120"/>
        <w:gridCol w:w="328"/>
        <w:gridCol w:w="892"/>
        <w:gridCol w:w="60"/>
        <w:gridCol w:w="120"/>
        <w:gridCol w:w="277"/>
        <w:gridCol w:w="1258"/>
        <w:gridCol w:w="155"/>
        <w:gridCol w:w="60"/>
        <w:gridCol w:w="427"/>
        <w:gridCol w:w="793"/>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vMerge w:val="restart"/>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As of December 31, 2022</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2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3"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258" w:type="dxa"/>
            <w:tcBorders/>
            <w:vAlign w:val="center"/>
          </w:tcPr>
          <w:p>
            <w:pPr>
              <w:pStyle w:val="TableContents"/>
              <w:bidi w:val="0"/>
              <w:spacing w:before="0" w:after="283"/>
              <w:jc w:val="right"/>
              <w:rPr/>
            </w:pPr>
            <w:r>
              <w:rPr/>
              <w:t>(1,940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200" w:before="160" w:after="283"/>
        <w:jc w:val="center"/>
        <w:rPr>
          <w:spacing w:val="0"/>
          <w:sz w:val="20"/>
          <w:shd w:fill="FFFFFF" w:val="clear"/>
        </w:rPr>
      </w:pPr>
      <w:r>
        <w:rPr>
          <w:spacing w:val="0"/>
          <w:sz w:val="20"/>
          <w:shd w:fill="FFFFFF" w:val="clear"/>
        </w:rPr>
        <w:t>1</w:t>
      </w:r>
    </w:p>
    <w:p>
      <w:pPr>
        <w:pStyle w:val="TextBody"/>
        <w:bidi w:val="0"/>
        <w:spacing w:lineRule="atLeast" w:line="200" w:before="160" w:after="283"/>
        <w:jc w:val="center"/>
        <w:rPr>
          <w:spacing w:val="0"/>
          <w:sz w:val="20"/>
          <w:shd w:fill="FFFFFF" w:val="clear"/>
        </w:rPr>
      </w:pPr>
      <w:r>
        <w:rPr>
          <w:spacing w:val="0"/>
          <w:sz w:val="20"/>
          <w:shd w:fill="FFFFFF" w:val="clear"/>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impact of derivative instruments on the consolidated statements of operations for the three months ended June 30, 2023 and 2022 (in thousands): </w:t>
      </w:r>
    </w:p>
    <w:p>
      <w:pPr>
        <w:pStyle w:val="TextBody"/>
        <w:bidi w:val="0"/>
        <w:spacing w:before="0" w:after="0"/>
        <w:ind w:left="0" w:right="0" w:hanging="0"/>
        <w:jc w:val="left"/>
        <w:rPr>
          <w:spacing w:val="0"/>
        </w:rPr>
      </w:pPr>
      <w:r>
        <w:rPr>
          <w:spacing w:val="0"/>
        </w:rPr>
        <w:t> </w:t>
      </w:r>
    </w:p>
    <w:tbl>
      <w:tblPr>
        <w:tblW w:w="11320" w:type="dxa"/>
        <w:jc w:val="left"/>
        <w:tblInd w:w="0" w:type="dxa"/>
        <w:tblLayout w:type="fixed"/>
        <w:tblCellMar>
          <w:top w:w="0" w:type="dxa"/>
          <w:left w:w="0" w:type="dxa"/>
          <w:bottom w:w="0" w:type="dxa"/>
          <w:right w:w="0" w:type="dxa"/>
        </w:tblCellMar>
      </w:tblPr>
      <w:tblGrid>
        <w:gridCol w:w="995"/>
        <w:gridCol w:w="120"/>
        <w:gridCol w:w="194"/>
        <w:gridCol w:w="633"/>
        <w:gridCol w:w="215"/>
        <w:gridCol w:w="83"/>
        <w:gridCol w:w="194"/>
        <w:gridCol w:w="891"/>
        <w:gridCol w:w="155"/>
        <w:gridCol w:w="60"/>
        <w:gridCol w:w="60"/>
        <w:gridCol w:w="875"/>
        <w:gridCol w:w="60"/>
        <w:gridCol w:w="120"/>
        <w:gridCol w:w="175"/>
        <w:gridCol w:w="795"/>
        <w:gridCol w:w="194"/>
        <w:gridCol w:w="75"/>
        <w:gridCol w:w="175"/>
        <w:gridCol w:w="796"/>
        <w:gridCol w:w="155"/>
        <w:gridCol w:w="60"/>
        <w:gridCol w:w="60"/>
        <w:gridCol w:w="1715"/>
        <w:gridCol w:w="60"/>
        <w:gridCol w:w="120"/>
        <w:gridCol w:w="255"/>
        <w:gridCol w:w="611"/>
        <w:gridCol w:w="283"/>
        <w:gridCol w:w="109"/>
        <w:gridCol w:w="255"/>
        <w:gridCol w:w="697"/>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Derivatives in ASC</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815 Cash Flow Hedging</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Relationships</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AOCI on</w:t>
            </w:r>
          </w:p>
          <w:p>
            <w:pPr>
              <w:pStyle w:val="TableContents"/>
              <w:bidi w:val="0"/>
              <w:spacing w:before="0" w:after="0"/>
              <w:jc w:val="center"/>
              <w:rPr/>
            </w:pPr>
            <w:r>
              <w:rPr/>
            </w:r>
          </w:p>
          <w:p>
            <w:pPr>
              <w:pStyle w:val="TableContents"/>
              <w:bidi w:val="0"/>
              <w:spacing w:before="0" w:after="0"/>
              <w:jc w:val="center"/>
              <w:rPr>
                <w:b/>
                <w:spacing w:val="0"/>
              </w:rPr>
            </w:pPr>
            <w:r>
              <w:rPr>
                <w:b/>
                <w:spacing w:val="0"/>
              </w:rPr>
              <w:t>Derivatives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3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16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7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15" w:type="dxa"/>
            <w:tcBorders/>
            <w:vAlign w:val="center"/>
          </w:tcPr>
          <w:p>
            <w:pPr>
              <w:pStyle w:val="TableContents"/>
              <w:bidi w:val="0"/>
              <w:spacing w:before="0" w:after="0"/>
              <w:jc w:val="left"/>
              <w:rPr>
                <w:spacing w:val="0"/>
              </w:rPr>
            </w:pPr>
            <w:r>
              <w:rPr>
                <w:spacing w:val="0"/>
              </w:rPr>
              <w:t> </w:t>
            </w:r>
          </w:p>
        </w:tc>
        <w:tc>
          <w:tcPr>
            <w:tcW w:w="83" w:type="dxa"/>
            <w:tcBorders/>
            <w:vAlign w:val="center"/>
          </w:tcPr>
          <w:p>
            <w:pPr>
              <w:pStyle w:val="TableContents"/>
              <w:bidi w:val="0"/>
              <w:spacing w:before="0" w:after="0"/>
              <w:jc w:val="left"/>
              <w:rPr>
                <w:spacing w:val="0"/>
              </w:rPr>
            </w:pPr>
            <w:r>
              <w:rPr>
                <w:spacing w:val="0"/>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94"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c>
          <w:tcPr>
            <w:tcW w:w="97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77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83" w:type="dxa"/>
            <w:tcBorders/>
            <w:vAlign w:val="center"/>
          </w:tcPr>
          <w:p>
            <w:pPr>
              <w:pStyle w:val="TableContents"/>
              <w:bidi w:val="0"/>
              <w:spacing w:before="0" w:after="0"/>
              <w:jc w:val="left"/>
              <w:rPr>
                <w:spacing w:val="0"/>
              </w:rPr>
            </w:pPr>
            <w:r>
              <w:rPr>
                <w:spacing w:val="0"/>
              </w:rPr>
              <w:t> </w:t>
            </w:r>
          </w:p>
        </w:tc>
        <w:tc>
          <w:tcPr>
            <w:tcW w:w="109" w:type="dxa"/>
            <w:tcBorders/>
            <w:vAlign w:val="center"/>
          </w:tcPr>
          <w:p>
            <w:pPr>
              <w:pStyle w:val="TableContents"/>
              <w:bidi w:val="0"/>
              <w:spacing w:before="0" w:after="0"/>
              <w:jc w:val="left"/>
              <w:rPr>
                <w:spacing w:val="0"/>
              </w:rPr>
            </w:pPr>
            <w:r>
              <w:rPr>
                <w:spacing w:val="0"/>
              </w:rPr>
              <w:t> </w:t>
            </w:r>
          </w:p>
        </w:tc>
        <w:tc>
          <w:tcPr>
            <w:tcW w:w="95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33" w:type="dxa"/>
            <w:tcBorders/>
            <w:shd w:fill="CCEEFF" w:val="clear"/>
            <w:vAlign w:val="center"/>
          </w:tcPr>
          <w:p>
            <w:pPr>
              <w:pStyle w:val="TableContents"/>
              <w:bidi w:val="0"/>
              <w:spacing w:before="0" w:after="283"/>
              <w:jc w:val="right"/>
              <w:rPr/>
            </w:pPr>
            <w:r>
              <w:rPr/>
              <w:t>(375</w:t>
            </w:r>
          </w:p>
        </w:tc>
        <w:tc>
          <w:tcPr>
            <w:tcW w:w="21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(6,477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righ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95" w:type="dxa"/>
            <w:tcBorders/>
            <w:shd w:fill="CCEEFF" w:val="clear"/>
            <w:vAlign w:val="center"/>
          </w:tcPr>
          <w:p>
            <w:pPr>
              <w:pStyle w:val="TableContents"/>
              <w:bidi w:val="0"/>
              <w:spacing w:before="0" w:after="283"/>
              <w:jc w:val="right"/>
              <w:rPr/>
            </w:pPr>
            <w:r>
              <w:rPr/>
              <w:t>(1,243</w:t>
            </w:r>
          </w:p>
        </w:tc>
        <w:tc>
          <w:tcPr>
            <w:tcW w:w="19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(1,796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right"/>
              <w:rPr/>
            </w:pPr>
            <w:r>
              <w:rPr/>
              <w:t> </w:t>
            </w:r>
          </w:p>
        </w:tc>
        <w:tc>
          <w:tcPr>
            <w:tcW w:w="1715"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(20</w:t>
            </w:r>
          </w:p>
        </w:tc>
        <w:tc>
          <w:tcPr>
            <w:tcW w:w="283"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184</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8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33" w:type="dxa"/>
            <w:tcBorders/>
            <w:vAlign w:val="center"/>
          </w:tcPr>
          <w:p>
            <w:pPr>
              <w:pStyle w:val="TableContents"/>
              <w:bidi w:val="0"/>
              <w:spacing w:before="0" w:after="283"/>
              <w:jc w:val="right"/>
              <w:rPr/>
            </w:pPr>
            <w:r>
              <w:rPr/>
              <w:t>(375</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891" w:type="dxa"/>
            <w:tcBorders/>
            <w:vAlign w:val="center"/>
          </w:tcPr>
          <w:p>
            <w:pPr>
              <w:pStyle w:val="TableContents"/>
              <w:bidi w:val="0"/>
              <w:spacing w:before="0" w:after="283"/>
              <w:jc w:val="right"/>
              <w:rPr/>
            </w:pPr>
            <w:r>
              <w:rPr/>
              <w:t>(6,477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95" w:type="dxa"/>
            <w:tcBorders/>
            <w:vAlign w:val="center"/>
          </w:tcPr>
          <w:p>
            <w:pPr>
              <w:pStyle w:val="TableContents"/>
              <w:bidi w:val="0"/>
              <w:spacing w:before="0" w:after="283"/>
              <w:jc w:val="right"/>
              <w:rPr/>
            </w:pPr>
            <w:r>
              <w:rPr/>
              <w:t>(1,243</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(1,796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11" w:type="dxa"/>
            <w:tcBorders/>
            <w:vAlign w:val="center"/>
          </w:tcPr>
          <w:p>
            <w:pPr>
              <w:pStyle w:val="TableContents"/>
              <w:bidi w:val="0"/>
              <w:spacing w:before="0" w:after="283"/>
              <w:jc w:val="right"/>
              <w:rPr/>
            </w:pPr>
            <w:r>
              <w:rPr/>
              <w:t>(20</w:t>
            </w:r>
          </w:p>
        </w:tc>
        <w:tc>
          <w:tcPr>
            <w:tcW w:w="28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97" w:type="dxa"/>
            <w:tcBorders/>
            <w:vAlign w:val="center"/>
          </w:tcPr>
          <w:p>
            <w:pPr>
              <w:pStyle w:val="TableContents"/>
              <w:bidi w:val="0"/>
              <w:spacing w:before="0" w:after="283"/>
              <w:jc w:val="right"/>
              <w:rPr/>
            </w:pPr>
            <w:r>
              <w:rPr/>
              <w:t>184</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15"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9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83"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following table summarizes the impact of derivative instruments on the consolidated statements of operations for the six months ended June 30, 2023 and 2022 (in thousands): </w:t>
      </w:r>
    </w:p>
    <w:p>
      <w:pPr>
        <w:pStyle w:val="TextBody"/>
        <w:bidi w:val="0"/>
        <w:spacing w:before="0" w:after="0"/>
        <w:ind w:left="0" w:right="0" w:hanging="0"/>
        <w:jc w:val="left"/>
        <w:rPr>
          <w:spacing w:val="0"/>
        </w:rPr>
      </w:pPr>
      <w:r>
        <w:rPr>
          <w:spacing w:val="0"/>
        </w:rPr>
        <w:t> </w:t>
      </w:r>
    </w:p>
    <w:tbl>
      <w:tblPr>
        <w:tblW w:w="10808" w:type="dxa"/>
        <w:jc w:val="left"/>
        <w:tblInd w:w="0" w:type="dxa"/>
        <w:tblLayout w:type="fixed"/>
        <w:tblCellMar>
          <w:top w:w="0" w:type="dxa"/>
          <w:left w:w="0" w:type="dxa"/>
          <w:bottom w:w="0" w:type="dxa"/>
          <w:right w:w="0" w:type="dxa"/>
        </w:tblCellMar>
      </w:tblPr>
      <w:tblGrid>
        <w:gridCol w:w="995"/>
        <w:gridCol w:w="120"/>
        <w:gridCol w:w="151"/>
        <w:gridCol w:w="687"/>
        <w:gridCol w:w="167"/>
        <w:gridCol w:w="64"/>
        <w:gridCol w:w="151"/>
        <w:gridCol w:w="690"/>
        <w:gridCol w:w="155"/>
        <w:gridCol w:w="60"/>
        <w:gridCol w:w="60"/>
        <w:gridCol w:w="875"/>
        <w:gridCol w:w="60"/>
        <w:gridCol w:w="120"/>
        <w:gridCol w:w="151"/>
        <w:gridCol w:w="687"/>
        <w:gridCol w:w="167"/>
        <w:gridCol w:w="64"/>
        <w:gridCol w:w="151"/>
        <w:gridCol w:w="690"/>
        <w:gridCol w:w="155"/>
        <w:gridCol w:w="60"/>
        <w:gridCol w:w="90"/>
        <w:gridCol w:w="1982"/>
        <w:gridCol w:w="90"/>
        <w:gridCol w:w="181"/>
        <w:gridCol w:w="243"/>
        <w:gridCol w:w="585"/>
        <w:gridCol w:w="270"/>
        <w:gridCol w:w="104"/>
        <w:gridCol w:w="243"/>
        <w:gridCol w:w="465"/>
        <w:gridCol w:w="7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Derivatives in ASC</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815 Cash Flow Hedging</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Relationships</w:t>
            </w:r>
          </w:p>
        </w:tc>
        <w:tc>
          <w:tcPr>
            <w:tcW w:w="120" w:type="dxa"/>
            <w:tcBorders/>
            <w:vAlign w:val="center"/>
          </w:tcPr>
          <w:p>
            <w:pPr>
              <w:pStyle w:val="TableContents"/>
              <w:bidi w:val="0"/>
              <w:spacing w:before="0" w:after="0"/>
              <w:jc w:val="left"/>
              <w:rPr>
                <w:spacing w:val="0"/>
              </w:rPr>
            </w:pPr>
            <w:r>
              <w:rPr>
                <w:spacing w:val="0"/>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 of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AOCI on</w:t>
            </w:r>
          </w:p>
          <w:p>
            <w:pPr>
              <w:pStyle w:val="TableContents"/>
              <w:bidi w:val="0"/>
              <w:spacing w:before="0" w:after="0"/>
              <w:jc w:val="center"/>
              <w:rPr/>
            </w:pPr>
            <w:r>
              <w:rPr/>
            </w:r>
          </w:p>
          <w:p>
            <w:pPr>
              <w:pStyle w:val="TableContents"/>
              <w:bidi w:val="0"/>
              <w:spacing w:before="0" w:after="0"/>
              <w:jc w:val="center"/>
              <w:rPr>
                <w:b/>
                <w:spacing w:val="0"/>
              </w:rPr>
            </w:pPr>
            <w:r>
              <w:rPr>
                <w:b/>
                <w:spacing w:val="0"/>
              </w:rPr>
              <w:t>Derivatives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0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253"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072" w:type="dxa"/>
            <w:gridSpan w:val="2"/>
            <w:tcBorders/>
            <w:vAlign w:val="center"/>
          </w:tcPr>
          <w:p>
            <w:pPr>
              <w:pStyle w:val="TableContents"/>
              <w:bidi w:val="0"/>
              <w:spacing w:before="0" w:after="0"/>
              <w:jc w:val="left"/>
              <w:rPr>
                <w:spacing w:val="0"/>
              </w:rPr>
            </w:pPr>
            <w:r>
              <w:rPr>
                <w:spacing w:val="0"/>
              </w:rPr>
              <w:t> </w:t>
            </w:r>
          </w:p>
        </w:tc>
        <w:tc>
          <w:tcPr>
            <w:tcW w:w="90" w:type="dxa"/>
            <w:tcBorders/>
            <w:vAlign w:val="center"/>
          </w:tcPr>
          <w:p>
            <w:pPr>
              <w:pStyle w:val="TableContents"/>
              <w:bidi w:val="0"/>
              <w:spacing w:before="0" w:after="0"/>
              <w:jc w:val="left"/>
              <w:rPr>
                <w:spacing w:val="0"/>
              </w:rPr>
            </w:pPr>
            <w:r>
              <w:rPr>
                <w:spacing w:val="0"/>
              </w:rPr>
              <w:t> </w:t>
            </w:r>
          </w:p>
        </w:tc>
        <w:tc>
          <w:tcPr>
            <w:tcW w:w="181" w:type="dxa"/>
            <w:tcBorders/>
            <w:vAlign w:val="center"/>
          </w:tcPr>
          <w:p>
            <w:pPr>
              <w:pStyle w:val="TableContents"/>
              <w:bidi w:val="0"/>
              <w:spacing w:before="0" w:after="0"/>
              <w:jc w:val="left"/>
              <w:rPr>
                <w:spacing w:val="0"/>
              </w:rPr>
            </w:pPr>
            <w:r>
              <w:rPr>
                <w:spacing w:val="0"/>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67"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8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3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67" w:type="dxa"/>
            <w:tcBorders/>
            <w:vAlign w:val="center"/>
          </w:tcPr>
          <w:p>
            <w:pPr>
              <w:pStyle w:val="TableContents"/>
              <w:bidi w:val="0"/>
              <w:spacing w:before="0" w:after="0"/>
              <w:jc w:val="left"/>
              <w:rPr>
                <w:spacing w:val="0"/>
              </w:rPr>
            </w:pPr>
            <w:r>
              <w:rPr>
                <w:spacing w:val="0"/>
              </w:rPr>
              <w:t> </w:t>
            </w:r>
          </w:p>
        </w:tc>
        <w:tc>
          <w:tcPr>
            <w:tcW w:w="64" w:type="dxa"/>
            <w:tcBorders/>
            <w:vAlign w:val="center"/>
          </w:tcPr>
          <w:p>
            <w:pPr>
              <w:pStyle w:val="TableContents"/>
              <w:bidi w:val="0"/>
              <w:spacing w:before="0" w:after="0"/>
              <w:jc w:val="left"/>
              <w:rPr>
                <w:spacing w:val="0"/>
              </w:rPr>
            </w:pPr>
            <w:r>
              <w:rPr>
                <w:spacing w:val="0"/>
              </w:rPr>
              <w:t> </w:t>
            </w:r>
          </w:p>
        </w:tc>
        <w:tc>
          <w:tcPr>
            <w:tcW w:w="84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072" w:type="dxa"/>
            <w:gridSpan w:val="2"/>
            <w:tcBorders/>
            <w:vAlign w:val="center"/>
          </w:tcPr>
          <w:p>
            <w:pPr>
              <w:pStyle w:val="TableContents"/>
              <w:bidi w:val="0"/>
              <w:spacing w:before="0" w:after="0"/>
              <w:jc w:val="left"/>
              <w:rPr>
                <w:spacing w:val="0"/>
              </w:rPr>
            </w:pPr>
            <w:r>
              <w:rPr>
                <w:spacing w:val="0"/>
              </w:rPr>
              <w:t> </w:t>
            </w:r>
          </w:p>
        </w:tc>
        <w:tc>
          <w:tcPr>
            <w:tcW w:w="90" w:type="dxa"/>
            <w:tcBorders/>
            <w:vAlign w:val="center"/>
          </w:tcPr>
          <w:p>
            <w:pPr>
              <w:pStyle w:val="TableContents"/>
              <w:bidi w:val="0"/>
              <w:spacing w:before="0" w:after="0"/>
              <w:jc w:val="left"/>
              <w:rPr>
                <w:spacing w:val="0"/>
              </w:rPr>
            </w:pPr>
            <w:r>
              <w:rPr>
                <w:spacing w:val="0"/>
              </w:rPr>
              <w:t> </w:t>
            </w:r>
          </w:p>
        </w:tc>
        <w:tc>
          <w:tcPr>
            <w:tcW w:w="181" w:type="dxa"/>
            <w:tcBorders/>
            <w:vAlign w:val="center"/>
          </w:tcPr>
          <w:p>
            <w:pPr>
              <w:pStyle w:val="TableContents"/>
              <w:bidi w:val="0"/>
              <w:spacing w:before="0" w:after="0"/>
              <w:jc w:val="left"/>
              <w:rPr>
                <w:spacing w:val="0"/>
              </w:rPr>
            </w:pPr>
            <w:r>
              <w:rPr>
                <w:spacing w:val="0"/>
              </w:rPr>
              <w:t> </w:t>
            </w:r>
          </w:p>
        </w:tc>
        <w:tc>
          <w:tcPr>
            <w:tcW w:w="82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0" w:type="dxa"/>
            <w:tcBorders/>
            <w:vAlign w:val="center"/>
          </w:tcPr>
          <w:p>
            <w:pPr>
              <w:pStyle w:val="TableContents"/>
              <w:bidi w:val="0"/>
              <w:spacing w:before="0" w:after="0"/>
              <w:jc w:val="left"/>
              <w:rPr>
                <w:spacing w:val="0"/>
              </w:rPr>
            </w:pPr>
            <w:r>
              <w:rPr>
                <w:spacing w:val="0"/>
              </w:rPr>
              <w:t> </w:t>
            </w:r>
          </w:p>
        </w:tc>
        <w:tc>
          <w:tcPr>
            <w:tcW w:w="104" w:type="dxa"/>
            <w:tcBorders/>
            <w:vAlign w:val="center"/>
          </w:tcPr>
          <w:p>
            <w:pPr>
              <w:pStyle w:val="TableContents"/>
              <w:bidi w:val="0"/>
              <w:spacing w:before="0" w:after="0"/>
              <w:jc w:val="left"/>
              <w:rPr>
                <w:spacing w:val="0"/>
              </w:rPr>
            </w:pPr>
            <w:r>
              <w:rPr>
                <w:spacing w:val="0"/>
              </w:rPr>
              <w:t> </w:t>
            </w:r>
          </w:p>
        </w:tc>
        <w:tc>
          <w:tcPr>
            <w:tcW w:w="70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Zero cost collars</w:t>
            </w:r>
          </w:p>
        </w:tc>
        <w:tc>
          <w:tcPr>
            <w:tcW w:w="120" w:type="dxa"/>
            <w:tcBorders/>
            <w:shd w:fill="CCEEFF" w:val="clear"/>
            <w:vAlign w:val="center"/>
          </w:tcPr>
          <w:p>
            <w:pPr>
              <w:pStyle w:val="TableContents"/>
              <w:bidi w:val="0"/>
              <w:spacing w:before="0" w:after="0"/>
              <w:jc w:val="left"/>
              <w:rPr/>
            </w:pPr>
            <w:r>
              <w:rPr/>
              <w:t> </w:t>
            </w:r>
          </w:p>
        </w:tc>
        <w:tc>
          <w:tcPr>
            <w:tcW w:w="151"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(1,510</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(7,741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right"/>
              <w:rPr/>
            </w:pPr>
            <w:r>
              <w:rPr/>
              <w:t> </w:t>
            </w:r>
          </w:p>
        </w:tc>
        <w:tc>
          <w:tcPr>
            <w:tcW w:w="875" w:type="dxa"/>
            <w:tcBorders/>
            <w:shd w:fill="CCEEFF" w:val="clear"/>
            <w:vAlign w:val="center"/>
          </w:tcPr>
          <w:p>
            <w:pPr>
              <w:pStyle w:val="TableContents"/>
              <w:bidi w:val="0"/>
              <w:spacing w:before="0" w:after="283"/>
              <w:jc w:val="right"/>
              <w:rPr/>
            </w:pPr>
            <w:r>
              <w:rPr/>
              <w:t>Net sales</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87" w:type="dxa"/>
            <w:tcBorders/>
            <w:shd w:fill="CCEEFF" w:val="clear"/>
            <w:vAlign w:val="center"/>
          </w:tcPr>
          <w:p>
            <w:pPr>
              <w:pStyle w:val="TableContents"/>
              <w:bidi w:val="0"/>
              <w:spacing w:before="0" w:after="283"/>
              <w:jc w:val="right"/>
              <w:rPr/>
            </w:pPr>
            <w:r>
              <w:rPr/>
              <w:t>(1,846</w:t>
            </w:r>
          </w:p>
        </w:tc>
        <w:tc>
          <w:tcPr>
            <w:tcW w:w="167"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90" w:type="dxa"/>
            <w:tcBorders/>
            <w:shd w:fill="CCEEFF" w:val="clear"/>
            <w:vAlign w:val="center"/>
          </w:tcPr>
          <w:p>
            <w:pPr>
              <w:pStyle w:val="TableContents"/>
              <w:bidi w:val="0"/>
              <w:spacing w:before="0" w:after="283"/>
              <w:jc w:val="right"/>
              <w:rPr/>
            </w:pPr>
            <w:r>
              <w:rPr/>
              <w:t>(2,558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0"/>
              <w:jc w:val="left"/>
              <w:rPr/>
            </w:pPr>
            <w:r>
              <w:rPr/>
              <w:t> </w:t>
            </w:r>
          </w:p>
        </w:tc>
        <w:tc>
          <w:tcPr>
            <w:tcW w:w="1982" w:type="dxa"/>
            <w:tcBorders/>
            <w:shd w:fill="CCEEFF" w:val="clear"/>
            <w:vAlign w:val="center"/>
          </w:tcPr>
          <w:p>
            <w:pPr>
              <w:pStyle w:val="TableContents"/>
              <w:bidi w:val="0"/>
              <w:spacing w:before="0" w:after="283"/>
              <w:jc w:val="left"/>
              <w:rPr/>
            </w:pPr>
            <w:r>
              <w:rPr/>
              <w:t>Other income</w:t>
              <w:br/>
              <w:t>(loss), net</w:t>
            </w:r>
          </w:p>
        </w:tc>
        <w:tc>
          <w:tcPr>
            <w:tcW w:w="90"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585" w:type="dxa"/>
            <w:tcBorders/>
            <w:shd w:fill="CCEEFF" w:val="clear"/>
            <w:vAlign w:val="center"/>
          </w:tcPr>
          <w:p>
            <w:pPr>
              <w:pStyle w:val="TableContents"/>
              <w:bidi w:val="0"/>
              <w:spacing w:before="0" w:after="283"/>
              <w:jc w:val="right"/>
              <w:rPr/>
            </w:pPr>
            <w:r>
              <w:rPr/>
              <w:t>(74</w:t>
            </w:r>
          </w:p>
        </w:tc>
        <w:tc>
          <w:tcPr>
            <w:tcW w:w="27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465"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(1,510</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90" w:type="dxa"/>
            <w:tcBorders/>
            <w:vAlign w:val="center"/>
          </w:tcPr>
          <w:p>
            <w:pPr>
              <w:pStyle w:val="TableContents"/>
              <w:bidi w:val="0"/>
              <w:spacing w:before="0" w:after="283"/>
              <w:jc w:val="right"/>
              <w:rPr/>
            </w:pPr>
            <w:r>
              <w:rPr/>
              <w:t>(7,741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87" w:type="dxa"/>
            <w:tcBorders/>
            <w:vAlign w:val="center"/>
          </w:tcPr>
          <w:p>
            <w:pPr>
              <w:pStyle w:val="TableContents"/>
              <w:bidi w:val="0"/>
              <w:spacing w:before="0" w:after="283"/>
              <w:jc w:val="right"/>
              <w:rPr/>
            </w:pPr>
            <w:r>
              <w:rPr/>
              <w:t>(1,846</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w:t>
            </w:r>
          </w:p>
        </w:tc>
        <w:tc>
          <w:tcPr>
            <w:tcW w:w="690" w:type="dxa"/>
            <w:tcBorders/>
            <w:vAlign w:val="center"/>
          </w:tcPr>
          <w:p>
            <w:pPr>
              <w:pStyle w:val="TableContents"/>
              <w:bidi w:val="0"/>
              <w:spacing w:before="0" w:after="283"/>
              <w:jc w:val="right"/>
              <w:rPr/>
            </w:pPr>
            <w:r>
              <w:rPr/>
              <w:t>(2,558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(74</w:t>
            </w:r>
          </w:p>
        </w:tc>
        <w:tc>
          <w:tcPr>
            <w:tcW w:w="27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465"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7"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9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June 30, 2023, the amount expected to be reclassified from accumulated other comprehensive loss into loss within the next 12 months is $889 thousand.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set aside cash deposit to the counterparty, Standard Chartered Bank Korea Limited (“SC”), as required for the zero cost collar contracts. This cash deposit is recorded as hedge collateral on the consolidated balance sheets. Cash deposits as of June 30, 2023 and December 31, 2022 are as follows (in thousands): </w:t>
      </w:r>
    </w:p>
    <w:p>
      <w:pPr>
        <w:pStyle w:val="TextBody"/>
        <w:bidi w:val="0"/>
        <w:spacing w:before="0" w:after="0"/>
        <w:jc w:val="left"/>
        <w:rPr>
          <w:spacing w:val="0"/>
        </w:rPr>
      </w:pPr>
      <w:r>
        <w:rPr>
          <w:spacing w:val="0"/>
        </w:rPr>
        <w:t> </w:t>
      </w:r>
    </w:p>
    <w:tbl>
      <w:tblPr>
        <w:tblW w:w="3705" w:type="dxa"/>
        <w:jc w:val="left"/>
        <w:tblInd w:w="0" w:type="dxa"/>
        <w:tblLayout w:type="fixed"/>
        <w:tblCellMar>
          <w:top w:w="0" w:type="dxa"/>
          <w:left w:w="0" w:type="dxa"/>
          <w:bottom w:w="0" w:type="dxa"/>
          <w:right w:w="0" w:type="dxa"/>
        </w:tblCellMar>
      </w:tblPr>
      <w:tblGrid>
        <w:gridCol w:w="1040"/>
        <w:gridCol w:w="120"/>
        <w:gridCol w:w="175"/>
        <w:gridCol w:w="700"/>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SC</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is required to deposit additional cash collateral with Nomura Financial Investment (Korea) Co., Ltd. (“NFIK”) and SC for any exposure in excess of $500 thousand. As of June 30, 2023, $1,120 thousand of additional cash collateral was required by NFIK, and recorded as hedge collateral on the consolidated balance sheet. As of December 31, 2022, $1,840 thousand and $100 thousand of additional cash collateral were required by NFIK and SC, respectively, and recorded as hedge collateral on the consolidated balance sheet.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7. Fair Value Measurements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June 30, 2023, the following table represents the Company’s liabilities measured at fair value on a recurring basis and the basis for that measurement (in thousands): </w:t>
      </w:r>
    </w:p>
    <w:p>
      <w:pPr>
        <w:pStyle w:val="TextBody"/>
        <w:bidi w:val="0"/>
        <w:spacing w:before="0" w:after="0"/>
        <w:jc w:val="left"/>
        <w:rPr>
          <w:sz w:val="24"/>
        </w:rPr>
      </w:pPr>
      <w:r>
        <w:rPr>
          <w:sz w:val="24"/>
        </w:rPr>
      </w:r>
    </w:p>
    <w:tbl>
      <w:tblPr>
        <w:tblW w:w="11945" w:type="dxa"/>
        <w:jc w:val="left"/>
        <w:tblInd w:w="0" w:type="dxa"/>
        <w:tblLayout w:type="fixed"/>
        <w:tblCellMar>
          <w:top w:w="0" w:type="dxa"/>
          <w:left w:w="0" w:type="dxa"/>
          <w:bottom w:w="0" w:type="dxa"/>
          <w:right w:w="0" w:type="dxa"/>
        </w:tblCellMar>
      </w:tblPr>
      <w:tblGrid>
        <w:gridCol w:w="890"/>
        <w:gridCol w:w="120"/>
        <w:gridCol w:w="140"/>
        <w:gridCol w:w="1920"/>
        <w:gridCol w:w="60"/>
        <w:gridCol w:w="120"/>
        <w:gridCol w:w="140"/>
        <w:gridCol w:w="1920"/>
        <w:gridCol w:w="60"/>
        <w:gridCol w:w="120"/>
        <w:gridCol w:w="60"/>
        <w:gridCol w:w="1920"/>
        <w:gridCol w:w="60"/>
        <w:gridCol w:w="120"/>
        <w:gridCol w:w="140"/>
        <w:gridCol w:w="1920"/>
        <w:gridCol w:w="60"/>
        <w:gridCol w:w="120"/>
        <w:gridCol w:w="60"/>
        <w:gridCol w:w="1920"/>
        <w:gridCol w:w="7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06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Carrying Value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June 30, 2023</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06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Fair Value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Measurement</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June 30, 2023</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8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Quoted Prices in</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Active Markets</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for Identical</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Liability (Level 1)</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06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Significant</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Other</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Observable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Inputs</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(Level 2)</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8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Significant</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Unobservable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Inputs</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(Level 3)</w:t>
            </w:r>
          </w:p>
        </w:tc>
        <w:tc>
          <w:tcPr>
            <w:tcW w:w="75" w:type="dxa"/>
            <w:tcBorders/>
            <w:vAlign w:val="center"/>
          </w:tcPr>
          <w:p>
            <w:pPr>
              <w:pStyle w:val="TableContents"/>
              <w:bidi w:val="0"/>
              <w:spacing w:before="0" w:after="0"/>
              <w:jc w:val="left"/>
              <w:rPr/>
            </w:pPr>
            <w:r>
              <w:rPr/>
              <w:t> </w:t>
            </w:r>
          </w:p>
        </w:tc>
      </w:tr>
      <w:tr>
        <w:trPr/>
        <w:tc>
          <w:tcPr>
            <w:tcW w:w="8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9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liabilities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920" w:type="dxa"/>
            <w:tcBorders/>
            <w:vAlign w:val="center"/>
          </w:tcPr>
          <w:p>
            <w:pPr>
              <w:pStyle w:val="TableContents"/>
              <w:bidi w:val="0"/>
              <w:spacing w:before="0" w:after="283"/>
              <w:jc w:val="right"/>
              <w:rPr/>
            </w:pPr>
            <w:r>
              <w:rPr/>
              <w:t>1,776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920" w:type="dxa"/>
            <w:tcBorders/>
            <w:vAlign w:val="center"/>
          </w:tcPr>
          <w:p>
            <w:pPr>
              <w:pStyle w:val="TableContents"/>
              <w:bidi w:val="0"/>
              <w:spacing w:before="0" w:after="283"/>
              <w:jc w:val="right"/>
              <w:rPr/>
            </w:pPr>
            <w:r>
              <w:rPr/>
              <w:t>1,776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920" w:type="dxa"/>
            <w:tcBorders/>
            <w:vAlign w:val="center"/>
          </w:tcPr>
          <w:p>
            <w:pPr>
              <w:pStyle w:val="TableContents"/>
              <w:bidi w:val="0"/>
              <w:spacing w:before="0" w:after="283"/>
              <w:jc w:val="right"/>
              <w:rPr/>
            </w:pPr>
            <w:r>
              <w:rPr/>
              <w:t>1,776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As of December 31, 2022, the following table represents the Company’s liabilities measured at fair value on a recurring basis and the basis for that measurement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10780" w:type="dxa"/>
        <w:jc w:val="left"/>
        <w:tblInd w:w="0" w:type="dxa"/>
        <w:tblLayout w:type="fixed"/>
        <w:tblCellMar>
          <w:top w:w="0" w:type="dxa"/>
          <w:left w:w="0" w:type="dxa"/>
          <w:bottom w:w="0" w:type="dxa"/>
          <w:right w:w="0" w:type="dxa"/>
        </w:tblCellMar>
      </w:tblPr>
      <w:tblGrid>
        <w:gridCol w:w="890"/>
        <w:gridCol w:w="120"/>
        <w:gridCol w:w="161"/>
        <w:gridCol w:w="1794"/>
        <w:gridCol w:w="60"/>
        <w:gridCol w:w="120"/>
        <w:gridCol w:w="161"/>
        <w:gridCol w:w="1794"/>
        <w:gridCol w:w="60"/>
        <w:gridCol w:w="120"/>
        <w:gridCol w:w="64"/>
        <w:gridCol w:w="1681"/>
        <w:gridCol w:w="60"/>
        <w:gridCol w:w="120"/>
        <w:gridCol w:w="140"/>
        <w:gridCol w:w="1560"/>
        <w:gridCol w:w="60"/>
        <w:gridCol w:w="120"/>
        <w:gridCol w:w="60"/>
        <w:gridCol w:w="1560"/>
        <w:gridCol w:w="7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Carrying Value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December 31, 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Fair Value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Measurement</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December 31, 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45"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Quoted Prices in</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Active Markets</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for Identical</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Liability (Level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0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Significant</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Other</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Observable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Inputs</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20" w:type="dxa"/>
            <w:gridSpan w:val="2"/>
            <w:tcBorders/>
            <w:vAlign w:val="center"/>
          </w:tcPr>
          <w:p>
            <w:pPr>
              <w:pStyle w:val="TableContents"/>
              <w:bidi w:val="0"/>
              <w:spacing w:before="0" w:after="0"/>
              <w:jc w:val="center"/>
              <w:rPr>
                <w:rFonts w:ascii="Times New Roman" w:hAnsi="Times New Roman"/>
                <w:b/>
                <w:spacing w:val="0"/>
              </w:rPr>
            </w:pPr>
            <w:r>
              <w:rPr>
                <w:rFonts w:ascii="Times New Roman" w:hAnsi="Times New Roman"/>
                <w:b/>
                <w:spacing w:val="0"/>
              </w:rPr>
              <w:t>Significant</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Unobservable</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Inputs</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rPr>
            </w:pPr>
            <w:r>
              <w:rPr>
                <w:rFonts w:ascii="Times New Roman" w:hAnsi="Times New Roman"/>
                <w:b/>
                <w:spacing w:val="0"/>
              </w:rPr>
              <w:t>(Level 3)</w:t>
            </w:r>
          </w:p>
        </w:tc>
        <w:tc>
          <w:tcPr>
            <w:tcW w:w="75" w:type="dxa"/>
            <w:tcBorders/>
            <w:vAlign w:val="center"/>
          </w:tcPr>
          <w:p>
            <w:pPr>
              <w:pStyle w:val="TableContents"/>
              <w:bidi w:val="0"/>
              <w:spacing w:before="0" w:after="0"/>
              <w:jc w:val="left"/>
              <w:rPr>
                <w:spacing w:val="0"/>
              </w:rPr>
            </w:pPr>
            <w:r>
              <w:rPr>
                <w:spacing w:val="0"/>
              </w:rPr>
              <w:t> </w:t>
            </w:r>
          </w:p>
        </w:tc>
      </w:tr>
      <w:tr>
        <w:trPr/>
        <w:tc>
          <w:tcPr>
            <w:tcW w:w="8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7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17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68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liabilities (other current liabilities)</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794"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w:t>
            </w:r>
          </w:p>
        </w:tc>
        <w:tc>
          <w:tcPr>
            <w:tcW w:w="1794"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560"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It</w:t>
      </w:r>
    </w:p>
    <w:p>
      <w:pPr>
        <w:pStyle w:val="TextBody"/>
        <w:bidi w:val="0"/>
        <w:spacing w:before="240" w:after="0"/>
        <w:jc w:val="left"/>
        <w:rPr>
          <w:rFonts w:ascii="Times New Roman" w:hAnsi="Times New Roman"/>
          <w:spacing w:val="0"/>
          <w:sz w:val="20"/>
        </w:rPr>
      </w:pPr>
      <w:r>
        <w:rPr>
          <w:rFonts w:ascii="Times New Roman" w:hAnsi="Times New Roman"/>
          <w:spacing w:val="0"/>
          <w:sz w:val="20"/>
        </w:rPr>
        <w:t>em</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3</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8. Accrued Severance Benefits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June 30, 2023, 97% of all employees of the Company were eligible for severance benefits.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Changes in accrued severance benefits are as follows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10485" w:type="dxa"/>
        <w:jc w:val="left"/>
        <w:tblInd w:w="0" w:type="dxa"/>
        <w:tblLayout w:type="fixed"/>
        <w:tblCellMar>
          <w:top w:w="0" w:type="dxa"/>
          <w:left w:w="0" w:type="dxa"/>
          <w:bottom w:w="0" w:type="dxa"/>
          <w:right w:w="0" w:type="dxa"/>
        </w:tblCellMar>
      </w:tblPr>
      <w:tblGrid>
        <w:gridCol w:w="1130"/>
        <w:gridCol w:w="120"/>
        <w:gridCol w:w="345"/>
        <w:gridCol w:w="1865"/>
        <w:gridCol w:w="155"/>
        <w:gridCol w:w="120"/>
        <w:gridCol w:w="298"/>
        <w:gridCol w:w="1612"/>
        <w:gridCol w:w="155"/>
        <w:gridCol w:w="120"/>
        <w:gridCol w:w="345"/>
        <w:gridCol w:w="1865"/>
        <w:gridCol w:w="155"/>
        <w:gridCol w:w="120"/>
        <w:gridCol w:w="298"/>
        <w:gridCol w:w="1612"/>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Six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center"/>
              <w:rPr>
                <w:b/>
                <w:spacing w:val="0"/>
              </w:rPr>
            </w:pPr>
            <w:r>
              <w:rPr>
                <w:b/>
                <w:spacing w:val="0"/>
              </w:rPr>
              <w:t>Six Months Ended</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1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910" w:type="dxa"/>
            <w:gridSpan w:val="2"/>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395" w:type="dxa"/>
            <w:gridSpan w:val="6"/>
            <w:tcBorders/>
            <w:vAlign w:val="center"/>
          </w:tcPr>
          <w:p>
            <w:pPr>
              <w:pStyle w:val="TableContents"/>
              <w:bidi w:val="0"/>
              <w:spacing w:before="0" w:after="0"/>
              <w:jc w:val="center"/>
              <w:rPr>
                <w:b/>
                <w:spacing w:val="0"/>
              </w:rPr>
            </w:pPr>
            <w:r>
              <w:rPr>
                <w:b/>
                <w:spacing w:val="0"/>
              </w:rPr>
              <w:t>June 30, 2023</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395" w:type="dxa"/>
            <w:gridSpan w:val="6"/>
            <w:tcBorders/>
            <w:vAlign w:val="center"/>
          </w:tcPr>
          <w:p>
            <w:pPr>
              <w:pStyle w:val="TableContents"/>
              <w:bidi w:val="0"/>
              <w:spacing w:before="0" w:after="0"/>
              <w:jc w:val="center"/>
              <w:rPr>
                <w:b/>
                <w:spacing w:val="0"/>
              </w:rPr>
            </w:pPr>
            <w:r>
              <w:rPr>
                <w:b/>
                <w:spacing w:val="0"/>
              </w:rPr>
              <w:t>June 30, 2022</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48,574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48,496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50,771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51,567</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Provisions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1,761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4,091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3,240</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(4,857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(5,728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(1,545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(2,934</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Translation adjustments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(1,738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(3,210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(4,287</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45,121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45,121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47,586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47,586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Cumulative contributions to</w:t>
              <w:br/>
              <w:t>severance insurance deposit accounts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(24,816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(24,816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(16,894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(16,894</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Group severance insurance plan</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pPr>
            <w:r>
              <w:rPr/>
              <w:t>(182</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20,123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20,123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30,466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30,466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severance benefits funded through the Company’s National Pension Fund and group severance insurance plan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liable to pay the following future benefits to 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upon their normal retirement age (in thousands): </w:t>
      </w:r>
    </w:p>
    <w:p>
      <w:pPr>
        <w:pStyle w:val="TextBody"/>
        <w:bidi w:val="0"/>
        <w:spacing w:before="0" w:after="0"/>
        <w:jc w:val="left"/>
        <w:rPr>
          <w:spacing w:val="0"/>
        </w:rPr>
      </w:pPr>
      <w:r>
        <w:rPr>
          <w:spacing w:val="0"/>
        </w:rPr>
        <w:t> </w:t>
      </w:r>
    </w:p>
    <w:tbl>
      <w:tblPr>
        <w:tblW w:w="3595" w:type="dxa"/>
        <w:jc w:val="left"/>
        <w:tblInd w:w="0" w:type="dxa"/>
        <w:tblLayout w:type="fixed"/>
        <w:tblCellMar>
          <w:top w:w="0" w:type="dxa"/>
          <w:left w:w="0" w:type="dxa"/>
          <w:bottom w:w="0" w:type="dxa"/>
          <w:right w:w="0" w:type="dxa"/>
        </w:tblCellMar>
      </w:tblPr>
      <w:tblGrid>
        <w:gridCol w:w="1595"/>
        <w:gridCol w:w="120"/>
        <w:gridCol w:w="308"/>
        <w:gridCol w:w="149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Remainder of 2023</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168</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2024</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319</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739</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669</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372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497" w:type="dxa"/>
            <w:tcBorders/>
            <w:vAlign w:val="center"/>
          </w:tcPr>
          <w:p>
            <w:pPr>
              <w:pStyle w:val="TableContents"/>
              <w:bidi w:val="0"/>
              <w:spacing w:before="0" w:after="283"/>
              <w:jc w:val="right"/>
              <w:rPr/>
            </w:pPr>
            <w:r>
              <w:rPr/>
              <w:t>3,514</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 – 2033</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497" w:type="dxa"/>
            <w:tcBorders/>
            <w:shd w:fill="CCEEFF" w:val="clear"/>
            <w:vAlign w:val="center"/>
          </w:tcPr>
          <w:p>
            <w:pPr>
              <w:pStyle w:val="TableContents"/>
              <w:bidi w:val="0"/>
              <w:spacing w:before="0" w:after="283"/>
              <w:jc w:val="right"/>
              <w:rPr/>
            </w:pPr>
            <w:r>
              <w:rPr/>
              <w:t>18,215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amounts were determined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non-executive</w:t>
      </w:r>
    </w:p>
    <w:p>
      <w:pPr>
        <w:pStyle w:val="TextBody"/>
        <w:bidi w:val="0"/>
        <w:spacing w:before="240" w:after="0"/>
        <w:jc w:val="left"/>
        <w:rPr>
          <w:rFonts w:ascii="Times New Roman" w:hAnsi="Times New Roman"/>
          <w:sz w:val="20"/>
        </w:rPr>
      </w:pPr>
      <w:r>
        <w:rPr>
          <w:rFonts w:ascii="Times New Roman" w:hAnsi="Times New Roman"/>
          <w:sz w:val="20"/>
        </w:rPr>
        <w:t xml:space="preserve">employees that will cease working with the Company before their normal retirement ages.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4</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9. Early Termination and Other Charges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During the first quarter of 2023, the Company commenced the voluntary resignation program (the “</w:t>
      </w:r>
    </w:p>
    <w:p>
      <w:pPr>
        <w:pStyle w:val="TextBody"/>
        <w:bidi w:val="0"/>
        <w:spacing w:before="12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xml:space="preserve">2023 Resignation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Pr</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ogram”), which was available for the employees with more than 20 years of service. For the six months ended June 30, 2023, the Company recorded in its consolidated statement of operations $8,449 thousand of termination related charges as “early termination and other charges”, which were paid during the second quarter of 2023.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six months ended June 30, 2023, the Company also recorded $802 thousand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For the three and six months ended June 30, 2022, the Company recorded $797 thousand of professional service fees and expenses incurred in connection with certain strategic evaluations.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10. Foreign Currency Loss, Net </w:t>
      </w:r>
    </w:p>
    <w:p>
      <w:pPr>
        <w:pStyle w:val="TextBody"/>
        <w:bidi w:val="0"/>
        <w:spacing w:before="120" w:after="0"/>
        <w:jc w:val="left"/>
        <w:rPr>
          <w:rFonts w:ascii="Times New Roman" w:hAnsi="Times New Roman"/>
          <w:sz w:val="20"/>
        </w:rPr>
      </w:pPr>
      <w:r>
        <w:rPr>
          <w:rFonts w:ascii="Times New Roman" w:hAnsi="Times New Roman"/>
          <w:sz w:val="20"/>
        </w:rPr>
        <w:t xml:space="preserve">Net foreign currency gain or loss includes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translation gain or loss associated with intercompany long-term loans to the Company’s Korean subsidiary. The loans are denominated in U.S. dollars and are affected by changes in the exchange rate between the Korean won and the U.S. dollar. As of June 30, 2023 and December 31, 2022, the outstanding intercompany loan balances including accrued interest between the Korean subsidiary and the Dutch subsidiary were $293,077 thousand and $310,988 thousand, respectively. The Korean won to U.S. dollar exchange rates were 1,312.8:1 and 1,267.3:1 using the first base rate as of June 30, 2023 and December 31, 2022, respectively, as quoted by the KEB Hana Bank.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11. Income Taxes</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subsidiaries file income tax returns in Korea, Japan, Taiwan, the U.S. and in various other jurisdictions. The Company is subject to income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by tax authorities of these jurisdictions for all open tax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three and six months ended June 30, 2023, the Company recorded an income tax benefit of $2,977 thousand and $4,204 thousand, respectively, primarily attributable to the estimated taxable loss of its Korean subsidiary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2022, the Company recorded an income tax benefit of $897 thousand primarily attributable to a decrease in its Korean subsidiary’s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income for the respective period due to the foreign currency translation loss recorded in its Korean subsidiary in connection with intercompany loans. For the six months ended June 30, 2022, the Company recorded an income tax expense of $2,586 thousand, primarily attributable to interest on intercompany loan balances and income tax in its Korean subsidiary and the U.S. parent entity based on the Company’s estimated taxable income for the respective period.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5</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12. Geographic and Other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sets forth information relating to the single operating segment (in thousands): </w:t>
      </w:r>
    </w:p>
    <w:p>
      <w:pPr>
        <w:pStyle w:val="TextBody"/>
        <w:bidi w:val="0"/>
        <w:spacing w:before="0" w:after="0"/>
        <w:jc w:val="left"/>
        <w:rPr>
          <w:spacing w:val="0"/>
        </w:rPr>
      </w:pPr>
      <w:r>
        <w:rPr>
          <w:spacing w:val="0"/>
        </w:rPr>
        <w:t> </w:t>
      </w:r>
    </w:p>
    <w:tbl>
      <w:tblPr>
        <w:tblW w:w="7542" w:type="dxa"/>
        <w:jc w:val="left"/>
        <w:tblInd w:w="0" w:type="dxa"/>
        <w:tblLayout w:type="fixed"/>
        <w:tblCellMar>
          <w:top w:w="0" w:type="dxa"/>
          <w:left w:w="0" w:type="dxa"/>
          <w:bottom w:w="0" w:type="dxa"/>
          <w:right w:w="0" w:type="dxa"/>
        </w:tblCellMar>
      </w:tblPr>
      <w:tblGrid>
        <w:gridCol w:w="2900"/>
        <w:gridCol w:w="120"/>
        <w:gridCol w:w="159"/>
        <w:gridCol w:w="774"/>
        <w:gridCol w:w="68"/>
        <w:gridCol w:w="136"/>
        <w:gridCol w:w="159"/>
        <w:gridCol w:w="911"/>
        <w:gridCol w:w="60"/>
        <w:gridCol w:w="120"/>
        <w:gridCol w:w="140"/>
        <w:gridCol w:w="800"/>
        <w:gridCol w:w="60"/>
        <w:gridCol w:w="120"/>
        <w:gridCol w:w="140"/>
        <w:gridCol w:w="800"/>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3"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Standard products business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9,657</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28,336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20,498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57,521</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Power Solutions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41,718</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62,952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82,391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127,777</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right"/>
              <w:rPr/>
            </w:pPr>
            <w:r>
              <w:rPr/>
              <w:t>51,375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91,288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185,298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Transitional Fab 3 foundry services</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right"/>
              <w:rPr/>
            </w:pPr>
            <w:r>
              <w:rPr/>
              <w:t>9,604</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10,088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20,171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774" w:type="dxa"/>
            <w:tcBorders/>
            <w:shd w:fill="CCEEFF" w:val="clear"/>
            <w:vAlign w:val="center"/>
          </w:tcPr>
          <w:p>
            <w:pPr>
              <w:pStyle w:val="TableContents"/>
              <w:bidi w:val="0"/>
              <w:spacing w:before="0" w:after="283"/>
              <w:jc w:val="right"/>
              <w:rPr/>
            </w:pPr>
            <w:r>
              <w:rPr/>
              <w:t>60,979</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101,376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117,984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205,469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7505" w:type="dxa"/>
        <w:jc w:val="left"/>
        <w:tblInd w:w="0" w:type="dxa"/>
        <w:tblLayout w:type="fixed"/>
        <w:tblCellMar>
          <w:top w:w="0" w:type="dxa"/>
          <w:left w:w="0" w:type="dxa"/>
          <w:bottom w:w="0" w:type="dxa"/>
          <w:right w:w="0" w:type="dxa"/>
        </w:tblCellMar>
      </w:tblPr>
      <w:tblGrid>
        <w:gridCol w:w="2900"/>
        <w:gridCol w:w="120"/>
        <w:gridCol w:w="170"/>
        <w:gridCol w:w="825"/>
        <w:gridCol w:w="72"/>
        <w:gridCol w:w="145"/>
        <w:gridCol w:w="170"/>
        <w:gridCol w:w="825"/>
        <w:gridCol w:w="60"/>
        <w:gridCol w:w="120"/>
        <w:gridCol w:w="149"/>
        <w:gridCol w:w="725"/>
        <w:gridCol w:w="155"/>
        <w:gridCol w:w="120"/>
        <w:gridCol w:w="149"/>
        <w:gridCol w:w="725"/>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07"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23"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0"/>
              <w:jc w:val="left"/>
              <w:rPr>
                <w:spacing w:val="0"/>
              </w:rPr>
            </w:pPr>
            <w:r>
              <w:rPr>
                <w:spacing w:val="0"/>
              </w:rPr>
              <w:t> </w:t>
            </w:r>
          </w:p>
        </w:tc>
      </w:tr>
      <w:tr>
        <w:trPr/>
        <w:tc>
          <w:tcPr>
            <w:tcW w:w="29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9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290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Gross Profit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72" w:type="dxa"/>
            <w:tcBorders/>
            <w:shd w:fill="CCEEFF" w:val="clear"/>
            <w:vAlign w:val="center"/>
          </w:tcPr>
          <w:p>
            <w:pPr>
              <w:pStyle w:val="TableContents"/>
              <w:bidi w:val="0"/>
              <w:spacing w:before="0" w:after="283"/>
              <w:jc w:val="left"/>
              <w:rPr>
                <w:sz w:val="4"/>
                <w:szCs w:val="4"/>
              </w:rPr>
            </w:pPr>
            <w:r>
              <w:rPr>
                <w:sz w:val="4"/>
                <w:szCs w:val="4"/>
              </w:rPr>
            </w:r>
          </w:p>
        </w:tc>
        <w:tc>
          <w:tcPr>
            <w:tcW w:w="145" w:type="dxa"/>
            <w:tcBorders/>
            <w:shd w:fill="CCEEFF" w:val="clear"/>
            <w:vAlign w:val="center"/>
          </w:tcPr>
          <w:p>
            <w:pPr>
              <w:pStyle w:val="TableContents"/>
              <w:bidi w:val="0"/>
              <w:spacing w:before="0" w:after="0"/>
              <w:jc w:val="left"/>
              <w:rPr>
                <w:spacing w:val="0"/>
              </w:rPr>
            </w:pPr>
            <w:r>
              <w:rPr>
                <w:spacing w:val="0"/>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8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Standard products business</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13,508</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27,668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27,710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65,598</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30</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2,343</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gross profit</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13,538</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5" w:type="dxa"/>
            <w:tcBorders/>
            <w:vAlign w:val="center"/>
          </w:tcPr>
          <w:p>
            <w:pPr>
              <w:pStyle w:val="TableContents"/>
              <w:bidi w:val="0"/>
              <w:spacing w:before="0" w:after="283"/>
              <w:jc w:val="right"/>
              <w:rPr/>
            </w:pPr>
            <w:r>
              <w:rPr/>
              <w:t>28,945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25,632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right"/>
              <w:rPr/>
            </w:pPr>
            <w:r>
              <w:rPr/>
              <w:t>67,941</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following is a summary of net sales—standard products business (which does not include the Transitional Fab 3 Foundry Services) by geographic region, based on the location to which the products are billed (in thousands): </w:t>
      </w:r>
    </w:p>
    <w:p>
      <w:pPr>
        <w:pStyle w:val="TextBody"/>
        <w:bidi w:val="0"/>
        <w:spacing w:before="0" w:after="0"/>
        <w:jc w:val="left"/>
        <w:rPr>
          <w:spacing w:val="0"/>
        </w:rPr>
      </w:pPr>
      <w:r>
        <w:rPr>
          <w:spacing w:val="0"/>
        </w:rPr>
        <w:t> </w:t>
      </w:r>
    </w:p>
    <w:tbl>
      <w:tblPr>
        <w:tblW w:w="7152" w:type="dxa"/>
        <w:jc w:val="left"/>
        <w:tblInd w:w="0" w:type="dxa"/>
        <w:tblLayout w:type="fixed"/>
        <w:tblCellMar>
          <w:top w:w="0" w:type="dxa"/>
          <w:left w:w="0" w:type="dxa"/>
          <w:bottom w:w="0" w:type="dxa"/>
          <w:right w:w="0" w:type="dxa"/>
        </w:tblCellMar>
      </w:tblPr>
      <w:tblGrid>
        <w:gridCol w:w="2510"/>
        <w:gridCol w:w="120"/>
        <w:gridCol w:w="170"/>
        <w:gridCol w:w="825"/>
        <w:gridCol w:w="72"/>
        <w:gridCol w:w="145"/>
        <w:gridCol w:w="170"/>
        <w:gridCol w:w="825"/>
        <w:gridCol w:w="60"/>
        <w:gridCol w:w="120"/>
        <w:gridCol w:w="140"/>
        <w:gridCol w:w="800"/>
        <w:gridCol w:w="60"/>
        <w:gridCol w:w="120"/>
        <w:gridCol w:w="140"/>
        <w:gridCol w:w="800"/>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Korea</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14,394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31,168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62,198</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Asia Pacific (other than Korea)</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35,024</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56,068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66,925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114,328</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236</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2,492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5,356</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Europe</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1,721</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1,560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3,416</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51,375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25" w:type="dxa"/>
            <w:tcBorders/>
            <w:shd w:fill="CCEEFF" w:val="clear"/>
            <w:vAlign w:val="center"/>
          </w:tcPr>
          <w:p>
            <w:pPr>
              <w:pStyle w:val="TableContents"/>
              <w:bidi w:val="0"/>
              <w:spacing w:before="0" w:after="283"/>
              <w:jc w:val="right"/>
              <w:rPr/>
            </w:pPr>
            <w:r>
              <w:rPr/>
              <w:t>91,288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102,889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185,298</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three months ended June 30, 2023 and 2022, of the Company’s net sales – standard products business in Asia Pacific (other than Korea), net sales – standard products business in China and Hong Kong together represented 67.5% and 56.5%, respectively, and net sales—standard products business in Vietnam represented 11.3% and 26.7%, respectively. For the six months ended June 30, 2023 and 2022, of the Company’s net sales – standard products business in Asia Pacific (other than Korea), net sales – standard products business in China and Hong Kong represented 62.9% and 64.0%, respectively, and net sales—standard products business in Vietnam represented 14.4% and 20.4%,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Net sales from the Company’s top ten largest customers in the standard products business (which does not include the Transitional Fab 3 Foundry Services) accounted for 72% and 73% for the three months ended June 30, 2023 and 2022, respectively, and 70% and 72% for the six months ended June 30, 2023 and 2022,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the three months ended June 30, 2023, the Company had two customers that represented 15.1% and 13.5% of its net sales—standard products business, respectively. For the six months ended June 30, 2023, the Company had two customers that represented 15.0% and 14.4% of its net sales—standard products business, respectively. For the three months ended June 30, 2022, the Company had two customers that represented 26.7% and 13.3% of its net sales – standard products business. For the six months ended June 30, 2022, the Company had two customers that represented 26.1% and 13.1% of its net sales – standard products business.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June 30, 2023, the Company’s accounts receivable was concentrated with four customers at June 30, 2023, who represented a total of 59% of its accounts receivable – standard products business (which does not include the Transitional Fab 3 Foundry Services), compared with four customers at December 31, 2022, who represented 56% of its accounts receivable – standard products business (which does not include the Transitional Fab 3 Foundry Services).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1</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6</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13. Accumulated Other Comprehensive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Accumulated other comprehensive loss consists of the following as of June 30, 2023 and December 31, 2022, respectively (in thousands): </w:t>
      </w:r>
    </w:p>
    <w:p>
      <w:pPr>
        <w:pStyle w:val="TextBody"/>
        <w:bidi w:val="0"/>
        <w:spacing w:before="0" w:after="0"/>
        <w:jc w:val="left"/>
        <w:rPr>
          <w:spacing w:val="0"/>
        </w:rPr>
      </w:pPr>
      <w:r>
        <w:rPr>
          <w:spacing w:val="0"/>
        </w:rPr>
        <w:t> </w:t>
      </w:r>
    </w:p>
    <w:tbl>
      <w:tblPr>
        <w:tblW w:w="6224" w:type="dxa"/>
        <w:jc w:val="left"/>
        <w:tblInd w:w="0" w:type="dxa"/>
        <w:tblLayout w:type="fixed"/>
        <w:tblCellMar>
          <w:top w:w="0" w:type="dxa"/>
          <w:left w:w="0" w:type="dxa"/>
          <w:bottom w:w="0" w:type="dxa"/>
          <w:right w:w="0" w:type="dxa"/>
        </w:tblCellMar>
      </w:tblPr>
      <w:tblGrid>
        <w:gridCol w:w="3350"/>
        <w:gridCol w:w="120"/>
        <w:gridCol w:w="140"/>
        <w:gridCol w:w="755"/>
        <w:gridCol w:w="155"/>
        <w:gridCol w:w="120"/>
        <w:gridCol w:w="220"/>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(11,328</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adjustments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(1,225</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Changes in accumulated other comprehensive loss for the three months ended June 30, 2023 and 2022 are as follows (in thousands): </w:t>
      </w:r>
    </w:p>
    <w:p>
      <w:pPr>
        <w:pStyle w:val="TextBody"/>
        <w:bidi w:val="0"/>
        <w:spacing w:before="0" w:after="0"/>
        <w:jc w:val="left"/>
        <w:rPr>
          <w:spacing w:val="0"/>
        </w:rPr>
      </w:pPr>
      <w:r>
        <w:rPr>
          <w:spacing w:val="0"/>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Three Months Ended June 30, 2023</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(13,236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(1,757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(14,993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(2,660</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1,243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(1,417</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Three Months Ended June 30, 2022</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(3,815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(1,962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(5,777</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(6,477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(13,339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1,796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1,796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(4,681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(11,543</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(10,677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(17,320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Changes in accumulated other comprehensive loss for the six months ended June 30, 2023 and 2022 are as follows (in thousands): </w:t>
      </w:r>
    </w:p>
    <w:p>
      <w:pPr>
        <w:pStyle w:val="TextBody"/>
        <w:bidi w:val="0"/>
        <w:spacing w:before="0" w:after="0"/>
        <w:jc w:val="left"/>
        <w:rPr>
          <w:spacing w:val="0"/>
        </w:rPr>
      </w:pPr>
      <w:r>
        <w:rPr>
          <w:spacing w:val="0"/>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Six Months Ended June 30, 2023</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(1,510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(5,703</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1,846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1,846</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(4,193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(3,857</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Six Months Ended June 30, 2022</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Foreign</w:t>
            </w:r>
          </w:p>
          <w:p>
            <w:pPr>
              <w:pStyle w:val="TableContents"/>
              <w:bidi w:val="0"/>
              <w:spacing w:before="0" w:after="0"/>
              <w:jc w:val="center"/>
              <w:rPr/>
            </w:pPr>
            <w:r>
              <w:rPr/>
            </w:r>
          </w:p>
          <w:p>
            <w:pPr>
              <w:pStyle w:val="TableContents"/>
              <w:bidi w:val="0"/>
              <w:spacing w:before="0" w:after="0"/>
              <w:jc w:val="center"/>
              <w:rPr>
                <w:b/>
                <w:spacing w:val="0"/>
              </w:rPr>
            </w:pPr>
            <w:r>
              <w:rPr>
                <w:b/>
                <w:spacing w:val="0"/>
              </w:rPr>
              <w:t>currency</w:t>
            </w:r>
          </w:p>
          <w:p>
            <w:pPr>
              <w:pStyle w:val="TableContents"/>
              <w:bidi w:val="0"/>
              <w:spacing w:before="0" w:after="0"/>
              <w:jc w:val="center"/>
              <w:rPr/>
            </w:pPr>
            <w:r>
              <w:rPr/>
            </w:r>
          </w:p>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0"/>
              <w:jc w:val="center"/>
              <w:rPr>
                <w:b/>
                <w:spacing w:val="0"/>
              </w:rPr>
            </w:pPr>
            <w:r>
              <w:rPr>
                <w:b/>
                <w:spacing w:val="0"/>
              </w:rPr>
              <w:t>Derivative</w:t>
            </w:r>
          </w:p>
          <w:p>
            <w:pPr>
              <w:pStyle w:val="TableContents"/>
              <w:bidi w:val="0"/>
              <w:spacing w:before="0" w:after="0"/>
              <w:jc w:val="center"/>
              <w:rPr/>
            </w:pPr>
            <w:r>
              <w:rPr/>
            </w:r>
          </w:p>
          <w:p>
            <w:pPr>
              <w:pStyle w:val="TableContents"/>
              <w:bidi w:val="0"/>
              <w:spacing w:before="0" w:after="0"/>
              <w:jc w:val="center"/>
              <w:rPr>
                <w:b/>
                <w:spacing w:val="0"/>
              </w:rPr>
            </w:pPr>
            <w:r>
              <w:rPr>
                <w:b/>
                <w:spacing w:val="0"/>
              </w:rP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(1,460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(2,230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(9,907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(7,741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(17,648</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2,558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2,558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(9,907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(5,183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(15,090</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(10,677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(6,643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(17,320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z w:val="16"/>
        </w:rPr>
      </w:pPr>
      <w:r>
        <w:rPr>
          <w:sz w:val="16"/>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14. Stock Repurchases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Accelerated Stock Repurchase Program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December 21, 2021, the Board of Directors authorized the Company to repurchase up to $75,000 thousand of its outstanding common stock and the Company entered into an accelerated stock repurchase agreement </w:t>
      </w:r>
    </w:p>
    <w:p>
      <w:pPr>
        <w:pStyle w:val="TextBody"/>
        <w:bidi w:val="0"/>
        <w:spacing w:before="120" w:after="0"/>
        <w:jc w:val="left"/>
        <w:rPr>
          <w:rFonts w:ascii="Times New Roman;serif" w:hAnsi="Times New Roman;serif"/>
          <w:spacing w:val="0"/>
          <w:sz w:val="20"/>
        </w:rPr>
      </w:pPr>
      <w:r>
        <w:rPr>
          <w:rFonts w:ascii="Times New Roman;serif" w:hAnsi="Times New Roman;serif"/>
          <w:spacing w:val="0"/>
          <w:sz w:val="20"/>
        </w:rPr>
        <w:t xml:space="preserve">dated December 21, 2021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“ASR Agreement”) with JPMorgan Chase Bank, National Association (“JPM”) to repurchase an aggregate of $37,500 thousand of its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Pursuant to the terms of the ASR Agreement, the Company paid to JPM $37,500 thousand in cash and received an initial delivery of 994,695 shares of its common stock in the open market for an aggregate purchase price of $20,073 thousand and a price per share of $20.18 on December 22, 2021.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2021, the Company accounted for the remaining portion of the ASR Agreement as a forward contract indexed to its own common stock and recorded $17,427 thousand in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 xml:space="preserve">capital in stockholders’ equity in its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In March 2022, the previously announced repurchase of $37,500 thousand of the Company’s common stock was completed pursuant to the ASR Agreement, and as a result, the Company additionally received 1,031,576 shares of its common stock for an aggregate purchase price of $17,217 thousand at a price per share of $16.69, which was reclassified as treasury stock from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240" w:after="0"/>
        <w:jc w:val="left"/>
        <w:rPr>
          <w:rFonts w:ascii="Times New Roman" w:hAnsi="Times New Roman"/>
          <w:sz w:val="20"/>
        </w:rPr>
      </w:pPr>
      <w:r>
        <w:rPr>
          <w:rFonts w:ascii="Times New Roman" w:hAnsi="Times New Roman"/>
          <w:sz w:val="20"/>
        </w:rPr>
        <w:t>capital in stockholder’s equity in its consolidated balance sheets.</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Expanded Stock Repurchase Program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 August 31, 2022, the Board of Directors authorized an expansion of the Company’s previously announced stock repurchase program from $75,000 thousand to $87,500 thousand of its common stock. The remaining $50,000 thousand of the expanded $87,500 thousand program was</w:t>
      </w:r>
    </w:p>
    <w:p>
      <w:pPr>
        <w:pStyle w:val="TextBody"/>
        <w:bidi w:val="0"/>
        <w:spacing w:before="120" w:after="0"/>
        <w:jc w:val="left"/>
        <w:rPr>
          <w:spacing w:val="0"/>
        </w:rPr>
      </w:pPr>
      <w:r>
        <w:rPr>
          <w:spacing w:val="0"/>
        </w:rPr>
        <w: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expected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 be repurchased in the open market or through privately negotiated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June 2023, the Company completed the repurchase of its common stock </w:t>
      </w:r>
    </w:p>
    <w:p>
      <w:pPr>
        <w:pStyle w:val="TextBody"/>
        <w:bidi w:val="0"/>
        <w:spacing w:before="240" w:after="0"/>
        <w:jc w:val="left"/>
        <w:rPr>
          <w:rFonts w:ascii="Times New Roman;serif" w:hAnsi="Times New Roman;serif"/>
          <w:spacing w:val="0"/>
          <w:sz w:val="20"/>
        </w:rPr>
      </w:pPr>
      <w:r>
        <w:rPr>
          <w:rFonts w:ascii="Times New Roman;serif" w:hAnsi="Times New Roman;serif"/>
          <w:spacing w:val="0"/>
          <w:sz w:val="20"/>
        </w:rPr>
        <w:t xml:space="preserve">under its expanded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using the remaining $50,000 thousand </w:t>
      </w:r>
    </w:p>
    <w:p>
      <w:pPr>
        <w:pStyle w:val="TextBody"/>
        <w:bidi w:val="0"/>
        <w:spacing w:before="240" w:after="0"/>
        <w:jc w:val="left"/>
        <w:rPr>
          <w:rFonts w:ascii="Times New Roman;serif" w:hAnsi="Times New Roman;serif"/>
          <w:spacing w:val="0"/>
          <w:sz w:val="20"/>
        </w:rPr>
      </w:pPr>
      <w:r>
        <w:rPr>
          <w:rFonts w:ascii="Times New Roman;serif" w:hAnsi="Times New Roman;serif"/>
          <w:spacing w:val="0"/>
          <w:sz w:val="20"/>
        </w:rPr>
        <w:t>through open market purchase</w:t>
      </w:r>
    </w:p>
    <w:p>
      <w:pPr>
        <w:pStyle w:val="TextBody"/>
        <w:bidi w:val="0"/>
        <w:spacing w:before="240" w:after="0"/>
        <w:jc w:val="left"/>
        <w:rPr>
          <w:rFonts w:ascii="Times New Roman;serif" w:hAnsi="Times New Roman;serif"/>
          <w:spacing w:val="0"/>
          <w:sz w:val="20"/>
        </w:rPr>
      </w:pPr>
      <w:r>
        <w:rPr>
          <w:rFonts w:ascii="Times New Roman;serif" w:hAnsi="Times New Roman;serif"/>
          <w:spacing w:val="0"/>
          <w:sz w:val="20"/>
        </w:rPr>
        <w:t>s</w:t>
      </w:r>
    </w:p>
    <w:p>
      <w:pPr>
        <w:pStyle w:val="TextBody"/>
        <w:bidi w:val="0"/>
        <w:spacing w:before="240" w:after="0"/>
        <w:jc w:val="left"/>
        <w:rPr>
          <w:rFonts w:ascii="Times New Roman;serif" w:hAnsi="Times New Roman;serif"/>
          <w:spacing w:val="0"/>
          <w:sz w:val="20"/>
        </w:rPr>
      </w:pPr>
      <w:r>
        <w:rPr>
          <w:rFonts w:ascii="Times New Roman;serif" w:hAnsi="Times New Roman;serif"/>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From September 2022 to December 2022, the Company repurchased 1,235,650 shares of its common stock in the open market for an aggregate purchase price of $12,511 thousand and a price per share of $10.13 under the</w:t>
      </w:r>
    </w:p>
    <w:p>
      <w:pPr>
        <w:pStyle w:val="TextBody"/>
        <w:bidi w:val="0"/>
        <w:spacing w:before="240" w:after="0"/>
        <w:jc w:val="left"/>
        <w:rPr>
          <w:spacing w:val="0"/>
        </w:rPr>
      </w:pPr>
      <w:r>
        <w:rPr>
          <w:spacing w:val="0"/>
        </w:rPr>
        <w:t> </w:t>
      </w:r>
    </w:p>
    <w:p>
      <w:pPr>
        <w:pStyle w:val="TextBody"/>
        <w:bidi w:val="0"/>
        <w:spacing w:before="240" w:after="0"/>
        <w:jc w:val="left"/>
        <w:rPr>
          <w:rFonts w:ascii="Times New Roman;serif" w:hAnsi="Times New Roman;serif"/>
          <w:spacing w:val="0"/>
          <w:sz w:val="20"/>
        </w:rPr>
      </w:pPr>
      <w:r>
        <w:rPr>
          <w:rFonts w:ascii="Times New Roman;serif" w:hAnsi="Times New Roman;serif"/>
          <w:spacing w:val="0"/>
          <w:sz w:val="20"/>
        </w:rPr>
        <w:t xml:space="preserve">expanded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stock repurchase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During the first half of 2023, the Company repurchased 3,705,443 shares of its common stock in the open market for an aggregate purchase price of $37,429 thousand and a price per share of $10.10 under the </w:t>
      </w:r>
    </w:p>
    <w:p>
      <w:pPr>
        <w:pStyle w:val="TextBody"/>
        <w:bidi w:val="0"/>
        <w:spacing w:before="240" w:after="0"/>
        <w:jc w:val="left"/>
        <w:rPr>
          <w:rFonts w:ascii="Times New Roman;serif" w:hAnsi="Times New Roman;serif"/>
          <w:spacing w:val="0"/>
          <w:sz w:val="20"/>
        </w:rPr>
      </w:pPr>
      <w:r>
        <w:rPr>
          <w:rFonts w:ascii="Times New Roman;serif" w:hAnsi="Times New Roman;serif"/>
          <w:spacing w:val="0"/>
          <w:sz w:val="20"/>
        </w:rPr>
        <w:t xml:space="preserve">expanded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stock repurchase program.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1</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15. Earnings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illustrates the computation of basic and diluted earnings (loss) per common share for the three and six months ended June 30, 2023 and 2022: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225"/>
        <w:gridCol w:w="120"/>
        <w:gridCol w:w="140"/>
        <w:gridCol w:w="1100"/>
        <w:gridCol w:w="155"/>
        <w:gridCol w:w="120"/>
        <w:gridCol w:w="140"/>
        <w:gridCol w:w="1100"/>
        <w:gridCol w:w="155"/>
        <w:gridCol w:w="120"/>
        <w:gridCol w:w="140"/>
        <w:gridCol w:w="1100"/>
        <w:gridCol w:w="155"/>
        <w:gridCol w:w="120"/>
        <w:gridCol w:w="140"/>
        <w:gridCol w:w="1100"/>
        <w:gridCol w:w="75"/>
      </w:tblGrid>
      <w:tr>
        <w:trPr/>
        <w:tc>
          <w:tcPr>
            <w:tcW w:w="4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5" w:type="dxa"/>
            <w:gridSpan w:val="6"/>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5"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85"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75"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Basic earnings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(25,417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6,188</w:t>
            </w:r>
          </w:p>
        </w:tc>
        <w:tc>
          <w:tcPr>
            <w:tcW w:w="75"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44,897,278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45,248,293</w:t>
            </w:r>
          </w:p>
        </w:tc>
        <w:tc>
          <w:tcPr>
            <w:tcW w:w="75"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earnings (loss)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0.14</w:t>
            </w:r>
          </w:p>
        </w:tc>
        <w:tc>
          <w:tcPr>
            <w:tcW w:w="75"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Diluted earnings (loss) per share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(25,417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6,188</w:t>
            </w:r>
          </w:p>
        </w:tc>
        <w:tc>
          <w:tcPr>
            <w:tcW w:w="75"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44,897,278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45,248,293</w:t>
            </w:r>
          </w:p>
        </w:tc>
        <w:tc>
          <w:tcPr>
            <w:tcW w:w="75"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effect of dilutive equity awards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1,081,266</w:t>
            </w:r>
          </w:p>
        </w:tc>
        <w:tc>
          <w:tcPr>
            <w:tcW w:w="75" w:type="dxa"/>
            <w:tcBorders/>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44,897,278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46,329,559</w:t>
            </w:r>
          </w:p>
        </w:tc>
        <w:tc>
          <w:tcPr>
            <w:tcW w:w="75" w:type="dxa"/>
            <w:tcBorders/>
            <w:shd w:fill="CCEEFF" w:val="clear"/>
            <w:vAlign w:val="center"/>
          </w:tcPr>
          <w:p>
            <w:pPr>
              <w:pStyle w:val="TableContents"/>
              <w:bidi w:val="0"/>
              <w:spacing w:before="0" w:after="283"/>
              <w:jc w:val="left"/>
              <w:rPr/>
            </w:pPr>
            <w:r>
              <w:rPr/>
              <w:t> </w:t>
            </w:r>
          </w:p>
        </w:tc>
      </w:tr>
      <w:tr>
        <w:trPr/>
        <w:tc>
          <w:tcPr>
            <w:tcW w:w="4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Diluted earnings (loss) per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0.13</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Diluted earnings (loss) per share adjusts basic earnings (loss) per share for the potentially dilutive impact of stock options and restricted stock units. As the Company has reported loss for the three and six months ended June 30, 2023 and three months ended June 30, 2022, all potentially dilutive securities are antidilutive and accordingly not considered, therefore basic net loss per share equals diluted net loss per share.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outstanding instruments were excluded from the computation of diluted earnings (loss) per share, as they have an anti-dilutive effect on the calculation: </w:t>
      </w:r>
    </w:p>
    <w:p>
      <w:pPr>
        <w:pStyle w:val="TextBody"/>
        <w:bidi w:val="0"/>
        <w:spacing w:before="0" w:after="0"/>
        <w:jc w:val="left"/>
        <w:rPr>
          <w:spacing w:val="0"/>
        </w:rPr>
      </w:pPr>
      <w:r>
        <w:rPr>
          <w:spacing w:val="0"/>
        </w:rPr>
        <w:t> </w:t>
      </w:r>
    </w:p>
    <w:tbl>
      <w:tblPr>
        <w:tblW w:w="6579" w:type="dxa"/>
        <w:jc w:val="left"/>
        <w:tblInd w:w="0" w:type="dxa"/>
        <w:tblLayout w:type="fixed"/>
        <w:tblCellMar>
          <w:top w:w="0" w:type="dxa"/>
          <w:left w:w="0" w:type="dxa"/>
          <w:bottom w:w="0" w:type="dxa"/>
          <w:right w:w="0" w:type="dxa"/>
        </w:tblCellMar>
      </w:tblPr>
      <w:tblGrid>
        <w:gridCol w:w="1850"/>
        <w:gridCol w:w="120"/>
        <w:gridCol w:w="60"/>
        <w:gridCol w:w="980"/>
        <w:gridCol w:w="60"/>
        <w:gridCol w:w="120"/>
        <w:gridCol w:w="60"/>
        <w:gridCol w:w="980"/>
        <w:gridCol w:w="60"/>
        <w:gridCol w:w="120"/>
        <w:gridCol w:w="60"/>
        <w:gridCol w:w="980"/>
        <w:gridCol w:w="60"/>
        <w:gridCol w:w="120"/>
        <w:gridCol w:w="61"/>
        <w:gridCol w:w="813"/>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4" w:type="dxa"/>
            <w:gridSpan w:val="6"/>
            <w:tcBorders/>
            <w:vAlign w:val="center"/>
          </w:tcPr>
          <w:p>
            <w:pPr>
              <w:pStyle w:val="TableContents"/>
              <w:bidi w:val="0"/>
              <w:spacing w:before="0" w:after="0"/>
              <w:jc w:val="center"/>
              <w:rPr>
                <w:b/>
                <w:spacing w:val="0"/>
              </w:rPr>
            </w:pPr>
            <w:r>
              <w:rPr>
                <w:b/>
                <w:spacing w:val="0"/>
              </w:rPr>
              <w:t>Six Months Ended</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903,558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1,145,551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903,558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130,000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1,538,791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1,121,574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1,538,791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TextBody"/>
        <w:bidi w:val="0"/>
        <w:spacing w:before="0" w:after="0"/>
        <w:jc w:val="center"/>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16. Commitments and Contingencies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Advances to Suppliers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from time to time, may make advances in form of prepayments or deposits to suppliers, including external foundries, to meet its planned production. The Company recorded advances of $4,117 thousand and $6,605 thousand as other current assets as of June 30, 2023 and December 31, 2022, respectively.</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TextBody"/>
        <w:bidi w:val="0"/>
        <w:spacing w:before="0" w:after="0"/>
        <w:jc w:val="center"/>
        <w:rPr>
          <w:rFonts w:ascii="Times New Roman" w:hAnsi="Times New Roman"/>
          <w:spacing w:val="0"/>
          <w:sz w:val="20"/>
        </w:rPr>
      </w:pPr>
      <w:r>
        <w:rPr>
          <w:rFonts w:ascii="Times New Roman" w:hAnsi="Times New Roman"/>
          <w:spacing w:val="0"/>
          <w:sz w:val="20"/>
        </w:rPr>
        <w:t>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FORWARD LOOKING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Quarterly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our fiscal year ended December 31, 2022 filed on February 22, 2023 (“2022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2</w:t>
      </w:r>
    </w:p>
    <w:p>
      <w:pPr>
        <w:pStyle w:val="TextBody"/>
        <w:bidi w:val="0"/>
        <w:jc w:val="center"/>
        <w:rPr>
          <w:rFonts w:ascii="Times New Roman" w:hAnsi="Times New Roman"/>
          <w:spacing w:val="0"/>
          <w:sz w:val="20"/>
        </w:rPr>
      </w:pPr>
      <w:r>
        <w:rPr>
          <w:rFonts w:ascii="Times New Roman" w:hAnsi="Times New Roman"/>
          <w:spacing w:val="0"/>
          <w:sz w:val="20"/>
        </w:rPr>
        <w:t>1</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275" w:type="dxa"/>
        <w:jc w:val="left"/>
        <w:tblInd w:w="0" w:type="dxa"/>
        <w:tblLayout w:type="fixed"/>
        <w:tblCellMar>
          <w:top w:w="0" w:type="dxa"/>
          <w:left w:w="0" w:type="dxa"/>
          <w:bottom w:w="0" w:type="dxa"/>
          <w:right w:w="0" w:type="dxa"/>
        </w:tblCellMar>
      </w:tblPr>
      <w:tblGrid>
        <w:gridCol w:w="740"/>
        <w:gridCol w:w="7535"/>
      </w:tblGrid>
      <w:tr>
        <w:trPr/>
        <w:tc>
          <w:tcPr>
            <w:tcW w:w="740" w:type="dxa"/>
            <w:tcBorders/>
            <w:vAlign w:val="center"/>
          </w:tcPr>
          <w:p>
            <w:pPr>
              <w:pStyle w:val="TableContents"/>
              <w:bidi w:val="0"/>
              <w:spacing w:before="0" w:after="283"/>
              <w:jc w:val="left"/>
              <w:rPr>
                <w:b/>
              </w:rPr>
            </w:pPr>
            <w:bookmarkStart w:id="4" w:name="txb265059_9"/>
            <w:bookmarkEnd w:id="4"/>
            <w:r>
              <w:rPr>
                <w:b/>
              </w:rPr>
              <w:t>Item 2.</w:t>
            </w:r>
          </w:p>
        </w:tc>
        <w:tc>
          <w:tcPr>
            <w:tcW w:w="7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and analysis should be read in conjunction with the unaudited consolidated financial statements and the related notes included elsewhere in this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 </w:t>
      </w:r>
    </w:p>
    <w:p>
      <w:pPr>
        <w:pStyle w:val="TextBody"/>
        <w:bidi w:val="0"/>
        <w:spacing w:before="240" w:after="0"/>
        <w:jc w:val="left"/>
        <w:rPr>
          <w:rFonts w:ascii="Times New Roman" w:hAnsi="Times New Roman"/>
          <w:sz w:val="20"/>
        </w:rPr>
      </w:pPr>
      <w:r>
        <w:rPr>
          <w:rFonts w:ascii="Times New Roman" w:hAnsi="Times New Roman"/>
          <w:sz w:val="20"/>
        </w:rPr>
        <w:t xml:space="preserve">Our standard products business includes our Display Solutions and Power Solutions business lines. </w:t>
      </w:r>
    </w:p>
    <w:p>
      <w:pPr>
        <w:pStyle w:val="TextBody"/>
        <w:bidi w:val="0"/>
        <w:spacing w:before="240" w:after="0"/>
        <w:jc w:val="left"/>
        <w:rPr>
          <w:rFonts w:ascii="Times New Roman" w:hAnsi="Times New Roman"/>
          <w:sz w:val="20"/>
        </w:rPr>
      </w:pPr>
      <w:r>
        <w:rPr>
          <w:rFonts w:ascii="Times New Roman" w:hAnsi="Times New Roman"/>
          <w:sz w:val="20"/>
        </w:rPr>
        <w:t xml:space="preserve">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IT applications such as monitors, notebook PCs, tablet PC and TVs applied with liquid crystal display (LCD), organic light emitting diodes (OLED) and Micro light emitting diode (Micro LED) panel. Since 2007, we have designed and manufactured OLED display driver integrated circuit (IC) products. Our current portfolio of OLED solutions address a wide range of resolutions ranging from HD (High Definition) to UHD (Ultra High Definition) for a wide range of applications including smartphones, TVs, automotive and IT applications such as monitors, notebook PCs, tablet PCs as well as AR/VRs. </w:t>
      </w:r>
    </w:p>
    <w:p>
      <w:pPr>
        <w:pStyle w:val="TextBody"/>
        <w:bidi w:val="0"/>
        <w:spacing w:before="240" w:after="0"/>
        <w:jc w:val="left"/>
        <w:rPr>
          <w:rFonts w:ascii="Times New Roman" w:hAnsi="Times New Roman"/>
          <w:sz w:val="20"/>
        </w:rPr>
      </w:pPr>
      <w:r>
        <w:rPr>
          <w:rFonts w:ascii="Times New Roman" w:hAnsi="Times New Roman"/>
          <w:sz w:val="20"/>
        </w:rPr>
        <w:t xml:space="preserve">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e-bikes, solar inverters, LED lighting and motor drives.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12-inch foundries. Through a strategic cooperation with external 12-inch foundries, we are managing to ensure outsourcing wafers at competitive price and produce quality products. </w:t>
      </w:r>
    </w:p>
    <w:p>
      <w:pPr>
        <w:pStyle w:val="TextBody"/>
        <w:bidi w:val="0"/>
        <w:spacing w:before="240" w:after="0"/>
        <w:jc w:val="left"/>
        <w:rPr>
          <w:rFonts w:ascii="Times New Roman" w:hAnsi="Times New Roman"/>
          <w:sz w:val="20"/>
        </w:rPr>
      </w:pPr>
      <w:r>
        <w:rPr>
          <w:rFonts w:ascii="Times New Roman" w:hAnsi="Times New Roman"/>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z w:val="20"/>
        </w:rPr>
      </w:pPr>
      <w:r>
        <w:rPr>
          <w:rFonts w:ascii="Times New Roman" w:hAnsi="Times New Roman"/>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240" w:after="0"/>
        <w:jc w:val="left"/>
        <w:rPr>
          <w:rFonts w:ascii="Times New Roman" w:hAnsi="Times New Roman"/>
          <w:sz w:val="20"/>
        </w:rPr>
      </w:pPr>
      <w:r>
        <w:rPr>
          <w:rFonts w:ascii="Times New Roman" w:hAnsi="Times New Roman"/>
          <w:sz w:val="20"/>
        </w:rPr>
        <w:t xml:space="preserve">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z w:val="20"/>
        </w:rPr>
      </w:pPr>
      <w:r>
        <w:rPr>
          <w:rFonts w:ascii="Times New Roman" w:hAnsi="Times New Roman"/>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organic light emitting diodes (OLED).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in the case of facing with a worldwide shortage of foundry services. Although we are working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 </w:t>
      </w:r>
    </w:p>
    <w:p>
      <w:pPr>
        <w:pStyle w:val="TextBody"/>
        <w:bidi w:val="0"/>
        <w:spacing w:before="240" w:after="0"/>
        <w:jc w:val="left"/>
        <w:rPr>
          <w:rFonts w:ascii="Times New Roman" w:hAnsi="Times New Roman"/>
          <w:sz w:val="20"/>
        </w:rPr>
      </w:pPr>
      <w:r>
        <w:rPr>
          <w:rFonts w:ascii="Times New Roman" w:hAnsi="Times New Roman"/>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New 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19, 2023, our Board of Directors authorized a new $50 million stock buyback program. Purchases may be made in the open market or in privately negotiated transactions, depending upon market conditions and other factors. The actual number of shares purchased, and the timing of purchases, will be at our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Prior Expanded Stock Repurchase Program </w:t>
      </w:r>
    </w:p>
    <w:p>
      <w:pPr>
        <w:pStyle w:val="TextBody"/>
        <w:bidi w:val="0"/>
        <w:spacing w:before="120" w:after="0"/>
        <w:jc w:val="left"/>
        <w:rPr>
          <w:rFonts w:ascii="Times New Roman" w:hAnsi="Times New Roman"/>
          <w:sz w:val="20"/>
        </w:rPr>
      </w:pPr>
      <w:r>
        <w:rPr>
          <w:rFonts w:ascii="Times New Roman" w:hAnsi="Times New Roman"/>
          <w:sz w:val="20"/>
        </w:rPr>
        <w:t xml:space="preserve">On August 31, 2022, our Board of Directors authorized an expansion of the previously announced stock repurchase program from $75.0 million to $87.5 million of our common stock. We repurchased shares worth $37.5 million under the prior program through an accelerated stock repurchase agreement on December 21, 2021 with JPMorgan Chase Bank, National Association. The remaining $50.0 million of the expanded $87.5 million program was expected to be repurchased in the open market or through privately negotiated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June 2023, we completed the repurchase of our common stock under the prior expanded stock repurchase program using the remaining $50 million through open market purchases. </w:t>
      </w:r>
    </w:p>
    <w:p>
      <w:pPr>
        <w:pStyle w:val="TextBody"/>
        <w:bidi w:val="0"/>
        <w:spacing w:before="240" w:after="0"/>
        <w:jc w:val="left"/>
        <w:rPr>
          <w:rFonts w:ascii="Times New Roman" w:hAnsi="Times New Roman"/>
          <w:sz w:val="20"/>
        </w:rPr>
      </w:pPr>
      <w:r>
        <w:rPr>
          <w:rFonts w:ascii="Times New Roman" w:hAnsi="Times New Roman"/>
          <w:sz w:val="20"/>
        </w:rPr>
        <w:t xml:space="preserve">From September 2022 to December 2022, we repurchased 1,235,650 shares of our common stock in the open market for an aggregate purchase price of $12.5 million and a price per share of $10.13 under the prior expanded stock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half of 2023, we repurchased 3,705,443 shares of our common stock in the open market for an aggregate purchase price of $37.4 million and a price per share of $10.10 under the prior expanded stock repurchase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COVID-19 </w:t>
      </w:r>
    </w:p>
    <w:p>
      <w:pPr>
        <w:pStyle w:val="TextBody"/>
        <w:bidi w:val="0"/>
        <w:spacing w:before="120" w:after="0"/>
        <w:jc w:val="left"/>
        <w:rPr>
          <w:rFonts w:ascii="Times New Roman" w:hAnsi="Times New Roman"/>
          <w:sz w:val="20"/>
        </w:rPr>
      </w:pPr>
      <w:r>
        <w:rPr>
          <w:rFonts w:ascii="Times New Roman" w:hAnsi="Times New Roman"/>
          <w:sz w:val="20"/>
        </w:rPr>
        <w:t xml:space="preserve">Many of the restrictions and containment measures implemented to combat COVID-19 have since been lifted or scaled back, and we are not currently experiencing any significant impact to our business as a result of COVID-19. We will continue to monitor and evaluate the nature and scope of the impact of COVID-19 on our business in the event of a reemergence of the pandemic. </w:t>
      </w:r>
    </w:p>
    <w:p>
      <w:pPr>
        <w:pStyle w:val="TextBody"/>
        <w:bidi w:val="0"/>
        <w:spacing w:before="360" w:after="0"/>
        <w:jc w:val="left"/>
        <w:rPr>
          <w:rFonts w:ascii="Times New Roman" w:hAnsi="Times New Roman"/>
          <w:b/>
          <w:i/>
          <w:sz w:val="20"/>
        </w:rPr>
      </w:pPr>
      <w:r>
        <w:rPr>
          <w:rFonts w:ascii="Times New Roman" w:hAnsi="Times New Roman"/>
          <w:b/>
          <w:i/>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capacity constraints, inventory corrections, shifting customer and end-user demand, and fluctuations in currency rates, any one and all of which can cause volatility and unpredictability in the market.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the Bureau of Industry and Security brought into effect a series of new Foreign Direct Product (FDP) rules and various new controls on advanced computing items, significantly expanding the scope of items that are subject to export control under the U.S. Export Regulations. Based on our understanding of the current U.S. Export Regulations and related rules, we do not anticipate that they will have a material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Non-U.S. GAAP Measures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and (iv) early termination and other charges. EBITDA for the periods indicated is defined as net income (loss) before interest income, interest expense, income tax expense (benefit),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period-to-period core operating performance and to understand and assess the manner in which management analyzes operating performance.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use Adjusted EBITDA in a number of ways, including: </w:t>
      </w:r>
    </w:p>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planning purposes, including the preparation of our annual operating budget;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evaluate the effectiveness of our enterprise level business strategies;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communications with our Board of Directors concerning our consolidated financial performance;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or any other performance measure derived in accordance with U.S GAAP, or as an alternative to cash flows from operating activities as a measure of liquidity. A reconciliation of net income (loss) to Adjusted EBITDA is as follows: </w:t>
      </w:r>
    </w:p>
    <w:p>
      <w:pPr>
        <w:pStyle w:val="TextBody"/>
        <w:bidi w:val="0"/>
        <w:spacing w:before="0" w:after="0"/>
        <w:jc w:val="left"/>
        <w:rPr/>
      </w:pPr>
      <w:r>
        <w:rPr/>
        <w:t> </w:t>
      </w:r>
    </w:p>
    <w:tbl>
      <w:tblPr>
        <w:tblW w:w="9630" w:type="dxa"/>
        <w:jc w:val="left"/>
        <w:tblInd w:w="0" w:type="dxa"/>
        <w:tblLayout w:type="fixed"/>
        <w:tblCellMar>
          <w:top w:w="0" w:type="dxa"/>
          <w:left w:w="0" w:type="dxa"/>
          <w:bottom w:w="0" w:type="dxa"/>
          <w:right w:w="0" w:type="dxa"/>
        </w:tblCellMar>
      </w:tblPr>
      <w:tblGrid>
        <w:gridCol w:w="3215"/>
        <w:gridCol w:w="120"/>
        <w:gridCol w:w="385"/>
        <w:gridCol w:w="1090"/>
        <w:gridCol w:w="155"/>
        <w:gridCol w:w="120"/>
        <w:gridCol w:w="251"/>
        <w:gridCol w:w="924"/>
        <w:gridCol w:w="155"/>
        <w:gridCol w:w="120"/>
        <w:gridCol w:w="385"/>
        <w:gridCol w:w="1090"/>
        <w:gridCol w:w="155"/>
        <w:gridCol w:w="120"/>
        <w:gridCol w:w="283"/>
        <w:gridCol w:w="892"/>
        <w:gridCol w:w="170"/>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2022</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25" w:type="dxa"/>
            <w:gridSpan w:val="14"/>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0.6</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2.6</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7.6</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89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(26.2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15.2</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9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892"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3.6</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7.7</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single" w:sz="2" w:space="1" w:color="000000"/>
              </w:pBdr>
              <w:bidi w:val="0"/>
              <w:spacing w:before="0" w:after="0"/>
              <w:jc w:val="left"/>
              <w:rPr/>
            </w:pPr>
            <w:r>
              <w:rPr/>
              <w:t> </w:t>
            </w:r>
          </w:p>
        </w:tc>
        <w:tc>
          <w:tcPr>
            <w:tcW w:w="10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892"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924" w:type="dxa"/>
            <w:tcBorders/>
            <w:vAlign w:val="center"/>
          </w:tcPr>
          <w:p>
            <w:pPr>
              <w:pStyle w:val="TableContents"/>
              <w:bidi w:val="0"/>
              <w:spacing w:before="0" w:after="283"/>
              <w:jc w:val="right"/>
              <w:rPr/>
            </w:pPr>
            <w:r>
              <w:rPr/>
              <w:t>(11.5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27.3</w:t>
            </w:r>
          </w:p>
        </w:tc>
        <w:tc>
          <w:tcPr>
            <w:tcW w:w="17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pBdr>
                <w:top w:val="double" w:sz="6" w:space="1" w:color="000000"/>
              </w:pBdr>
              <w:bidi w:val="0"/>
              <w:spacing w:before="0" w:after="0"/>
              <w:jc w:val="left"/>
              <w:rPr/>
            </w:pPr>
            <w:r>
              <w:rPr/>
              <w:t> </w:t>
            </w:r>
          </w:p>
        </w:tc>
        <w:tc>
          <w:tcPr>
            <w:tcW w:w="10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892"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(d)</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2023, this adjustment eliminates the termination related charges of $8.4 million in connection with the 2023 Resignation Program that we offered to certain employees during the first quarter of 2023. For the three and six months ended June 30, 2023, this adjustment eliminates $0.8 million of one-time employee incentives. For the three and six months ended June 30, 2022, this adjustment eliminates $0.8 million of professional service fees and expenses incurred in connection with certain strategic evaluations.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our cash expenditures, or future requirements, for capital expenditures or contractual commitments;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from ongoing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Adjusted Operating Income (Loss) is not a measure defined in accordance with U.S. GAAP and should not be construed as an alternative to operating income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you should be aware that in the future we may incur expenses similar to the adjustments in this presentation. We define Adjusted Operating Income (Loss) for the periods indicated as operating income adjusted to exclude (i) equity-based compensation expense and (ii) early termination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operating income (loss) that we make in order to calculate Adjusted Operating Income (Loss) for the periods indicated: </w:t>
      </w:r>
    </w:p>
    <w:p>
      <w:pPr>
        <w:pStyle w:val="TextBody"/>
        <w:bidi w:val="0"/>
        <w:spacing w:before="0" w:after="0"/>
        <w:jc w:val="left"/>
        <w:rPr/>
      </w:pPr>
      <w:r>
        <w:rPr/>
        <w:t> </w:t>
      </w:r>
    </w:p>
    <w:tbl>
      <w:tblPr>
        <w:tblW w:w="9440" w:type="dxa"/>
        <w:jc w:val="left"/>
        <w:tblInd w:w="0" w:type="dxa"/>
        <w:tblLayout w:type="fixed"/>
        <w:tblCellMar>
          <w:top w:w="0" w:type="dxa"/>
          <w:left w:w="0" w:type="dxa"/>
          <w:bottom w:w="0" w:type="dxa"/>
          <w:right w:w="0" w:type="dxa"/>
        </w:tblCellMar>
      </w:tblPr>
      <w:tblGrid>
        <w:gridCol w:w="3215"/>
        <w:gridCol w:w="120"/>
        <w:gridCol w:w="315"/>
        <w:gridCol w:w="1160"/>
        <w:gridCol w:w="155"/>
        <w:gridCol w:w="120"/>
        <w:gridCol w:w="251"/>
        <w:gridCol w:w="924"/>
        <w:gridCol w:w="155"/>
        <w:gridCol w:w="120"/>
        <w:gridCol w:w="448"/>
        <w:gridCol w:w="1027"/>
        <w:gridCol w:w="60"/>
        <w:gridCol w:w="120"/>
        <w:gridCol w:w="283"/>
        <w:gridCol w:w="892"/>
        <w:gridCol w:w="75"/>
      </w:tblGrid>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2022</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30" w:type="dxa"/>
            <w:gridSpan w:val="14"/>
            <w:tcBorders/>
            <w:vAlign w:val="center"/>
          </w:tcPr>
          <w:p>
            <w:pPr>
              <w:pStyle w:val="TableContents"/>
              <w:bidi w:val="0"/>
              <w:spacing w:before="0" w:after="283"/>
              <w:jc w:val="center"/>
              <w:rPr>
                <w:b/>
              </w:rPr>
            </w:pPr>
            <w:r>
              <w:rPr>
                <w:b/>
              </w:rPr>
              <w:t>(Dollars in millions)</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(32.5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14.9</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1027"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charges(b)</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1027" w:type="dxa"/>
            <w:tcBorders/>
            <w:vAlign w:val="center"/>
          </w:tcPr>
          <w:p>
            <w:pPr>
              <w:pStyle w:val="TableContents"/>
              <w:bidi w:val="0"/>
              <w:spacing w:before="0" w:after="283"/>
              <w:jc w:val="right"/>
              <w:rPr/>
            </w:pPr>
            <w:r>
              <w:rPr/>
              <w:t>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0.8</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single" w:sz="2" w:space="1" w:color="000000"/>
              </w:pBdr>
              <w:bidi w:val="0"/>
              <w:spacing w:before="0" w:after="0"/>
              <w:jc w:val="left"/>
              <w:rPr/>
            </w:pPr>
            <w:r>
              <w:rPr/>
              <w:t> </w:t>
            </w:r>
          </w:p>
        </w:tc>
        <w:tc>
          <w:tcPr>
            <w:tcW w:w="116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single" w:sz="2" w:space="1" w:color="000000"/>
              </w:pBdr>
              <w:bidi w:val="0"/>
              <w:spacing w:before="0" w:after="0"/>
              <w:jc w:val="left"/>
              <w:rPr/>
            </w:pPr>
            <w:r>
              <w:rPr/>
              <w:t> </w:t>
            </w:r>
          </w:p>
        </w:tc>
        <w:tc>
          <w:tcPr>
            <w:tcW w:w="92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pBdr>
                <w:top w:val="single" w:sz="2" w:space="1" w:color="000000"/>
              </w:pBdr>
              <w:bidi w:val="0"/>
              <w:spacing w:before="0" w:after="0"/>
              <w:jc w:val="left"/>
              <w:rPr/>
            </w:pPr>
            <w:r>
              <w:rPr/>
              <w:t> </w:t>
            </w:r>
          </w:p>
        </w:tc>
        <w:tc>
          <w:tcPr>
            <w:tcW w:w="102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single" w:sz="2" w:space="1" w:color="000000"/>
              </w:pBdr>
              <w:bidi w:val="0"/>
              <w:spacing w:before="0" w:after="0"/>
              <w:jc w:val="left"/>
              <w:rPr/>
            </w:pPr>
            <w:r>
              <w:rPr/>
              <w:t> </w:t>
            </w:r>
          </w:p>
        </w:tc>
        <w:tc>
          <w:tcPr>
            <w:tcW w:w="89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Operating Income (Loss)</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924" w:type="dxa"/>
            <w:tcBorders/>
            <w:shd w:fill="CCEEFF" w:val="clear"/>
            <w:vAlign w:val="center"/>
          </w:tcPr>
          <w:p>
            <w:pPr>
              <w:pStyle w:val="TableContents"/>
              <w:bidi w:val="0"/>
              <w:spacing w:before="0" w:after="283"/>
              <w:jc w:val="right"/>
              <w:rPr/>
            </w:pPr>
            <w:r>
              <w:rPr/>
              <w:t>(20.0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w:t>
            </w:r>
          </w:p>
        </w:tc>
        <w:tc>
          <w:tcPr>
            <w:tcW w:w="1027"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19.3</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pBdr>
                <w:top w:val="double" w:sz="6" w:space="1" w:color="000000"/>
              </w:pBdr>
              <w:bidi w:val="0"/>
              <w:spacing w:before="0" w:after="0"/>
              <w:jc w:val="left"/>
              <w:rPr/>
            </w:pPr>
            <w:r>
              <w:rPr/>
              <w:t> </w:t>
            </w:r>
          </w:p>
        </w:tc>
        <w:tc>
          <w:tcPr>
            <w:tcW w:w="116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pBdr>
                <w:top w:val="double" w:sz="6" w:space="1" w:color="000000"/>
              </w:pBdr>
              <w:bidi w:val="0"/>
              <w:spacing w:before="0" w:after="0"/>
              <w:jc w:val="left"/>
              <w:rPr/>
            </w:pPr>
            <w:r>
              <w:rPr/>
              <w:t> </w:t>
            </w:r>
          </w:p>
        </w:tc>
        <w:tc>
          <w:tcPr>
            <w:tcW w:w="92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8" w:type="dxa"/>
            <w:tcBorders/>
            <w:vAlign w:val="center"/>
          </w:tcPr>
          <w:p>
            <w:pPr>
              <w:pStyle w:val="TableContents"/>
              <w:pBdr>
                <w:top w:val="double" w:sz="6" w:space="1" w:color="000000"/>
              </w:pBdr>
              <w:bidi w:val="0"/>
              <w:spacing w:before="0" w:after="0"/>
              <w:jc w:val="left"/>
              <w:rPr/>
            </w:pPr>
            <w:r>
              <w:rPr/>
              <w:t> </w:t>
            </w:r>
          </w:p>
        </w:tc>
        <w:tc>
          <w:tcPr>
            <w:tcW w:w="102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pBdr>
                <w:top w:val="double" w:sz="6" w:space="1" w:color="000000"/>
              </w:pBdr>
              <w:bidi w:val="0"/>
              <w:spacing w:before="0" w:after="0"/>
              <w:jc w:val="left"/>
              <w:rPr/>
            </w:pPr>
            <w:r>
              <w:rPr/>
              <w:t> </w:t>
            </w:r>
          </w:p>
        </w:tc>
        <w:tc>
          <w:tcPr>
            <w:tcW w:w="89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2023, this adjustment eliminates the termination related charges of $8.4 million in connection with the 2023 Resignation Program that we offered to certain employees during the first quarter of 2023. For the three and six months ended June 30, 2023, this adjustment eliminates $0.8 million of one-time employee incentives. For the three and six months ended June 30, 2022, this adjustment eliminates $0.8 million of professional service fees and expenses incurred in connection with certain strategic evaluations.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net income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income (loss), adjusted to exclude (i) equity-based compensation expense, (ii) foreign currency loss (gain), net, (iii) derivative valuation loss (gain), net, (iv) early termination and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adjustments to net income (loss) that we make in order to calculate Adjusted Net Income (Loss) (including on a per share basis)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60"/>
        <w:gridCol w:w="120"/>
        <w:gridCol w:w="166"/>
        <w:gridCol w:w="1309"/>
        <w:gridCol w:w="155"/>
        <w:gridCol w:w="120"/>
        <w:gridCol w:w="140"/>
        <w:gridCol w:w="1100"/>
        <w:gridCol w:w="155"/>
        <w:gridCol w:w="120"/>
        <w:gridCol w:w="166"/>
        <w:gridCol w:w="1309"/>
        <w:gridCol w:w="155"/>
        <w:gridCol w:w="120"/>
        <w:gridCol w:w="140"/>
        <w:gridCol w:w="1100"/>
        <w:gridCol w:w="170"/>
      </w:tblGrid>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Three Months</w:t>
            </w:r>
            <w:r>
              <w:rPr/>
              <w:br/>
            </w:r>
            <w:r>
              <w:rPr>
                <w:b/>
              </w:rPr>
              <w:t>Ended</w:t>
            </w:r>
            <w:r>
              <w:rPr/>
              <w:br/>
            </w:r>
            <w:r>
              <w:rPr>
                <w:b/>
              </w:rPr>
              <w:t>June 30,</w:t>
            </w:r>
            <w:r>
              <w:rPr/>
              <w:br/>
            </w: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b/>
              </w:rPr>
              <w:t>Six Months</w:t>
            </w:r>
            <w:r>
              <w:rPr/>
              <w:br/>
            </w:r>
            <w:r>
              <w:rPr>
                <w:b/>
              </w:rPr>
              <w:t>Ended</w:t>
            </w:r>
            <w:r>
              <w:rPr/>
              <w:br/>
            </w:r>
            <w:r>
              <w:rPr>
                <w:b/>
              </w:rPr>
              <w:t>June 30,</w:t>
            </w:r>
            <w:r>
              <w:rPr/>
              <w:br/>
            </w:r>
            <w:r>
              <w:rPr>
                <w:b/>
              </w:rPr>
              <w:t>2022</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55" w:type="dxa"/>
            <w:gridSpan w:val="14"/>
            <w:tcBorders/>
            <w:vAlign w:val="center"/>
          </w:tcPr>
          <w:p>
            <w:pPr>
              <w:pStyle w:val="TableContents"/>
              <w:bidi w:val="0"/>
              <w:spacing w:before="0" w:after="283"/>
              <w:jc w:val="center"/>
              <w:rPr>
                <w:b/>
              </w:rPr>
            </w:pPr>
            <w:r>
              <w:rPr>
                <w:b/>
              </w:rPr>
              <w:t>(Dollars in millions, except per share data)</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6.2</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(gain),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single" w:sz="2" w:space="1" w:color="000000"/>
              </w:pBdr>
              <w:bidi w:val="0"/>
              <w:spacing w:before="0" w:after="0"/>
              <w:jc w:val="left"/>
              <w:rPr/>
            </w:pPr>
            <w:r>
              <w:rPr/>
              <w:t> </w:t>
            </w:r>
          </w:p>
        </w:tc>
        <w:tc>
          <w:tcPr>
            <w:tcW w:w="130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Net Income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23.5</w:t>
            </w:r>
          </w:p>
        </w:tc>
        <w:tc>
          <w:tcPr>
            <w:tcW w:w="170" w:type="dxa"/>
            <w:tcBorders/>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pBdr>
                <w:top w:val="double" w:sz="6" w:space="1" w:color="000000"/>
              </w:pBdr>
              <w:bidi w:val="0"/>
              <w:spacing w:before="0" w:after="0"/>
              <w:jc w:val="left"/>
              <w:rPr/>
            </w:pPr>
            <w:r>
              <w:rPr/>
              <w:t> </w:t>
            </w:r>
          </w:p>
        </w:tc>
        <w:tc>
          <w:tcPr>
            <w:tcW w:w="130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Reported earnings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0.14</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Reported earnings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0.13</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44,897,278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45,248,293</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41,741,310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42,561,514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44,897,278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46,329,559</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Adjusted earnings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0.52</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earnings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0.51</w:t>
            </w:r>
          </w:p>
        </w:tc>
        <w:tc>
          <w:tcPr>
            <w:tcW w:w="170" w:type="dxa"/>
            <w:tcBorders/>
            <w:vAlign w:val="center"/>
          </w:tcPr>
          <w:p>
            <w:pPr>
              <w:pStyle w:val="TableContents"/>
              <w:bidi w:val="0"/>
              <w:spacing w:before="0" w:after="283"/>
              <w:jc w:val="left"/>
              <w:rPr/>
            </w:pPr>
            <w:r>
              <w:rPr/>
              <w:t> </w:t>
            </w:r>
          </w:p>
        </w:tc>
      </w:tr>
      <w:tr>
        <w:trPr/>
        <w:tc>
          <w:tcPr>
            <w:tcW w:w="36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41,741,310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42,561,514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44,897,278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45,248,293</w:t>
            </w:r>
          </w:p>
        </w:tc>
        <w:tc>
          <w:tcPr>
            <w:tcW w:w="170" w:type="dxa"/>
            <w:tcBorders/>
            <w:shd w:fill="CCEEFF" w:val="clear"/>
            <w:vAlign w:val="center"/>
          </w:tcPr>
          <w:p>
            <w:pPr>
              <w:pStyle w:val="TableContents"/>
              <w:bidi w:val="0"/>
              <w:spacing w:before="0" w:after="283"/>
              <w:jc w:val="left"/>
              <w:rPr/>
            </w:pPr>
            <w:r>
              <w:rPr/>
              <w:t> </w:t>
            </w:r>
          </w:p>
        </w:tc>
      </w:tr>
      <w:tr>
        <w:trPr/>
        <w:tc>
          <w:tcPr>
            <w:tcW w:w="3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41,741,310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42,561,514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45,937,515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46,329,559</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pPr>
            <w:r>
              <w:rPr/>
              <w:t>(a)</w:t>
            </w:r>
          </w:p>
        </w:tc>
        <w:tc>
          <w:tcPr>
            <w:tcW w:w="99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(b)</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(d)</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six months ended June 30, 2023, this adjustment eliminates the termination related charges of $8.4 million in connection with the 2023 Resignation Program that we offered to certain employees during the first quarter of 2023. For the three and six months ended June 30, 2023, this adjustment eliminates $0.8 million of one-time employee incentives. For the three and six months ended June 30, 2022, this adjustment eliminates $0.8 million of professional service fees and expenses incurred in connection with certain strategic evaluations. As this adjustment meaningfully impacted our operating results and are not expected to represent an ongoing operating expense or income to us, we believe our operating performance results are more usefully compared if this adjustment is excluded.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(e)</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and six months ended June 30, 2023 and 2022, income tax effect on non-GAAP adjustments were calculated by calculating the tax expense (benefit) of each jurisdiction with or without the non-GAAP adjustments. For the three and six months ended June 30, 2023, this adjustment eliminates the income tax effect on non-GAAP adjustments of negative $0.2 million and negative $2.2 million, respectively, which mainly related to our Korean subsidiary. For the three and six months ended June 30, 2022, this adjustment eliminates the income tax effect on non-GAAP adjustments of $4.3 million and $5.2 million, respectively, which mainly related to our Korean subsidiary.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believe that all adjustments to net income (loss) used to calculate Adjusted Net Income (Loss) was applied consistently to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changes in, or cash requirements for, our working capital needs;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does not reflect the costs of holding certain assets and liabilities in foreign currencies;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Results of Operations </w:t>
      </w:r>
    </w:p>
    <w:p>
      <w:pPr>
        <w:pStyle w:val="TextBody"/>
        <w:bidi w:val="0"/>
        <w:spacing w:before="120" w:after="0"/>
        <w:jc w:val="left"/>
        <w:rPr>
          <w:rFonts w:ascii="Times New Roman" w:hAnsi="Times New Roman"/>
          <w:sz w:val="20"/>
        </w:rPr>
      </w:pPr>
      <w:r>
        <w:rPr>
          <w:rFonts w:ascii="Times New Roman" w:hAnsi="Times New Roman"/>
          <w:b/>
          <w:i/>
          <w:sz w:val="20"/>
        </w:rPr>
        <w:t>Net</w:t>
      </w:r>
      <w:r>
        <w:rPr>
          <w:rFonts w:ascii="Times New Roman" w:hAnsi="Times New Roman"/>
          <w:sz w:val="20"/>
        </w:rPr>
        <w:t xml:space="preserve"> </w:t>
      </w:r>
      <w:r>
        <w:rPr>
          <w:rFonts w:ascii="Times New Roman" w:hAnsi="Times New Roman"/>
          <w:b/>
          <w:i/>
          <w:sz w:val="20"/>
        </w:rPr>
        <w:t>Sales.</w:t>
      </w:r>
      <w:r>
        <w:rPr>
          <w:rFonts w:ascii="Times New Roman" w:hAnsi="Times New Roman"/>
          <w:sz w:val="20"/>
        </w:rPr>
        <w:t xml:space="preserve"> We derive substantially all of our sales (net of sales returns and allowances) from our standard products business. We outsource 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when a customer obtains control of the product, which is generally upon product shipment, delivery at the customer’s location or upon customer acceptance, depending on the terms of the arrangement. For the six months ended June 30, 2023 and 2022, we sold products to 138 and 158 customers, respectively, and our net sales to our ten largest customers represented 70% and 72% of our net sales—standard products business,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Transitional Fab 3 Foundry Services up to September 1, 2023 at an agreed upon cost plus a mark-up. </w:t>
      </w:r>
    </w:p>
    <w:p>
      <w:pPr>
        <w:pStyle w:val="TextBody"/>
        <w:bidi w:val="0"/>
        <w:spacing w:before="240" w:after="0"/>
        <w:jc w:val="left"/>
        <w:rPr>
          <w:rFonts w:ascii="Times New Roman" w:hAnsi="Times New Roman"/>
          <w:sz w:val="20"/>
        </w:rPr>
      </w:pPr>
      <w:r>
        <w:rPr>
          <w:rFonts w:ascii="Times New Roman" w:hAnsi="Times New Roman"/>
          <w:b/>
          <w:i/>
          <w:sz w:val="20"/>
        </w:rPr>
        <w:t>Gross Profit.</w:t>
      </w:r>
      <w:r>
        <w:rPr>
          <w:rFonts w:ascii="Times New Roman" w:hAnsi="Times New Roman"/>
          <w:sz w:val="20"/>
        </w:rPr>
        <w:t xml:space="preserve"> 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sz w:val="20"/>
        </w:rPr>
      </w:pPr>
      <w:r>
        <w:rPr>
          <w:rFonts w:ascii="Times New Roman" w:hAnsi="Times New Roman"/>
          <w:b/>
          <w:i/>
          <w:sz w:val="20"/>
        </w:rPr>
        <w:t>Average</w:t>
      </w:r>
      <w:r>
        <w:rPr>
          <w:rFonts w:ascii="Times New Roman" w:hAnsi="Times New Roman"/>
          <w:sz w:val="20"/>
        </w:rPr>
        <w:t xml:space="preserve"> </w:t>
      </w: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Prices.</w:t>
      </w:r>
      <w:r>
        <w:rPr>
          <w:rFonts w:ascii="Times New Roman" w:hAnsi="Times New Roman"/>
          <w:sz w:val="20"/>
        </w:rPr>
        <w:t xml:space="preserve"> 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sz w:val="20"/>
        </w:rPr>
      </w:pPr>
      <w:r>
        <w:rPr>
          <w:rFonts w:ascii="Times New Roman" w:hAnsi="Times New Roman"/>
          <w:b/>
          <w:i/>
          <w:sz w:val="20"/>
        </w:rPr>
        <w:t>Material Costs.</w:t>
      </w:r>
      <w:r>
        <w:rPr>
          <w:rFonts w:ascii="Times New Roman" w:hAnsi="Times New Roman"/>
          <w:sz w:val="20"/>
        </w:rPr>
        <w:t xml:space="preserve"> 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sz w:val="20"/>
        </w:rPr>
      </w:pPr>
      <w:r>
        <w:rPr>
          <w:rFonts w:ascii="Times New Roman" w:hAnsi="Times New Roman"/>
          <w:b/>
          <w:i/>
          <w:sz w:val="20"/>
        </w:rPr>
        <w:t>Labor</w:t>
      </w:r>
      <w:r>
        <w:rPr>
          <w:rFonts w:ascii="Times New Roman" w:hAnsi="Times New Roman"/>
          <w:sz w:val="20"/>
        </w:rPr>
        <w:t xml:space="preserve"> </w:t>
      </w:r>
      <w:r>
        <w:rPr>
          <w:rFonts w:ascii="Times New Roman" w:hAnsi="Times New Roman"/>
          <w:b/>
          <w:i/>
          <w:sz w:val="20"/>
        </w:rPr>
        <w:t>Costs.</w:t>
      </w:r>
      <w:r>
        <w:rPr>
          <w:rFonts w:ascii="Times New Roman" w:hAnsi="Times New Roman"/>
          <w:sz w:val="20"/>
        </w:rPr>
        <w:t xml:space="preserve"> 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June 30, 2023, approximately 97% of our employees were eligible for severance benefits. </w:t>
      </w:r>
    </w:p>
    <w:p>
      <w:pPr>
        <w:pStyle w:val="TextBody"/>
        <w:bidi w:val="0"/>
        <w:spacing w:before="240" w:after="0"/>
        <w:jc w:val="left"/>
        <w:rPr>
          <w:rFonts w:ascii="Times New Roman" w:hAnsi="Times New Roman"/>
          <w:sz w:val="20"/>
        </w:rPr>
      </w:pPr>
      <w:r>
        <w:rPr>
          <w:rFonts w:ascii="Times New Roman" w:hAnsi="Times New Roman"/>
          <w:b/>
          <w:i/>
          <w:sz w:val="20"/>
        </w:rPr>
        <w:t>Depreciation Expense.</w:t>
      </w:r>
      <w:r>
        <w:rPr>
          <w:rFonts w:ascii="Times New Roman" w:hAnsi="Times New Roman"/>
          <w:sz w:val="20"/>
        </w:rPr>
        <w:t xml:space="preserve"> 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30-40 years on buildings to 3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 </w:t>
      </w:r>
    </w:p>
    <w:p>
      <w:pPr>
        <w:pStyle w:val="TextBody"/>
        <w:bidi w:val="0"/>
        <w:spacing w:before="24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business are material and design-related costs for OLED display driver IC product development involving 28-nanometer 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Impact of Foreign Currency Exchange Rates on Reported Results of Operations.</w:t>
      </w:r>
      <w:r>
        <w:rPr>
          <w:rFonts w:ascii="Times New Roman" w:hAnsi="Times New Roman"/>
          <w:sz w:val="20"/>
        </w:rPr>
        <w:t xml:space="preserve"> Historically, a portion of our revenues and cost of sales and 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June 30, 2023, the outstanding intercompany loan balance including accrued interest between our Korean subsidiary and our Dutch subsidiary was $293.1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sz w:val="20"/>
        </w:rPr>
      </w:pPr>
      <w:r>
        <w:rPr>
          <w:rFonts w:ascii="Times New Roman" w:hAnsi="Times New Roman"/>
          <w:b/>
          <w:i/>
          <w:sz w:val="20"/>
        </w:rPr>
        <w:t>Foreign Currency Gain or Loss.</w:t>
      </w:r>
      <w:r>
        <w:rPr>
          <w:rFonts w:ascii="Times New Roman" w:hAnsi="Times New Roman"/>
          <w:sz w:val="20"/>
        </w:rPr>
        <w:t xml:space="preserve"> Foreign currency translation gains or losses on transactions by us or our subsidiaries in a currency other than our 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sz w:val="20"/>
        </w:rPr>
      </w:pPr>
      <w:r>
        <w:rPr>
          <w:rFonts w:ascii="Times New Roman" w:hAnsi="Times New Roman"/>
          <w:b/>
          <w:i/>
          <w:sz w:val="20"/>
        </w:rPr>
        <w:t>Income Taxes.</w:t>
      </w:r>
      <w:r>
        <w:rPr>
          <w:rFonts w:ascii="Times New Roman" w:hAnsi="Times New Roman"/>
          <w:sz w:val="20"/>
        </w:rPr>
        <w:t xml:space="preserve"> 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sz w:val="20"/>
        </w:rPr>
      </w:pPr>
      <w:r>
        <w:rPr>
          <w:rFonts w:ascii="Times New Roman" w:hAnsi="Times New Roman"/>
          <w:b/>
          <w:i/>
          <w:sz w:val="20"/>
        </w:rPr>
        <w:t>Capital</w:t>
      </w:r>
      <w:r>
        <w:rPr>
          <w:rFonts w:ascii="Times New Roman" w:hAnsi="Times New Roman"/>
          <w:sz w:val="20"/>
        </w:rPr>
        <w:t xml:space="preserve"> </w:t>
      </w:r>
      <w:r>
        <w:rPr>
          <w:rFonts w:ascii="Times New Roman" w:hAnsi="Times New Roman"/>
          <w:b/>
          <w:i/>
          <w:sz w:val="20"/>
        </w:rPr>
        <w:t>Expenditures.</w:t>
      </w:r>
      <w:r>
        <w:rPr>
          <w:rFonts w:ascii="Times New Roman" w:hAnsi="Times New Roman"/>
          <w:sz w:val="20"/>
        </w:rPr>
        <w:t xml:space="preserve"> 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240" w:after="0"/>
        <w:jc w:val="left"/>
        <w:rPr>
          <w:rFonts w:ascii="Times New Roman" w:hAnsi="Times New Roman"/>
          <w:sz w:val="20"/>
        </w:rPr>
      </w:pPr>
      <w:r>
        <w:rPr>
          <w:rFonts w:ascii="Times New Roman" w:hAnsi="Times New Roman"/>
          <w:b/>
          <w:i/>
          <w:sz w:val="20"/>
        </w:rPr>
        <w:t>Inventories.</w:t>
      </w:r>
      <w:r>
        <w:rPr>
          <w:rFonts w:ascii="Times New Roman" w:hAnsi="Times New Roman"/>
          <w:sz w:val="20"/>
        </w:rPr>
        <w:t xml:space="preserve"> 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Three Months Ended June 30,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three months ended June 30, 2023 and 2022: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65"/>
        <w:gridCol w:w="120"/>
        <w:gridCol w:w="140"/>
        <w:gridCol w:w="1080"/>
        <w:gridCol w:w="155"/>
        <w:gridCol w:w="60"/>
        <w:gridCol w:w="83"/>
        <w:gridCol w:w="1512"/>
        <w:gridCol w:w="275"/>
        <w:gridCol w:w="60"/>
        <w:gridCol w:w="140"/>
        <w:gridCol w:w="1080"/>
        <w:gridCol w:w="155"/>
        <w:gridCol w:w="60"/>
        <w:gridCol w:w="83"/>
        <w:gridCol w:w="1512"/>
        <w:gridCol w:w="275"/>
        <w:gridCol w:w="60"/>
        <w:gridCol w:w="140"/>
        <w:gridCol w:w="1080"/>
        <w:gridCol w:w="170"/>
      </w:tblGrid>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1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Three Months Ended</w:t>
            </w:r>
            <w:r>
              <w:rPr/>
              <w:br/>
            </w:r>
            <w:r>
              <w:rPr>
                <w:rFonts w:ascii="Times New Roman" w:hAnsi="Times New Roman"/>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Three Months Ended</w:t>
            </w:r>
            <w:r>
              <w:rPr/>
              <w:br/>
            </w:r>
            <w:r>
              <w:rPr>
                <w:rFonts w:ascii="Times New Roman" w:hAnsi="Times New Roman"/>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Change</w:t>
            </w:r>
            <w:r>
              <w:rPr/>
              <w:br/>
            </w:r>
            <w:r>
              <w:rPr>
                <w:rFonts w:ascii="Times New Roman" w:hAnsi="Times New Roman"/>
                <w:b/>
              </w:rPr>
              <w:t>Amount</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50" w:type="dxa"/>
            <w:gridSpan w:val="18"/>
            <w:tcBorders/>
            <w:vAlign w:val="center"/>
          </w:tcPr>
          <w:p>
            <w:pPr>
              <w:pStyle w:val="TableContents"/>
              <w:bidi w:val="0"/>
              <w:spacing w:before="0" w:after="283"/>
              <w:jc w:val="center"/>
              <w:rPr>
                <w:rFonts w:ascii="Times New Roman" w:hAnsi="Times New Roman"/>
                <w:b/>
              </w:rPr>
            </w:pPr>
            <w:r>
              <w:rPr>
                <w:rFonts w:ascii="Times New Roman" w:hAnsi="Times New Roman"/>
                <w:b/>
              </w:rPr>
              <w:t>(Dollars in millions)</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51.4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84.3</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91.3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90.0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(39.9</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(0.5</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101.4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(40.4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37.9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62.1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62.8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(25.8</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0.8</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47.4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77.8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72.4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71.4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(25.0</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22.2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28.6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(15.4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(0.6</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(2.2</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charges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0.0</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(10.7</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(17.5</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(12.7</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1.6</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(0.2</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(0.3</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(0.5</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(0.5</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0.3</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(7.0</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(6.9</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8.2</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(0.2</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(6.2</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(6.2</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10.0</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(6.9</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(11.4</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(4.2</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(4.2</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(2.7</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(3.0</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(4.9</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(0.9</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(0.9</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(2.1</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(3.9</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(6.5</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(3.3</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right"/>
              <w:rPr>
                <w:rFonts w:ascii="Times New Roman" w:hAnsi="Times New Roman"/>
              </w:rPr>
            </w:pPr>
            <w:r>
              <w:rPr>
                <w:rFonts w:ascii="Times New Roman" w:hAnsi="Times New Roman"/>
              </w:rPr>
              <w:t>(3.3</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80" w:type="dxa"/>
            <w:tcBorders/>
            <w:vAlign w:val="center"/>
          </w:tcPr>
          <w:p>
            <w:pPr>
              <w:pStyle w:val="TableContents"/>
              <w:bidi w:val="0"/>
              <w:spacing w:before="0" w:after="283"/>
              <w:jc w:val="right"/>
              <w:rPr>
                <w:rFonts w:ascii="Times New Roman" w:hAnsi="Times New Roman"/>
              </w:rPr>
            </w:pPr>
            <w:r>
              <w:rPr>
                <w:rFonts w:ascii="Times New Roman" w:hAnsi="Times New Roman"/>
              </w:rPr>
              <w:t>(0.6</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1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8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5"/>
        <w:gridCol w:w="120"/>
        <w:gridCol w:w="140"/>
        <w:gridCol w:w="1020"/>
        <w:gridCol w:w="60"/>
        <w:gridCol w:w="120"/>
        <w:gridCol w:w="88"/>
        <w:gridCol w:w="1507"/>
        <w:gridCol w:w="275"/>
        <w:gridCol w:w="60"/>
        <w:gridCol w:w="140"/>
        <w:gridCol w:w="1020"/>
        <w:gridCol w:w="60"/>
        <w:gridCol w:w="120"/>
        <w:gridCol w:w="88"/>
        <w:gridCol w:w="1507"/>
        <w:gridCol w:w="275"/>
        <w:gridCol w:w="60"/>
        <w:gridCol w:w="140"/>
        <w:gridCol w:w="1020"/>
        <w:gridCol w:w="170"/>
      </w:tblGrid>
      <w:tr>
        <w:trPr/>
        <w:tc>
          <w:tcPr>
            <w:tcW w:w="2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Three Months Ended</w:t>
            </w:r>
            <w:r>
              <w:rPr/>
              <w:br/>
            </w:r>
            <w:r>
              <w:rPr>
                <w:rFonts w:ascii="Times New Roman" w:hAnsi="Times New Roman"/>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Three Months Ended</w:t>
            </w:r>
            <w:r>
              <w:rPr/>
              <w:br/>
            </w:r>
            <w:r>
              <w:rPr>
                <w:rFonts w:ascii="Times New Roman" w:hAnsi="Times New Roman"/>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Change</w:t>
            </w:r>
            <w:r>
              <w:rPr/>
              <w:br/>
            </w:r>
            <w:r>
              <w:rPr>
                <w:rFonts w:ascii="Times New Roman" w:hAnsi="Times New Roman"/>
                <w:b/>
              </w:rPr>
              <w:t>Amount</w:t>
            </w:r>
          </w:p>
        </w:tc>
        <w:tc>
          <w:tcPr>
            <w:tcW w:w="170"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00" w:type="dxa"/>
            <w:gridSpan w:val="18"/>
            <w:tcBorders/>
            <w:vAlign w:val="center"/>
          </w:tcPr>
          <w:p>
            <w:pPr>
              <w:pStyle w:val="TableContents"/>
              <w:bidi w:val="0"/>
              <w:spacing w:before="0" w:after="283"/>
              <w:jc w:val="center"/>
              <w:rPr>
                <w:rFonts w:ascii="Times New Roman" w:hAnsi="Times New Roman"/>
                <w:b/>
              </w:rPr>
            </w:pPr>
            <w:r>
              <w:rPr>
                <w:rFonts w:ascii="Times New Roman" w:hAnsi="Times New Roman"/>
                <w:b/>
              </w:rPr>
              <w:t>(Dollars in millions)</w:t>
            </w:r>
          </w:p>
        </w:tc>
        <w:tc>
          <w:tcPr>
            <w:tcW w:w="170"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15.8</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28.0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(18.7</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68.4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62.0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(21.2</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pBdr>
                <w:top w:val="single" w:sz="2" w:space="1" w:color="000000"/>
              </w:pBdr>
              <w:bidi w:val="0"/>
              <w:spacing w:before="0" w:after="0"/>
              <w:jc w:val="left"/>
              <w:rPr/>
            </w:pPr>
            <w:r>
              <w:rPr/>
              <w:t> </w:t>
            </w:r>
          </w:p>
        </w:tc>
        <w:tc>
          <w:tcPr>
            <w:tcW w:w="150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pBdr>
                <w:top w:val="single" w:sz="2" w:space="1" w:color="000000"/>
              </w:pBdr>
              <w:bidi w:val="0"/>
              <w:spacing w:before="0" w:after="0"/>
              <w:jc w:val="left"/>
              <w:rPr/>
            </w:pPr>
            <w:r>
              <w:rPr/>
              <w:t> </w:t>
            </w:r>
          </w:p>
        </w:tc>
        <w:tc>
          <w:tcPr>
            <w:tcW w:w="150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51.4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84.3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91.3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90.0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(39.9</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10.1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(0.5</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pBdr>
                <w:top w:val="single" w:sz="2" w:space="1" w:color="000000"/>
              </w:pBdr>
              <w:bidi w:val="0"/>
              <w:spacing w:before="0" w:after="0"/>
              <w:jc w:val="left"/>
              <w:rPr/>
            </w:pPr>
            <w:r>
              <w:rPr/>
              <w:t> </w:t>
            </w:r>
          </w:p>
        </w:tc>
        <w:tc>
          <w:tcPr>
            <w:tcW w:w="150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pBdr>
                <w:top w:val="single" w:sz="2" w:space="1" w:color="000000"/>
              </w:pBdr>
              <w:bidi w:val="0"/>
              <w:spacing w:before="0" w:after="0"/>
              <w:jc w:val="left"/>
              <w:rPr/>
            </w:pPr>
            <w:r>
              <w:rPr/>
              <w:t> </w:t>
            </w:r>
          </w:p>
        </w:tc>
        <w:tc>
          <w:tcPr>
            <w:tcW w:w="1507"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101.4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(40.4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2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pBdr>
                <w:top w:val="double" w:sz="6" w:space="1" w:color="000000"/>
              </w:pBdr>
              <w:bidi w:val="0"/>
              <w:spacing w:before="0" w:after="0"/>
              <w:jc w:val="left"/>
              <w:rPr/>
            </w:pPr>
            <w:r>
              <w:rPr/>
              <w:t> </w:t>
            </w:r>
          </w:p>
        </w:tc>
        <w:tc>
          <w:tcPr>
            <w:tcW w:w="1507"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pBdr>
                <w:top w:val="double" w:sz="6" w:space="1" w:color="000000"/>
              </w:pBdr>
              <w:bidi w:val="0"/>
              <w:spacing w:before="0" w:after="0"/>
              <w:jc w:val="left"/>
              <w:rPr/>
            </w:pPr>
            <w:r>
              <w:rPr/>
              <w:t> </w:t>
            </w:r>
          </w:p>
        </w:tc>
        <w:tc>
          <w:tcPr>
            <w:tcW w:w="1507"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5"/>
        <w:gridCol w:w="120"/>
        <w:gridCol w:w="140"/>
        <w:gridCol w:w="1140"/>
        <w:gridCol w:w="60"/>
        <w:gridCol w:w="120"/>
        <w:gridCol w:w="60"/>
        <w:gridCol w:w="1140"/>
        <w:gridCol w:w="275"/>
        <w:gridCol w:w="60"/>
        <w:gridCol w:w="140"/>
        <w:gridCol w:w="1140"/>
        <w:gridCol w:w="60"/>
        <w:gridCol w:w="120"/>
        <w:gridCol w:w="60"/>
        <w:gridCol w:w="1140"/>
        <w:gridCol w:w="275"/>
        <w:gridCol w:w="60"/>
        <w:gridCol w:w="140"/>
        <w:gridCol w:w="1140"/>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Three Months Ended</w:t>
            </w:r>
            <w:r>
              <w:rPr/>
              <w:br/>
            </w:r>
            <w:r>
              <w:rPr>
                <w:rFonts w:ascii="Times New Roman" w:hAnsi="Times New Roman"/>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Three Months Ended</w:t>
            </w:r>
            <w:r>
              <w:rPr/>
              <w:br/>
            </w:r>
            <w:r>
              <w:rPr>
                <w:rFonts w:ascii="Times New Roman" w:hAnsi="Times New Roman"/>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Change</w:t>
            </w:r>
            <w:r>
              <w:rPr/>
              <w:br/>
            </w:r>
            <w:r>
              <w:rPr>
                <w:rFonts w:ascii="Times New Roman" w:hAnsi="Times New Roman"/>
                <w:b/>
              </w:rPr>
              <w:t>Amount</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70" w:type="dxa"/>
            <w:gridSpan w:val="18"/>
            <w:tcBorders/>
            <w:vAlign w:val="center"/>
          </w:tcPr>
          <w:p>
            <w:pPr>
              <w:pStyle w:val="TableContents"/>
              <w:bidi w:val="0"/>
              <w:spacing w:before="0" w:after="283"/>
              <w:jc w:val="center"/>
              <w:rPr>
                <w:rFonts w:ascii="Times New Roman" w:hAnsi="Times New Roman"/>
                <w:b/>
              </w:rPr>
            </w:pPr>
            <w:r>
              <w:rPr>
                <w:rFonts w:ascii="Times New Roman" w:hAnsi="Times New Roman"/>
                <w:b/>
              </w:rPr>
              <w:t>(Dollars in millions)</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26.3</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27.7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30.3</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(14.2</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(1.2</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4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22.2</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28.9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28.6</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140" w:type="dxa"/>
            <w:tcBorders/>
            <w:vAlign w:val="center"/>
          </w:tcPr>
          <w:p>
            <w:pPr>
              <w:pStyle w:val="TableContents"/>
              <w:bidi w:val="0"/>
              <w:spacing w:before="0" w:after="283"/>
              <w:jc w:val="right"/>
              <w:rPr>
                <w:rFonts w:ascii="Times New Roman" w:hAnsi="Times New Roman"/>
              </w:rPr>
            </w:pPr>
            <w:r>
              <w:rPr>
                <w:rFonts w:ascii="Times New Roman" w:hAnsi="Times New Roman"/>
              </w:rPr>
              <w:t>(15.4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4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4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$61.0 million for the three months ended June 30, 2023, a $40.4 million, or 39.8%, decrease compared to $101.4 million for the three months ended June 30, 2022. This decrease was primarily due to a decrease in revenue related to our standard products business as described below.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Net sales from our standard products business were $51.4 million for the three months ended June 30, 2023, a $39.9 million, or 43.7%, decrease compared to $91.3 million for the three months ended June 30, 2022. The decrease in net sales from our Display Solutions business line was primarily attributable to a decrease in revenue from our mobile OLED display driver ICs stemming from a lower customer demand resulting from weak global macroeconomic conditions, lingering weakness in Chinese smartphone orders and a lack of new design-wins caused by a supply shortage in 2022 (in particular for 28nm 12 inch OLED wafers) at external 12 inch foundries. The decrease in net sales from our Power Solutions business line was attributable to lower demand for power products such as MOSFETs, including high-end MOSFETs, primarily for TVs, smartphones and e-bikes, due mainly to the industry-wide slowdown. </w:t>
      </w:r>
    </w:p>
    <w:p>
      <w:pPr>
        <w:pStyle w:val="TextBody"/>
        <w:bidi w:val="0"/>
        <w:spacing w:before="240" w:after="0"/>
        <w:jc w:val="left"/>
        <w:rPr>
          <w:rFonts w:ascii="Times New Roman" w:hAnsi="Times New Roman"/>
          <w:sz w:val="20"/>
        </w:rPr>
      </w:pPr>
      <w:r>
        <w:rPr>
          <w:rFonts w:ascii="Times New Roman" w:hAnsi="Times New Roman"/>
          <w:b/>
          <w:i/>
          <w:sz w:val="20"/>
        </w:rPr>
        <w:t>The transitional Fab 3 foundry services.</w:t>
      </w:r>
      <w:r>
        <w:rPr>
          <w:rFonts w:ascii="Times New Roman" w:hAnsi="Times New Roman"/>
          <w:sz w:val="20"/>
        </w:rPr>
        <w:t xml:space="preserve"> Net sales from the transitional Fab 3 foundry services were $9.6 million and $10.1 million for the three months ended June 30, 2023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$13.5 million for the three months ended June 30, 2023 compared to $28.9 million for the three months ended June 30, 2022, a $15.4 million, or 53.2%, decrease. Gross profit as a percentage of net sales for the three months ended June 30, 2023 decreased to 22.2% compared to 28.6% for the three months ended June 30, 2022. The decrease in gross profit and gross profit as a percentage of net sales was primarily due to our standard products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Gross profit from our standard products business was $13.5 million for the three months ended June 30, 2023, which represented a $14.2 million, or 51.2%, decrease from gross profit of $27.7 million for the three months ended June 30, 2022. The decrease in gross profit was primarily attributable to a significant decrease in net sales from our standard product business as explained above. Gross profit as a percentage of net sales for the three months ended June 30, 2023 decreased to 26.3% compared to 30.3% for the three months ended June 30, 2022. The year-over-year decrease in gross profit as a percentage of net sales was primarily attributable to an unfavorable product mix as well as higher manufacturing input costs such as electricity and wages, and a significant drop in the utilization rate of our internal fabrication facility in Gumi.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Standard Products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June 30, 2023 and 2022: </w:t>
      </w:r>
    </w:p>
    <w:p>
      <w:pPr>
        <w:pStyle w:val="TextBody"/>
        <w:bidi w:val="0"/>
        <w:spacing w:before="0" w:after="0"/>
        <w:jc w:val="left"/>
        <w:rPr/>
      </w:pPr>
      <w:r>
        <w:rPr/>
        <w:t> </w:t>
      </w:r>
    </w:p>
    <w:tbl>
      <w:tblPr>
        <w:tblW w:w="9022" w:type="dxa"/>
        <w:jc w:val="left"/>
        <w:tblInd w:w="0" w:type="dxa"/>
        <w:tblLayout w:type="fixed"/>
        <w:tblCellMar>
          <w:top w:w="0" w:type="dxa"/>
          <w:left w:w="0" w:type="dxa"/>
          <w:bottom w:w="0" w:type="dxa"/>
          <w:right w:w="0" w:type="dxa"/>
        </w:tblCellMar>
      </w:tblPr>
      <w:tblGrid>
        <w:gridCol w:w="2510"/>
        <w:gridCol w:w="120"/>
        <w:gridCol w:w="224"/>
        <w:gridCol w:w="704"/>
        <w:gridCol w:w="96"/>
        <w:gridCol w:w="192"/>
        <w:gridCol w:w="109"/>
        <w:gridCol w:w="1021"/>
        <w:gridCol w:w="275"/>
        <w:gridCol w:w="60"/>
        <w:gridCol w:w="224"/>
        <w:gridCol w:w="704"/>
        <w:gridCol w:w="96"/>
        <w:gridCol w:w="192"/>
        <w:gridCol w:w="109"/>
        <w:gridCol w:w="1021"/>
        <w:gridCol w:w="275"/>
        <w:gridCol w:w="60"/>
        <w:gridCol w:w="183"/>
        <w:gridCol w:w="677"/>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6" w:type="dxa"/>
            <w:gridSpan w:val="6"/>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8"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22"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14.4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31.2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(16.8</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35.0</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56.1</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(21.0</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0.2</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2.5</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1.7</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single" w:sz="2" w:space="1" w:color="000000"/>
              </w:pBdr>
              <w:bidi w:val="0"/>
              <w:spacing w:before="0" w:after="0"/>
              <w:jc w:val="left"/>
              <w:rPr/>
            </w:pPr>
            <w:r>
              <w:rPr/>
              <w:t> </w:t>
            </w:r>
          </w:p>
        </w:tc>
        <w:tc>
          <w:tcPr>
            <w:tcW w:w="704" w:type="dxa"/>
            <w:tcBorders/>
            <w:vAlign w:val="center"/>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single" w:sz="2" w:space="1" w:color="000000"/>
              </w:pBdr>
              <w:bidi w:val="0"/>
              <w:spacing w:before="0" w:after="0"/>
              <w:jc w:val="left"/>
              <w:rPr/>
            </w:pPr>
            <w:r>
              <w:rPr/>
              <w:t> </w:t>
            </w:r>
          </w:p>
        </w:tc>
        <w:tc>
          <w:tcPr>
            <w:tcW w:w="1021"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51.4</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91.3</w:t>
            </w:r>
          </w:p>
        </w:tc>
        <w:tc>
          <w:tcPr>
            <w:tcW w:w="96"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(39.9</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pBdr>
                <w:top w:val="double" w:sz="6" w:space="1" w:color="000000"/>
              </w:pBdr>
              <w:bidi w:val="0"/>
              <w:spacing w:before="0" w:after="0"/>
              <w:jc w:val="left"/>
              <w:rPr/>
            </w:pPr>
            <w:r>
              <w:rPr/>
              <w:t> </w:t>
            </w:r>
          </w:p>
        </w:tc>
        <w:tc>
          <w:tcPr>
            <w:tcW w:w="704" w:type="dxa"/>
            <w:tcBorders/>
            <w:vAlign w:val="center"/>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09" w:type="dxa"/>
            <w:tcBorders/>
            <w:vAlign w:val="center"/>
          </w:tcPr>
          <w:p>
            <w:pPr>
              <w:pStyle w:val="TableContents"/>
              <w:pBdr>
                <w:top w:val="double" w:sz="6" w:space="1" w:color="000000"/>
              </w:pBdr>
              <w:bidi w:val="0"/>
              <w:spacing w:before="0" w:after="0"/>
              <w:jc w:val="left"/>
              <w:rPr/>
            </w:pPr>
            <w:r>
              <w:rPr/>
              <w:t> </w:t>
            </w:r>
          </w:p>
        </w:tc>
        <w:tc>
          <w:tcPr>
            <w:tcW w:w="1021"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for the three months ended June 30, 2023 decreased from $31.2 million to $14.4 million compared to the three months ended June 30, 2022, or by $16.8 million, or 53.8%, primarily due to lower demand for power products such as MOSFETs, including high-end MOSFETs, primarily for TVs and smartphone applications. Weak demand for our mobile OLED display driver ICs and our OLED TV display driver ICs also unfavorably affected this quarter.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for the three months ended June 30, 2023 decreased to $35.0 million from $56.1 million in the three months ended June 30, 2022, or by $21.0 million, or 37.5%, primarily due to a decrease in revenue from our mobile OLED display driver ICs stemming from a lower customer demand resulting from weak global macroeconomic conditions, lingering weakness in Chinese smartphone orders and a lack of new design-wins caused by a supply shortage in 2022 (in particular for 28nm 12 inch OLED wafers) at external 12 inch foundries. The decreased demand for our power products such as MOSFETs, primarily for e-bikes, and IGBTs mainly for solar inverters also unfavorably affected this quarter.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$12.1 million, or 19.9% of total revenues, for the three months ended June 30, 2023, compared to $12.7 million, or 12.6% of total revenues, for the three months ended June 30, 2022. The decrease of $0.6 million, or 4.7%, was primarily attributable to a decrease in employee compensation including certain incentives, a decrease in certain sales and marketing expense, and a decrease in running royalties recognized based on the revenue of certain mobile OLED display driver ICs, which were offset in part by an increase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$11.3 million, or 18.5% of total revenues, for the three months ended June 30, 2023, compared to $13.4 million, or 13.2% of total revenues, for the three months ended June 30, 2022. The decrease of $2.2 million, or 16.1%, was primarily attributable to a decrease in development activities for our 28-nanometer OLED display driver ICs, and a decrease in employee compensation including certain incentives. </w:t>
      </w:r>
    </w:p>
    <w:p>
      <w:pPr>
        <w:pStyle w:val="TextBody"/>
        <w:bidi w:val="0"/>
        <w:spacing w:before="240" w:after="0"/>
        <w:jc w:val="left"/>
        <w:rPr>
          <w:rFonts w:ascii="Times New Roman" w:hAnsi="Times New Roman"/>
          <w:sz w:val="20"/>
        </w:rPr>
      </w:pPr>
      <w:r>
        <w:rPr>
          <w:rFonts w:ascii="Times New Roman" w:hAnsi="Times New Roman"/>
          <w:b/>
          <w:i/>
          <w:sz w:val="20"/>
        </w:rPr>
        <w:t>Other Charges.</w:t>
      </w:r>
      <w:r>
        <w:rPr>
          <w:rFonts w:ascii="Times New Roman" w:hAnsi="Times New Roman"/>
          <w:sz w:val="20"/>
        </w:rPr>
        <w:t xml:space="preserve"> For the three months ended June 30, 2023, we recorded $0.8 million of one-time employee incentives. For the three months ended June 30, 2022, we recorded $0.8 million of professional service fees and expenses incurred in connection with certain strategic evaluations.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Income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$10.7 million was recorded for the three months ended June 30, 2023 compared to operating income of $2.0 million for the three months ended June 30, 2022. As discussed above, the decrease in operating income of $12.7 million resulted primarily from a $15.4 million decrease in gross profit, which was offset in part by a $2.2 million decrease in research and development expenses and a $0.6 million decrease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$2.7 million and $1.1 million for the three months ended June 30, 2023 and June 30, 2022, respectively. The increase of $1.6 million, or 153.7%, was primarily attributable to an increase in interest income on cash and cash equivalents held by our Korean subsidiary, which benefited from increased market interest rates.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$0.2 million and $0.5 million for the three months ended June 30, 2023 and June 30, 2022,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 Gain</w:t>
      </w:r>
      <w:r>
        <w:rPr>
          <w:rFonts w:ascii="Times New Roman" w:hAnsi="Times New Roman"/>
          <w:sz w:val="20"/>
        </w:rPr>
        <w:t xml:space="preserve"> </w:t>
      </w:r>
      <w:r>
        <w:rPr>
          <w:rFonts w:ascii="Times New Roman" w:hAnsi="Times New Roman"/>
          <w:b/>
          <w:i/>
          <w:sz w:val="20"/>
        </w:rPr>
        <w:t>(Loss),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gain for the three months ended June 30, 2023 was $1.2 million compared to net foreign currency loss of $7.0 million for the three months ended June 30, 2022.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June 30, 2023 and June 30, 2022, the outstanding intercompany loan balances, including accrued interest between our Korean subsidiary and our Dutch subsidiary, were $293.1 million and $352.6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$3.0 million for the three months ended June 30, 2023, which was primarily attributable to the estimated taxable loss in our Korean subsidiary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$0.9 million for the three months ended June 30, 2022, which was primarily attributable to a decrease in our Korean subsidiary’s pre-tax income for the respective period due to the foreign currency translation in connection with intercompany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$3.9 million was recorded for the three months ended June 30, 2023 compared to a net loss of $3.3 million for the three months ended June 30, 2022. As discussed above, the $0.6 million increase in net loss was primarily attributable to a $12.7 million decrease in operating income, which was offset in part by an $8.2 million improvement in net foreign currency loss, a $2.1 million increase in income tax benefit and a $1.6 million increase in interest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 Comparison of Six Months Ended June 30,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consolidated results of operations for the six months ended June 30, 2023 and 2022: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5"/>
        <w:gridCol w:w="120"/>
        <w:gridCol w:w="144"/>
        <w:gridCol w:w="741"/>
        <w:gridCol w:w="159"/>
        <w:gridCol w:w="61"/>
        <w:gridCol w:w="120"/>
        <w:gridCol w:w="1475"/>
        <w:gridCol w:w="275"/>
        <w:gridCol w:w="60"/>
        <w:gridCol w:w="144"/>
        <w:gridCol w:w="741"/>
        <w:gridCol w:w="159"/>
        <w:gridCol w:w="61"/>
        <w:gridCol w:w="120"/>
        <w:gridCol w:w="1475"/>
        <w:gridCol w:w="275"/>
        <w:gridCol w:w="60"/>
        <w:gridCol w:w="140"/>
        <w:gridCol w:w="720"/>
        <w:gridCol w:w="170"/>
      </w:tblGrid>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0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Six Months Ended</w:t>
            </w:r>
            <w:r>
              <w:rPr/>
              <w:br/>
            </w:r>
            <w:r>
              <w:rPr>
                <w:rFonts w:ascii="Times New Roman" w:hAnsi="Times New Roman"/>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Six Months Ended</w:t>
            </w:r>
            <w:r>
              <w:rPr/>
              <w:br/>
            </w:r>
            <w:r>
              <w:rPr>
                <w:rFonts w:ascii="Times New Roman" w:hAnsi="Times New Roman"/>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Change</w:t>
            </w:r>
            <w:r>
              <w:rPr/>
              <w:br/>
            </w:r>
            <w:r>
              <w:rPr>
                <w:rFonts w:ascii="Times New Roman" w:hAnsi="Times New Roman"/>
                <w:b/>
              </w:rPr>
              <w:t>Amount</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30" w:type="dxa"/>
            <w:gridSpan w:val="18"/>
            <w:tcBorders/>
            <w:vAlign w:val="center"/>
          </w:tcPr>
          <w:p>
            <w:pPr>
              <w:pStyle w:val="TableContents"/>
              <w:bidi w:val="0"/>
              <w:spacing w:before="0" w:after="283"/>
              <w:jc w:val="center"/>
              <w:rPr>
                <w:rFonts w:ascii="Times New Roman" w:hAnsi="Times New Roman"/>
                <w:b/>
              </w:rPr>
            </w:pPr>
            <w:r>
              <w:rPr>
                <w:rFonts w:ascii="Times New Roman" w:hAnsi="Times New Roman"/>
                <w:b/>
              </w:rPr>
              <w:t>(Dollars in millions)</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102.9</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87.2</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185.3</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90.2</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(82.4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15.1</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20.2</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(5.1</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118.0</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205.5</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(87.5</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75.2</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63.7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119.7</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58.3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(44.5</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17.2</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17.8</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(0.7</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92.4</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78.3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137.5</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66.9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(45.2</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25.6</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67.9</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33.1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(42.3</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24.3</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26.9</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(2.6</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24.6</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25.4</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(0.8</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9.3</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0.8</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8.5</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(32.5</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(27.5</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14.9</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(47.4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5.5</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1.8</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3.8</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(0.5</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(0.4</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(0.6</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(0.3</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0.2</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(2.2</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(1.9</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(7.7</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(3.7</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5.5</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(0.0</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(0.0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0.4</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(0.5</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2.9</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(2.4</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(6.1</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(3.0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9.0</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before income tax expense</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(29.6</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(25.1</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8.8</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(38.4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(4.2</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(3.6</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2.6</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(6.8</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single" w:sz="2" w:space="1" w:color="000000"/>
              </w:pBdr>
              <w:bidi w:val="0"/>
              <w:spacing w:before="0" w:after="0"/>
              <w:jc w:val="left"/>
              <w:rPr/>
            </w:pPr>
            <w:r>
              <w:rPr/>
              <w:t> </w:t>
            </w:r>
          </w:p>
        </w:tc>
        <w:tc>
          <w:tcPr>
            <w:tcW w:w="741" w:type="dxa"/>
            <w:tcBorders/>
            <w:vAlign w:val="center"/>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(25.4</w:t>
            </w:r>
          </w:p>
        </w:tc>
        <w:tc>
          <w:tcPr>
            <w:tcW w:w="159"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(21.5</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41" w:type="dxa"/>
            <w:tcBorders/>
            <w:vAlign w:val="center"/>
          </w:tcPr>
          <w:p>
            <w:pPr>
              <w:pStyle w:val="TableContents"/>
              <w:bidi w:val="0"/>
              <w:spacing w:before="0" w:after="283"/>
              <w:jc w:val="right"/>
              <w:rPr>
                <w:rFonts w:ascii="Times New Roman" w:hAnsi="Times New Roman"/>
              </w:rPr>
            </w:pPr>
            <w:r>
              <w:rPr>
                <w:rFonts w:ascii="Times New Roman" w:hAnsi="Times New Roman"/>
              </w:rPr>
              <w:t>6.2</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rFonts w:ascii="Times New Roman" w:hAnsi="Times New Roman"/>
              </w:rPr>
            </w:pPr>
            <w:r>
              <w:rPr>
                <w:rFonts w:ascii="Times New Roman" w:hAnsi="Times New Roman"/>
              </w:rPr>
              <w:t>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20" w:type="dxa"/>
            <w:tcBorders/>
            <w:vAlign w:val="center"/>
          </w:tcPr>
          <w:p>
            <w:pPr>
              <w:pStyle w:val="TableContents"/>
              <w:bidi w:val="0"/>
              <w:spacing w:before="0" w:after="283"/>
              <w:jc w:val="right"/>
              <w:rPr>
                <w:rFonts w:ascii="Times New Roman" w:hAnsi="Times New Roman"/>
              </w:rPr>
            </w:pPr>
            <w:r>
              <w:rPr>
                <w:rFonts w:ascii="Times New Roman" w:hAnsi="Times New Roman"/>
              </w:rPr>
              <w:t>(31.6</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741" w:type="dxa"/>
            <w:tcBorders/>
            <w:vAlign w:val="center"/>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pBdr>
                <w:top w:val="double" w:sz="6" w:space="1" w:color="000000"/>
              </w:pBdr>
              <w:bidi w:val="0"/>
              <w:spacing w:before="0" w:after="0"/>
              <w:jc w:val="left"/>
              <w:rPr/>
            </w:pPr>
            <w:r>
              <w:rPr/>
              <w:t> </w:t>
            </w:r>
          </w:p>
        </w:tc>
        <w:tc>
          <w:tcPr>
            <w:tcW w:w="741" w:type="dxa"/>
            <w:tcBorders/>
            <w:vAlign w:val="center"/>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5"/>
        <w:gridCol w:w="120"/>
        <w:gridCol w:w="140"/>
        <w:gridCol w:w="780"/>
        <w:gridCol w:w="60"/>
        <w:gridCol w:w="120"/>
        <w:gridCol w:w="113"/>
        <w:gridCol w:w="1482"/>
        <w:gridCol w:w="275"/>
        <w:gridCol w:w="60"/>
        <w:gridCol w:w="140"/>
        <w:gridCol w:w="780"/>
        <w:gridCol w:w="60"/>
        <w:gridCol w:w="120"/>
        <w:gridCol w:w="113"/>
        <w:gridCol w:w="1482"/>
        <w:gridCol w:w="275"/>
        <w:gridCol w:w="60"/>
        <w:gridCol w:w="140"/>
        <w:gridCol w:w="780"/>
        <w:gridCol w:w="170"/>
      </w:tblGrid>
      <w:tr>
        <w:trPr/>
        <w:tc>
          <w:tcPr>
            <w:tcW w:w="2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Six Months Ended</w:t>
            </w:r>
            <w:r>
              <w:rPr/>
              <w:br/>
            </w:r>
            <w:r>
              <w:rPr>
                <w:rFonts w:ascii="Times New Roman" w:hAnsi="Times New Roman"/>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Six Months Ended</w:t>
            </w:r>
            <w:r>
              <w:rPr/>
              <w:br/>
            </w:r>
            <w:r>
              <w:rPr>
                <w:rFonts w:ascii="Times New Roman" w:hAnsi="Times New Roman"/>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Change</w:t>
            </w:r>
            <w:r>
              <w:rPr/>
              <w:br/>
            </w:r>
            <w:r>
              <w:rPr>
                <w:rFonts w:ascii="Times New Roman" w:hAnsi="Times New Roman"/>
                <w:b/>
              </w:rPr>
              <w:t>Amount</w:t>
            </w:r>
          </w:p>
        </w:tc>
        <w:tc>
          <w:tcPr>
            <w:tcW w:w="170" w:type="dxa"/>
            <w:tcBorders/>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80" w:type="dxa"/>
            <w:gridSpan w:val="18"/>
            <w:tcBorders/>
            <w:vAlign w:val="center"/>
          </w:tcPr>
          <w:p>
            <w:pPr>
              <w:pStyle w:val="TableContents"/>
              <w:bidi w:val="0"/>
              <w:spacing w:before="0" w:after="283"/>
              <w:jc w:val="center"/>
              <w:rPr>
                <w:rFonts w:ascii="Times New Roman" w:hAnsi="Times New Roman"/>
                <w:b/>
              </w:rPr>
            </w:pPr>
            <w:r>
              <w:rPr>
                <w:rFonts w:ascii="Times New Roman" w:hAnsi="Times New Roman"/>
                <w:b/>
              </w:rPr>
              <w:t>(Dollars in millions)</w:t>
            </w:r>
          </w:p>
        </w:tc>
        <w:tc>
          <w:tcPr>
            <w:tcW w:w="170" w:type="dxa"/>
            <w:tcBorders/>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20.5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17.4</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57.5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28.0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(37.0</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82.4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127.8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62.2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(45.4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single" w:sz="2" w:space="1" w:color="000000"/>
              </w:pBdr>
              <w:bidi w:val="0"/>
              <w:spacing w:before="0" w:after="0"/>
              <w:jc w:val="left"/>
              <w:rPr/>
            </w:pPr>
            <w:r>
              <w:rPr/>
              <w:t> </w:t>
            </w:r>
          </w:p>
        </w:tc>
        <w:tc>
          <w:tcPr>
            <w:tcW w:w="148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single" w:sz="2" w:space="1" w:color="000000"/>
              </w:pBdr>
              <w:bidi w:val="0"/>
              <w:spacing w:before="0" w:after="0"/>
              <w:jc w:val="left"/>
              <w:rPr/>
            </w:pPr>
            <w:r>
              <w:rPr/>
              <w:t> </w:t>
            </w:r>
          </w:p>
        </w:tc>
        <w:tc>
          <w:tcPr>
            <w:tcW w:w="148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102.9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87.2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185.3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90.2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(82.4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15.1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12.8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20.2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(5.1</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single" w:sz="2" w:space="1" w:color="000000"/>
              </w:pBdr>
              <w:bidi w:val="0"/>
              <w:spacing w:before="0" w:after="0"/>
              <w:jc w:val="left"/>
              <w:rPr/>
            </w:pPr>
            <w:r>
              <w:rPr/>
              <w:t> </w:t>
            </w:r>
          </w:p>
        </w:tc>
        <w:tc>
          <w:tcPr>
            <w:tcW w:w="148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single" w:sz="2" w:space="1" w:color="000000"/>
              </w:pBdr>
              <w:bidi w:val="0"/>
              <w:spacing w:before="0" w:after="0"/>
              <w:jc w:val="left"/>
              <w:rPr/>
            </w:pPr>
            <w:r>
              <w:rPr/>
              <w:t> </w:t>
            </w:r>
          </w:p>
        </w:tc>
        <w:tc>
          <w:tcPr>
            <w:tcW w:w="148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8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118.0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205.5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rFonts w:ascii="Times New Roman" w:hAnsi="Times New Roman"/>
              </w:rPr>
            </w:pPr>
            <w:r>
              <w:rPr>
                <w:rFonts w:ascii="Times New Roman" w:hAnsi="Times New Roman"/>
              </w:rPr>
              <w:t>100.0</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780" w:type="dxa"/>
            <w:tcBorders/>
            <w:vAlign w:val="center"/>
          </w:tcPr>
          <w:p>
            <w:pPr>
              <w:pStyle w:val="TableContents"/>
              <w:bidi w:val="0"/>
              <w:spacing w:before="0" w:after="283"/>
              <w:jc w:val="right"/>
              <w:rPr>
                <w:rFonts w:ascii="Times New Roman" w:hAnsi="Times New Roman"/>
              </w:rPr>
            </w:pPr>
            <w:r>
              <w:rPr>
                <w:rFonts w:ascii="Times New Roman" w:hAnsi="Times New Roman"/>
              </w:rPr>
              <w:t>(87.5</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2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double" w:sz="6" w:space="1" w:color="000000"/>
              </w:pBdr>
              <w:bidi w:val="0"/>
              <w:spacing w:before="0" w:after="0"/>
              <w:jc w:val="left"/>
              <w:rPr/>
            </w:pPr>
            <w:r>
              <w:rPr/>
              <w:t> </w:t>
            </w:r>
          </w:p>
        </w:tc>
        <w:tc>
          <w:tcPr>
            <w:tcW w:w="148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 w:type="dxa"/>
            <w:tcBorders/>
            <w:vAlign w:val="center"/>
          </w:tcPr>
          <w:p>
            <w:pPr>
              <w:pStyle w:val="TableContents"/>
              <w:pBdr>
                <w:top w:val="double" w:sz="6" w:space="1" w:color="000000"/>
              </w:pBdr>
              <w:bidi w:val="0"/>
              <w:spacing w:before="0" w:after="0"/>
              <w:jc w:val="left"/>
              <w:rPr/>
            </w:pPr>
            <w:r>
              <w:rPr/>
              <w:t> </w:t>
            </w:r>
          </w:p>
        </w:tc>
        <w:tc>
          <w:tcPr>
            <w:tcW w:w="148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8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10"/>
        <w:gridCol w:w="120"/>
        <w:gridCol w:w="140"/>
        <w:gridCol w:w="1020"/>
        <w:gridCol w:w="155"/>
        <w:gridCol w:w="60"/>
        <w:gridCol w:w="60"/>
        <w:gridCol w:w="1020"/>
        <w:gridCol w:w="275"/>
        <w:gridCol w:w="60"/>
        <w:gridCol w:w="140"/>
        <w:gridCol w:w="1020"/>
        <w:gridCol w:w="60"/>
        <w:gridCol w:w="120"/>
        <w:gridCol w:w="60"/>
        <w:gridCol w:w="1020"/>
        <w:gridCol w:w="275"/>
        <w:gridCol w:w="60"/>
        <w:gridCol w:w="140"/>
        <w:gridCol w:w="1020"/>
        <w:gridCol w:w="170"/>
      </w:tblGrid>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Six Months Ended</w:t>
            </w:r>
            <w:r>
              <w:rPr/>
              <w:br/>
            </w:r>
            <w:r>
              <w:rPr>
                <w:rFonts w:ascii="Times New Roman" w:hAnsi="Times New Roman"/>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Six Months Ended</w:t>
            </w:r>
            <w:r>
              <w:rPr/>
              <w:br/>
            </w:r>
            <w:r>
              <w:rPr>
                <w:rFonts w:ascii="Times New Roman" w:hAnsi="Times New Roman"/>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 of</w:t>
            </w:r>
            <w:r>
              <w:rPr/>
              <w:br/>
            </w:r>
            <w:r>
              <w:rPr>
                <w:rFonts w:ascii="Times New Roman" w:hAnsi="Times New Roman"/>
                <w:b/>
              </w:rP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rFonts w:ascii="Times New Roman" w:hAnsi="Times New Roman"/>
                <w:b/>
              </w:rPr>
              <w:t>Change</w:t>
            </w:r>
            <w:r>
              <w:rPr/>
              <w:br/>
            </w:r>
            <w:r>
              <w:rPr>
                <w:rFonts w:ascii="Times New Roman" w:hAnsi="Times New Roman"/>
                <w:b/>
              </w:rPr>
              <w:t>Amount</w:t>
            </w:r>
          </w:p>
        </w:tc>
        <w:tc>
          <w:tcPr>
            <w:tcW w:w="170"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05" w:type="dxa"/>
            <w:gridSpan w:val="18"/>
            <w:tcBorders/>
            <w:vAlign w:val="center"/>
          </w:tcPr>
          <w:p>
            <w:pPr>
              <w:pStyle w:val="TableContents"/>
              <w:bidi w:val="0"/>
              <w:spacing w:before="0" w:after="283"/>
              <w:jc w:val="center"/>
              <w:rPr>
                <w:rFonts w:ascii="Times New Roman" w:hAnsi="Times New Roman"/>
                <w:b/>
              </w:rPr>
            </w:pPr>
            <w:r>
              <w:rPr>
                <w:rFonts w:ascii="Times New Roman" w:hAnsi="Times New Roman"/>
                <w:b/>
              </w:rPr>
              <w:t>(Dollars in millions)</w:t>
            </w:r>
          </w:p>
        </w:tc>
        <w:tc>
          <w:tcPr>
            <w:tcW w:w="170"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standard products business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26.9</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35.4</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(37.9</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 – transitional Fab 3 foundry services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(2.1</w:t>
            </w:r>
          </w:p>
        </w:tc>
        <w:tc>
          <w:tcPr>
            <w:tcW w:w="15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(13.8</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11.6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(4.4</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21.7</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67.9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33.1</w:t>
            </w:r>
          </w:p>
        </w:tc>
        <w:tc>
          <w:tcPr>
            <w:tcW w:w="275"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 w:hAnsi="Times New Roman"/>
              </w:rPr>
            </w:pPr>
            <w:r>
              <w:rPr>
                <w:rFonts w:ascii="Times New Roman" w:hAnsi="Times New Roman"/>
              </w:rPr>
              <w:t>$</w:t>
            </w:r>
          </w:p>
        </w:tc>
        <w:tc>
          <w:tcPr>
            <w:tcW w:w="1020" w:type="dxa"/>
            <w:tcBorders/>
            <w:vAlign w:val="center"/>
          </w:tcPr>
          <w:p>
            <w:pPr>
              <w:pStyle w:val="TableContents"/>
              <w:bidi w:val="0"/>
              <w:spacing w:before="0" w:after="283"/>
              <w:jc w:val="right"/>
              <w:rPr>
                <w:rFonts w:ascii="Times New Roman" w:hAnsi="Times New Roman"/>
              </w:rPr>
            </w:pPr>
            <w:r>
              <w:rPr>
                <w:rFonts w:ascii="Times New Roman" w:hAnsi="Times New Roman"/>
              </w:rPr>
              <w:t>(42.3</w:t>
            </w:r>
          </w:p>
        </w:tc>
        <w:tc>
          <w:tcPr>
            <w:tcW w:w="170" w:type="dxa"/>
            <w:tcBorders/>
            <w:vAlign w:val="center"/>
          </w:tcPr>
          <w:p>
            <w:pPr>
              <w:pStyle w:val="TableContents"/>
              <w:bidi w:val="0"/>
              <w:spacing w:before="0" w:after="283"/>
              <w:jc w:val="left"/>
              <w:rPr>
                <w:rFonts w:ascii="Times New Roman" w:hAnsi="Times New Roman"/>
              </w:rPr>
            </w:pPr>
            <w:r>
              <w:rPr>
                <w:rFonts w:ascii="Times New Roman" w:hAnsi="Times New Roman"/>
              </w:rPr>
              <w:t>) </w:t>
            </w:r>
          </w:p>
        </w:tc>
      </w:tr>
      <w:tr>
        <w:trPr/>
        <w:tc>
          <w:tcPr>
            <w:tcW w:w="3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$118.0 million for the six months ended June 30, 2023, an $87.5 million, or 42.6%, decrease compared to $205.5 million for the six months ended June 30, 2022. This decrease was primarily due to a decrease in revenue related to our standard products business as described below.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Net sales from our standard products business were $102.9 million for the six months ended June 30, 2023, an $82.4 million, or 44.5%, decrease compared to $185.3 million for the six months ended June 30, 2022. The decrease in net sales from our Display Solutions business line was primarily attributable to a decrease in revenue from our mobile OLED display driver ICs stemming from a lower customer demand resulting from weak global macroeconomic conditions, lingering weakness in Chinese smartphone orders and a lack of new design-wins caused by a supply shortage in 2022 (in particular for 28nm 12 inch OLED wafers) at external 12 inch foundries. The decrease in net sales from our Power Solutions business line was attributable to lower demand for power products such as MOSFETs, including high-end MOSFETs, primarily for TVs, smartphones and e-bikes, due mainly to the industry-wide slowdown. </w:t>
      </w:r>
    </w:p>
    <w:p>
      <w:pPr>
        <w:pStyle w:val="TextBody"/>
        <w:bidi w:val="0"/>
        <w:spacing w:before="240" w:after="0"/>
        <w:jc w:val="left"/>
        <w:rPr>
          <w:rFonts w:ascii="Times New Roman" w:hAnsi="Times New Roman"/>
          <w:sz w:val="20"/>
        </w:rPr>
      </w:pPr>
      <w:r>
        <w:rPr>
          <w:rFonts w:ascii="Times New Roman" w:hAnsi="Times New Roman"/>
          <w:b/>
          <w:i/>
          <w:sz w:val="20"/>
        </w:rPr>
        <w:t>The transitional Fab 3 foundry services.</w:t>
      </w:r>
      <w:r>
        <w:rPr>
          <w:rFonts w:ascii="Times New Roman" w:hAnsi="Times New Roman"/>
          <w:sz w:val="20"/>
        </w:rPr>
        <w:t xml:space="preserve"> Net sales from the transitional Fab 3 foundry services were $15.1 million and $20.2 million for the six months ended June 30, 2023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Total gross profit was $25.6 million for the six months ended June 30, 2023 compared to $67.9 million for the six months ended June 30, 2022, a $42.3 million, or 62.3%, decrease. Gross profit as a percentage of net sales for the six months ended June 30, 2023 decreased to 21.7% compared to 33.1% for the six months ended June 30, 2022. The decrease in gross profit and gross profit as a percentage of net sales was primarily due to our standard products business as further described below. </w:t>
      </w:r>
    </w:p>
    <w:p>
      <w:pPr>
        <w:pStyle w:val="TextBody"/>
        <w:bidi w:val="0"/>
        <w:spacing w:before="240" w:after="0"/>
        <w:jc w:val="left"/>
        <w:rPr>
          <w:rFonts w:ascii="Times New Roman" w:hAnsi="Times New Roman"/>
          <w:sz w:val="20"/>
        </w:rPr>
      </w:pPr>
      <w:r>
        <w:rPr>
          <w:rFonts w:ascii="Times New Roman" w:hAnsi="Times New Roman"/>
          <w:b/>
          <w:i/>
          <w:sz w:val="20"/>
        </w:rPr>
        <w:t>The standard products business.</w:t>
      </w:r>
      <w:r>
        <w:rPr>
          <w:rFonts w:ascii="Times New Roman" w:hAnsi="Times New Roman"/>
          <w:sz w:val="20"/>
        </w:rPr>
        <w:t xml:space="preserve"> Gross profit from our standard products business was $27.7 million for the six months ended June 30, 2023, which represented a $37.9 million, or 57.8%, decrease from gross profit of $65.6 million for the six months ended June 30, 2022. The decrease in gross profit was primarily attributable to a significant decrease in net sales from our standard product business as explained above. Gross profit as a percentage of net sales for the six months ended June 30, 2023 decreased to 26.9% compared to 35.4% for the six months ended June 30, 2022. The year-over-year decrease in gross profit as a percentage of net sales was primarily attributable to an unfavorable product mix as well as higher manufacturing input costs such as electricity and wages, and a significant drop in the utilization rate of our internal fabrication facility in Gumi.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Sales – Standard Products Business by Geographic Region </w:t>
      </w:r>
    </w:p>
    <w:p>
      <w:pPr>
        <w:pStyle w:val="TextBody"/>
        <w:bidi w:val="0"/>
        <w:spacing w:before="120" w:after="0"/>
        <w:jc w:val="left"/>
        <w:rPr>
          <w:rFonts w:ascii="Times New Roman" w:hAnsi="Times New Roman"/>
          <w:sz w:val="20"/>
        </w:rPr>
      </w:pPr>
      <w:r>
        <w:rPr>
          <w:rFonts w:ascii="Times New Roman" w:hAnsi="Times New Roman"/>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six months ended June 30, 2023 and 2022: </w:t>
      </w:r>
    </w:p>
    <w:p>
      <w:pPr>
        <w:pStyle w:val="TextBody"/>
        <w:bidi w:val="0"/>
        <w:spacing w:before="0" w:after="0"/>
        <w:jc w:val="left"/>
        <w:rPr/>
      </w:pPr>
      <w:r>
        <w:rPr/>
        <w:t> </w:t>
      </w:r>
    </w:p>
    <w:tbl>
      <w:tblPr>
        <w:tblW w:w="8828" w:type="dxa"/>
        <w:jc w:val="left"/>
        <w:tblInd w:w="0" w:type="dxa"/>
        <w:tblLayout w:type="fixed"/>
        <w:tblCellMar>
          <w:top w:w="0" w:type="dxa"/>
          <w:left w:w="0" w:type="dxa"/>
          <w:bottom w:w="0" w:type="dxa"/>
          <w:right w:w="0" w:type="dxa"/>
        </w:tblCellMar>
      </w:tblPr>
      <w:tblGrid>
        <w:gridCol w:w="2510"/>
        <w:gridCol w:w="120"/>
        <w:gridCol w:w="178"/>
        <w:gridCol w:w="713"/>
        <w:gridCol w:w="76"/>
        <w:gridCol w:w="152"/>
        <w:gridCol w:w="108"/>
        <w:gridCol w:w="1022"/>
        <w:gridCol w:w="275"/>
        <w:gridCol w:w="60"/>
        <w:gridCol w:w="178"/>
        <w:gridCol w:w="713"/>
        <w:gridCol w:w="76"/>
        <w:gridCol w:w="152"/>
        <w:gridCol w:w="108"/>
        <w:gridCol w:w="1022"/>
        <w:gridCol w:w="275"/>
        <w:gridCol w:w="60"/>
        <w:gridCol w:w="183"/>
        <w:gridCol w:w="677"/>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9"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pPr>
            <w:r>
              <w:rPr>
                <w:b/>
              </w:rPr>
              <w:t>% of</w:t>
            </w:r>
            <w:r>
              <w:rPr/>
              <w:br/>
            </w:r>
            <w:r>
              <w:rPr>
                <w:b/>
              </w:rPr>
              <w:t>Net Sales –</w:t>
            </w:r>
            <w:r>
              <w:rPr/>
              <w:br/>
            </w:r>
            <w:r>
              <w:rPr>
                <w:b/>
              </w:rPr>
              <w:t>standard</w:t>
            </w:r>
            <w:r>
              <w:rPr/>
              <w:br/>
            </w:r>
            <w:r>
              <w:rPr>
                <w:b/>
              </w:rPr>
              <w:t>products</w:t>
            </w:r>
            <w:r>
              <w:rPr/>
              <w:br/>
            </w:r>
            <w:r>
              <w:rPr>
                <w:b/>
              </w:rP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b/>
              </w:rPr>
              <w:t>Change</w:t>
            </w:r>
            <w:r>
              <w:rPr/>
              <w:br/>
            </w:r>
            <w:r>
              <w:rPr>
                <w:b/>
              </w:rP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28" w:type="dxa"/>
            <w:gridSpan w:val="18"/>
            <w:tcBorders/>
            <w:vAlign w:val="center"/>
          </w:tcPr>
          <w:p>
            <w:pPr>
              <w:pStyle w:val="TableContents"/>
              <w:bidi w:val="0"/>
              <w:spacing w:before="0" w:after="283"/>
              <w:jc w:val="center"/>
              <w:rPr>
                <w:b/>
              </w:rPr>
            </w:pPr>
            <w:r>
              <w:rPr>
                <w:b/>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30.9</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62.2</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33.6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(31.3</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66.9</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65.0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114.3</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61.7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(47.4</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1.3</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713" w:type="dxa"/>
            <w:tcBorders/>
            <w:shd w:fill="CCEEFF" w:val="clear"/>
            <w:vAlign w:val="center"/>
          </w:tcPr>
          <w:p>
            <w:pPr>
              <w:pStyle w:val="TableContents"/>
              <w:bidi w:val="0"/>
              <w:spacing w:before="0" w:after="283"/>
              <w:jc w:val="right"/>
              <w:rPr/>
            </w:pPr>
            <w:r>
              <w:rPr/>
              <w:t>5.4</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2.9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(4.1</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3.8</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713" w:type="dxa"/>
            <w:tcBorders/>
            <w:vAlign w:val="center"/>
          </w:tcPr>
          <w:p>
            <w:pPr>
              <w:pStyle w:val="TableContents"/>
              <w:bidi w:val="0"/>
              <w:spacing w:before="0" w:after="283"/>
              <w:jc w:val="right"/>
              <w:rPr/>
            </w:pPr>
            <w:r>
              <w:rPr/>
              <w:t>3.4</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22"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0.4</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02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single" w:sz="2" w:space="1" w:color="000000"/>
              </w:pBdr>
              <w:bidi w:val="0"/>
              <w:spacing w:before="0" w:after="0"/>
              <w:jc w:val="left"/>
              <w:rPr/>
            </w:pPr>
            <w:r>
              <w:rPr/>
              <w:t> </w:t>
            </w:r>
          </w:p>
        </w:tc>
        <w:tc>
          <w:tcPr>
            <w:tcW w:w="713"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022"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single" w:sz="2" w:space="1" w:color="000000"/>
              </w:pBdr>
              <w:bidi w:val="0"/>
              <w:spacing w:before="0" w:after="0"/>
              <w:jc w:val="left"/>
              <w:rPr/>
            </w:pPr>
            <w:r>
              <w:rPr/>
              <w:t> </w:t>
            </w:r>
          </w:p>
        </w:tc>
        <w:tc>
          <w:tcPr>
            <w:tcW w:w="677"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102.9</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3" w:type="dxa"/>
            <w:tcBorders/>
            <w:shd w:fill="CCEEFF" w:val="clear"/>
            <w:vAlign w:val="center"/>
          </w:tcPr>
          <w:p>
            <w:pPr>
              <w:pStyle w:val="TableContents"/>
              <w:bidi w:val="0"/>
              <w:spacing w:before="0" w:after="283"/>
              <w:jc w:val="right"/>
              <w:rPr/>
            </w:pPr>
            <w:r>
              <w:rPr/>
              <w:t>185.3</w:t>
            </w:r>
          </w:p>
        </w:tc>
        <w:tc>
          <w:tcPr>
            <w:tcW w:w="76"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22"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(82.4</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double" w:sz="6" w:space="1" w:color="000000"/>
              </w:pBdr>
              <w:bidi w:val="0"/>
              <w:spacing w:before="0" w:after="0"/>
              <w:jc w:val="left"/>
              <w:rPr/>
            </w:pPr>
            <w:r>
              <w:rPr/>
              <w:t> </w:t>
            </w:r>
          </w:p>
        </w:tc>
        <w:tc>
          <w:tcPr>
            <w:tcW w:w="102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pBdr>
                <w:top w:val="double" w:sz="6" w:space="1" w:color="000000"/>
              </w:pBdr>
              <w:bidi w:val="0"/>
              <w:spacing w:before="0" w:after="0"/>
              <w:jc w:val="left"/>
              <w:rPr/>
            </w:pPr>
            <w:r>
              <w:rPr/>
              <w:t> </w:t>
            </w:r>
          </w:p>
        </w:tc>
        <w:tc>
          <w:tcPr>
            <w:tcW w:w="713"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double" w:sz="6" w:space="1" w:color="000000"/>
              </w:pBdr>
              <w:bidi w:val="0"/>
              <w:spacing w:before="0" w:after="0"/>
              <w:jc w:val="left"/>
              <w:rPr/>
            </w:pPr>
            <w:r>
              <w:rPr/>
              <w:t> </w:t>
            </w:r>
          </w:p>
        </w:tc>
        <w:tc>
          <w:tcPr>
            <w:tcW w:w="1022" w:type="dxa"/>
            <w:tcBorders/>
            <w:vAlign w:val="center"/>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pBdr>
                <w:top w:val="double" w:sz="6" w:space="1" w:color="000000"/>
              </w:pBdr>
              <w:bidi w:val="0"/>
              <w:spacing w:before="0" w:after="0"/>
              <w:jc w:val="left"/>
              <w:rPr/>
            </w:pPr>
            <w:r>
              <w:rPr/>
              <w:t> </w:t>
            </w:r>
          </w:p>
        </w:tc>
        <w:tc>
          <w:tcPr>
            <w:tcW w:w="677"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for the six months ended June 30, 2023 decreased from $62.2 million to $30.9 million compared to the six months ended June 30, 2022, or by $31.3 million, or 50.3%, primarily due to lower demand for power products such as MOSFETs, including high-end MOSFETs, primarily for TVs and smartphone applications. Weak demand for our OLED TV display driver ICs also unfavorably affected in the first half of 2023.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for the six months ended June 30, 2023 decreased to $66.9 million from $114.3 million in the six months ended June 30, 2022, or by $47.4 million, or 41.5%, primarily due to a decrease in revenue from our mobile OLED display driver ICs stemming from a lower customer demand resulting from weak global macroeconomic conditions, lingering weakness in Chinese smartphone orders and a lack of new design-wins caused by a supply shortage in 2022 (in particular for 28nm 12 inch OLED wafers) at external 12 inch foundries. The decreased demand for our power products such as MOSFETs, primarily for e-bikes, and IGBTs mainly for solar inverters also unfavorably affected in the first half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b/>
          <w:i/>
          <w:sz w:val="20"/>
        </w:rPr>
        <w:t>Selling,</w:t>
      </w:r>
      <w:r>
        <w:rPr>
          <w:rFonts w:ascii="Times New Roman" w:hAnsi="Times New Roman"/>
          <w:sz w:val="20"/>
        </w:rPr>
        <w:t xml:space="preserve"> </w:t>
      </w:r>
      <w:r>
        <w:rPr>
          <w:rFonts w:ascii="Times New Roman" w:hAnsi="Times New Roman"/>
          <w:b/>
          <w:i/>
          <w:sz w:val="20"/>
        </w:rPr>
        <w:t>General</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Administrative</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Selling, general and administrative expenses were $24.3 million, or 20.6% of total revenues, for the six months ended June 30, 2023, compared to $26.9 million, or 13.1% of total revenues, for the six months ended June 30, 2022. The decrease of $2.6 million, or 9.7%, was primarily attributable to a decrease in employee compensation including certain incentives and benefit related accruals, a decrease in certain sales and marketing expenses, and a decrease in running royalties recognized based on the revenue of certain mobile OLED display driver ICs, which were offset in part by an increase in professional fees mainly comprised of legal and consulting fees. </w:t>
      </w:r>
    </w:p>
    <w:p>
      <w:pPr>
        <w:pStyle w:val="TextBody"/>
        <w:bidi w:val="0"/>
        <w:spacing w:before="240" w:after="0"/>
        <w:jc w:val="left"/>
        <w:rPr>
          <w:rFonts w:ascii="Times New Roman" w:hAnsi="Times New Roman"/>
          <w:sz w:val="20"/>
        </w:rPr>
      </w:pPr>
      <w:r>
        <w:rPr>
          <w:rFonts w:ascii="Times New Roman" w:hAnsi="Times New Roman"/>
          <w:b/>
          <w:i/>
          <w:sz w:val="20"/>
        </w:rPr>
        <w:t>Research</w:t>
      </w:r>
      <w:r>
        <w:rPr>
          <w:rFonts w:ascii="Times New Roman" w:hAnsi="Times New Roman"/>
          <w:sz w:val="20"/>
        </w:rPr>
        <w:t xml:space="preserve"> </w:t>
      </w:r>
      <w:r>
        <w:rPr>
          <w:rFonts w:ascii="Times New Roman" w:hAnsi="Times New Roman"/>
          <w:b/>
          <w:i/>
          <w:sz w:val="20"/>
        </w:rPr>
        <w:t>and</w:t>
      </w:r>
      <w:r>
        <w:rPr>
          <w:rFonts w:ascii="Times New Roman" w:hAnsi="Times New Roman"/>
          <w:sz w:val="20"/>
        </w:rPr>
        <w:t xml:space="preserve"> </w:t>
      </w:r>
      <w:r>
        <w:rPr>
          <w:rFonts w:ascii="Times New Roman" w:hAnsi="Times New Roman"/>
          <w:b/>
          <w:i/>
          <w:sz w:val="20"/>
        </w:rPr>
        <w:t>Development</w:t>
      </w:r>
      <w:r>
        <w:rPr>
          <w:rFonts w:ascii="Times New Roman" w:hAnsi="Times New Roman"/>
          <w:sz w:val="20"/>
        </w:rPr>
        <w:t xml:space="preserve"> </w:t>
      </w:r>
      <w:r>
        <w:rPr>
          <w:rFonts w:ascii="Times New Roman" w:hAnsi="Times New Roman"/>
          <w:b/>
          <w:i/>
          <w:sz w:val="20"/>
        </w:rPr>
        <w:t>Expenses.</w:t>
      </w:r>
      <w:r>
        <w:rPr>
          <w:rFonts w:ascii="Times New Roman" w:hAnsi="Times New Roman"/>
          <w:sz w:val="20"/>
        </w:rPr>
        <w:t xml:space="preserve"> Research and development expenses were $24.6 million, or 20.8% of total revenues, for the six months ended June 30, 2023, compared to $25.4 million, or 12.3% of total revenues, for the six months ended June 30, 2022. The decrease of $0.8 million, or 3.2%, was primarily attributable to a decrease in employee compensation including certain incentives. </w:t>
      </w:r>
    </w:p>
    <w:p>
      <w:pPr>
        <w:pStyle w:val="TextBody"/>
        <w:bidi w:val="0"/>
        <w:spacing w:before="240" w:after="0"/>
        <w:jc w:val="left"/>
        <w:rPr>
          <w:rFonts w:ascii="Times New Roman" w:hAnsi="Times New Roman"/>
          <w:sz w:val="20"/>
        </w:rPr>
      </w:pPr>
      <w:r>
        <w:rPr>
          <w:rFonts w:ascii="Times New Roman" w:hAnsi="Times New Roman"/>
          <w:b/>
          <w:i/>
          <w:sz w:val="20"/>
        </w:rPr>
        <w:t>Early Termination and Other Charges.</w:t>
      </w:r>
      <w:r>
        <w:rPr>
          <w:rFonts w:ascii="Times New Roman" w:hAnsi="Times New Roman"/>
          <w:sz w:val="20"/>
        </w:rPr>
        <w:t xml:space="preserve"> For the six months ended June 30, 2023, we recorded $8.4 million of termination related charges in connection with the 2023 Resignation Program that we offered to certain employees during the first quarter of 2023. During the same period, we also recorded $0.8 million of one-time employee incentives. For the six months ended June 30, 2022, we recorded $0.8 million of professional service fees and expenses incurred in connection with certain strategic evaluations.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Income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operating loss of $32.5 million was recorded for the six months ended June 30, 2023 compared to operating income of $14.9 million for the six months ended June 30, 2022. As discussed above, the decrease in operating income of $47.4 million resulted primarily from a $42.3 million decrease in gross profit and an $8.5 million increase in early termination and other charges, which were offset in part by a $2.6 million decrease in selling, general and administrative expenses and a $0.8 million decrease in research and development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w:t>
      </w:r>
    </w:p>
    <w:p>
      <w:pPr>
        <w:pStyle w:val="TextBody"/>
        <w:bidi w:val="0"/>
        <w:spacing w:before="12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Income.</w:t>
      </w:r>
      <w:r>
        <w:rPr>
          <w:rFonts w:ascii="Times New Roman" w:hAnsi="Times New Roman"/>
          <w:sz w:val="20"/>
        </w:rPr>
        <w:t xml:space="preserve"> Interest income was $5.5 million and $1.8 million for the six months ended June 30, 2023 and June 30, 2022, respectively. The increase of $3.8 million, or 211.6%, was primarily attributable to an increase in interest income on cash and cash equivalents held by our Korean subsidiary, which benefited from increased market interest rates. </w:t>
      </w:r>
    </w:p>
    <w:p>
      <w:pPr>
        <w:pStyle w:val="TextBody"/>
        <w:bidi w:val="0"/>
        <w:spacing w:before="240" w:after="0"/>
        <w:jc w:val="left"/>
        <w:rPr>
          <w:rFonts w:ascii="Times New Roman" w:hAnsi="Times New Roman"/>
          <w:sz w:val="20"/>
        </w:rPr>
      </w:pPr>
      <w:r>
        <w:rPr>
          <w:rFonts w:ascii="Times New Roman" w:hAnsi="Times New Roman"/>
          <w:b/>
          <w:i/>
          <w:sz w:val="20"/>
        </w:rPr>
        <w:t>Interest</w:t>
      </w:r>
      <w:r>
        <w:rPr>
          <w:rFonts w:ascii="Times New Roman" w:hAnsi="Times New Roman"/>
          <w:sz w:val="20"/>
        </w:rPr>
        <w:t xml:space="preserve"> </w:t>
      </w:r>
      <w:r>
        <w:rPr>
          <w:rFonts w:ascii="Times New Roman" w:hAnsi="Times New Roman"/>
          <w:b/>
          <w:i/>
          <w:sz w:val="20"/>
        </w:rPr>
        <w:t>Expense.</w:t>
      </w:r>
      <w:r>
        <w:rPr>
          <w:rFonts w:ascii="Times New Roman" w:hAnsi="Times New Roman"/>
          <w:sz w:val="20"/>
        </w:rPr>
        <w:t xml:space="preserve"> Interest expense was $0.5 million and $0.6 million for the six months ended June 30, 2023 and June 30, 2022, respectively. </w:t>
      </w:r>
    </w:p>
    <w:p>
      <w:pPr>
        <w:pStyle w:val="TextBody"/>
        <w:bidi w:val="0"/>
        <w:spacing w:before="240" w:after="0"/>
        <w:jc w:val="left"/>
        <w:rPr>
          <w:rFonts w:ascii="Times New Roman" w:hAnsi="Times New Roman"/>
          <w:sz w:val="20"/>
        </w:rPr>
      </w:pPr>
      <w:r>
        <w:rPr>
          <w:rFonts w:ascii="Times New Roman" w:hAnsi="Times New Roman"/>
          <w:b/>
          <w:i/>
          <w:sz w:val="20"/>
        </w:rPr>
        <w:t>Foreign</w:t>
      </w:r>
      <w:r>
        <w:rPr>
          <w:rFonts w:ascii="Times New Roman" w:hAnsi="Times New Roman"/>
          <w:sz w:val="20"/>
        </w:rPr>
        <w:t xml:space="preserve"> </w:t>
      </w:r>
      <w:r>
        <w:rPr>
          <w:rFonts w:ascii="Times New Roman" w:hAnsi="Times New Roman"/>
          <w:b/>
          <w:i/>
          <w:sz w:val="20"/>
        </w:rPr>
        <w:t>Currency</w:t>
      </w:r>
      <w:r>
        <w:rPr>
          <w:rFonts w:ascii="Times New Roman" w:hAnsi="Times New Roman"/>
          <w:sz w:val="20"/>
        </w:rPr>
        <w:t xml:space="preserve"> </w:t>
      </w:r>
      <w:r>
        <w:rPr>
          <w:rFonts w:ascii="Times New Roman" w:hAnsi="Times New Roman"/>
          <w:b/>
          <w:i/>
          <w:sz w:val="20"/>
        </w:rPr>
        <w:t>Loss,</w:t>
      </w:r>
      <w:r>
        <w:rPr>
          <w:rFonts w:ascii="Times New Roman" w:hAnsi="Times New Roman"/>
          <w:sz w:val="20"/>
        </w:rPr>
        <w:t xml:space="preserve"> </w:t>
      </w:r>
      <w:r>
        <w:rPr>
          <w:rFonts w:ascii="Times New Roman" w:hAnsi="Times New Roman"/>
          <w:b/>
          <w:i/>
          <w:sz w:val="20"/>
        </w:rPr>
        <w:t>Net.</w:t>
      </w:r>
      <w:r>
        <w:rPr>
          <w:rFonts w:ascii="Times New Roman" w:hAnsi="Times New Roman"/>
          <w:sz w:val="20"/>
        </w:rPr>
        <w:t xml:space="preserve"> Net foreign currency loss for the six months ended June 30, 2023 was $2.2 million compared to net foreign currency loss of $7.7 million for the six months ended June 30, 2022. The net foreign currency loss for the six months ended June 30, 2023 and June 30, 2022 was due to the depreciation in value of the Korean won relative to the U.S. dollar during the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non-cash translation gain or loss associated with intercompany long-term loans to our Korean subsidiary, which are denominated in U.S. dollars, and are affected by changes in the exchange rate between the Korean won and the U.S. dollar. As of June 30, 2023 and June 30, 2022, the outstanding intercompany loan balances, including accrued interest between our Korean subsidiary and our Dutch subsidiary, were $293.1 million and $352.6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Income tax benefit was $4.2 million for the six months ended June 30, 2023, which was primarily attributable to the estimated taxable loss in our Korean subsidiary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was $2.6 million for the six months ended June 30, 2022, which was primarily attributable to interest on intercompany loan balances and income tax in our Korean subsidiary and the U.S. parent entity based on the estimated taxable income for the respective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a net loss of $25.4 million was recorded for the six months ended June 30, 2023 compared to a net income of $6.2 million for the six months ended June 30, 2022. As discussed above, the $31.6 million decrease in net income was primarily attributable to a $47.4 million decrease in operating income, which was offset in part by a $6.8 million increase in income tax benefit, a $5.5 million improvement in net foreign currency loss and a $3.8 million increase in interest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principal capital requirements are to fund sales and marketing, invest in research and development and capital equipment, and to fund working capital needs. We calculate working capital as current assets less 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June 30, 2023,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10-year term beginning July 1, 2018. As of June 30, 2023, the outstanding obligation of this arrangement is approximately $22.4 million for remaining service term through 2028.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cash and cash equivalents held by our Korean subsidiary were $166.3 million, which represents 96%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Our working capital balance as of June 30, 2023 was $228.9 million compared to $290.6 million as of December 31, 2022. The $61.7 million decrease was primarily attributable to a $52.5 million decrease in cash and cash equivalents resulted primarily from our continued execution of expanded stock repurchase program, and the 2023 Resignation Program that we offered and paid to certain employees during the first half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operating activities totaled $1.9 million for the six months ended June 30, 2023, compared to $25.0 million of cash inflow provided by operating activities for the six months ended June 30, 2022. The net operating cash outflow for the six months ended June 30, 2023 reflects our net loss of $25.4 million, as adjusted favorably by $26.5 million, which mainly consisted of depreciation and amortization, provision for severance benefits, and net foreign currency loss, and net unfavorable impact of $3.0 million from changes of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investing activities totaled $6.4 million for the six months ended June 30, 2023, compared to $6.7 million of cash outflow used in investing activities for the six months ended June 30, 2022. The $0.3 million decrease was primarily attributable to a $4.8 million net decrease in hedge collateral, which was offset in part by a $4.4 million net increase in guarantee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Cash outflow used in financing activities totaled $37.1 million for the six months ended June 30, 2023, compared to $0.3 million of cash outflow used in financing activities for the six months ended June 30, 2022. The financing cash outflow for the six months ended June 30, 2023 was primarily attributable to a payment of $36.4 million for the repurchases of our common stock pursuant to our expanded stock repurchase program and a payment of $0.4 million for the repurchase of our common stock to satisfy tax withholding obligations in connection with the vesting of restricted stock units. The financing cash outflow for the six months ended June 30, 2022 was primarily attributable to a payment of $1.8 million for the repurchase of our common stock to satisfy tax withholding obligations in connection with the vesting of restricted stock units, which was offset entirely by $1.8 million of proceeds received from the issuance of common stock in connection with the exercise of stock options.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routinely make capital expenditures for fabrication facility maintenance, enhancement of our existing facility and reinforcement of our global research and development capability. For the six months ended June 30, 2023, capital expenditures for property, plant and equipment were $1.5 million, which remained flat, compared to $1.5 million for the six months ended June 30, 2022. The capital expenditures for the six months ended June 30, 2023 and 2022 were related to meeting our customer demand and supporting technology and facility improvement at our fabrication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10-K for our fiscal year ended December 31, 2022, or our 2022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2022 Form 10-K, 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2022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905" w:type="dxa"/>
        <w:jc w:val="left"/>
        <w:tblInd w:w="0" w:type="dxa"/>
        <w:tblLayout w:type="fixed"/>
        <w:tblCellMar>
          <w:top w:w="0" w:type="dxa"/>
          <w:left w:w="0" w:type="dxa"/>
          <w:bottom w:w="0" w:type="dxa"/>
          <w:right w:w="0" w:type="dxa"/>
        </w:tblCellMar>
      </w:tblPr>
      <w:tblGrid>
        <w:gridCol w:w="740"/>
        <w:gridCol w:w="5165"/>
      </w:tblGrid>
      <w:tr>
        <w:trPr/>
        <w:tc>
          <w:tcPr>
            <w:tcW w:w="740" w:type="dxa"/>
            <w:tcBorders/>
            <w:vAlign w:val="center"/>
          </w:tcPr>
          <w:p>
            <w:pPr>
              <w:pStyle w:val="TableContents"/>
              <w:bidi w:val="0"/>
              <w:spacing w:before="0" w:after="283"/>
              <w:jc w:val="left"/>
              <w:rPr>
                <w:b/>
              </w:rPr>
            </w:pPr>
            <w:bookmarkStart w:id="5" w:name="txb265059_10"/>
            <w:bookmarkEnd w:id="5"/>
            <w:r>
              <w:rPr>
                <w:b/>
              </w:rPr>
              <w:t>Item 3.</w:t>
            </w:r>
          </w:p>
        </w:tc>
        <w:tc>
          <w:tcPr>
            <w:tcW w:w="5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Exposures </w:t>
      </w:r>
    </w:p>
    <w:p>
      <w:pPr>
        <w:pStyle w:val="TextBody"/>
        <w:bidi w:val="0"/>
        <w:spacing w:before="120" w:after="0"/>
        <w:jc w:val="left"/>
        <w:rPr>
          <w:rFonts w:ascii="Times New Roman" w:hAnsi="Times New Roman"/>
          <w:sz w:val="20"/>
        </w:rPr>
      </w:pPr>
      <w:r>
        <w:rPr>
          <w:rFonts w:ascii="Times New Roman" w:hAnsi="Times New Roman"/>
          <w:sz w:val="20"/>
        </w:rPr>
        <w:t xml:space="preserve">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June 30, 2023 for our Korean subsidiary, a 10% devaluation of the Korean won against the U.S. dollar would have resulted in a decrease of $0.4 million in our U.S. dollar financial instruments and cash balances. </w:t>
      </w:r>
    </w:p>
    <w:p>
      <w:pPr>
        <w:pStyle w:val="TextBody"/>
        <w:bidi w:val="0"/>
        <w:spacing w:before="240" w:after="0"/>
        <w:jc w:val="left"/>
        <w:rPr>
          <w:rFonts w:ascii="Times New Roman" w:hAnsi="Times New Roman"/>
          <w:sz w:val="20"/>
        </w:rPr>
      </w:pPr>
      <w:r>
        <w:rPr>
          <w:rFonts w:ascii="Times New Roman" w:hAnsi="Times New Roman"/>
          <w:sz w:val="20"/>
        </w:rPr>
        <w:t xml:space="preserve">See “Note 6.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2920" w:type="dxa"/>
        <w:jc w:val="left"/>
        <w:tblInd w:w="0" w:type="dxa"/>
        <w:tblLayout w:type="fixed"/>
        <w:tblCellMar>
          <w:top w:w="0" w:type="dxa"/>
          <w:left w:w="0" w:type="dxa"/>
          <w:bottom w:w="0" w:type="dxa"/>
          <w:right w:w="0" w:type="dxa"/>
        </w:tblCellMar>
      </w:tblPr>
      <w:tblGrid>
        <w:gridCol w:w="740"/>
        <w:gridCol w:w="2180"/>
      </w:tblGrid>
      <w:tr>
        <w:trPr/>
        <w:tc>
          <w:tcPr>
            <w:tcW w:w="740" w:type="dxa"/>
            <w:tcBorders/>
            <w:vAlign w:val="center"/>
          </w:tcPr>
          <w:p>
            <w:pPr>
              <w:pStyle w:val="TableContents"/>
              <w:bidi w:val="0"/>
              <w:spacing w:before="0" w:after="283"/>
              <w:jc w:val="left"/>
              <w:rPr>
                <w:b/>
              </w:rPr>
            </w:pPr>
            <w:bookmarkStart w:id="6" w:name="txb265059_11"/>
            <w:bookmarkEnd w:id="6"/>
            <w:r>
              <w:rPr>
                <w:b/>
              </w:rPr>
              <w:t>Item 4.</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June 30, 2023,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June 30,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quarter ended June 30, 2023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b265059_12"/>
      <w:bookmarkEnd w:id="7"/>
      <w:r>
        <w:rPr>
          <w:rFonts w:ascii="Times New Roman" w:hAnsi="Times New Roman"/>
          <w:b/>
          <w:sz w:val="20"/>
        </w:rPr>
        <w:t xml:space="preserve">PART II. OTHER INFORMATION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40"/>
        <w:gridCol w:w="1655"/>
      </w:tblGrid>
      <w:tr>
        <w:trPr/>
        <w:tc>
          <w:tcPr>
            <w:tcW w:w="740" w:type="dxa"/>
            <w:tcBorders/>
            <w:vAlign w:val="center"/>
          </w:tcPr>
          <w:p>
            <w:pPr>
              <w:pStyle w:val="TableContents"/>
              <w:bidi w:val="0"/>
              <w:spacing w:before="0" w:after="283"/>
              <w:jc w:val="left"/>
              <w:rPr>
                <w:b/>
              </w:rPr>
            </w:pPr>
            <w:bookmarkStart w:id="8" w:name="txb265059_13"/>
            <w:bookmarkEnd w:id="8"/>
            <w:r>
              <w:rPr>
                <w:b/>
              </w:rPr>
              <w:t>Item 1.</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2022 Form 10-K. </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2022 Form 10-K for additional information.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920"/>
        <w:gridCol w:w="1145"/>
      </w:tblGrid>
      <w:tr>
        <w:trPr/>
        <w:tc>
          <w:tcPr>
            <w:tcW w:w="920" w:type="dxa"/>
            <w:tcBorders/>
            <w:vAlign w:val="center"/>
          </w:tcPr>
          <w:p>
            <w:pPr>
              <w:pStyle w:val="TableContents"/>
              <w:bidi w:val="0"/>
              <w:spacing w:before="0" w:after="283"/>
              <w:jc w:val="left"/>
              <w:rPr>
                <w:b/>
              </w:rPr>
            </w:pPr>
            <w:bookmarkStart w:id="9" w:name="txb265059_14"/>
            <w:bookmarkEnd w:id="9"/>
            <w:r>
              <w:rPr>
                <w:b/>
              </w:rPr>
              <w:t>Item 1A.</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 investors should carefully consider the risk factors disclosed in Part I, Item 1A of our 2022 Form 10-K as well as in our subsequent filings with the SEC. The risks described herein and therein are not the only ones we face. </w:t>
      </w:r>
    </w:p>
    <w:p>
      <w:pPr>
        <w:pStyle w:val="TextBody"/>
        <w:bidi w:val="0"/>
        <w:spacing w:before="240" w:after="0"/>
        <w:jc w:val="left"/>
        <w:rPr>
          <w:rFonts w:ascii="Times New Roman" w:hAnsi="Times New Roman"/>
          <w:b/>
          <w:i/>
          <w:sz w:val="20"/>
        </w:rPr>
      </w:pPr>
      <w:r>
        <w:rPr>
          <w:rFonts w:ascii="Times New Roman" w:hAnsi="Times New Roman"/>
          <w:b/>
          <w:i/>
          <w:sz w:val="20"/>
        </w:rPr>
        <w:t xml:space="preserve">Expanded trade restrictions imposed by Korea may further restrict our ability to sell to certain customers or engage in potential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Korea has been expanding its trade restrictions on the export (including various means of outflow, such as sale, transfer or certain licensing outside Korea) of technologies in order to support and foster technologies important to Korea’s economy and national security, which may prevent us from achieving our business objectives or may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On July 14, 2021, the OLED Display Driver IC (“OLED DDI”) design technology for display panels was designated as a “national core technology” (“NCT”) under the Act on Prevention of Leakage and Protection of Industrial Technology of Korea (the “ITA”). Since then, the Act on Special Measures for Strengthening and Protecting the Competitiveness of the National High-Tech Strategic Industry (the “Special Act”) was enacted and became effective on August 4, 2022, and more recently, on June 2, 2023, the Korean Ministry of Trade, Industry and Energy (the “MOTIE”) designated 17 technologies, including the OLED DDI design technology for display panels, as National High-Tech Strategic Technology (“NHST”) under the Special Act.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our Korean subsidiary may provide certain information relating to its products, including the OLED DDI, to customers, suppliers and vendors, and such disclosure of information may be subject to both the NCT and NHST trade restrictions. Since the addition of the OLED DDI design technology to the NCT list in July 2021, we have filed prior-reports with the MOTIE for the export of our OLED DDI product-related information to certain overseas vendors that manufacture our products, and all such reports have thus far been accepted by the MOTIE. There is no assurance, however, that prior-reports for the export of our product-related information will be continue to be accepted by the MOTIE in the future. In the event that any such prior-report is not accepted, we may be unable to continue our business with the overseas customers, suppliers or vendors, including the manufacturing and delivery of our OLED DDI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Korean subsidiary is required to obtain approval from the MOTIE in the event that there is any M&amp;A transaction with respect to our Korean subsidiary that results in non-Korean ownership of 50% or more, or the exertion of control over the appointment of officers by a non-Korean person or entity as the largest shareholder. There is no assurance that the MOTIE will approve if such transaction is pursued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860" w:type="dxa"/>
        <w:jc w:val="left"/>
        <w:tblInd w:w="0" w:type="dxa"/>
        <w:tblLayout w:type="fixed"/>
        <w:tblCellMar>
          <w:top w:w="0" w:type="dxa"/>
          <w:left w:w="0" w:type="dxa"/>
          <w:bottom w:w="0" w:type="dxa"/>
          <w:right w:w="0" w:type="dxa"/>
        </w:tblCellMar>
      </w:tblPr>
      <w:tblGrid>
        <w:gridCol w:w="740"/>
        <w:gridCol w:w="5120"/>
      </w:tblGrid>
      <w:tr>
        <w:trPr/>
        <w:tc>
          <w:tcPr>
            <w:tcW w:w="740" w:type="dxa"/>
            <w:tcBorders/>
            <w:vAlign w:val="center"/>
          </w:tcPr>
          <w:p>
            <w:pPr>
              <w:pStyle w:val="TableContents"/>
              <w:bidi w:val="0"/>
              <w:spacing w:before="0" w:after="283"/>
              <w:jc w:val="left"/>
              <w:rPr>
                <w:b/>
              </w:rPr>
            </w:pPr>
            <w:bookmarkStart w:id="10" w:name="txb265059_15"/>
            <w:bookmarkEnd w:id="10"/>
            <w:r>
              <w:rPr>
                <w:b/>
              </w:rPr>
              <w:t>Item 2.</w:t>
            </w:r>
          </w:p>
        </w:tc>
        <w:tc>
          <w:tcPr>
            <w:tcW w:w="5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the monthly activity related to our repurchases of common stock for the quarter ended June 30, 2023. </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1100"/>
        <w:gridCol w:w="120"/>
        <w:gridCol w:w="85"/>
        <w:gridCol w:w="1390"/>
        <w:gridCol w:w="60"/>
        <w:gridCol w:w="120"/>
        <w:gridCol w:w="214"/>
        <w:gridCol w:w="856"/>
        <w:gridCol w:w="60"/>
        <w:gridCol w:w="120"/>
        <w:gridCol w:w="108"/>
        <w:gridCol w:w="1772"/>
        <w:gridCol w:w="60"/>
        <w:gridCol w:w="120"/>
        <w:gridCol w:w="367"/>
        <w:gridCol w:w="1783"/>
        <w:gridCol w:w="75"/>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w:t>
            </w:r>
            <w:r>
              <w:rPr/>
              <w:br/>
            </w:r>
            <w:r>
              <w:rPr>
                <w:b/>
              </w:rPr>
              <w:t>Purchased(1)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pPr>
            <w:r>
              <w:rPr>
                <w:b/>
              </w:rPr>
              <w:t>Average</w:t>
            </w:r>
            <w:r>
              <w:rPr/>
              <w:br/>
            </w:r>
            <w:r>
              <w:rPr>
                <w:b/>
              </w:rPr>
              <w:t>Price Paid</w:t>
            </w:r>
            <w:r>
              <w:rPr/>
              <w:br/>
            </w:r>
            <w:r>
              <w:rPr>
                <w:b/>
              </w:rP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pPr>
            <w:r>
              <w:rPr>
                <w:b/>
              </w:rPr>
              <w:t>Total Number</w:t>
            </w:r>
            <w:r>
              <w:rPr/>
              <w:br/>
            </w:r>
            <w:r>
              <w:rPr>
                <w:b/>
              </w:rPr>
              <w:t>of Shares</w:t>
            </w:r>
            <w:r>
              <w:rPr/>
              <w:br/>
            </w:r>
            <w:r>
              <w:rPr>
                <w:b/>
              </w:rPr>
              <w:t>Purchased as Part</w:t>
            </w:r>
            <w:r>
              <w:rPr/>
              <w:br/>
            </w:r>
            <w:r>
              <w:rPr>
                <w:b/>
              </w:rPr>
              <w:t>of Publicly</w:t>
            </w:r>
            <w:r>
              <w:rPr/>
              <w:br/>
            </w:r>
            <w:r>
              <w:rPr>
                <w:b/>
              </w:rPr>
              <w:t>Announced Plans</w:t>
            </w:r>
            <w:r>
              <w:rPr/>
              <w:br/>
            </w:r>
            <w:r>
              <w:rPr>
                <w:b/>
              </w:rPr>
              <w:t>or Programs(2)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pPr>
            <w:r>
              <w:rPr>
                <w:b/>
              </w:rPr>
              <w:t>Approximate dollar</w:t>
            </w:r>
            <w:r>
              <w:rPr/>
              <w:br/>
            </w:r>
            <w:r>
              <w:rPr>
                <w:b/>
              </w:rPr>
              <w:t>value of Shares that</w:t>
            </w:r>
            <w:r>
              <w:rPr/>
              <w:br/>
            </w:r>
            <w:r>
              <w:rPr>
                <w:b/>
              </w:rPr>
              <w:t>may yet be</w:t>
            </w:r>
            <w:r>
              <w:rPr/>
              <w:br/>
            </w:r>
            <w:r>
              <w:rPr>
                <w:b/>
              </w:rPr>
              <w:t>Purchased under the</w:t>
            </w:r>
            <w:r>
              <w:rPr/>
              <w:br/>
            </w:r>
            <w:r>
              <w:rPr>
                <w:b/>
              </w:rPr>
              <w:t>Plans or Programs</w:t>
            </w:r>
            <w:r>
              <w:rPr/>
              <w:br/>
            </w:r>
            <w:r>
              <w:rPr>
                <w:b/>
              </w:rPr>
              <w:t>(in thousands)(2)</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2023</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325,501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325,501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783" w:type="dxa"/>
            <w:tcBorders/>
            <w:shd w:fill="CCEEFF" w:val="clear"/>
            <w:vAlign w:val="center"/>
          </w:tcPr>
          <w:p>
            <w:pPr>
              <w:pStyle w:val="TableContents"/>
              <w:bidi w:val="0"/>
              <w:spacing w:before="0" w:after="283"/>
              <w:jc w:val="right"/>
              <w:rPr/>
            </w:pPr>
            <w:r>
              <w:rPr/>
              <w:t>22,622</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May 2023</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706,634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706,634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w:t>
            </w:r>
          </w:p>
        </w:tc>
        <w:tc>
          <w:tcPr>
            <w:tcW w:w="1783" w:type="dxa"/>
            <w:tcBorders/>
            <w:vAlign w:val="center"/>
          </w:tcPr>
          <w:p>
            <w:pPr>
              <w:pStyle w:val="TableContents"/>
              <w:bidi w:val="0"/>
              <w:spacing w:before="0" w:after="283"/>
              <w:jc w:val="right"/>
              <w:rPr/>
            </w:pPr>
            <w:r>
              <w:rPr/>
              <w:t>15,849</w:t>
            </w:r>
          </w:p>
        </w:tc>
        <w:tc>
          <w:tcPr>
            <w:tcW w:w="7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June 2023(1)</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1,435,882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856" w:type="dxa"/>
            <w:tcBorders/>
            <w:shd w:fill="CCEEFF" w:val="clear"/>
            <w:vAlign w:val="center"/>
          </w:tcPr>
          <w:p>
            <w:pPr>
              <w:pStyle w:val="TableContents"/>
              <w:bidi w:val="0"/>
              <w:spacing w:before="0" w:after="283"/>
              <w:jc w:val="right"/>
              <w:rPr/>
            </w:pPr>
            <w:r>
              <w:rPr/>
              <w:t>11.00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772" w:type="dxa"/>
            <w:tcBorders/>
            <w:shd w:fill="CCEEFF" w:val="clear"/>
            <w:vAlign w:val="center"/>
          </w:tcPr>
          <w:p>
            <w:pPr>
              <w:pStyle w:val="TableContents"/>
              <w:bidi w:val="0"/>
              <w:spacing w:before="0" w:after="283"/>
              <w:jc w:val="right"/>
              <w:rPr/>
            </w:pPr>
            <w:r>
              <w:rPr/>
              <w:t>1,434,836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single" w:sz="2" w:space="1" w:color="000000"/>
              </w:pBdr>
              <w:bidi w:val="0"/>
              <w:spacing w:before="0" w:after="0"/>
              <w:jc w:val="left"/>
              <w:rPr/>
            </w:pPr>
            <w:r>
              <w:rPr/>
              <w:t> </w:t>
            </w:r>
          </w:p>
        </w:tc>
        <w:tc>
          <w:tcPr>
            <w:tcW w:w="139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single" w:sz="2" w:space="1" w:color="000000"/>
              </w:pBdr>
              <w:bidi w:val="0"/>
              <w:spacing w:before="0" w:after="0"/>
              <w:jc w:val="left"/>
              <w:rPr/>
            </w:pPr>
            <w:r>
              <w:rPr/>
              <w:t> </w:t>
            </w:r>
          </w:p>
        </w:tc>
        <w:tc>
          <w:tcPr>
            <w:tcW w:w="85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single" w:sz="2" w:space="1" w:color="000000"/>
              </w:pBdr>
              <w:bidi w:val="0"/>
              <w:spacing w:before="0" w:after="0"/>
              <w:jc w:val="left"/>
              <w:rPr/>
            </w:pPr>
            <w:r>
              <w:rPr/>
              <w:t> </w:t>
            </w:r>
          </w:p>
        </w:tc>
        <w:tc>
          <w:tcPr>
            <w:tcW w:w="177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single" w:sz="2" w:space="1" w:color="000000"/>
              </w:pBdr>
              <w:bidi w:val="0"/>
              <w:spacing w:before="0" w:after="0"/>
              <w:jc w:val="left"/>
              <w:rPr/>
            </w:pPr>
            <w:r>
              <w:rPr/>
              <w:t> </w:t>
            </w:r>
          </w:p>
        </w:tc>
        <w:tc>
          <w:tcPr>
            <w:tcW w:w="1783"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2,468,017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56" w:type="dxa"/>
            <w:tcBorders/>
            <w:vAlign w:val="center"/>
          </w:tcPr>
          <w:p>
            <w:pPr>
              <w:pStyle w:val="TableContents"/>
              <w:bidi w:val="0"/>
              <w:spacing w:before="0" w:after="283"/>
              <w:jc w:val="right"/>
              <w:rPr/>
            </w:pPr>
            <w:r>
              <w:rPr/>
              <w:t>10.35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pPr>
            <w:r>
              <w:rPr/>
              <w:t>2,466,971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pBdr>
                <w:top w:val="double" w:sz="6" w:space="1" w:color="000000"/>
              </w:pBdr>
              <w:bidi w:val="0"/>
              <w:spacing w:before="0" w:after="0"/>
              <w:jc w:val="left"/>
              <w:rPr/>
            </w:pPr>
            <w:r>
              <w:rPr/>
              <w:t> </w:t>
            </w:r>
          </w:p>
        </w:tc>
        <w:tc>
          <w:tcPr>
            <w:tcW w:w="139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 w:type="dxa"/>
            <w:tcBorders/>
            <w:vAlign w:val="center"/>
          </w:tcPr>
          <w:p>
            <w:pPr>
              <w:pStyle w:val="TableContents"/>
              <w:pBdr>
                <w:top w:val="double" w:sz="6" w:space="1" w:color="000000"/>
              </w:pBdr>
              <w:bidi w:val="0"/>
              <w:spacing w:before="0" w:after="0"/>
              <w:jc w:val="left"/>
              <w:rPr/>
            </w:pPr>
            <w:r>
              <w:rPr/>
              <w:t> </w:t>
            </w:r>
          </w:p>
        </w:tc>
        <w:tc>
          <w:tcPr>
            <w:tcW w:w="85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pBdr>
                <w:top w:val="double" w:sz="6" w:space="1" w:color="000000"/>
              </w:pBdr>
              <w:bidi w:val="0"/>
              <w:spacing w:before="0" w:after="0"/>
              <w:jc w:val="left"/>
              <w:rPr/>
            </w:pPr>
            <w:r>
              <w:rPr/>
              <w:t> </w:t>
            </w:r>
          </w:p>
        </w:tc>
        <w:tc>
          <w:tcPr>
            <w:tcW w:w="177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 w:type="dxa"/>
            <w:tcBorders/>
            <w:vAlign w:val="center"/>
          </w:tcPr>
          <w:p>
            <w:pPr>
              <w:pStyle w:val="TableContents"/>
              <w:pBdr>
                <w:top w:val="double" w:sz="6" w:space="1" w:color="000000"/>
              </w:pBdr>
              <w:bidi w:val="0"/>
              <w:spacing w:before="0" w:after="0"/>
              <w:jc w:val="left"/>
              <w:rPr/>
            </w:pPr>
            <w:r>
              <w:rPr/>
              <w:t> </w:t>
            </w:r>
          </w:p>
        </w:tc>
        <w:tc>
          <w:tcPr>
            <w:tcW w:w="1783"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1,046 shares withheld to satisfy tax withholding obligations in connection with the vesting of restricted stock units issued under our equity incentive plans.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(2)</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31, 2022, the Company’s Board of Directors authorized an expansion of the Company’s previously announced stock repurchase program from $75 million to $87.5 million of the Company’s common stock. The Company has already repurchased shares worth $37.5 million under the program through an accelerated stock repurchase agreement on December 21, 2021 with JPMorgan Chase Bank, National Association. The remaining $50.0 million of the expanded $87.5 million program was expected to be repurchased in the open market or through privately negotiated transactions. In June 2023, the Company completed the repurchase of its common stock under the prior expanded stock repurchase program using remaining $50 million through open market purchases. </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40"/>
        <w:gridCol w:w="2735"/>
      </w:tblGrid>
      <w:tr>
        <w:trPr/>
        <w:tc>
          <w:tcPr>
            <w:tcW w:w="740" w:type="dxa"/>
            <w:tcBorders/>
            <w:vAlign w:val="center"/>
          </w:tcPr>
          <w:p>
            <w:pPr>
              <w:pStyle w:val="TableContents"/>
              <w:bidi w:val="0"/>
              <w:spacing w:before="0" w:after="283"/>
              <w:jc w:val="left"/>
              <w:rPr>
                <w:b/>
              </w:rPr>
            </w:pPr>
            <w:bookmarkStart w:id="11" w:name="txb265059_16"/>
            <w:bookmarkEnd w:id="11"/>
            <w:r>
              <w:rPr>
                <w:b/>
              </w:rPr>
              <w:t>Item 3.</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Upon Senior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740"/>
        <w:gridCol w:w="2090"/>
      </w:tblGrid>
      <w:tr>
        <w:trPr/>
        <w:tc>
          <w:tcPr>
            <w:tcW w:w="740" w:type="dxa"/>
            <w:tcBorders/>
            <w:vAlign w:val="center"/>
          </w:tcPr>
          <w:p>
            <w:pPr>
              <w:pStyle w:val="TableContents"/>
              <w:bidi w:val="0"/>
              <w:spacing w:before="0" w:after="283"/>
              <w:jc w:val="left"/>
              <w:rPr>
                <w:b/>
              </w:rPr>
            </w:pPr>
            <w:bookmarkStart w:id="12" w:name="txb265059_17"/>
            <w:bookmarkEnd w:id="12"/>
            <w:r>
              <w:rPr>
                <w:b/>
              </w:rPr>
              <w:t>Item 4.</w:t>
            </w:r>
          </w:p>
        </w:tc>
        <w:tc>
          <w:tcPr>
            <w:tcW w:w="20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40"/>
        <w:gridCol w:w="1655"/>
      </w:tblGrid>
      <w:tr>
        <w:trPr/>
        <w:tc>
          <w:tcPr>
            <w:tcW w:w="740" w:type="dxa"/>
            <w:tcBorders/>
            <w:vAlign w:val="center"/>
          </w:tcPr>
          <w:p>
            <w:pPr>
              <w:pStyle w:val="TableContents"/>
              <w:bidi w:val="0"/>
              <w:spacing w:before="0" w:after="283"/>
              <w:jc w:val="left"/>
              <w:rPr>
                <w:b/>
              </w:rPr>
            </w:pPr>
            <w:bookmarkStart w:id="13" w:name="txb265059_18"/>
            <w:bookmarkEnd w:id="13"/>
            <w:r>
              <w:rPr>
                <w:b/>
              </w:rPr>
              <w:t>Item 5.</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Information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Securities Trading Plans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During our last fiscal quarter, no director or officer, as defined in Rule 16a-1(f), adopted or terminated a “Rule 10b5-1 trading arrangement” or a “non-Rule 10b5-1 trading arrangement,” each as defined in Regulation S-K Item 408.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55" w:type="dxa"/>
        <w:jc w:val="left"/>
        <w:tblInd w:w="0" w:type="dxa"/>
        <w:tblLayout w:type="fixed"/>
        <w:tblCellMar>
          <w:top w:w="0" w:type="dxa"/>
          <w:left w:w="0" w:type="dxa"/>
          <w:bottom w:w="0" w:type="dxa"/>
          <w:right w:w="0" w:type="dxa"/>
        </w:tblCellMar>
      </w:tblPr>
      <w:tblGrid>
        <w:gridCol w:w="740"/>
        <w:gridCol w:w="815"/>
      </w:tblGrid>
      <w:tr>
        <w:trPr/>
        <w:tc>
          <w:tcPr>
            <w:tcW w:w="740" w:type="dxa"/>
            <w:tcBorders/>
            <w:vAlign w:val="center"/>
          </w:tcPr>
          <w:p>
            <w:pPr>
              <w:pStyle w:val="TableContents"/>
              <w:bidi w:val="0"/>
              <w:spacing w:before="0" w:after="283"/>
              <w:jc w:val="left"/>
              <w:rPr>
                <w:b/>
              </w:rPr>
            </w:pPr>
            <w:bookmarkStart w:id="14" w:name="exind265059_19"/>
            <w:bookmarkEnd w:id="14"/>
            <w:r>
              <w:rPr>
                <w:b/>
              </w:rPr>
              <w:t>Item 6.</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62"/>
        <w:gridCol w:w="120"/>
        <w:gridCol w:w="9323"/>
      </w:tblGrid>
      <w:tr>
        <w:trPr/>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23" w:type="dxa"/>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hyperlink r:id="rId3">
              <w:r>
                <w:rPr>
                  <w:rStyle w:val="InternetLink"/>
                </w:rPr>
                <w:t xml:space="preserve">Agreement, dated as of April 11, 2023, by and among Magnachip Semiconductor Corporation, Jackson Square Advisors LLC, GT Investments II Corp and Gilbert Nathan (incorporated by reference to Exhibit 10.1 to our Current Report on form 8-K filed on April 13, 2023). </w:t>
              </w:r>
            </w:hyperlink>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31.1#</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hyperlink w:anchor="d265059dex311.htm">
              <w:r>
                <w:rPr>
                  <w:rStyle w:val="InternetLink"/>
                </w:rPr>
                <w:t xml:space="preserve">Certification pursuant to Rule 13a-14(a) or Rule 15d-14(a) of the Securities Exchange Act of 1934 of the Chief Executive Officer. </w:t>
              </w:r>
            </w:hyperlink>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31.2#</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hyperlink w:anchor="d265059dex312.htm">
              <w:r>
                <w:rPr>
                  <w:rStyle w:val="InternetLink"/>
                </w:rPr>
                <w:t xml:space="preserve">Certification pursuant to Rule 13a-14(a) or Rule 15d-14(a) of the Securities Exchange Act of 1934 of the Chief Financial Officer. </w:t>
              </w:r>
            </w:hyperlink>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hyperlink w:anchor="d265059dex321.htm">
              <w:r>
                <w:rPr>
                  <w:rStyle w:val="InternetLink"/>
                </w:rPr>
                <w:t xml:space="preserve">Certification pursuant to 18 U.S.C. Section 1350, as adopted pursuant to Section 906 of the Sarbanes-Oxley Act of 2002, of the Chief Executive Officer. </w:t>
              </w:r>
            </w:hyperlink>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32.2†</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hyperlink w:anchor="d265059dex322.htm">
              <w:r>
                <w:rPr>
                  <w:rStyle w:val="InternetLink"/>
                </w:rPr>
                <w:t xml:space="preserve">Certification pursuant to 18 U.S.C. Section 1350, as adopted pursuant to Section 906 of the Sarbanes-Oxley Act of 2002, of the Chief Financial Officer. </w:t>
              </w:r>
            </w:hyperlink>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Inline XBRL Instance Document.</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Inline XBRL Taxonomy Extension Schema Document.</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Inline XBRL Taxonomy Extension Calculation Linkbase Document.</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Inline XBRL Taxonomy Extension Definition Linkbase Document.</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Inline XBRL Taxonomy Extension Label Linkbase Document.</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Inline XBRL Taxonomy Extension Presentation Linkbase Document.</w:t>
            </w:r>
          </w:p>
        </w:tc>
      </w:tr>
      <w:tr>
        <w:trPr/>
        <w:tc>
          <w:tcPr>
            <w:tcW w:w="762" w:type="dxa"/>
            <w:tcBorders/>
            <w:vAlign w:val="center"/>
          </w:tcPr>
          <w:p>
            <w:pPr>
              <w:pStyle w:val="TableContents"/>
              <w:bidi w:val="0"/>
              <w:spacing w:before="0" w:after="283"/>
              <w:jc w:val="left"/>
              <w:rPr>
                <w:sz w:val="4"/>
                <w:szCs w:val="4"/>
              </w:rPr>
            </w:pPr>
            <w:r>
              <w:rPr>
                <w:sz w:val="4"/>
                <w:szCs w:val="4"/>
              </w:rPr>
            </w:r>
          </w:p>
        </w:tc>
        <w:tc>
          <w:tcPr>
            <w:tcW w:w="9443" w:type="dxa"/>
            <w:gridSpan w:val="2"/>
            <w:tcBorders/>
            <w:vAlign w:val="center"/>
          </w:tcPr>
          <w:p>
            <w:pPr>
              <w:pStyle w:val="TableContents"/>
              <w:bidi w:val="0"/>
              <w:spacing w:before="0" w:after="283"/>
              <w:jc w:val="left"/>
              <w:rPr>
                <w:sz w:val="4"/>
                <w:szCs w:val="4"/>
              </w:rPr>
            </w:pPr>
            <w:r>
              <w:rPr>
                <w:sz w:val="4"/>
                <w:szCs w:val="4"/>
              </w:rPr>
            </w:r>
          </w:p>
        </w:tc>
      </w:tr>
      <w:tr>
        <w:trPr/>
        <w:tc>
          <w:tcPr>
            <w:tcW w:w="762"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23"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z w:val="20"/>
        </w:rPr>
      </w:pPr>
      <w:r>
        <w:rPr>
          <w:rFonts w:ascii="Times New Roman" w:hAnsi="Times New Roman"/>
          <w:sz w:val="20"/>
        </w:rPr>
        <w:t xml:space="preserve">Footnotes: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ig265059_20"/>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779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503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MAGNACHIP SEMICONDUCTOR CORPORATION</w:t>
            </w:r>
          </w:p>
          <w:p>
            <w:pPr>
              <w:pStyle w:val="TableContents"/>
              <w:bidi w:val="0"/>
              <w:spacing w:before="0" w:after="20"/>
              <w:jc w:val="left"/>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8,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Young-Joon Kim</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09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Dated: August 8,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right"/>
        <w:rPr>
          <w:rFonts w:ascii="Times New Roman" w:hAnsi="Times New Roman"/>
          <w:b/>
          <w:sz w:val="20"/>
        </w:rPr>
      </w:pPr>
      <w:bookmarkStart w:id="16" w:name="d265059dex311.htm"/>
      <w:bookmarkStart w:id="17" w:name="ksd265059dex311"/>
      <w:bookmarkEnd w:id="16"/>
      <w:bookmarkEnd w:id="17"/>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August 8, 2023</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283"/>
              <w:jc w:val="left"/>
              <w:rPr/>
            </w:pPr>
            <w:r>
              <w:rPr/>
              <w:t>Young-Joon Kim</w:t>
            </w:r>
          </w:p>
        </w:tc>
      </w:tr>
      <w:tr>
        <w:trPr/>
        <w:tc>
          <w:tcPr>
            <w:tcW w:w="4082" w:type="dxa"/>
            <w:tcBorders/>
          </w:tcPr>
          <w:p>
            <w:pPr>
              <w:pStyle w:val="TableContents"/>
              <w:bidi w:val="0"/>
              <w:spacing w:before="0" w:after="283"/>
              <w:jc w:val="left"/>
              <w:rPr/>
            </w:pPr>
            <w:r>
              <w:rPr/>
              <w:t>Chief Executive Officer</w:t>
            </w:r>
          </w:p>
        </w:tc>
      </w:tr>
      <w:tr>
        <w:trPr/>
        <w:tc>
          <w:tcPr>
            <w:tcW w:w="4082" w:type="dxa"/>
            <w:tcBorders/>
          </w:tcPr>
          <w:p>
            <w:pPr>
              <w:pStyle w:val="TableContents"/>
              <w:bidi w:val="0"/>
              <w:spacing w:before="0" w:after="283"/>
              <w:jc w:val="left"/>
              <w:rPr/>
            </w:pPr>
            <w:r>
              <w:rPr/>
              <w:t>(Principal Executive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8" w:name="d265059dex312.htm"/>
      <w:bookmarkStart w:id="19" w:name="ksd265059dex312"/>
      <w:bookmarkEnd w:id="18"/>
      <w:bookmarkEnd w:id="19"/>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August 8, 2023</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082" w:type="dxa"/>
            <w:tcBorders/>
          </w:tcPr>
          <w:p>
            <w:pPr>
              <w:pStyle w:val="TableContents"/>
              <w:bidi w:val="0"/>
              <w:spacing w:before="0" w:after="283"/>
              <w:jc w:val="left"/>
              <w:rPr/>
            </w:pPr>
            <w:r>
              <w:rPr/>
              <w:t>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0" w:name="d265059dex321.htm"/>
      <w:bookmarkStart w:id="21" w:name="ksd265059dex321"/>
      <w:bookmarkEnd w:id="20"/>
      <w:bookmarkEnd w:id="21"/>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June 30, 2023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7"/>
        <w:gridCol w:w="101"/>
        <w:gridCol w:w="408"/>
        <w:gridCol w:w="60"/>
        <w:gridCol w:w="23"/>
        <w:gridCol w:w="102"/>
        <w:gridCol w:w="4704"/>
      </w:tblGrid>
      <w:tr>
        <w:trPr/>
        <w:tc>
          <w:tcPr>
            <w:tcW w:w="48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04" w:type="dxa"/>
            <w:tcBorders/>
            <w:vAlign w:val="center"/>
          </w:tcPr>
          <w:p>
            <w:pPr>
              <w:pStyle w:val="TableContents"/>
              <w:bidi w:val="0"/>
              <w:spacing w:before="0" w:after="283"/>
              <w:jc w:val="left"/>
              <w:rPr>
                <w:sz w:val="4"/>
                <w:szCs w:val="4"/>
              </w:rPr>
            </w:pPr>
            <w:r>
              <w:rPr>
                <w:sz w:val="4"/>
                <w:szCs w:val="4"/>
              </w:rPr>
            </w:r>
          </w:p>
        </w:tc>
      </w:tr>
      <w:tr>
        <w:trPr/>
        <w:tc>
          <w:tcPr>
            <w:tcW w:w="4807" w:type="dxa"/>
            <w:tcBorders/>
          </w:tcPr>
          <w:p>
            <w:pPr>
              <w:pStyle w:val="TableContents"/>
              <w:bidi w:val="0"/>
              <w:spacing w:before="0" w:after="283"/>
              <w:jc w:val="left"/>
              <w:rPr/>
            </w:pPr>
            <w:r>
              <w:rPr/>
              <w:t>Dated: August 8, 2023</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pPr>
            <w:r>
              <w:rPr/>
              <w:t>Young-Joon Kim</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pPr>
            <w:r>
              <w:rPr/>
              <w:t>Chief Executive Officer</w:t>
            </w:r>
          </w:p>
        </w:tc>
      </w:tr>
      <w:tr>
        <w:trPr/>
        <w:tc>
          <w:tcPr>
            <w:tcW w:w="4807"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04" w:type="dxa"/>
            <w:tcBorders/>
          </w:tcPr>
          <w:p>
            <w:pPr>
              <w:pStyle w:val="TableContents"/>
              <w:bidi w:val="0"/>
              <w:spacing w:before="0" w:after="283"/>
              <w:jc w:val="left"/>
              <w:rPr/>
            </w:pPr>
            <w:r>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right"/>
        <w:rPr>
          <w:rFonts w:ascii="Times New Roman" w:hAnsi="Times New Roman"/>
          <w:b/>
          <w:sz w:val="20"/>
        </w:rPr>
      </w:pPr>
      <w:bookmarkStart w:id="22" w:name="d265059dex322.htm"/>
      <w:bookmarkStart w:id="23" w:name="ksd265059dex322"/>
      <w:bookmarkEnd w:id="22"/>
      <w:bookmarkEnd w:id="23"/>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120" w:after="0"/>
        <w:jc w:val="left"/>
        <w:rPr>
          <w:rFonts w:ascii="Times New Roman" w:hAnsi="Times New Roman"/>
          <w:sz w:val="20"/>
        </w:rPr>
      </w:pPr>
      <w:r>
        <w:rPr>
          <w:rFonts w:ascii="Times New Roman" w:hAnsi="Times New Roman"/>
          <w:sz w:val="20"/>
        </w:rPr>
        <w:t>(i) the Quarterly Report on Form 10-Q of the Company for the quarterly period ended June 30, 2023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12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06"/>
        <w:gridCol w:w="102"/>
        <w:gridCol w:w="408"/>
        <w:gridCol w:w="60"/>
        <w:gridCol w:w="23"/>
        <w:gridCol w:w="101"/>
        <w:gridCol w:w="4705"/>
      </w:tblGrid>
      <w:tr>
        <w:trPr/>
        <w:tc>
          <w:tcPr>
            <w:tcW w:w="48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05" w:type="dxa"/>
            <w:tcBorders/>
            <w:vAlign w:val="center"/>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283"/>
              <w:jc w:val="left"/>
              <w:rPr/>
            </w:pPr>
            <w:r>
              <w:rPr/>
              <w:t>Dated: August 8, 2023</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8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283"/>
              <w:jc w:val="left"/>
              <w:rPr/>
            </w:pPr>
            <w:r>
              <w:rPr/>
              <w:t>Shin Young Park</w:t>
            </w:r>
          </w:p>
        </w:tc>
      </w:tr>
      <w:tr>
        <w:trPr/>
        <w:tc>
          <w:tcPr>
            <w:tcW w:w="48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05"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25702/000119312523100523/d482271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22865</Words>
  <Characters>122792</Characters>
  <CharactersWithSpaces>152250</CharactersWithSpaces>
  <Paragraphs>10499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