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For the fiscal year ended December 31, 2020</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7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2" w:lineRule="exact"/>
        <w:rPr>
          <w:sz w:val="24"/>
          <w:szCs w:val="24"/>
          <w:color w:val="auto"/>
        </w:rPr>
      </w:pPr>
    </w:p>
    <w:p>
      <w:pPr>
        <w:ind w:left="3960"/>
        <w:spacing w:after="0"/>
        <w:tabs>
          <w:tab w:leader="none" w:pos="64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3649980</wp:posOffset>
            </wp:positionH>
            <wp:positionV relativeFrom="paragraph">
              <wp:posOffset>-635</wp:posOffset>
            </wp:positionV>
            <wp:extent cx="971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204470</wp:posOffset>
            </wp:positionV>
            <wp:extent cx="2228850" cy="43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7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ind w:left="25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83-0406195</w:t>
      </w:r>
    </w:p>
    <w:p>
      <w:pPr>
        <w:spacing w:after="0" w:line="21" w:lineRule="exact"/>
        <w:rPr>
          <w:sz w:val="24"/>
          <w:szCs w:val="24"/>
          <w:color w:val="auto"/>
        </w:rPr>
      </w:pPr>
    </w:p>
    <w:p>
      <w:pPr>
        <w:ind w:left="1760"/>
        <w:spacing w:after="0"/>
        <w:tabs>
          <w:tab w:leader="none" w:pos="7800" w:val="left"/>
        </w:tabs>
        <w:rPr>
          <w:sz w:val="20"/>
          <w:szCs w:val="20"/>
          <w:color w:val="auto"/>
        </w:rPr>
      </w:pPr>
      <w:r>
        <w:rPr>
          <w:rFonts w:ascii="Arial" w:cs="Arial" w:eastAsia="Arial" w:hAnsi="Arial"/>
          <w:sz w:val="18"/>
          <w:szCs w:val="18"/>
          <w:b w:val="1"/>
          <w:bCs w:val="1"/>
          <w:color w:val="auto"/>
        </w:rPr>
        <w:t>(State or Other Jurisdiction of</w:t>
      </w:r>
      <w:r>
        <w:rPr>
          <w:sz w:val="20"/>
          <w:szCs w:val="20"/>
          <w:color w:val="auto"/>
        </w:rPr>
        <w:tab/>
      </w:r>
      <w:r>
        <w:rPr>
          <w:rFonts w:ascii="Arial" w:cs="Arial" w:eastAsia="Arial" w:hAnsi="Arial"/>
          <w:sz w:val="16"/>
          <w:szCs w:val="16"/>
          <w:b w:val="1"/>
          <w:bCs w:val="1"/>
          <w:color w:val="auto"/>
        </w:rPr>
        <w:t>(I.R.S. Employer</w:t>
      </w:r>
    </w:p>
    <w:p>
      <w:pPr>
        <w:spacing w:after="0" w:line="9" w:lineRule="exact"/>
        <w:rPr>
          <w:sz w:val="24"/>
          <w:szCs w:val="24"/>
          <w:color w:val="auto"/>
        </w:rPr>
      </w:pPr>
    </w:p>
    <w:p>
      <w:pPr>
        <w:ind w:left="1720"/>
        <w:spacing w:after="0"/>
        <w:tabs>
          <w:tab w:leader="none" w:pos="7760" w:val="left"/>
        </w:tabs>
        <w:rPr>
          <w:sz w:val="20"/>
          <w:szCs w:val="20"/>
          <w:color w:val="auto"/>
        </w:rPr>
      </w:pPr>
      <w:r>
        <w:rPr>
          <w:rFonts w:ascii="Arial" w:cs="Arial" w:eastAsia="Arial" w:hAnsi="Arial"/>
          <w:sz w:val="18"/>
          <w:szCs w:val="18"/>
          <w:b w:val="1"/>
          <w:bCs w:val="1"/>
          <w:color w:val="auto"/>
        </w:rPr>
        <w:t>Incorporation or Organization)</w:t>
      </w:r>
      <w:r>
        <w:rPr>
          <w:sz w:val="20"/>
          <w:szCs w:val="20"/>
          <w:color w:val="auto"/>
        </w:rPr>
        <w:tab/>
      </w:r>
      <w:r>
        <w:rPr>
          <w:rFonts w:ascii="Arial" w:cs="Arial" w:eastAsia="Arial" w:hAnsi="Arial"/>
          <w:sz w:val="16"/>
          <w:szCs w:val="16"/>
          <w:b w:val="1"/>
          <w:bCs w:val="1"/>
          <w:color w:val="auto"/>
        </w:rPr>
        <w:t>Identification No.)</w:t>
      </w:r>
    </w:p>
    <w:p>
      <w:pPr>
        <w:spacing w:after="0" w:line="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 MagnaChip Semiconductor S.A.</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9"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w w:val="89"/>
              </w:rPr>
              <w:t>Title of each class</w:t>
            </w:r>
          </w:p>
        </w:tc>
        <w:tc>
          <w:tcPr>
            <w:tcW w:w="1800" w:type="dxa"/>
            <w:vAlign w:val="bottom"/>
          </w:tcPr>
          <w:p>
            <w:pPr>
              <w:spacing w:after="0"/>
              <w:rPr>
                <w:sz w:val="14"/>
                <w:szCs w:val="14"/>
                <w:color w:val="auto"/>
              </w:rPr>
            </w:pPr>
          </w:p>
        </w:tc>
        <w:tc>
          <w:tcPr>
            <w:tcW w:w="2120" w:type="dxa"/>
            <w:vAlign w:val="bottom"/>
            <w:gridSpan w:val="3"/>
          </w:tcPr>
          <w:p>
            <w:pPr>
              <w:jc w:val="center"/>
              <w:ind w:left="273"/>
              <w:spacing w:after="0"/>
              <w:rPr>
                <w:sz w:val="20"/>
                <w:szCs w:val="20"/>
                <w:color w:val="auto"/>
              </w:rPr>
            </w:pPr>
            <w:r>
              <w:rPr>
                <w:rFonts w:ascii="Arial" w:cs="Arial" w:eastAsia="Arial" w:hAnsi="Arial"/>
                <w:sz w:val="13"/>
                <w:szCs w:val="13"/>
                <w:b w:val="1"/>
                <w:bCs w:val="1"/>
                <w:color w:val="auto"/>
                <w:w w:val="95"/>
              </w:rPr>
              <w:t>Trading Symbol</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gridSpan w:val="2"/>
          </w:tcPr>
          <w:p>
            <w:pPr>
              <w:jc w:val="center"/>
              <w:ind w:left="693"/>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0.01 per share</w:t>
            </w: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 par value $</w:t>
            </w:r>
          </w:p>
        </w:tc>
        <w:tc>
          <w:tcPr>
            <w:tcW w:w="18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MX</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740" w:type="dxa"/>
            <w:vAlign w:val="bottom"/>
            <w:gridSpan w:val="8"/>
          </w:tcPr>
          <w:p>
            <w:pPr>
              <w:ind w:left="60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60" w:type="dxa"/>
            <w:vAlign w:val="bottom"/>
            <w:gridSpan w:val="6"/>
          </w:tcPr>
          <w:p>
            <w:pPr>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60" w:type="dxa"/>
            <w:vAlign w:val="bottom"/>
            <w:gridSpan w:val="2"/>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tc>
        <w:tc>
          <w:tcPr>
            <w:tcW w:w="3260" w:type="dxa"/>
            <w:vAlign w:val="bottom"/>
            <w:gridSpan w:val="2"/>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0" w:type="dxa"/>
            <w:vAlign w:val="bottom"/>
          </w:tcPr>
          <w:p>
            <w:pPr>
              <w:spacing w:after="0"/>
              <w:rPr>
                <w:sz w:val="1"/>
                <w:szCs w:val="1"/>
                <w:color w:val="auto"/>
              </w:rPr>
            </w:pPr>
          </w:p>
        </w:tc>
      </w:tr>
      <w:tr>
        <w:trPr>
          <w:trHeight w:val="230"/>
        </w:trPr>
        <w:tc>
          <w:tcPr>
            <w:tcW w:w="6460" w:type="dxa"/>
            <w:vAlign w:val="bottom"/>
            <w:gridSpan w:val="6"/>
          </w:tcPr>
          <w:p>
            <w:pPr>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60" w:type="dxa"/>
            <w:vAlign w:val="bottom"/>
            <w:gridSpan w:val="2"/>
          </w:tcPr>
          <w:p>
            <w:pPr>
              <w:ind w:left="1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tc>
        <w:tc>
          <w:tcPr>
            <w:tcW w:w="3260" w:type="dxa"/>
            <w:vAlign w:val="bottom"/>
            <w:gridSpan w:val="2"/>
          </w:tcPr>
          <w:p>
            <w:pPr>
              <w:ind w:left="1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120" w:right="34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4" w:lineRule="exact"/>
        <w:rPr>
          <w:sz w:val="24"/>
          <w:szCs w:val="24"/>
          <w:color w:val="auto"/>
        </w:rPr>
      </w:pPr>
    </w:p>
    <w:p>
      <w:pPr>
        <w:ind w:left="120" w:right="10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4" w:lineRule="exact"/>
        <w:rPr>
          <w:sz w:val="24"/>
          <w:szCs w:val="24"/>
          <w:color w:val="auto"/>
        </w:rPr>
      </w:pPr>
    </w:p>
    <w:p>
      <w:pPr>
        <w:ind w:left="120" w:right="18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157"/>
        </w:trPr>
        <w:tc>
          <w:tcPr>
            <w:tcW w:w="18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06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06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4"/>
        </w:trPr>
        <w:tc>
          <w:tcPr>
            <w:tcW w:w="18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43" w:lineRule="exact"/>
        <w:rPr>
          <w:sz w:val="24"/>
          <w:szCs w:val="24"/>
          <w:color w:val="auto"/>
        </w:rPr>
      </w:pPr>
    </w:p>
    <w:p>
      <w:pPr>
        <w:ind w:left="120" w:right="4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ind w:left="120" w:right="8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 w:lineRule="exact"/>
        <w:rPr>
          <w:sz w:val="24"/>
          <w:szCs w:val="24"/>
          <w:color w:val="auto"/>
        </w:rPr>
      </w:pPr>
    </w:p>
    <w:p>
      <w:pPr>
        <w:ind w:left="120"/>
        <w:spacing w:after="0" w:line="150" w:lineRule="exact"/>
        <w:tabs>
          <w:tab w:leader="none" w:pos="58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105" w:lineRule="exact"/>
        <w:rPr>
          <w:sz w:val="24"/>
          <w:szCs w:val="24"/>
          <w:color w:val="auto"/>
        </w:rPr>
      </w:pPr>
    </w:p>
    <w:p>
      <w:pPr>
        <w:ind w:left="120" w:right="80"/>
        <w:spacing w:after="0" w:line="274"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$332,177,863.40.</w:t>
      </w:r>
    </w:p>
    <w:p>
      <w:pPr>
        <w:spacing w:after="0" w:line="37" w:lineRule="exact"/>
        <w:rPr>
          <w:sz w:val="24"/>
          <w:szCs w:val="24"/>
          <w:color w:val="auto"/>
        </w:rPr>
      </w:pPr>
    </w:p>
    <w:p>
      <w:pPr>
        <w:ind w:left="120"/>
        <w:spacing w:after="0"/>
        <w:rPr>
          <w:sz w:val="20"/>
          <w:szCs w:val="20"/>
          <w:color w:val="auto"/>
        </w:rPr>
      </w:pPr>
      <w:r>
        <w:rPr>
          <w:rFonts w:ascii="Arial" w:cs="Arial" w:eastAsia="Arial" w:hAnsi="Arial"/>
          <w:sz w:val="13"/>
          <w:szCs w:val="13"/>
          <w:color w:val="auto"/>
        </w:rPr>
        <w:t>As of February 26, 2021, the registrant had 46,130,726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080"/>
          </w:cols>
          <w:pgMar w:left="320" w:top="230" w:right="499" w:bottom="1440" w:gutter="0" w:footer="0" w:header="0"/>
        </w:sectPr>
      </w:pPr>
    </w:p>
    <w:p>
      <w:pPr>
        <w:spacing w:after="0" w:line="94" w:lineRule="exact"/>
        <w:rPr>
          <w:sz w:val="24"/>
          <w:szCs w:val="24"/>
          <w:color w:val="auto"/>
        </w:rPr>
      </w:pPr>
    </w:p>
    <w:p>
      <w:pPr>
        <w:ind w:left="120"/>
        <w:spacing w:after="0" w:line="274" w:lineRule="auto"/>
        <w:rPr>
          <w:sz w:val="20"/>
          <w:szCs w:val="20"/>
          <w:color w:val="auto"/>
        </w:rPr>
      </w:pPr>
      <w:r>
        <w:rPr>
          <w:rFonts w:ascii="Arial" w:cs="Arial" w:eastAsia="Arial" w:hAnsi="Arial"/>
          <w:sz w:val="13"/>
          <w:szCs w:val="13"/>
          <w:color w:val="auto"/>
        </w:rPr>
        <w:t>Portions of the registrant’s definitive proxy statement relating to its 2021 annual meeting of stockholders will be incorporated by reference into Part III of this Annual Report on Form 10-K or included by amendment to this report within 120 days after the end of the fiscal year to which this report relates.</w:t>
      </w:r>
    </w:p>
    <w:p>
      <w:pPr>
        <w:sectPr>
          <w:pgSz w:w="11900" w:h="16838" w:orient="portrait"/>
          <w:cols w:equalWidth="0" w:num="1">
            <w:col w:w="11080"/>
          </w:cols>
          <w:pgMar w:left="320" w:top="230"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80" w:right="2540"/>
        <w:spacing w:after="0" w:line="262" w:lineRule="auto"/>
        <w:rPr>
          <w:sz w:val="20"/>
          <w:szCs w:val="20"/>
          <w:color w:val="auto"/>
        </w:rPr>
      </w:pPr>
      <w:r>
        <w:rPr>
          <w:rFonts w:ascii="Arial" w:cs="Arial" w:eastAsia="Arial" w:hAnsi="Arial"/>
          <w:sz w:val="18"/>
          <w:szCs w:val="18"/>
          <w:b w:val="1"/>
          <w:bCs w:val="1"/>
          <w:color w:val="auto"/>
        </w:rPr>
        <w:t>MAGNACHIP SEMICONDUCTOR CORPORATION AND SUBSIDIARIES FORM 10-K FOR THE YEAR ENDED DECEMBER 31, 2020 TABLE OF CONTENTS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87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88"/>
        </w:trPr>
        <w:tc>
          <w:tcPr>
            <w:tcW w:w="1880" w:type="dxa"/>
            <w:vAlign w:val="bottom"/>
            <w:vMerge w:val="continue"/>
          </w:tcPr>
          <w:p>
            <w:pPr>
              <w:spacing w:after="0"/>
              <w:rPr>
                <w:sz w:val="16"/>
                <w:szCs w:val="16"/>
                <w:color w:val="auto"/>
              </w:rPr>
            </w:pPr>
          </w:p>
        </w:tc>
        <w:tc>
          <w:tcPr>
            <w:tcW w:w="8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876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1A.</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color w:val="0000EE"/>
              </w:rPr>
            </w:pPr>
            <w:hyperlink w:anchor="page36">
              <w:r>
                <w:rPr>
                  <w:rFonts w:ascii="Arial" w:cs="Arial" w:eastAsia="Arial" w:hAnsi="Arial"/>
                  <w:sz w:val="18"/>
                  <w:szCs w:val="18"/>
                  <w:u w:val="single" w:color="auto"/>
                  <w:color w:val="0000EE"/>
                </w:rPr>
                <w:t>Item 1B</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Unresolved Staff Comments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8760" w:type="dxa"/>
            <w:vAlign w:val="bottom"/>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w:t>
              </w:r>
            </w:hyperlink>
          </w:p>
        </w:tc>
        <w:tc>
          <w:tcPr>
            <w:tcW w:w="8760" w:type="dxa"/>
            <w:vAlign w:val="bottom"/>
          </w:tcPr>
          <w:p>
            <w:pPr>
              <w:ind w:left="1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880" w:type="dxa"/>
            <w:vAlign w:val="bottom"/>
          </w:tcPr>
          <w:p>
            <w:pPr>
              <w:ind w:left="10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w:t>
              </w:r>
            </w:hyperlink>
          </w:p>
        </w:tc>
        <w:tc>
          <w:tcPr>
            <w:tcW w:w="8760" w:type="dxa"/>
            <w:vAlign w:val="bottom"/>
          </w:tcPr>
          <w:p>
            <w:pPr>
              <w:ind w:left="1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18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w:t>
              </w:r>
            </w:hyperlink>
          </w:p>
        </w:tc>
        <w:tc>
          <w:tcPr>
            <w:tcW w:w="8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5.</w:t>
              </w:r>
            </w:hyperlink>
          </w:p>
        </w:tc>
        <w:tc>
          <w:tcPr>
            <w:tcW w:w="8760" w:type="dxa"/>
            <w:vAlign w:val="bottom"/>
          </w:tcPr>
          <w:p>
            <w:pPr>
              <w:ind w:left="180"/>
              <w:spacing w:after="0"/>
              <w:rPr>
                <w:rFonts w:ascii="Arial" w:cs="Arial" w:eastAsia="Arial" w:hAnsi="Arial"/>
                <w:sz w:val="18"/>
                <w:szCs w:val="18"/>
                <w:u w:val="single" w:color="auto"/>
                <w:color w:val="0000EE"/>
                <w:w w:val="96"/>
              </w:rPr>
            </w:pPr>
            <w:hyperlink w:anchor="page38">
              <w:r>
                <w:rPr>
                  <w:rFonts w:ascii="Arial" w:cs="Arial" w:eastAsia="Arial" w:hAnsi="Arial"/>
                  <w:sz w:val="18"/>
                  <w:szCs w:val="18"/>
                  <w:u w:val="single" w:color="auto"/>
                  <w:color w:val="0000EE"/>
                  <w:w w:val="96"/>
                </w:rPr>
                <w:t>Market for Registrant’s Common Equity, Related Stockholder Matters and Issuer Purchases of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6.</w:t>
              </w:r>
            </w:hyperlink>
          </w:p>
        </w:tc>
        <w:tc>
          <w:tcPr>
            <w:tcW w:w="8760" w:type="dxa"/>
            <w:vAlign w:val="bottom"/>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7.</w:t>
              </w:r>
            </w:hyperlink>
          </w:p>
        </w:tc>
        <w:tc>
          <w:tcPr>
            <w:tcW w:w="8760" w:type="dxa"/>
            <w:vAlign w:val="bottom"/>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7A.</w:t>
              </w:r>
            </w:hyperlink>
          </w:p>
        </w:tc>
        <w:tc>
          <w:tcPr>
            <w:tcW w:w="8760" w:type="dxa"/>
            <w:vAlign w:val="bottom"/>
          </w:tcPr>
          <w:p>
            <w:pPr>
              <w:ind w:left="1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8.</w:t>
              </w:r>
            </w:hyperlink>
          </w:p>
        </w:tc>
        <w:tc>
          <w:tcPr>
            <w:tcW w:w="8760" w:type="dxa"/>
            <w:vAlign w:val="bottom"/>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Financial Statements and Supplementary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9.</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9A.</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0"/>
        </w:trPr>
        <w:tc>
          <w:tcPr>
            <w:tcW w:w="1880" w:type="dxa"/>
            <w:vAlign w:val="bottom"/>
          </w:tcPr>
          <w:p>
            <w:pPr>
              <w:ind w:left="1080"/>
              <w:spacing w:after="0"/>
              <w:rPr>
                <w:rFonts w:ascii="Arial" w:cs="Arial" w:eastAsia="Arial" w:hAnsi="Arial"/>
                <w:sz w:val="18"/>
                <w:szCs w:val="18"/>
                <w:color w:val="0000EE"/>
              </w:rPr>
            </w:pPr>
            <w:hyperlink w:anchor="page118">
              <w:r>
                <w:rPr>
                  <w:rFonts w:ascii="Arial" w:cs="Arial" w:eastAsia="Arial" w:hAnsi="Arial"/>
                  <w:sz w:val="18"/>
                  <w:szCs w:val="18"/>
                  <w:u w:val="single" w:color="auto"/>
                  <w:color w:val="0000EE"/>
                </w:rPr>
                <w:t>Item 9B</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22"/>
        </w:trPr>
        <w:tc>
          <w:tcPr>
            <w:tcW w:w="1880" w:type="dxa"/>
            <w:vAlign w:val="bottom"/>
          </w:tcPr>
          <w:p>
            <w:pPr>
              <w:spacing w:after="0"/>
              <w:rPr>
                <w:rFonts w:ascii="Arial" w:cs="Arial" w:eastAsia="Arial" w:hAnsi="Arial"/>
                <w:sz w:val="18"/>
                <w:szCs w:val="18"/>
                <w:b w:val="1"/>
                <w:bCs w:val="1"/>
                <w:u w:val="single" w:color="auto"/>
                <w:color w:val="0000EE"/>
              </w:rPr>
            </w:pPr>
            <w:hyperlink w:anchor="page119">
              <w:r>
                <w:rPr>
                  <w:rFonts w:ascii="Arial" w:cs="Arial" w:eastAsia="Arial" w:hAnsi="Arial"/>
                  <w:sz w:val="18"/>
                  <w:szCs w:val="18"/>
                  <w:b w:val="1"/>
                  <w:bCs w:val="1"/>
                  <w:u w:val="single" w:color="auto"/>
                  <w:color w:val="0000EE"/>
                </w:rPr>
                <w:t>PART III</w:t>
              </w:r>
            </w:hyperlink>
          </w:p>
        </w:tc>
        <w:tc>
          <w:tcPr>
            <w:tcW w:w="8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color w:val="0000EE"/>
              </w:rPr>
            </w:pPr>
            <w:hyperlink w:anchor="page119">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Item 11.</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color w:val="0000EE"/>
              </w:rPr>
            </w:pPr>
            <w:hyperlink w:anchor="page119">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color w:val="0000EE"/>
              </w:rPr>
            </w:pPr>
            <w:hyperlink w:anchor="page119">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Certain Relationships and Related Transactions, and Director Independence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0"/>
        </w:trPr>
        <w:tc>
          <w:tcPr>
            <w:tcW w:w="1880" w:type="dxa"/>
            <w:vAlign w:val="bottom"/>
          </w:tcPr>
          <w:p>
            <w:pPr>
              <w:ind w:left="1080"/>
              <w:spacing w:after="0"/>
              <w:rPr>
                <w:rFonts w:ascii="Arial" w:cs="Arial" w:eastAsia="Arial" w:hAnsi="Arial"/>
                <w:sz w:val="18"/>
                <w:szCs w:val="18"/>
                <w:color w:val="0000EE"/>
              </w:rPr>
            </w:pPr>
            <w:hyperlink w:anchor="page119">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22"/>
        </w:trPr>
        <w:tc>
          <w:tcPr>
            <w:tcW w:w="1880" w:type="dxa"/>
            <w:vAlign w:val="bottom"/>
          </w:tcPr>
          <w:p>
            <w:pPr>
              <w:spacing w:after="0"/>
              <w:rPr>
                <w:rFonts w:ascii="Arial" w:cs="Arial" w:eastAsia="Arial" w:hAnsi="Arial"/>
                <w:sz w:val="18"/>
                <w:szCs w:val="18"/>
                <w:b w:val="1"/>
                <w:bCs w:val="1"/>
                <w:u w:val="single" w:color="auto"/>
                <w:color w:val="0000EE"/>
              </w:rPr>
            </w:pPr>
            <w:hyperlink w:anchor="page120">
              <w:r>
                <w:rPr>
                  <w:rFonts w:ascii="Arial" w:cs="Arial" w:eastAsia="Arial" w:hAnsi="Arial"/>
                  <w:sz w:val="18"/>
                  <w:szCs w:val="18"/>
                  <w:b w:val="1"/>
                  <w:bCs w:val="1"/>
                  <w:u w:val="single" w:color="auto"/>
                  <w:color w:val="0000EE"/>
                </w:rPr>
                <w:t>PART IV</w:t>
              </w:r>
            </w:hyperlink>
          </w:p>
        </w:tc>
        <w:tc>
          <w:tcPr>
            <w:tcW w:w="8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080"/>
              <w:spacing w:after="0"/>
              <w:rPr>
                <w:rFonts w:ascii="Arial" w:cs="Arial" w:eastAsia="Arial" w:hAnsi="Arial"/>
                <w:sz w:val="18"/>
                <w:szCs w:val="18"/>
                <w:color w:val="0000EE"/>
              </w:rPr>
            </w:pPr>
            <w:hyperlink w:anchor="page120">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10"/>
        </w:trPr>
        <w:tc>
          <w:tcPr>
            <w:tcW w:w="1880" w:type="dxa"/>
            <w:vAlign w:val="bottom"/>
          </w:tcPr>
          <w:p>
            <w:pPr>
              <w:ind w:left="1080"/>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8760" w:type="dxa"/>
            <w:vAlign w:val="bottom"/>
          </w:tcPr>
          <w:p>
            <w:pPr>
              <w:ind w:left="18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10-K Summary</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28"/>
        </w:trPr>
        <w:tc>
          <w:tcPr>
            <w:tcW w:w="1880" w:type="dxa"/>
            <w:vAlign w:val="bottom"/>
          </w:tcPr>
          <w:p>
            <w:pPr>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SIGNATURES</w:t>
              </w:r>
            </w:hyperlink>
          </w:p>
        </w:tc>
        <w:tc>
          <w:tcPr>
            <w:tcW w:w="8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have made statements in this Annual Report on Form 10-K for the year ended December 31, 2020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September 1, 2020, we completed the sale of our Foundry Services Group business and our fabrication facility located in Cheongju to Key Foundry Co., Ltd. Unless otherwise noted herein, historical operational metrics presented herein do not include those of the Foundry Services Group.</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8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8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a designer and supplier of analog and mixed-signal semiconductor platform solutions for communications, Internet of Things (“IoT”) applications, consumer, industrial and automotive applications. We have a proven record with more than 40 years of operating history, a portfolio of approximately 1,200 registered patents and pending applications and extensive engineering and manufacturing process expertise. On September 1, 2020, we completed the previously announced sale of our Foundry Services Group business and its fabrication facility located in Cheongju known as “Fab 4,” marking a strategic shift in our operational focus to our standard products business. For a further description of the Foundry Services Group business, see “—Legacy Foundry Services Group Business” below. Our standard products business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servers and industrial applications.</w:t>
      </w:r>
    </w:p>
    <w:p>
      <w:pPr>
        <w:spacing w:after="0" w:line="18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wide variety of analog and mixed-signal semiconductor products allow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400 distinct products in the year ended December 31, 2020 with a substantial portion of our revenues derived from a concentrated number of customers.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For the year ended December 31, 2020, we generated total revenues of $507.1 million, net income of $345.0 million, Adjusted EBITDA of $52.9 million, Adjusted Operating Income of $41.6 million and Adjusted Net Income of $28.3 million. See “Item 7. Management’s Discussion and Analysis of Financial Condition and Results of Operations” elsewhere in this Report for an explanation of our use of Adjusted EBITDA, Adjusted Operating Income and Adjusted Net Income and a reconciliation to income (loss) from continuing operations prepared in accordance with United States Generally Accepted Accounting Principles (“U.S. GAAP”).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business was named “MagnaChip Semiconductor” when it was acquired from SK hynix Inc., formerly known as Hynix Semiconductor, Inc. (“SK hynix”), in October 2004. We refer to this acquisition as the “Original Acquisition.”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March 10, 2011, we completed our initial public offering. In connection with our initial public offering, we converted from a Delaware limited liability company to a Delaware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30, 2020, we changed our name from “MagnaChip Semiconductor Corporation” to “Magnachip Semiconductor Corporation.”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Legacy Foundry Services Group Business</w:t>
      </w:r>
    </w:p>
    <w:p>
      <w:pPr>
        <w:spacing w:after="0" w:line="121"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On September 1, 2020, we completed the sale of our Foundry Services Group business and our fabrication facility located in Cheongju to Key Foundry Co., Ltd. This sale was part of a strategic shift in our operational focus to our standard products business. The Foundry Services Group provided specialty analog and mixed signal foundry services mainly for fabless and Integrated Device Manufacturer semiconductor companies.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Micro light emitting diode (LED) televisions. Our Display Solutions line of products support the industry’s most advanced display technologies, such as OLEDs, and low temperature polysilicon thin film transistor (LTPS TFT), as well as high-volume display technologies such as amorphous silicon thin film transistors (a-Si TFTs). Our Display Solutions products represented 59.0%, 59.3% and 55.0% of our total revenues for the fiscal years ended December 31, 2020, 2019 and 2018, respectively.</w:t>
      </w:r>
    </w:p>
    <w:p>
      <w:pPr>
        <w:spacing w:after="0" w:line="19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linear regulators and power management integrated circuits (PMICs) for a range of devices, including televisions, smartphones, mobile phones, wearable devices, desktop PCs, notebooks, tablet PCs, other consumer electronics, and industrial applications such as power suppliers, e-bike, photovoltaic inverter, LED lighting, motor drive and home appliances. Our Power Solutions products represented 32.8%, 33.9% and 36.4% of our total revenues for the fiscal years ended December 31, 2020, 2019 and 2018, respectively.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semiconductor market is large and is expanding its applications. Growth in this market is being driven by consumers seeking to enjoy a wide variety of rich media content, such as high definition audio and video, mobile devices, televisions and games. Recently, industrial applications such as power suppliers, e-bikes, photovoltaic inverters, LED lighting and motor drives are also driving growth in the semiconductor market.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 These advanced generations of consumer devices are growing faster than the overall electronics device market.</w:t>
      </w:r>
    </w:p>
    <w:p>
      <w:pPr>
        <w:spacing w:after="0" w:line="18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semiconductors include display drivers, timing controllers, audio encoding and decoding devices, or codecs, and interface circuits, as well as power management semiconductors such as voltage regulators, converters and switches.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of Leading Electronic Devices Manufacturers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believe our target customers view the following characteristics and capabilities as key differentiating factors among available analog and mixed-signal semiconductor suppliers:</w:t>
      </w:r>
    </w:p>
    <w:p>
      <w:pPr>
        <w:spacing w:after="0" w:line="76" w:lineRule="exact"/>
        <w:rPr>
          <w:sz w:val="20"/>
          <w:szCs w:val="20"/>
          <w:color w:val="auto"/>
        </w:rPr>
      </w:pPr>
    </w:p>
    <w:p>
      <w:pPr>
        <w:ind w:left="54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Offering of Differentiated Products with Advanced System-Level Features and Functions. </w:t>
      </w:r>
      <w:r>
        <w:rPr>
          <w:rFonts w:ascii="Arial" w:cs="Arial" w:eastAsia="Arial" w:hAnsi="Arial"/>
          <w:sz w:val="18"/>
          <w:szCs w:val="18"/>
          <w:color w:val="auto"/>
        </w:rPr>
        <w:t>Leading electronic devices manufacturers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and technologies that enable state of the art features and functions, such as bright and thin displays, small form factor and energy efficiency.</w:t>
      </w:r>
    </w:p>
    <w:p>
      <w:pPr>
        <w:spacing w:after="0" w:line="93" w:lineRule="exact"/>
        <w:rPr>
          <w:rFonts w:ascii="Arial" w:cs="Arial" w:eastAsia="Arial" w:hAnsi="Arial"/>
          <w:sz w:val="18"/>
          <w:szCs w:val="18"/>
          <w:color w:val="auto"/>
        </w:rPr>
      </w:pPr>
    </w:p>
    <w:p>
      <w:pPr>
        <w:ind w:left="540" w:right="440" w:hanging="42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Fast Time-to-Market with New Products. </w:t>
      </w:r>
      <w:r>
        <w:rPr>
          <w:rFonts w:ascii="Arial" w:cs="Arial" w:eastAsia="Arial" w:hAnsi="Arial"/>
          <w:sz w:val="18"/>
          <w:szCs w:val="18"/>
          <w:color w:val="auto"/>
        </w:rPr>
        <w:t>As a result of rapid technological advancements and short product lifecycles, our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prefer suppliers who have a compelling pipeline of new products and capacity to leverage a substantial intellectual property and technology base to accelerate product design and manufacturing when needed.</w:t>
      </w:r>
    </w:p>
    <w:p>
      <w:pPr>
        <w:spacing w:after="0" w:line="89" w:lineRule="exact"/>
        <w:rPr>
          <w:rFonts w:ascii="Arial" w:cs="Arial" w:eastAsia="Arial" w:hAnsi="Arial"/>
          <w:sz w:val="18"/>
          <w:szCs w:val="18"/>
          <w:color w:val="auto"/>
        </w:rPr>
      </w:pPr>
    </w:p>
    <w:p>
      <w:pPr>
        <w:ind w:left="540" w:right="300" w:hanging="424"/>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Deliver Cost Competitive Solutions. </w:t>
      </w:r>
      <w:r>
        <w:rPr>
          <w:rFonts w:ascii="Arial" w:cs="Arial" w:eastAsia="Arial" w:hAnsi="Arial"/>
          <w:sz w:val="18"/>
          <w:szCs w:val="18"/>
          <w:color w:val="auto"/>
        </w:rPr>
        <w:t>Electronics manufacturers are under constant pressure to deliver cost-competitive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92"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Delivering Highly Energy-Efficient Products. </w:t>
      </w:r>
      <w:r>
        <w:rPr>
          <w:rFonts w:ascii="Arial" w:cs="Arial" w:eastAsia="Arial" w:hAnsi="Arial"/>
          <w:sz w:val="18"/>
          <w:szCs w:val="18"/>
          <w:color w:val="auto"/>
        </w:rPr>
        <w:t>Consumers increasingly seek longer run-time, 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3" w:lineRule="exact"/>
        <w:rPr>
          <w:sz w:val="20"/>
          <w:szCs w:val="20"/>
          <w:color w:val="auto"/>
        </w:rPr>
      </w:pPr>
    </w:p>
    <w:p>
      <w:pPr>
        <w:ind w:left="540" w:right="80" w:hanging="424"/>
        <w:spacing w:after="0" w:line="27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Advanced Analog and Mixed-Signal Semiconductor Technology. </w:t>
      </w:r>
      <w:r>
        <w:rPr>
          <w:rFonts w:ascii="Arial" w:cs="Arial" w:eastAsia="Arial" w:hAnsi="Arial"/>
          <w:sz w:val="17"/>
          <w:szCs w:val="17"/>
          <w:color w:val="auto"/>
        </w:rPr>
        <w:t>Our long operating history, large patent portfolio, extensive engineering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process expertise and analog and mixed-signal intellectual property allow us to leverage our technology and develop new products across multiple end markets. Our product development efforts are supported by a team of over 200 engineers as of the date of this Annual Report. Our platform allows us to develop and introduce new products quickly and integrate numerous functions into a single product. For example, we were one of the first companies to introduce a commercial OLED display driver for mobile phones.</w:t>
      </w:r>
    </w:p>
    <w:p>
      <w:pPr>
        <w:spacing w:after="0" w:line="81" w:lineRule="exact"/>
        <w:rPr>
          <w:rFonts w:ascii="Arial" w:cs="Arial" w:eastAsia="Arial" w:hAnsi="Arial"/>
          <w:sz w:val="17"/>
          <w:szCs w:val="17"/>
          <w:color w:val="auto"/>
        </w:rPr>
      </w:pPr>
    </w:p>
    <w:p>
      <w:pPr>
        <w:ind w:left="540" w:right="480" w:hanging="424"/>
        <w:spacing w:after="0" w:line="31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Relationships and Close Collaboration with Leading Global Electronics Companies. </w:t>
      </w:r>
      <w:r>
        <w:rPr>
          <w:rFonts w:ascii="Arial" w:cs="Arial" w:eastAsia="Arial" w:hAnsi="Arial"/>
          <w:sz w:val="16"/>
          <w:szCs w:val="16"/>
          <w:color w:val="auto"/>
        </w:rPr>
        <w:t>We have a long history of supplying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collaborating on product and technology development with leading innovators in the consumer electronics market. Our close customer relationships have been built based on many years of close collaborative product development, which provides us with deep system-level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308" w:lineRule="auto"/>
        <w:rPr>
          <w:sz w:val="20"/>
          <w:szCs w:val="20"/>
          <w:color w:val="auto"/>
        </w:rPr>
      </w:pPr>
      <w:r>
        <w:rPr>
          <w:rFonts w:ascii="Arial" w:cs="Arial" w:eastAsia="Arial" w:hAnsi="Arial"/>
          <w:sz w:val="17"/>
          <w:szCs w:val="17"/>
          <w:color w:val="auto"/>
        </w:rPr>
        <w:t>knowledge and key insights into our customers’ needs. As a result, we are able to continuously strengthen our technology in areas of strategic interest for our customers and focus on those products that our customers and end consumers demand the most.</w:t>
      </w:r>
    </w:p>
    <w:p>
      <w:pPr>
        <w:spacing w:after="0" w:line="52" w:lineRule="exact"/>
        <w:rPr>
          <w:sz w:val="20"/>
          <w:szCs w:val="20"/>
          <w:color w:val="auto"/>
        </w:rPr>
      </w:pPr>
    </w:p>
    <w:p>
      <w:pPr>
        <w:ind w:left="540" w:hanging="424"/>
        <w:spacing w:after="0" w:line="29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Longstanding Presence in Asia and Proximity to Global Electronics Devices Supply Chain. </w:t>
      </w:r>
      <w:r>
        <w:rPr>
          <w:rFonts w:ascii="Arial" w:cs="Arial" w:eastAsia="Arial" w:hAnsi="Arial"/>
          <w:sz w:val="16"/>
          <w:szCs w:val="16"/>
          <w:color w:val="auto"/>
        </w:rPr>
        <w:t>Our presence in Asia facilitates close contact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71" w:lineRule="exact"/>
        <w:rPr>
          <w:rFonts w:ascii="Arial" w:cs="Arial" w:eastAsia="Arial" w:hAnsi="Arial"/>
          <w:sz w:val="16"/>
          <w:szCs w:val="16"/>
          <w:color w:val="auto"/>
        </w:rPr>
      </w:pPr>
    </w:p>
    <w:p>
      <w:pPr>
        <w:ind w:left="540" w:right="160" w:hanging="424"/>
        <w:spacing w:after="0" w:line="27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Portfolio of Product Offerings Targeting Large, High-Growth Markets. </w:t>
      </w:r>
      <w:r>
        <w:rPr>
          <w:rFonts w:ascii="Arial" w:cs="Arial" w:eastAsia="Arial" w:hAnsi="Arial"/>
          <w:sz w:val="17"/>
          <w:szCs w:val="17"/>
          <w:color w:val="auto"/>
        </w:rPr>
        <w:t>We continue to develop a wide variety of analog and mixed-signal semiconductor solutions for multiple high-growth electronics device end markets. We believe our expanding product offerings allow us to provide additional products to new and existing customers and to cross-sell our products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82" w:lineRule="exact"/>
        <w:rPr>
          <w:rFonts w:ascii="Arial" w:cs="Arial" w:eastAsia="Arial" w:hAnsi="Arial"/>
          <w:sz w:val="17"/>
          <w:szCs w:val="17"/>
          <w:color w:val="auto"/>
        </w:rPr>
      </w:pPr>
    </w:p>
    <w:p>
      <w:pPr>
        <w:jc w:val="both"/>
        <w:ind w:left="540" w:right="40" w:hanging="424"/>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Efficient Manufacturing Capabilities. </w:t>
      </w:r>
      <w:r>
        <w:rPr>
          <w:rFonts w:ascii="Arial" w:cs="Arial" w:eastAsia="Arial" w:hAnsi="Arial"/>
          <w:sz w:val="17"/>
          <w:szCs w:val="17"/>
          <w:color w:val="auto"/>
        </w:rPr>
        <w:t>Our manufacturing strategy is focused on optimizing our asset utilization across our display driver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power management products, which enables us to maintain the price competitiveness of our products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objective is to grow our business, cash flow and profitability and to continue strengthening our position in the semiconductor industry as a leading provider of analog and mixed-signal semiconductor products for high-volume markets. Our business strategy emphasizes the following key elements:</w:t>
      </w:r>
    </w:p>
    <w:p>
      <w:pPr>
        <w:spacing w:after="0" w:line="89" w:lineRule="exact"/>
        <w:rPr>
          <w:sz w:val="20"/>
          <w:szCs w:val="20"/>
          <w:color w:val="auto"/>
        </w:rPr>
      </w:pPr>
    </w:p>
    <w:p>
      <w:pPr>
        <w:ind w:left="540" w:right="140" w:hanging="424"/>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 that sell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w:t>
      </w:r>
    </w:p>
    <w:p>
      <w:pPr>
        <w:spacing w:after="0" w:line="93" w:lineRule="exact"/>
        <w:rPr>
          <w:rFonts w:ascii="Arial" w:cs="Arial" w:eastAsia="Arial" w:hAnsi="Arial"/>
          <w:sz w:val="18"/>
          <w:szCs w:val="18"/>
          <w:color w:val="auto"/>
        </w:rPr>
      </w:pPr>
    </w:p>
    <w:p>
      <w:pPr>
        <w:ind w:left="540" w:right="160" w:hanging="424"/>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Customer Base. </w:t>
      </w:r>
      <w:r>
        <w:rPr>
          <w:rFonts w:ascii="Arial" w:cs="Arial" w:eastAsia="Arial" w:hAnsi="Arial"/>
          <w:sz w:val="18"/>
          <w:szCs w:val="18"/>
          <w:color w:val="auto"/>
        </w:rPr>
        <w:t>We expect to continue to expand our global customer base, particularly in China, Hong Kong, and Taiwan,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collectively refer to as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with a particular focus on the growth of our power management business.</w:t>
      </w:r>
    </w:p>
    <w:p>
      <w:pPr>
        <w:spacing w:after="0" w:line="93" w:lineRule="exact"/>
        <w:rPr>
          <w:rFonts w:ascii="Arial" w:cs="Arial" w:eastAsia="Arial" w:hAnsi="Arial"/>
          <w:sz w:val="18"/>
          <w:szCs w:val="18"/>
          <w:color w:val="auto"/>
        </w:rPr>
      </w:pPr>
    </w:p>
    <w:p>
      <w:pPr>
        <w:jc w:val="both"/>
        <w:ind w:left="540" w:right="560" w:hanging="424"/>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Execution Excellence. </w:t>
      </w:r>
      <w:r>
        <w:rPr>
          <w:rFonts w:ascii="Arial" w:cs="Arial" w:eastAsia="Arial" w:hAnsi="Arial"/>
          <w:sz w:val="18"/>
          <w:szCs w:val="18"/>
          <w:color w:val="auto"/>
        </w:rPr>
        <w:t>We intend to improve our execution through a number of management initiatives, new processes for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customer service and personnel development. We expect these ongoing initiatives will contribute to improvement of our new product development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77" w:lineRule="auto"/>
        <w:rPr>
          <w:sz w:val="20"/>
          <w:szCs w:val="20"/>
          <w:color w:val="auto"/>
        </w:rPr>
      </w:pPr>
      <w:r>
        <w:rPr>
          <w:rFonts w:ascii="Arial" w:cs="Arial" w:eastAsia="Arial" w:hAnsi="Arial"/>
          <w:sz w:val="18"/>
          <w:szCs w:val="18"/>
          <w:color w:val="auto"/>
        </w:rPr>
        <w:t>customer service as well as enhance our commitment to a culture of quick action and execution by our workforce. In addition, we have focused on improving our manufacturing efficiency during the past several years.</w:t>
      </w:r>
    </w:p>
    <w:p>
      <w:pPr>
        <w:spacing w:after="0" w:line="76" w:lineRule="exact"/>
        <w:rPr>
          <w:sz w:val="20"/>
          <w:szCs w:val="20"/>
          <w:color w:val="auto"/>
        </w:rPr>
      </w:pPr>
    </w:p>
    <w:p>
      <w:pPr>
        <w:ind w:left="540" w:right="40" w:hanging="424"/>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Asset Utilization, Return on Capital Investments and Cash Flow Generation. </w:t>
      </w:r>
      <w:r>
        <w:rPr>
          <w:rFonts w:ascii="Arial" w:cs="Arial" w:eastAsia="Arial" w:hAnsi="Arial"/>
          <w:sz w:val="18"/>
          <w:szCs w:val="18"/>
          <w:color w:val="auto"/>
        </w:rPr>
        <w:t>We intend to keep our capital expenditures relatively 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maintaining our focus on specialty process technologies that do not require substantial investment in frequent upgrades to the latest manufacturing equipment. By utilizing our manufacturing facilities for our Display Solutions and Power Solutions products, we seek to maximize return on our capital investments and our cash flow generation.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display technology portfolio includes building blocks for display drivers and timing controllers, processor and interface technologies, as well as sophisticated production techniques, such as chip-on-glass (COG), chip-on-film (COF) and chip-on-plastic (COP) for rigid, flexible bezel-less, edge type, and trench type OLED displays. Our advanced display drivers incorporate LTPS TFT and OLED panel technologies that enable the highest resolution displays. Furthermore, we are developing a broad intellectual property portfolio to improve the quality and the power efficiency of displays, including the development of our contents-based automatic brightness control (CABC), automatic current limit (ACL), image enhancement and optical compensation technology for OLED displays.</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 converters, DC-DC converters, LED drivers, linear regulators and analog switches, power MOSFETs and IGBTs. We believe our system-level understanding of applications such as LCD televisions, smartphones, computing, and servers will allow us to more quickly develop and customize power management solutions for our customers in these markets.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Products by Business Line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broad portfolio of products addresses multiple high-growth, consumer-focused end markets. A key component of our product strategy is to supply multiple related product offerings to each of the end markets that we serve.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Display Solutions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Display Driver Characteristics. </w:t>
      </w:r>
      <w:r>
        <w:rPr>
          <w:rFonts w:ascii="Arial" w:cs="Arial" w:eastAsia="Arial" w:hAnsi="Arial"/>
          <w:sz w:val="16"/>
          <w:szCs w:val="16"/>
          <w:color w:val="auto"/>
        </w:rPr>
        <w:t>Display drivers deliver defined analog voltages and currents that activate pixels to exhibit images on displays.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key characteristics determine display driver performance and end-market application:</w:t>
      </w:r>
    </w:p>
    <w:p>
      <w:pPr>
        <w:spacing w:after="0" w:line="116" w:lineRule="exact"/>
        <w:rPr>
          <w:sz w:val="20"/>
          <w:szCs w:val="20"/>
          <w:color w:val="auto"/>
        </w:rPr>
      </w:pPr>
    </w:p>
    <w:p>
      <w:pPr>
        <w:ind w:left="540" w:right="80" w:hanging="424"/>
        <w:spacing w:after="0" w:line="25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 of pixels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 colors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6-bit source drivers; 16 million colors are supported by 8-bit source drivers; and 1 billion colors are supported by 10-bit source drivers.</w:t>
      </w:r>
    </w:p>
    <w:p>
      <w:pPr>
        <w:spacing w:after="0" w:line="89" w:lineRule="exact"/>
        <w:rPr>
          <w:rFonts w:ascii="Arial" w:cs="Arial" w:eastAsia="Arial" w:hAnsi="Arial"/>
          <w:sz w:val="18"/>
          <w:szCs w:val="18"/>
          <w:color w:val="auto"/>
        </w:rPr>
      </w:pPr>
    </w:p>
    <w:p>
      <w:pPr>
        <w:ind w:left="540" w:right="120" w:hanging="424"/>
        <w:spacing w:after="0" w:line="286"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Voltage. </w:t>
      </w:r>
      <w:r>
        <w:rPr>
          <w:rFonts w:ascii="Arial" w:cs="Arial" w:eastAsia="Arial" w:hAnsi="Arial"/>
          <w:sz w:val="17"/>
          <w:szCs w:val="17"/>
          <w:color w:val="auto"/>
        </w:rPr>
        <w:t>Display drivers are characterized by input and output voltages. Source drivers typically operate at input voltages from 1.62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70" w:lineRule="exact"/>
        <w:rPr>
          <w:rFonts w:ascii="Arial" w:cs="Arial" w:eastAsia="Arial" w:hAnsi="Arial"/>
          <w:sz w:val="17"/>
          <w:szCs w:val="17"/>
          <w:color w:val="auto"/>
        </w:rPr>
      </w:pPr>
    </w:p>
    <w:p>
      <w:pPr>
        <w:jc w:val="both"/>
        <w:ind w:left="540" w:right="20" w:hanging="424"/>
        <w:spacing w:after="0" w:line="31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54" w:lineRule="exact"/>
        <w:rPr>
          <w:rFonts w:ascii="Arial" w:cs="Arial" w:eastAsia="Arial" w:hAnsi="Arial"/>
          <w:sz w:val="16"/>
          <w:szCs w:val="16"/>
          <w:color w:val="auto"/>
        </w:rPr>
      </w:pPr>
    </w:p>
    <w:p>
      <w:pPr>
        <w:ind w:left="540" w:right="20" w:hanging="424"/>
        <w:spacing w:after="0" w:line="25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higher bandwidth interface technology to address the larger data transfer rate necessary for higher definition images. The principal types of interface technologies are embedded clock point to point interface (EPI), advanced intra panel interface (AIPI), mini-low voltage differential signaling (m-LVDS), unified standard interface for notebook and monitor (USI-GF), unified standard interface (USI), unified standard interface for TV (USI-T) and mobile industry processor interface (MIPI).</w:t>
      </w:r>
    </w:p>
    <w:p>
      <w:pPr>
        <w:spacing w:after="0" w:line="93"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Package Type. </w:t>
      </w:r>
      <w:r>
        <w:rPr>
          <w:rFonts w:ascii="Arial" w:cs="Arial" w:eastAsia="Arial" w:hAnsi="Arial"/>
          <w:sz w:val="18"/>
          <w:szCs w:val="18"/>
          <w:color w:val="auto"/>
        </w:rPr>
        <w:t>The assembly of display drivers typically uses COF, COG and COP package types.</w:t>
      </w:r>
    </w:p>
    <w:p>
      <w:pPr>
        <w:spacing w:after="0" w:line="130" w:lineRule="exact"/>
        <w:rPr>
          <w:rFonts w:ascii="Arial" w:cs="Arial" w:eastAsia="Arial" w:hAnsi="Arial"/>
          <w:sz w:val="18"/>
          <w:szCs w:val="18"/>
          <w:color w:val="auto"/>
        </w:rPr>
      </w:pPr>
    </w:p>
    <w:p>
      <w:pPr>
        <w:ind w:left="540" w:right="360" w:hanging="424"/>
        <w:spacing w:after="0" w:line="30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 Display Solutions. </w:t>
      </w:r>
      <w:r>
        <w:rPr>
          <w:rFonts w:ascii="Arial" w:cs="Arial" w:eastAsia="Arial" w:hAnsi="Arial"/>
          <w:sz w:val="17"/>
          <w:szCs w:val="17"/>
          <w:color w:val="auto"/>
        </w:rPr>
        <w:t>We provide display solutions for a wide range of flat panel display sizes used in LCD TVs, OLED TVs, Micro 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TVs as well as IT applications such as monitors, notebook PCs, tablet PCs, automobiles and public information displays.</w:t>
      </w:r>
    </w:p>
    <w:p>
      <w:pPr>
        <w:spacing w:after="0" w:line="146"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19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table below sets forth the features of our products, both in mass production and in customer qualification, which is the final stage of product development, for large-sized displays:</w:t>
      </w:r>
    </w:p>
    <w:p>
      <w:pPr>
        <w:sectPr>
          <w:pgSz w:w="11900" w:h="16838" w:orient="portrait"/>
          <w:cols w:equalWidth="0" w:num="1">
            <w:col w:w="11140"/>
          </w:cols>
          <w:pgMar w:left="320" w:top="486" w:right="43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Product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TFT-LCD Source Drivers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420" w:type="dxa"/>
            <w:vAlign w:val="bottom"/>
            <w:gridSpan w:val="2"/>
          </w:tcPr>
          <w:p>
            <w:pPr>
              <w:ind w:left="112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6"/>
                <w:szCs w:val="16"/>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Applications</w:t>
            </w:r>
          </w:p>
        </w:tc>
      </w:tr>
      <w:tr>
        <w:trPr>
          <w:trHeight w:val="178"/>
        </w:trPr>
        <w:tc>
          <w:tcPr>
            <w:tcW w:w="3520" w:type="dxa"/>
            <w:vAlign w:val="bottom"/>
            <w:tcBorders>
              <w:top w:val="single" w:sz="8" w:color="auto"/>
            </w:tcBorders>
            <w:gridSpan w:val="2"/>
          </w:tcPr>
          <w:p>
            <w:pPr>
              <w:ind w:left="80"/>
              <w:spacing w:after="0" w:line="178" w:lineRule="exact"/>
              <w:rPr>
                <w:sz w:val="20"/>
                <w:szCs w:val="20"/>
                <w:color w:val="auto"/>
              </w:rPr>
            </w:pPr>
            <w:r>
              <w:rPr>
                <w:rFonts w:ascii="Arial" w:cs="Arial" w:eastAsia="Arial" w:hAnsi="Arial"/>
                <w:sz w:val="17"/>
                <w:szCs w:val="17"/>
                <w:color w:val="auto"/>
              </w:rPr>
              <w:t>•  480 to 1,542 output channels</w:t>
            </w:r>
          </w:p>
        </w:tc>
        <w:tc>
          <w:tcPr>
            <w:tcW w:w="140" w:type="dxa"/>
            <w:vAlign w:val="bottom"/>
          </w:tcPr>
          <w:p>
            <w:pPr>
              <w:spacing w:after="0"/>
              <w:rPr>
                <w:sz w:val="15"/>
                <w:szCs w:val="15"/>
                <w:color w:val="auto"/>
              </w:rPr>
            </w:pPr>
          </w:p>
        </w:tc>
        <w:tc>
          <w:tcPr>
            <w:tcW w:w="22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7"/>
                <w:szCs w:val="17"/>
                <w:color w:val="auto"/>
              </w:rPr>
              <w:t>•</w:t>
            </w:r>
          </w:p>
        </w:tc>
        <w:tc>
          <w:tcPr>
            <w:tcW w:w="3080" w:type="dxa"/>
            <w:vAlign w:val="bottom"/>
            <w:tcBorders>
              <w:top w:val="single" w:sz="8" w:color="auto"/>
            </w:tcBorders>
          </w:tcPr>
          <w:p>
            <w:pPr>
              <w:ind w:left="100"/>
              <w:spacing w:after="0" w:line="178" w:lineRule="exact"/>
              <w:rPr>
                <w:sz w:val="20"/>
                <w:szCs w:val="20"/>
                <w:color w:val="auto"/>
              </w:rPr>
            </w:pPr>
            <w:r>
              <w:rPr>
                <w:rFonts w:ascii="Arial" w:cs="Arial" w:eastAsia="Arial" w:hAnsi="Arial"/>
                <w:sz w:val="17"/>
                <w:szCs w:val="17"/>
                <w:color w:val="auto"/>
              </w:rPr>
              <w:t>LCD/LED TVs</w:t>
            </w:r>
          </w:p>
        </w:tc>
      </w:tr>
      <w:tr>
        <w:trPr>
          <w:trHeight w:val="203"/>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6-bit (262 thousand colors), 8-bit (16 million</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Notebooks</w:t>
            </w:r>
          </w:p>
        </w:tc>
      </w:tr>
      <w:tr>
        <w:trPr>
          <w:trHeight w:val="203"/>
        </w:trPr>
        <w:tc>
          <w:tcPr>
            <w:tcW w:w="240" w:type="dxa"/>
            <w:vAlign w:val="bottom"/>
          </w:tcPr>
          <w:p>
            <w:pPr>
              <w:spacing w:after="0"/>
              <w:rPr>
                <w:sz w:val="17"/>
                <w:szCs w:val="17"/>
                <w:color w:val="auto"/>
              </w:rPr>
            </w:pPr>
          </w:p>
        </w:tc>
        <w:tc>
          <w:tcPr>
            <w:tcW w:w="3420" w:type="dxa"/>
            <w:vAlign w:val="bottom"/>
            <w:gridSpan w:val="2"/>
          </w:tcPr>
          <w:p>
            <w:pPr>
              <w:ind w:left="100"/>
              <w:spacing w:after="0"/>
              <w:rPr>
                <w:sz w:val="20"/>
                <w:szCs w:val="20"/>
                <w:color w:val="auto"/>
              </w:rPr>
            </w:pPr>
            <w:r>
              <w:rPr>
                <w:rFonts w:ascii="Arial" w:cs="Arial" w:eastAsia="Arial" w:hAnsi="Arial"/>
                <w:sz w:val="17"/>
                <w:szCs w:val="17"/>
                <w:color w:val="auto"/>
              </w:rPr>
              <w:t>colors), 10-bit (1 billion colors)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LCD/LED monitors</w:t>
            </w:r>
          </w:p>
        </w:tc>
      </w:tr>
      <w:tr>
        <w:trPr>
          <w:trHeight w:val="216"/>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Output voltage ranging from 9V to 18V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Automotive</w:t>
            </w:r>
          </w:p>
        </w:tc>
      </w:tr>
    </w:tbl>
    <w:p>
      <w:pPr>
        <w:ind w:left="320" w:hanging="23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Low power consumption and low EMI</w:t>
      </w:r>
    </w:p>
    <w:p>
      <w:pPr>
        <w:spacing w:after="0" w:line="7" w:lineRule="exact"/>
        <w:rPr>
          <w:rFonts w:ascii="Arial" w:cs="Arial" w:eastAsia="Arial" w:hAnsi="Arial"/>
          <w:sz w:val="17"/>
          <w:szCs w:val="17"/>
          <w:color w:val="auto"/>
        </w:rPr>
      </w:pPr>
    </w:p>
    <w:p>
      <w:pPr>
        <w:ind w:left="320" w:hanging="23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COF package types</w:t>
      </w:r>
    </w:p>
    <w:p>
      <w:pPr>
        <w:spacing w:after="0" w:line="7" w:lineRule="exact"/>
        <w:rPr>
          <w:rFonts w:ascii="Arial" w:cs="Arial" w:eastAsia="Arial" w:hAnsi="Arial"/>
          <w:sz w:val="17"/>
          <w:szCs w:val="17"/>
          <w:color w:val="auto"/>
        </w:rPr>
      </w:pPr>
    </w:p>
    <w:p>
      <w:pPr>
        <w:ind w:left="340" w:right="4260" w:hanging="255"/>
        <w:spacing w:after="0" w:line="257" w:lineRule="auto"/>
        <w:tabs>
          <w:tab w:leader="none" w:pos="32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EPI, m-LVDS, AIPI, USI interface technologies</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460" w:space="720"/>
            <w:col w:w="6960"/>
          </w:cols>
          <w:pgMar w:left="320" w:top="486"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gridSpan w:val="2"/>
          </w:tcPr>
          <w:p>
            <w:pPr>
              <w:ind w:left="112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4"/>
                <w:szCs w:val="14"/>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Applications</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7"/>
                <w:szCs w:val="17"/>
                <w:color w:val="auto"/>
              </w:rPr>
              <w:t>TFT-LCD Gate Drivers</w:t>
            </w:r>
          </w:p>
        </w:tc>
        <w:tc>
          <w:tcPr>
            <w:tcW w:w="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60" w:type="dxa"/>
            <w:vAlign w:val="bottom"/>
            <w:gridSpan w:val="2"/>
            <w:vMerge w:val="continue"/>
          </w:tcPr>
          <w:p>
            <w:pPr>
              <w:spacing w:after="0"/>
              <w:rPr>
                <w:sz w:val="14"/>
                <w:szCs w:val="14"/>
                <w:color w:val="auto"/>
              </w:rPr>
            </w:pPr>
          </w:p>
        </w:tc>
        <w:tc>
          <w:tcPr>
            <w:tcW w:w="240" w:type="dxa"/>
            <w:vAlign w:val="bottom"/>
          </w:tcPr>
          <w:p>
            <w:pPr>
              <w:ind w:left="80"/>
              <w:spacing w:after="0" w:line="165" w:lineRule="exact"/>
              <w:rPr>
                <w:sz w:val="20"/>
                <w:szCs w:val="20"/>
                <w:color w:val="auto"/>
              </w:rPr>
            </w:pPr>
            <w:r>
              <w:rPr>
                <w:rFonts w:ascii="Arial" w:cs="Arial" w:eastAsia="Arial" w:hAnsi="Arial"/>
                <w:sz w:val="17"/>
                <w:szCs w:val="17"/>
                <w:color w:val="auto"/>
              </w:rPr>
              <w:t>•</w:t>
            </w:r>
          </w:p>
        </w:tc>
        <w:tc>
          <w:tcPr>
            <w:tcW w:w="3280" w:type="dxa"/>
            <w:vAlign w:val="bottom"/>
          </w:tcPr>
          <w:p>
            <w:pPr>
              <w:ind w:left="80"/>
              <w:spacing w:after="0" w:line="165" w:lineRule="exact"/>
              <w:rPr>
                <w:sz w:val="20"/>
                <w:szCs w:val="20"/>
                <w:color w:val="auto"/>
              </w:rPr>
            </w:pPr>
            <w:r>
              <w:rPr>
                <w:rFonts w:ascii="Arial" w:cs="Arial" w:eastAsia="Arial" w:hAnsi="Arial"/>
                <w:sz w:val="17"/>
                <w:szCs w:val="17"/>
                <w:color w:val="auto"/>
              </w:rPr>
              <w:t>272 to 960 output channels</w:t>
            </w:r>
          </w:p>
        </w:tc>
        <w:tc>
          <w:tcPr>
            <w:tcW w:w="140" w:type="dxa"/>
            <w:vAlign w:val="bottom"/>
            <w:vMerge w:val="continue"/>
          </w:tcPr>
          <w:p>
            <w:pPr>
              <w:spacing w:after="0"/>
              <w:rPr>
                <w:sz w:val="14"/>
                <w:szCs w:val="14"/>
                <w:color w:val="auto"/>
              </w:rPr>
            </w:pPr>
          </w:p>
        </w:tc>
        <w:tc>
          <w:tcPr>
            <w:tcW w:w="220" w:type="dxa"/>
            <w:vAlign w:val="bottom"/>
          </w:tcPr>
          <w:p>
            <w:pPr>
              <w:ind w:left="80"/>
              <w:spacing w:after="0" w:line="165" w:lineRule="exact"/>
              <w:rPr>
                <w:sz w:val="20"/>
                <w:szCs w:val="20"/>
                <w:color w:val="auto"/>
              </w:rPr>
            </w:pPr>
            <w:r>
              <w:rPr>
                <w:rFonts w:ascii="Arial" w:cs="Arial" w:eastAsia="Arial" w:hAnsi="Arial"/>
                <w:sz w:val="17"/>
                <w:szCs w:val="17"/>
                <w:color w:val="auto"/>
              </w:rPr>
              <w:t>•</w:t>
            </w:r>
          </w:p>
        </w:tc>
        <w:tc>
          <w:tcPr>
            <w:tcW w:w="3080" w:type="dxa"/>
            <w:vAlign w:val="bottom"/>
          </w:tcPr>
          <w:p>
            <w:pPr>
              <w:ind w:left="100"/>
              <w:spacing w:after="0" w:line="165" w:lineRule="exact"/>
              <w:rPr>
                <w:sz w:val="20"/>
                <w:szCs w:val="20"/>
                <w:color w:val="auto"/>
              </w:rPr>
            </w:pPr>
            <w:r>
              <w:rPr>
                <w:rFonts w:ascii="Arial" w:cs="Arial" w:eastAsia="Arial" w:hAnsi="Arial"/>
                <w:sz w:val="17"/>
                <w:szCs w:val="17"/>
                <w:color w:val="auto"/>
              </w:rPr>
              <w:t>Tablet PCs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Output voltage ranging from 30V to 45V</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LCD/LED TVs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COF and COG package types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Notebooks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Automotive</w:t>
            </w:r>
          </w:p>
        </w:tc>
        <w:tc>
          <w:tcPr>
            <w:tcW w:w="0" w:type="dxa"/>
            <w:vAlign w:val="bottom"/>
          </w:tcPr>
          <w:p>
            <w:pPr>
              <w:spacing w:after="0"/>
              <w:rPr>
                <w:sz w:val="1"/>
                <w:szCs w:val="1"/>
                <w:color w:val="auto"/>
              </w:rPr>
            </w:pPr>
          </w:p>
        </w:tc>
      </w:tr>
      <w:tr>
        <w:trPr>
          <w:trHeight w:val="310"/>
        </w:trPr>
        <w:tc>
          <w:tcPr>
            <w:tcW w:w="4060" w:type="dxa"/>
            <w:vAlign w:val="bottom"/>
            <w:gridSpan w:val="2"/>
          </w:tcPr>
          <w:p>
            <w:pPr>
              <w:spacing w:after="0"/>
              <w:rPr>
                <w:sz w:val="20"/>
                <w:szCs w:val="20"/>
                <w:color w:val="auto"/>
              </w:rPr>
            </w:pPr>
            <w:r>
              <w:rPr>
                <w:rFonts w:ascii="Arial" w:cs="Arial" w:eastAsia="Arial" w:hAnsi="Arial"/>
                <w:sz w:val="17"/>
                <w:szCs w:val="17"/>
                <w:color w:val="auto"/>
              </w:rPr>
              <w:t>Timing Controllers</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Wide range of resolutions</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Tablet PCs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3420" w:type="dxa"/>
            <w:vAlign w:val="bottom"/>
            <w:gridSpan w:val="2"/>
          </w:tcPr>
          <w:p>
            <w:pPr>
              <w:ind w:left="80"/>
              <w:spacing w:after="0"/>
              <w:rPr>
                <w:sz w:val="20"/>
                <w:szCs w:val="20"/>
                <w:color w:val="auto"/>
              </w:rPr>
            </w:pPr>
            <w:r>
              <w:rPr>
                <w:rFonts w:ascii="Arial" w:cs="Arial" w:eastAsia="Arial" w:hAnsi="Arial"/>
                <w:sz w:val="17"/>
                <w:szCs w:val="17"/>
                <w:color w:val="auto"/>
              </w:rPr>
              <w:t>EPI, m-LVDS, MIPI, USI-T interface</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3080" w:type="dxa"/>
            <w:vAlign w:val="bottom"/>
          </w:tcPr>
          <w:p>
            <w:pPr>
              <w:ind w:left="100"/>
              <w:spacing w:after="0"/>
              <w:rPr>
                <w:sz w:val="20"/>
                <w:szCs w:val="20"/>
                <w:color w:val="auto"/>
              </w:rPr>
            </w:pPr>
            <w:r>
              <w:rPr>
                <w:rFonts w:ascii="Arial" w:cs="Arial" w:eastAsia="Arial" w:hAnsi="Arial"/>
                <w:sz w:val="17"/>
                <w:szCs w:val="17"/>
                <w:color w:val="auto"/>
              </w:rPr>
              <w:t>Public information display</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2"/>
          </w:tcPr>
          <w:p>
            <w:pPr>
              <w:ind w:left="100"/>
              <w:spacing w:after="0"/>
              <w:rPr>
                <w:sz w:val="20"/>
                <w:szCs w:val="20"/>
                <w:color w:val="auto"/>
              </w:rPr>
            </w:pPr>
            <w:r>
              <w:rPr>
                <w:rFonts w:ascii="Arial" w:cs="Arial" w:eastAsia="Arial" w:hAnsi="Arial"/>
                <w:sz w:val="17"/>
                <w:szCs w:val="17"/>
                <w:color w:val="auto"/>
              </w:rPr>
              <w:t>technologies</w:t>
            </w: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60" w:type="dxa"/>
            <w:vAlign w:val="bottom"/>
            <w:gridSpan w:val="3"/>
          </w:tcPr>
          <w:p>
            <w:pPr>
              <w:ind w:left="80"/>
              <w:spacing w:after="0"/>
              <w:rPr>
                <w:sz w:val="20"/>
                <w:szCs w:val="20"/>
                <w:color w:val="auto"/>
              </w:rPr>
            </w:pPr>
            <w:r>
              <w:rPr>
                <w:rFonts w:ascii="Arial" w:cs="Arial" w:eastAsia="Arial" w:hAnsi="Arial"/>
                <w:sz w:val="17"/>
                <w:szCs w:val="17"/>
                <w:color w:val="auto"/>
              </w:rPr>
              <w:t>•  Input voltage ranging from 1.6V to 3.6V</w:t>
            </w: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20"/>
        <w:spacing w:after="0"/>
        <w:tabs>
          <w:tab w:leader="none" w:pos="4240" w:val="left"/>
          <w:tab w:leader="none" w:pos="4480" w:val="left"/>
          <w:tab w:leader="none" w:pos="7900" w:val="left"/>
          <w:tab w:leader="none" w:pos="8140" w:val="left"/>
        </w:tabs>
        <w:rPr>
          <w:sz w:val="20"/>
          <w:szCs w:val="20"/>
          <w:color w:val="auto"/>
        </w:rPr>
      </w:pPr>
      <w:r>
        <w:rPr>
          <w:rFonts w:ascii="Arial" w:cs="Arial" w:eastAsia="Arial" w:hAnsi="Arial"/>
          <w:sz w:val="17"/>
          <w:szCs w:val="17"/>
          <w:color w:val="auto"/>
        </w:rPr>
        <w:t>OLED Source Drivers</w:t>
      </w:r>
      <w:r>
        <w:rPr>
          <w:sz w:val="20"/>
          <w:szCs w:val="20"/>
          <w:color w:val="auto"/>
        </w:rPr>
        <w:tab/>
      </w:r>
      <w:r>
        <w:rPr>
          <w:rFonts w:ascii="Arial" w:cs="Arial" w:eastAsia="Arial" w:hAnsi="Arial"/>
          <w:sz w:val="17"/>
          <w:szCs w:val="17"/>
          <w:color w:val="auto"/>
        </w:rPr>
        <w:t>•</w:t>
        <w:tab/>
        <w:t>960 output channels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OLED TVs</w:t>
      </w:r>
    </w:p>
    <w:p>
      <w:pPr>
        <w:spacing w:after="0" w:line="21" w:lineRule="exact"/>
        <w:rPr>
          <w:sz w:val="20"/>
          <w:szCs w:val="20"/>
          <w:color w:val="auto"/>
        </w:rPr>
      </w:pPr>
    </w:p>
    <w:p>
      <w:pPr>
        <w:ind w:left="4500" w:hanging="235"/>
        <w:spacing w:after="0"/>
        <w:tabs>
          <w:tab w:leader="none" w:pos="4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10 bit (1 billion colors)</w:t>
      </w:r>
    </w:p>
    <w:p>
      <w:pPr>
        <w:spacing w:after="0" w:line="7" w:lineRule="exact"/>
        <w:rPr>
          <w:rFonts w:ascii="Arial" w:cs="Arial" w:eastAsia="Arial" w:hAnsi="Arial"/>
          <w:sz w:val="17"/>
          <w:szCs w:val="17"/>
          <w:color w:val="auto"/>
        </w:rPr>
      </w:pPr>
    </w:p>
    <w:p>
      <w:pPr>
        <w:ind w:left="4500" w:hanging="235"/>
        <w:spacing w:after="0"/>
        <w:tabs>
          <w:tab w:leader="none" w:pos="4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Output voltage: 18V</w:t>
      </w:r>
    </w:p>
    <w:p>
      <w:pPr>
        <w:spacing w:after="0" w:line="7" w:lineRule="exact"/>
        <w:rPr>
          <w:rFonts w:ascii="Arial" w:cs="Arial" w:eastAsia="Arial" w:hAnsi="Arial"/>
          <w:sz w:val="17"/>
          <w:szCs w:val="17"/>
          <w:color w:val="auto"/>
        </w:rPr>
      </w:pPr>
    </w:p>
    <w:p>
      <w:pPr>
        <w:ind w:left="4500" w:hanging="235"/>
        <w:spacing w:after="0"/>
        <w:tabs>
          <w:tab w:leader="none" w:pos="4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COF package type</w:t>
      </w:r>
    </w:p>
    <w:p>
      <w:pPr>
        <w:spacing w:after="0" w:line="7" w:lineRule="exact"/>
        <w:rPr>
          <w:rFonts w:ascii="Arial" w:cs="Arial" w:eastAsia="Arial" w:hAnsi="Arial"/>
          <w:sz w:val="17"/>
          <w:szCs w:val="17"/>
          <w:color w:val="auto"/>
        </w:rPr>
      </w:pPr>
    </w:p>
    <w:p>
      <w:pPr>
        <w:ind w:left="4500" w:hanging="235"/>
        <w:spacing w:after="0"/>
        <w:tabs>
          <w:tab w:leader="none" w:pos="4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EPI interface technology</w:t>
      </w:r>
    </w:p>
    <w:p>
      <w:pPr>
        <w:spacing w:after="0" w:line="115" w:lineRule="exact"/>
        <w:rPr>
          <w:sz w:val="20"/>
          <w:szCs w:val="20"/>
          <w:color w:val="auto"/>
        </w:rPr>
      </w:pPr>
    </w:p>
    <w:p>
      <w:pPr>
        <w:ind w:left="120"/>
        <w:spacing w:after="0"/>
        <w:tabs>
          <w:tab w:leader="none" w:pos="4240" w:val="left"/>
          <w:tab w:leader="none" w:pos="4480" w:val="left"/>
          <w:tab w:leader="none" w:pos="7900" w:val="left"/>
          <w:tab w:leader="none" w:pos="8140" w:val="left"/>
        </w:tabs>
        <w:rPr>
          <w:sz w:val="20"/>
          <w:szCs w:val="20"/>
          <w:color w:val="auto"/>
        </w:rPr>
      </w:pPr>
      <w:r>
        <w:rPr>
          <w:rFonts w:ascii="Arial" w:cs="Arial" w:eastAsia="Arial" w:hAnsi="Arial"/>
          <w:sz w:val="17"/>
          <w:szCs w:val="17"/>
          <w:color w:val="auto"/>
        </w:rPr>
        <w:t>Micro LED Drivers*</w:t>
      </w:r>
      <w:r>
        <w:rPr>
          <w:sz w:val="20"/>
          <w:szCs w:val="20"/>
          <w:color w:val="auto"/>
        </w:rPr>
        <w:tab/>
      </w:r>
      <w:r>
        <w:rPr>
          <w:rFonts w:ascii="Arial" w:cs="Arial" w:eastAsia="Arial" w:hAnsi="Arial"/>
          <w:sz w:val="17"/>
          <w:szCs w:val="17"/>
          <w:color w:val="auto"/>
        </w:rPr>
        <w:t>•</w:t>
        <w:tab/>
        <w:t>480 output channels (3 Mux)</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Micro LED TVs</w:t>
      </w:r>
    </w:p>
    <w:p>
      <w:pPr>
        <w:spacing w:after="0" w:line="21" w:lineRule="exact"/>
        <w:rPr>
          <w:sz w:val="20"/>
          <w:szCs w:val="20"/>
          <w:color w:val="auto"/>
        </w:rPr>
      </w:pPr>
    </w:p>
    <w:p>
      <w:pPr>
        <w:ind w:left="4500" w:hanging="235"/>
        <w:spacing w:after="0"/>
        <w:tabs>
          <w:tab w:leader="none" w:pos="4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10 bit (1 billion colors)</w:t>
      </w:r>
    </w:p>
    <w:p>
      <w:pPr>
        <w:spacing w:after="0" w:line="7" w:lineRule="exact"/>
        <w:rPr>
          <w:rFonts w:ascii="Arial" w:cs="Arial" w:eastAsia="Arial" w:hAnsi="Arial"/>
          <w:sz w:val="17"/>
          <w:szCs w:val="17"/>
          <w:color w:val="auto"/>
        </w:rPr>
      </w:pPr>
    </w:p>
    <w:p>
      <w:pPr>
        <w:ind w:left="4500" w:hanging="235"/>
        <w:spacing w:after="0"/>
        <w:tabs>
          <w:tab w:leader="none" w:pos="4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Output voltage: max 18V</w:t>
      </w:r>
    </w:p>
    <w:p>
      <w:pPr>
        <w:spacing w:after="0" w:line="7" w:lineRule="exact"/>
        <w:rPr>
          <w:rFonts w:ascii="Arial" w:cs="Arial" w:eastAsia="Arial" w:hAnsi="Arial"/>
          <w:sz w:val="17"/>
          <w:szCs w:val="17"/>
          <w:color w:val="auto"/>
        </w:rPr>
      </w:pPr>
    </w:p>
    <w:p>
      <w:pPr>
        <w:ind w:left="4500" w:hanging="235"/>
        <w:spacing w:after="0"/>
        <w:tabs>
          <w:tab w:leader="none" w:pos="4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COF package type</w:t>
      </w:r>
    </w:p>
    <w:p>
      <w:pPr>
        <w:spacing w:after="0" w:line="7" w:lineRule="exact"/>
        <w:rPr>
          <w:rFonts w:ascii="Arial" w:cs="Arial" w:eastAsia="Arial" w:hAnsi="Arial"/>
          <w:sz w:val="17"/>
          <w:szCs w:val="17"/>
          <w:color w:val="auto"/>
        </w:rPr>
      </w:pPr>
    </w:p>
    <w:p>
      <w:pPr>
        <w:ind w:left="4500" w:hanging="235"/>
        <w:spacing w:after="0"/>
        <w:tabs>
          <w:tab w:leader="none" w:pos="4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USI-M interface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 customer qualification stage</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Mobile Display Solutions. </w:t>
      </w:r>
      <w:r>
        <w:rPr>
          <w:rFonts w:ascii="Arial" w:cs="Arial" w:eastAsia="Arial" w:hAnsi="Arial"/>
          <w:sz w:val="17"/>
          <w:szCs w:val="17"/>
          <w:color w:val="auto"/>
        </w:rPr>
        <w:t>Our mobile display solutions incorporate the industry’s most advanced display technologies, such as OLED and LTPS,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high-volume technologies such as a-Si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FHD+(2,240x1,080) to QHD+(3,120x1,440), wide aspect ratio from 16:9 to 21:9 and flexible bezel-less, edge type, and trench type OLED displays. In the transition to, and adoption of, 5G, fast responses and high frame rates such as 90Hz and 120Hz are becoming essential product offerings. To meet this new and evolving demand, we have developed and mass produced our OLED display driver IC, which supports 90Hz/120Hz/144Hz high frame rates.</w:t>
      </w:r>
    </w:p>
    <w:p>
      <w:pPr>
        <w:spacing w:after="0" w:line="17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 for mobile displays: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4"/>
                <w:szCs w:val="14"/>
                <w:color w:val="auto"/>
              </w:rPr>
            </w:pPr>
          </w:p>
        </w:tc>
        <w:tc>
          <w:tcPr>
            <w:tcW w:w="3000" w:type="dxa"/>
            <w:vAlign w:val="bottom"/>
          </w:tcPr>
          <w:p>
            <w:pPr>
              <w:ind w:left="1020"/>
              <w:spacing w:after="0"/>
              <w:rPr>
                <w:sz w:val="20"/>
                <w:szCs w:val="20"/>
                <w:color w:val="auto"/>
              </w:rPr>
            </w:pPr>
            <w:r>
              <w:rPr>
                <w:rFonts w:ascii="Arial" w:cs="Arial" w:eastAsia="Arial" w:hAnsi="Arial"/>
                <w:sz w:val="14"/>
                <w:szCs w:val="14"/>
                <w:b w:val="1"/>
                <w:bCs w:val="1"/>
                <w:color w:val="auto"/>
              </w:rPr>
              <w:t>Applications</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color w:val="auto"/>
                <w:w w:val="97"/>
              </w:rPr>
              <w:t>OLED</w:t>
            </w:r>
          </w:p>
        </w:tc>
        <w:tc>
          <w:tcPr>
            <w:tcW w:w="35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0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3320" w:type="dxa"/>
            <w:vAlign w:val="bottom"/>
          </w:tcPr>
          <w:p>
            <w:pPr>
              <w:ind w:left="60"/>
              <w:spacing w:after="0" w:line="182" w:lineRule="exact"/>
              <w:rPr>
                <w:sz w:val="20"/>
                <w:szCs w:val="20"/>
                <w:color w:val="auto"/>
              </w:rPr>
            </w:pPr>
            <w:r>
              <w:rPr>
                <w:rFonts w:ascii="Arial" w:cs="Arial" w:eastAsia="Arial" w:hAnsi="Arial"/>
                <w:sz w:val="18"/>
                <w:szCs w:val="18"/>
                <w:color w:val="auto"/>
              </w:rPr>
              <w:t>Resolutions of HD720, WXGA, FHD,</w:t>
            </w:r>
          </w:p>
        </w:tc>
        <w:tc>
          <w:tcPr>
            <w:tcW w:w="220" w:type="dxa"/>
            <w:vAlign w:val="bottom"/>
            <w:vMerge w:val="continue"/>
          </w:tcPr>
          <w:p>
            <w:pPr>
              <w:spacing w:after="0"/>
              <w:rPr>
                <w:sz w:val="15"/>
                <w:szCs w:val="15"/>
                <w:color w:val="auto"/>
              </w:rPr>
            </w:pPr>
          </w:p>
        </w:tc>
        <w:tc>
          <w:tcPr>
            <w:tcW w:w="20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3000" w:type="dxa"/>
            <w:vAlign w:val="bottom"/>
          </w:tcPr>
          <w:p>
            <w:pPr>
              <w:ind w:left="60"/>
              <w:spacing w:after="0" w:line="182" w:lineRule="exact"/>
              <w:rPr>
                <w:sz w:val="20"/>
                <w:szCs w:val="20"/>
                <w:color w:val="auto"/>
              </w:rPr>
            </w:pPr>
            <w:r>
              <w:rPr>
                <w:rFonts w:ascii="Arial" w:cs="Arial" w:eastAsia="Arial" w:hAnsi="Arial"/>
                <w:sz w:val="18"/>
                <w:szCs w:val="18"/>
                <w:color w:val="auto"/>
              </w:rPr>
              <w:t>Smartphones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FHD+, QHD and QHD+</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Game consoles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Aspect ratio from 16:9 to 21:9</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Digital still cameras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Color depth of 1 billion</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Tablet PCs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MIPI, eRVDS interface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Virtual reality headsets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ABC, ACL</w:t>
            </w: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ind w:left="11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3520" w:type="dxa"/>
            <w:vAlign w:val="bottom"/>
            <w:gridSpan w:val="2"/>
          </w:tcPr>
          <w:p>
            <w:pPr>
              <w:ind w:left="1140"/>
              <w:spacing w:after="0"/>
              <w:rPr>
                <w:sz w:val="20"/>
                <w:szCs w:val="20"/>
                <w:color w:val="auto"/>
              </w:rPr>
            </w:pPr>
            <w:r>
              <w:rPr>
                <w:rFonts w:ascii="Arial" w:cs="Arial" w:eastAsia="Arial" w:hAnsi="Arial"/>
                <w:sz w:val="14"/>
                <w:szCs w:val="14"/>
                <w:b w:val="1"/>
                <w:bCs w:val="1"/>
                <w:color w:val="auto"/>
              </w:rPr>
              <w:t>Key Features</w:t>
            </w:r>
          </w:p>
        </w:tc>
        <w:tc>
          <w:tcPr>
            <w:tcW w:w="3200" w:type="dxa"/>
            <w:vAlign w:val="bottom"/>
          </w:tcPr>
          <w:p>
            <w:pPr>
              <w:ind w:left="1220"/>
              <w:spacing w:after="0"/>
              <w:rPr>
                <w:sz w:val="20"/>
                <w:szCs w:val="20"/>
                <w:color w:val="auto"/>
              </w:rPr>
            </w:pPr>
            <w:r>
              <w:rPr>
                <w:rFonts w:ascii="Arial" w:cs="Arial" w:eastAsia="Arial" w:hAnsi="Arial"/>
                <w:sz w:val="14"/>
                <w:szCs w:val="14"/>
                <w:b w:val="1"/>
                <w:bCs w:val="1"/>
                <w:color w:val="auto"/>
              </w:rPr>
              <w:t>Applications</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LTPS</w:t>
            </w: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52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52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8"/>
              </w:rPr>
              <w:t>• Resolutions of VGA, WSVGA, WVGA and</w:t>
            </w:r>
          </w:p>
        </w:tc>
        <w:tc>
          <w:tcPr>
            <w:tcW w:w="220" w:type="dxa"/>
            <w:vAlign w:val="bottom"/>
            <w:vMerge w:val="continue"/>
          </w:tcPr>
          <w:p>
            <w:pPr>
              <w:spacing w:after="0"/>
              <w:rPr>
                <w:sz w:val="15"/>
                <w:szCs w:val="15"/>
                <w:color w:val="auto"/>
              </w:rPr>
            </w:pPr>
          </w:p>
        </w:tc>
        <w:tc>
          <w:tcPr>
            <w:tcW w:w="3200" w:type="dxa"/>
            <w:vAlign w:val="bottom"/>
          </w:tcPr>
          <w:p>
            <w:pPr>
              <w:ind w:left="100"/>
              <w:spacing w:after="0" w:line="182" w:lineRule="exact"/>
              <w:rPr>
                <w:sz w:val="20"/>
                <w:szCs w:val="20"/>
                <w:color w:val="auto"/>
              </w:rPr>
            </w:pPr>
            <w:r>
              <w:rPr>
                <w:rFonts w:ascii="Arial" w:cs="Arial" w:eastAsia="Arial" w:hAnsi="Arial"/>
                <w:sz w:val="18"/>
                <w:szCs w:val="18"/>
                <w:color w:val="auto"/>
              </w:rPr>
              <w:t>• Smartphones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DVGA</w:t>
            </w:r>
          </w:p>
        </w:tc>
        <w:tc>
          <w:tcPr>
            <w:tcW w:w="3200" w:type="dxa"/>
            <w:vAlign w:val="bottom"/>
          </w:tcPr>
          <w:p>
            <w:pPr>
              <w:ind w:left="100"/>
              <w:spacing w:after="0"/>
              <w:rPr>
                <w:sz w:val="20"/>
                <w:szCs w:val="20"/>
                <w:color w:val="auto"/>
              </w:rPr>
            </w:pPr>
            <w:r>
              <w:rPr>
                <w:rFonts w:ascii="Arial" w:cs="Arial" w:eastAsia="Arial" w:hAnsi="Arial"/>
                <w:sz w:val="18"/>
                <w:szCs w:val="18"/>
                <w:color w:val="auto"/>
              </w:rPr>
              <w:t>• Digital still cameras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Color depth of 16 million</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MDDI, MIPI interface</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Logic-based OTP</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Separated gamma control</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080" w:type="dxa"/>
            <w:vAlign w:val="bottom"/>
            <w:gridSpan w:val="3"/>
          </w:tcPr>
          <w:p>
            <w:pPr>
              <w:spacing w:after="0"/>
              <w:rPr>
                <w:sz w:val="20"/>
                <w:szCs w:val="20"/>
                <w:color w:val="auto"/>
              </w:rPr>
            </w:pPr>
            <w:r>
              <w:rPr>
                <w:rFonts w:ascii="Arial" w:cs="Arial" w:eastAsia="Arial" w:hAnsi="Arial"/>
                <w:sz w:val="18"/>
                <w:szCs w:val="18"/>
                <w:color w:val="auto"/>
              </w:rPr>
              <w:t>a-Si TFT</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Resolutions of WQVGA and HVGA</w:t>
            </w:r>
          </w:p>
        </w:tc>
        <w:tc>
          <w:tcPr>
            <w:tcW w:w="3200" w:type="dxa"/>
            <w:vAlign w:val="bottom"/>
          </w:tcPr>
          <w:p>
            <w:pPr>
              <w:ind w:left="100"/>
              <w:spacing w:after="0"/>
              <w:rPr>
                <w:sz w:val="20"/>
                <w:szCs w:val="20"/>
                <w:color w:val="auto"/>
              </w:rPr>
            </w:pPr>
            <w:r>
              <w:rPr>
                <w:rFonts w:ascii="Arial" w:cs="Arial" w:eastAsia="Arial" w:hAnsi="Arial"/>
                <w:sz w:val="18"/>
                <w:szCs w:val="18"/>
                <w:color w:val="auto"/>
              </w:rPr>
              <w:t>• Mobile 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Color depth of 16 million</w:t>
            </w:r>
          </w:p>
        </w:tc>
        <w:tc>
          <w:tcPr>
            <w:tcW w:w="3200" w:type="dxa"/>
            <w:vAlign w:val="bottom"/>
          </w:tcPr>
          <w:p>
            <w:pPr>
              <w:ind w:left="100"/>
              <w:spacing w:after="0"/>
              <w:rPr>
                <w:sz w:val="20"/>
                <w:szCs w:val="20"/>
                <w:color w:val="auto"/>
              </w:rPr>
            </w:pPr>
            <w:r>
              <w:rPr>
                <w:rFonts w:ascii="Arial" w:cs="Arial" w:eastAsia="Arial" w:hAnsi="Arial"/>
                <w:sz w:val="18"/>
                <w:szCs w:val="18"/>
                <w:color w:val="auto"/>
              </w:rPr>
              <w:t>• Digital still cameras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RSDS, MDDI, MIPI interface</w:t>
            </w:r>
          </w:p>
        </w:tc>
        <w:tc>
          <w:tcPr>
            <w:tcW w:w="3200" w:type="dxa"/>
            <w:vAlign w:val="bottom"/>
          </w:tcPr>
          <w:p>
            <w:pPr>
              <w:ind w:left="100"/>
              <w:spacing w:after="0"/>
              <w:rPr>
                <w:sz w:val="20"/>
                <w:szCs w:val="20"/>
                <w:color w:val="auto"/>
              </w:rPr>
            </w:pPr>
            <w:r>
              <w:rPr>
                <w:rFonts w:ascii="Arial" w:cs="Arial" w:eastAsia="Arial" w:hAnsi="Arial"/>
                <w:sz w:val="18"/>
                <w:szCs w:val="18"/>
                <w:color w:val="auto"/>
              </w:rPr>
              <w:t>• Automotive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 CABC</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Separated gamma control</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We develop, manufacture and market power management solutions for a wide range of end-market customers. The products include MOSFETs, IGBTs, AC-DC converters, DC-DC converters, LED drivers, regulators, for a range of devices, including LCD, LED, and UHD televisions, digital signage, smartphones, mobile phones, wearable devices, desktop PCs, notebooks, tablet PCs, other consumer electronics, consumer appliances and industrial applications such as power suppliers, e-bikes, photovoltaic inverters, LED lighting and motor drives.</w:t>
      </w:r>
    </w:p>
    <w:p>
      <w:pPr>
        <w:spacing w:after="0" w:line="77" w:lineRule="exact"/>
        <w:rPr>
          <w:sz w:val="20"/>
          <w:szCs w:val="20"/>
          <w:color w:val="auto"/>
        </w:rPr>
      </w:pPr>
    </w:p>
    <w:p>
      <w:pPr>
        <w:ind w:left="540" w:right="220" w:hanging="424"/>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MOSFETs. </w:t>
      </w:r>
      <w:r>
        <w:rPr>
          <w:rFonts w:ascii="Arial" w:cs="Arial" w:eastAsia="Arial" w:hAnsi="Arial"/>
          <w:sz w:val="18"/>
          <w:szCs w:val="18"/>
          <w:color w:val="auto"/>
        </w:rPr>
        <w:t>Our MOSFETs include low-voltage to mid-voltage, Trench MOSFETs, 12V to 200V, high-voltage Planar MOSFETs, 200V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650V, and super junction MOSFETs, 500V through 900V.</w:t>
      </w:r>
    </w:p>
    <w:p>
      <w:pPr>
        <w:spacing w:after="0" w:line="62" w:lineRule="exact"/>
        <w:rPr>
          <w:rFonts w:ascii="Arial" w:cs="Arial" w:eastAsia="Arial" w:hAnsi="Arial"/>
          <w:sz w:val="18"/>
          <w:szCs w:val="18"/>
          <w:color w:val="auto"/>
        </w:rPr>
      </w:pPr>
    </w:p>
    <w:p>
      <w:pPr>
        <w:ind w:left="560" w:right="20"/>
        <w:spacing w:after="0" w:line="275" w:lineRule="auto"/>
        <w:rPr>
          <w:rFonts w:ascii="Arial" w:cs="Arial" w:eastAsia="Arial" w:hAnsi="Arial"/>
          <w:sz w:val="18"/>
          <w:szCs w:val="18"/>
          <w:color w:val="auto"/>
        </w:rPr>
      </w:pPr>
      <w:r>
        <w:rPr>
          <w:rFonts w:ascii="Arial" w:cs="Arial" w:eastAsia="Arial" w:hAnsi="Arial"/>
          <w:sz w:val="17"/>
          <w:szCs w:val="17"/>
          <w:color w:val="auto"/>
        </w:rPr>
        <w:t>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81"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IGBTs. </w:t>
      </w:r>
      <w:r>
        <w:rPr>
          <w:rFonts w:ascii="Arial" w:cs="Arial" w:eastAsia="Arial" w:hAnsi="Arial"/>
          <w:sz w:val="18"/>
          <w:szCs w:val="18"/>
          <w:color w:val="auto"/>
        </w:rPr>
        <w:t>Our IGBTs include 650V to 1200V field stop trench IGBTs. IGBTs are used in high power industrial applications, such as UPSs,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motor drives, solar inverters, welding machines and consumer appliances.</w:t>
      </w:r>
    </w:p>
    <w:p>
      <w:pPr>
        <w:spacing w:after="0" w:line="75" w:lineRule="exact"/>
        <w:rPr>
          <w:rFonts w:ascii="Arial" w:cs="Arial" w:eastAsia="Arial" w:hAnsi="Arial"/>
          <w:sz w:val="18"/>
          <w:szCs w:val="18"/>
          <w:color w:val="auto"/>
        </w:rPr>
      </w:pPr>
    </w:p>
    <w:p>
      <w:pPr>
        <w:ind w:left="540" w:right="160" w:hanging="424"/>
        <w:spacing w:after="0" w:line="31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AC-DC Converters and DC-DC Converters. </w:t>
      </w:r>
      <w:r>
        <w:rPr>
          <w:rFonts w:ascii="Arial" w:cs="Arial" w:eastAsia="Arial" w:hAnsi="Arial"/>
          <w:sz w:val="16"/>
          <w:szCs w:val="16"/>
          <w:color w:val="auto"/>
        </w:rPr>
        <w:t>We offer AC-DC and DC-DC converters targeting mobile applications and high power applications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 LCD, LED, and UHD televisions, notebooks, smartphones, mobile phones, set-top boxes and display modules. We expect our AC-DC and DC-DC converters will meet customer’s green power requirements by featuring wide input voltage ranges, high efficiency and small size.</w:t>
      </w:r>
    </w:p>
    <w:p>
      <w:pPr>
        <w:spacing w:after="0" w:line="54" w:lineRule="exact"/>
        <w:rPr>
          <w:rFonts w:ascii="Arial" w:cs="Arial" w:eastAsia="Arial" w:hAnsi="Arial"/>
          <w:sz w:val="16"/>
          <w:szCs w:val="16"/>
          <w:color w:val="auto"/>
        </w:rPr>
      </w:pPr>
    </w:p>
    <w:p>
      <w:pPr>
        <w:ind w:left="540" w:right="320" w:hanging="424"/>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LED Drivers. </w:t>
      </w:r>
      <w:r>
        <w:rPr>
          <w:rFonts w:ascii="Arial" w:cs="Arial" w:eastAsia="Arial" w:hAnsi="Arial"/>
          <w:sz w:val="18"/>
          <w:szCs w:val="18"/>
          <w:color w:val="auto"/>
        </w:rPr>
        <w:t>LED backlighting drivers serve the fast-growing LCD and LED panel backlighting market for LCD and LED televisions,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monitors, digital signage,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92"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Regulators. </w:t>
      </w:r>
      <w:r>
        <w:rPr>
          <w:rFonts w:ascii="Arial" w:cs="Arial" w:eastAsia="Arial" w:hAnsi="Arial"/>
          <w:sz w:val="18"/>
          <w:szCs w:val="18"/>
          <w:color w:val="auto"/>
        </w:rPr>
        <w:t>We also provide analog regulators for mobile, computing and consumer applications. Our products are designed for high efficiency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low power consumption in mobile applications.</w:t>
      </w:r>
    </w:p>
    <w:p>
      <w:pPr>
        <w:spacing w:after="0" w:line="75"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SSD PMICs. </w:t>
      </w:r>
      <w:r>
        <w:rPr>
          <w:rFonts w:ascii="Arial" w:cs="Arial" w:eastAsia="Arial" w:hAnsi="Arial"/>
          <w:sz w:val="18"/>
          <w:szCs w:val="18"/>
          <w:color w:val="auto"/>
        </w:rPr>
        <w:t>We also provide solid state drive power management integrated circuits (SSD PMICs) for the computing segment. Our product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for high frequency switching, high efficiency and pulse frequency modulation (PFM) function to reduce power consumption in low load converters.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Logic PMICs. </w:t>
      </w:r>
      <w:r>
        <w:rPr>
          <w:rFonts w:ascii="Arial" w:cs="Arial" w:eastAsia="Arial" w:hAnsi="Arial"/>
          <w:sz w:val="18"/>
          <w:szCs w:val="18"/>
          <w:color w:val="auto"/>
        </w:rPr>
        <w:t>We also provide logic power management integrated circuits (PMICs) for organic light-emitting diode (OLED) display panel.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PMICs provide optimized power to source driver, gate driver and timing controller (T-CON) of OLED display panel with multi-channel power block (boost converter, buck converter, Op-Amps and positive/negative LDOs.)</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w:t>
      </w:r>
    </w:p>
    <w:p>
      <w:pPr>
        <w:sectPr>
          <w:pgSz w:w="11900" w:h="16838" w:orient="portrait"/>
          <w:cols w:equalWidth="0" w:num="1">
            <w:col w:w="11140"/>
          </w:cols>
          <w:pgMar w:left="320" w:top="486" w:right="43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Product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Low-Mid Voltage MOSFET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High Voltage MOSFET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6"/>
                <w:szCs w:val="16"/>
                <w:color w:val="auto"/>
              </w:rPr>
            </w:pP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95"/>
        </w:trPr>
        <w:tc>
          <w:tcPr>
            <w:tcW w:w="2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Voltage options of 12V-200V*</w:t>
            </w:r>
          </w:p>
        </w:tc>
        <w:tc>
          <w:tcPr>
            <w:tcW w:w="100" w:type="dxa"/>
            <w:vAlign w:val="bottom"/>
          </w:tcPr>
          <w:p>
            <w:pPr>
              <w:spacing w:after="0"/>
              <w:rPr>
                <w:sz w:val="16"/>
                <w:szCs w:val="16"/>
                <w:color w:val="auto"/>
              </w:rPr>
            </w:pPr>
          </w:p>
        </w:tc>
        <w:tc>
          <w:tcPr>
            <w:tcW w:w="35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w w:val="94"/>
              </w:rPr>
              <w:t>• Smartphones, mobile phones, and wearable</w:t>
            </w:r>
          </w:p>
        </w:tc>
      </w:tr>
      <w:tr>
        <w:trPr>
          <w:trHeight w:val="216"/>
        </w:trPr>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Trench MOSFET Process</w:t>
            </w:r>
          </w:p>
        </w:tc>
        <w:tc>
          <w:tcPr>
            <w:tcW w:w="20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devices</w:t>
            </w:r>
          </w:p>
        </w:tc>
      </w:tr>
      <w:tr>
        <w:trPr>
          <w:trHeight w:val="216"/>
        </w:trPr>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cell density</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Tablet PCs, Notebooks</w:t>
            </w:r>
          </w:p>
        </w:tc>
      </w:tr>
      <w:tr>
        <w:trPr>
          <w:trHeight w:val="216"/>
        </w:trPr>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8"/>
              </w:rPr>
              <w:t>Advanced packages to enable reduction of</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Desktop PCs, Servers</w:t>
            </w:r>
          </w:p>
        </w:tc>
      </w:tr>
      <w:tr>
        <w:trPr>
          <w:trHeight w:val="216"/>
        </w:trPr>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PCB mounting area</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LCD/LED TVs</w:t>
            </w:r>
          </w:p>
        </w:tc>
      </w:tr>
      <w:tr>
        <w:trPr>
          <w:trHeight w:val="216"/>
        </w:trPr>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Industrial applications</w:t>
            </w:r>
          </w:p>
        </w:tc>
      </w:tr>
      <w:tr>
        <w:trPr>
          <w:trHeight w:val="230"/>
        </w:trPr>
        <w:tc>
          <w:tcPr>
            <w:tcW w:w="2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Cryptocurrency miner</w:t>
            </w:r>
          </w:p>
        </w:tc>
      </w:tr>
      <w:tr>
        <w:trPr>
          <w:trHeight w:val="323"/>
        </w:trPr>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Voltage options of 200V-650V</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Adaptors for tablet PC/mobile</w:t>
            </w:r>
          </w:p>
        </w:tc>
      </w:tr>
      <w:tr>
        <w:trPr>
          <w:trHeight w:val="216"/>
        </w:trPr>
        <w:tc>
          <w:tcPr>
            <w:tcW w:w="3620" w:type="dxa"/>
            <w:vAlign w:val="bottom"/>
            <w:gridSpan w:val="3"/>
          </w:tcPr>
          <w:p>
            <w:pPr>
              <w:ind w:left="80"/>
              <w:spacing w:after="0"/>
              <w:rPr>
                <w:sz w:val="20"/>
                <w:szCs w:val="20"/>
                <w:color w:val="auto"/>
              </w:rPr>
            </w:pPr>
            <w:r>
              <w:rPr>
                <w:rFonts w:ascii="Arial" w:cs="Arial" w:eastAsia="Arial" w:hAnsi="Arial"/>
                <w:sz w:val="18"/>
                <w:szCs w:val="18"/>
                <w:color w:val="auto"/>
              </w:rPr>
              <w:t>• R2FET (rapid recovery) option to shorten</w:t>
            </w:r>
          </w:p>
        </w:tc>
        <w:tc>
          <w:tcPr>
            <w:tcW w:w="20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phone/smartphone</w:t>
            </w:r>
          </w:p>
        </w:tc>
      </w:tr>
      <w:tr>
        <w:trPr>
          <w:trHeight w:val="216"/>
        </w:trPr>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reverse diode recovery time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Power supplies</w:t>
            </w:r>
          </w:p>
        </w:tc>
      </w:tr>
      <w:tr>
        <w:trPr>
          <w:trHeight w:val="216"/>
        </w:trPr>
        <w:tc>
          <w:tcPr>
            <w:tcW w:w="3620" w:type="dxa"/>
            <w:vAlign w:val="bottom"/>
            <w:gridSpan w:val="3"/>
          </w:tcPr>
          <w:p>
            <w:pPr>
              <w:ind w:left="80"/>
              <w:spacing w:after="0"/>
              <w:rPr>
                <w:sz w:val="20"/>
                <w:szCs w:val="20"/>
                <w:color w:val="auto"/>
              </w:rPr>
            </w:pPr>
            <w:r>
              <w:rPr>
                <w:rFonts w:ascii="Arial" w:cs="Arial" w:eastAsia="Arial" w:hAnsi="Arial"/>
                <w:sz w:val="18"/>
                <w:szCs w:val="18"/>
                <w:color w:val="auto"/>
              </w:rPr>
              <w:t>• Zener diode option for MOSFET protection</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Lighting (ballast, HID, LED)</w:t>
            </w:r>
          </w:p>
        </w:tc>
      </w:tr>
      <w:tr>
        <w:trPr>
          <w:trHeight w:val="216"/>
        </w:trPr>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for abnormal input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Industrial applications</w:t>
            </w:r>
          </w:p>
        </w:tc>
      </w:tr>
      <w:tr>
        <w:trPr>
          <w:trHeight w:val="230"/>
        </w:trPr>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Planar MOSFET Process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LCD/LEDTVs</w:t>
            </w:r>
          </w:p>
        </w:tc>
      </w:tr>
    </w:tbl>
    <w:p>
      <w:pPr>
        <w:ind w:left="260" w:right="3860" w:hanging="173"/>
        <w:spacing w:after="0" w:line="260" w:lineRule="auto"/>
        <w:tabs>
          <w:tab w:leader="none" w:pos="2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packages to enable reduction of PCB mounting area</w:t>
      </w:r>
    </w:p>
    <w:p>
      <w:pPr>
        <w:spacing w:after="0" w:line="91" w:lineRule="exact"/>
        <w:rPr>
          <w:sz w:val="20"/>
          <w:szCs w:val="20"/>
          <w:color w:val="auto"/>
        </w:rPr>
      </w:pPr>
    </w:p>
    <w:p>
      <w:pPr>
        <w:sectPr>
          <w:pgSz w:w="11900" w:h="16838" w:orient="portrait"/>
          <w:cols w:equalWidth="0" w:num="2">
            <w:col w:w="3260" w:space="720"/>
            <w:col w:w="7160"/>
          </w:cols>
          <w:pgMar w:left="320" w:top="486" w:right="439" w:bottom="1440" w:gutter="0" w:footer="0" w:header="0"/>
          <w:type w:val="continuous"/>
        </w:sectPr>
      </w:pPr>
    </w:p>
    <w:p>
      <w:pPr>
        <w:ind w:left="120"/>
        <w:spacing w:after="0"/>
        <w:tabs>
          <w:tab w:leader="none" w:pos="4040" w:val="left"/>
        </w:tabs>
        <w:rPr>
          <w:sz w:val="20"/>
          <w:szCs w:val="20"/>
          <w:color w:val="auto"/>
        </w:rPr>
      </w:pPr>
      <w:r>
        <w:rPr>
          <w:rFonts w:ascii="Arial" w:cs="Arial" w:eastAsia="Arial" w:hAnsi="Arial"/>
          <w:sz w:val="18"/>
          <w:szCs w:val="18"/>
          <w:color w:val="auto"/>
        </w:rPr>
        <w:t>Super Junction MOSFET</w:t>
      </w:r>
      <w:r>
        <w:rPr>
          <w:sz w:val="20"/>
          <w:szCs w:val="20"/>
          <w:color w:val="auto"/>
        </w:rPr>
        <w:tab/>
      </w:r>
      <w:r>
        <w:rPr>
          <w:rFonts w:ascii="Arial" w:cs="Arial" w:eastAsia="Arial" w:hAnsi="Arial"/>
          <w:sz w:val="17"/>
          <w:szCs w:val="17"/>
          <w:color w:val="auto"/>
        </w:rPr>
        <w:t>• Voltage options of 500V-900V</w:t>
      </w:r>
    </w:p>
    <w:p>
      <w:pPr>
        <w:ind w:left="4060"/>
        <w:spacing w:after="0" w:line="196" w:lineRule="auto"/>
        <w:tabs>
          <w:tab w:leader="none" w:pos="422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27"/>
          <w:szCs w:val="27"/>
          <w:color w:val="auto"/>
          <w:vertAlign w:val="superscript"/>
        </w:rPr>
        <w:t>Low R</w:t>
      </w:r>
      <w:r>
        <w:rPr>
          <w:rFonts w:ascii="Arial" w:cs="Arial" w:eastAsia="Arial" w:hAnsi="Arial"/>
          <w:sz w:val="11"/>
          <w:szCs w:val="11"/>
          <w:color w:val="auto"/>
        </w:rPr>
        <w:t>DS(ON)</w:t>
      </w:r>
    </w:p>
    <w:p>
      <w:pPr>
        <w:ind w:left="4060"/>
        <w:spacing w:after="0"/>
        <w:rPr>
          <w:sz w:val="20"/>
          <w:szCs w:val="20"/>
          <w:color w:val="auto"/>
        </w:rPr>
      </w:pPr>
      <w:r>
        <w:rPr>
          <w:rFonts w:ascii="Arial" w:cs="Arial" w:eastAsia="Arial" w:hAnsi="Arial"/>
          <w:sz w:val="18"/>
          <w:szCs w:val="18"/>
          <w:color w:val="auto"/>
        </w:rPr>
        <w:t>• Epi stack process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Zener diode option for MOSFET protection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for abnormal input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Advanced SJ MOSFET process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 Advanced packages to enable reduction of</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PCB mounting area</w:t>
      </w:r>
    </w:p>
    <w:p>
      <w:pPr>
        <w:spacing w:after="0" w:line="20" w:lineRule="exact"/>
        <w:rPr>
          <w:sz w:val="20"/>
          <w:szCs w:val="20"/>
          <w:color w:val="auto"/>
        </w:rPr>
      </w:pPr>
      <w:r>
        <w:rPr>
          <w:sz w:val="20"/>
          <w:szCs w:val="20"/>
          <w:color w:val="auto"/>
        </w:rPr>
        <w:br w:type="column"/>
      </w:r>
    </w:p>
    <w:p>
      <w:pPr>
        <w:ind w:left="161" w:hanging="161"/>
        <w:spacing w:after="0"/>
        <w:tabs>
          <w:tab w:leader="none" w:pos="1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LCD/LED/UHD TVs</w:t>
      </w:r>
    </w:p>
    <w:p>
      <w:pPr>
        <w:spacing w:after="0" w:line="23" w:lineRule="exact"/>
        <w:rPr>
          <w:rFonts w:ascii="Arial" w:cs="Arial" w:eastAsia="Arial" w:hAnsi="Arial"/>
          <w:sz w:val="18"/>
          <w:szCs w:val="18"/>
          <w:color w:val="auto"/>
        </w:rPr>
      </w:pPr>
    </w:p>
    <w:p>
      <w:pPr>
        <w:ind w:left="161" w:hanging="161"/>
        <w:spacing w:after="0"/>
        <w:tabs>
          <w:tab w:leader="none" w:pos="1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Lightings applications (ballast, HID, LED)</w:t>
      </w:r>
    </w:p>
    <w:p>
      <w:pPr>
        <w:spacing w:after="0" w:line="20" w:lineRule="exact"/>
        <w:rPr>
          <w:rFonts w:ascii="Arial" w:cs="Arial" w:eastAsia="Arial" w:hAnsi="Arial"/>
          <w:sz w:val="17"/>
          <w:szCs w:val="17"/>
          <w:color w:val="auto"/>
        </w:rPr>
      </w:pPr>
    </w:p>
    <w:p>
      <w:pPr>
        <w:ind w:left="161" w:hanging="161"/>
        <w:spacing w:after="0"/>
        <w:tabs>
          <w:tab w:leader="none" w:pos="1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Smartphones</w:t>
      </w:r>
    </w:p>
    <w:p>
      <w:pPr>
        <w:spacing w:after="0" w:line="9" w:lineRule="exact"/>
        <w:rPr>
          <w:rFonts w:ascii="Arial" w:cs="Arial" w:eastAsia="Arial" w:hAnsi="Arial"/>
          <w:sz w:val="18"/>
          <w:szCs w:val="18"/>
          <w:color w:val="auto"/>
        </w:rPr>
      </w:pPr>
    </w:p>
    <w:p>
      <w:pPr>
        <w:ind w:left="161" w:hanging="161"/>
        <w:spacing w:after="0"/>
        <w:tabs>
          <w:tab w:leader="none" w:pos="1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supplies</w:t>
      </w:r>
    </w:p>
    <w:p>
      <w:pPr>
        <w:spacing w:after="0" w:line="9" w:lineRule="exact"/>
        <w:rPr>
          <w:rFonts w:ascii="Arial" w:cs="Arial" w:eastAsia="Arial" w:hAnsi="Arial"/>
          <w:sz w:val="18"/>
          <w:szCs w:val="18"/>
          <w:color w:val="auto"/>
        </w:rPr>
      </w:pPr>
    </w:p>
    <w:p>
      <w:pPr>
        <w:ind w:left="161" w:hanging="161"/>
        <w:spacing w:after="0"/>
        <w:tabs>
          <w:tab w:leader="none" w:pos="1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Servers</w:t>
      </w:r>
    </w:p>
    <w:p>
      <w:pPr>
        <w:spacing w:after="0" w:line="9" w:lineRule="exact"/>
        <w:rPr>
          <w:rFonts w:ascii="Arial" w:cs="Arial" w:eastAsia="Arial" w:hAnsi="Arial"/>
          <w:sz w:val="18"/>
          <w:szCs w:val="18"/>
          <w:color w:val="auto"/>
        </w:rPr>
      </w:pPr>
    </w:p>
    <w:p>
      <w:pPr>
        <w:ind w:left="161" w:hanging="161"/>
        <w:spacing w:after="0"/>
        <w:tabs>
          <w:tab w:leader="none" w:pos="1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Industrial applications</w:t>
      </w:r>
    </w:p>
    <w:p>
      <w:pPr>
        <w:spacing w:after="0" w:line="561" w:lineRule="exact"/>
        <w:rPr>
          <w:sz w:val="20"/>
          <w:szCs w:val="20"/>
          <w:color w:val="auto"/>
        </w:rPr>
      </w:pPr>
    </w:p>
    <w:p>
      <w:pPr>
        <w:sectPr>
          <w:pgSz w:w="11900" w:h="16838" w:orient="portrait"/>
          <w:cols w:equalWidth="0" w:num="2">
            <w:col w:w="7380" w:space="319"/>
            <w:col w:w="3441"/>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IGBTs</w:t>
            </w: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3140" w:type="dxa"/>
            <w:vAlign w:val="bottom"/>
          </w:tcPr>
          <w:p>
            <w:pPr>
              <w:ind w:left="40"/>
              <w:spacing w:after="0"/>
              <w:rPr>
                <w:sz w:val="20"/>
                <w:szCs w:val="20"/>
                <w:color w:val="auto"/>
              </w:rPr>
            </w:pPr>
            <w:r>
              <w:rPr>
                <w:rFonts w:ascii="Arial" w:cs="Arial" w:eastAsia="Arial" w:hAnsi="Arial"/>
                <w:sz w:val="18"/>
                <w:szCs w:val="18"/>
                <w:color w:val="auto"/>
              </w:rPr>
              <w:t>Voltage options of 650V/1200V</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1640" w:type="dxa"/>
            <w:vAlign w:val="bottom"/>
          </w:tcPr>
          <w:p>
            <w:pPr>
              <w:ind w:left="40"/>
              <w:spacing w:after="0"/>
              <w:rPr>
                <w:sz w:val="20"/>
                <w:szCs w:val="20"/>
                <w:color w:val="auto"/>
              </w:rPr>
            </w:pPr>
            <w:r>
              <w:rPr>
                <w:rFonts w:ascii="Arial" w:cs="Arial" w:eastAsia="Arial" w:hAnsi="Arial"/>
                <w:sz w:val="18"/>
                <w:szCs w:val="18"/>
                <w:color w:val="auto"/>
                <w:w w:val="91"/>
              </w:rPr>
              <w:t>Industrial applications</w:t>
            </w:r>
          </w:p>
        </w:tc>
      </w:tr>
      <w:tr>
        <w:trPr>
          <w:trHeight w:val="216"/>
        </w:trPr>
        <w:tc>
          <w:tcPr>
            <w:tcW w:w="2640" w:type="dxa"/>
            <w:vAlign w:val="bottom"/>
          </w:tcPr>
          <w:p>
            <w:pPr>
              <w:spacing w:after="0"/>
              <w:rPr>
                <w:sz w:val="18"/>
                <w:szCs w:val="18"/>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Field Stop Trench IGBT</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1640" w:type="dxa"/>
            <w:vAlign w:val="bottom"/>
          </w:tcPr>
          <w:p>
            <w:pPr>
              <w:ind w:left="40"/>
              <w:spacing w:after="0"/>
              <w:rPr>
                <w:sz w:val="20"/>
                <w:szCs w:val="20"/>
                <w:color w:val="auto"/>
              </w:rPr>
            </w:pPr>
            <w:r>
              <w:rPr>
                <w:rFonts w:ascii="Arial" w:cs="Arial" w:eastAsia="Arial" w:hAnsi="Arial"/>
                <w:sz w:val="18"/>
                <w:szCs w:val="18"/>
                <w:color w:val="auto"/>
                <w:w w:val="90"/>
              </w:rPr>
              <w:t>Consumer appliances</w:t>
            </w:r>
          </w:p>
        </w:tc>
      </w:tr>
      <w:tr>
        <w:trPr>
          <w:trHeight w:val="230"/>
        </w:trPr>
        <w:tc>
          <w:tcPr>
            <w:tcW w:w="2640" w:type="dxa"/>
            <w:vAlign w:val="bottom"/>
          </w:tcPr>
          <w:p>
            <w:pPr>
              <w:spacing w:after="0"/>
              <w:rPr>
                <w:sz w:val="20"/>
                <w:szCs w:val="20"/>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Current options from 15A to 100A</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23"/>
        </w:trPr>
        <w:tc>
          <w:tcPr>
            <w:tcW w:w="2640" w:type="dxa"/>
            <w:vAlign w:val="bottom"/>
          </w:tcPr>
          <w:p>
            <w:pPr>
              <w:spacing w:after="0"/>
              <w:rPr>
                <w:sz w:val="20"/>
                <w:szCs w:val="20"/>
                <w:color w:val="auto"/>
              </w:rPr>
            </w:pPr>
            <w:r>
              <w:rPr>
                <w:rFonts w:ascii="Arial" w:cs="Arial" w:eastAsia="Arial" w:hAnsi="Arial"/>
                <w:sz w:val="18"/>
                <w:szCs w:val="18"/>
                <w:color w:val="auto"/>
              </w:rPr>
              <w:t>AC-DC Converter</w:t>
            </w:r>
          </w:p>
        </w:tc>
        <w:tc>
          <w:tcPr>
            <w:tcW w:w="4560" w:type="dxa"/>
            <w:vAlign w:val="bottom"/>
            <w:gridSpan w:val="2"/>
          </w:tcPr>
          <w:p>
            <w:pPr>
              <w:ind w:left="1300"/>
              <w:spacing w:after="0"/>
              <w:rPr>
                <w:sz w:val="20"/>
                <w:szCs w:val="20"/>
                <w:color w:val="auto"/>
              </w:rPr>
            </w:pPr>
            <w:r>
              <w:rPr>
                <w:rFonts w:ascii="Arial" w:cs="Arial" w:eastAsia="Arial" w:hAnsi="Arial"/>
                <w:sz w:val="18"/>
                <w:szCs w:val="18"/>
                <w:color w:val="auto"/>
              </w:rPr>
              <w:t>• Wide control range for high power</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164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2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application (&gt;150W)</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164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2640" w:type="dxa"/>
            <w:vAlign w:val="bottom"/>
          </w:tcPr>
          <w:p>
            <w:pPr>
              <w:spacing w:after="0"/>
              <w:rPr>
                <w:sz w:val="18"/>
                <w:szCs w:val="18"/>
                <w:color w:val="auto"/>
              </w:rPr>
            </w:pPr>
          </w:p>
        </w:tc>
        <w:tc>
          <w:tcPr>
            <w:tcW w:w="4560" w:type="dxa"/>
            <w:vAlign w:val="bottom"/>
            <w:gridSpan w:val="2"/>
          </w:tcPr>
          <w:p>
            <w:pPr>
              <w:ind w:left="1300"/>
              <w:spacing w:after="0"/>
              <w:rPr>
                <w:sz w:val="20"/>
                <w:szCs w:val="20"/>
                <w:color w:val="auto"/>
              </w:rPr>
            </w:pPr>
            <w:r>
              <w:rPr>
                <w:rFonts w:ascii="Arial" w:cs="Arial" w:eastAsia="Arial" w:hAnsi="Arial"/>
                <w:sz w:val="18"/>
                <w:szCs w:val="18"/>
                <w:color w:val="auto"/>
              </w:rPr>
              <w:t>• Advanced BCDMOS process</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3140" w:type="dxa"/>
            <w:vAlign w:val="bottom"/>
          </w:tcPr>
          <w:p>
            <w:pPr>
              <w:ind w:left="60"/>
              <w:spacing w:after="0"/>
              <w:rPr>
                <w:sz w:val="20"/>
                <w:szCs w:val="20"/>
                <w:color w:val="auto"/>
              </w:rPr>
            </w:pPr>
            <w:r>
              <w:rPr>
                <w:rFonts w:ascii="Arial" w:cs="Arial" w:eastAsia="Arial" w:hAnsi="Arial"/>
                <w:sz w:val="18"/>
                <w:szCs w:val="18"/>
                <w:color w:val="auto"/>
              </w:rPr>
              <w:t>High Precision Voltage Reference</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3140" w:type="dxa"/>
            <w:vAlign w:val="bottom"/>
          </w:tcPr>
          <w:p>
            <w:pPr>
              <w:ind w:left="40"/>
              <w:spacing w:after="0"/>
              <w:rPr>
                <w:sz w:val="20"/>
                <w:szCs w:val="20"/>
                <w:color w:val="auto"/>
              </w:rPr>
            </w:pPr>
            <w:r>
              <w:rPr>
                <w:rFonts w:ascii="Arial" w:cs="Arial" w:eastAsia="Arial" w:hAnsi="Arial"/>
                <w:sz w:val="18"/>
                <w:szCs w:val="18"/>
                <w:color w:val="auto"/>
              </w:rPr>
              <w:t>Very low startup current consumption</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2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tcPr>
          <w:p>
            <w:pPr>
              <w:ind w:left="136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33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4"/>
                <w:szCs w:val="14"/>
                <w:color w:val="auto"/>
              </w:rPr>
            </w:pPr>
          </w:p>
        </w:tc>
        <w:tc>
          <w:tcPr>
            <w:tcW w:w="334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60" w:type="dxa"/>
            <w:vAlign w:val="bottom"/>
            <w:gridSpan w:val="3"/>
          </w:tcPr>
          <w:p>
            <w:pPr>
              <w:spacing w:after="0"/>
              <w:rPr>
                <w:sz w:val="20"/>
                <w:szCs w:val="20"/>
                <w:color w:val="auto"/>
              </w:rPr>
            </w:pPr>
            <w:r>
              <w:rPr>
                <w:rFonts w:ascii="Arial" w:cs="Arial" w:eastAsia="Arial" w:hAnsi="Arial"/>
                <w:sz w:val="18"/>
                <w:szCs w:val="18"/>
                <w:color w:val="auto"/>
              </w:rPr>
              <w:t>DC-DC Converters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LCD/LED/UHD TVs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range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Smartphones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Mobile 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Fast load and line regulation</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Accurate output voltage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Set-top boxes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OCP, SCP and thermal protections</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LED Backlighting Drivers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Tablet PCs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range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BCDMOS process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Smartphones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OCP, SCP, OVP and UVLO protections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LED/UHD TVs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Accurate LED current control and multi-</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LED monitors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channel matching</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Programmable current limit, boost up</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frequency</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Digital Controlled LED Driver</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Multi-channel constant current control</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Digital signage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12Bit gray scale with SPI</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LED Lighting Drivers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AC and DC LED lighting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range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w w:val="98"/>
              </w:rPr>
              <w:t>Simple solutions with external components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fully integrated</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Advanced high voltage BCDMOS process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Accurate LED current control and high</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power factor and low THB</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Regulators</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Single and multi-regulators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Smartphones and Mobile phones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Low Noise Output regulators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Wide range of input voltage and various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Computing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output current</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CMOS and BCDMOS processes</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LDO (Low Drop Out — Linear Regulator)</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SSD PMIC</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current buck</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Computing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PFM function</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frequency switching</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integration technology</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Small QFN package</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860" w:type="dxa"/>
            <w:vAlign w:val="bottom"/>
            <w:gridSpan w:val="3"/>
          </w:tcPr>
          <w:p>
            <w:pPr>
              <w:spacing w:after="0"/>
              <w:rPr>
                <w:sz w:val="20"/>
                <w:szCs w:val="20"/>
                <w:color w:val="auto"/>
              </w:rPr>
            </w:pPr>
            <w:r>
              <w:rPr>
                <w:rFonts w:ascii="Arial" w:cs="Arial" w:eastAsia="Arial" w:hAnsi="Arial"/>
                <w:sz w:val="18"/>
                <w:szCs w:val="18"/>
                <w:color w:val="auto"/>
              </w:rPr>
              <w:t>Logic PMIC</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current boost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Notebooks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Integrated pass transistor</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Tablet PCs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 LDO</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3channel high current buck</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Negative Charge Pump</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2channel buffer Op-Amp.</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Tiny Wafer Level CSP</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vMerge w:val="restart"/>
          </w:tcPr>
          <w:p>
            <w:pPr>
              <w:ind w:left="13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focus our sales and marketing strategy on continuing to grow and leverage our existing relationships with leading consumer electronics OEMs, while expanding into industrial and automotive end markets. We believe our close collaboration with customers allows us to align our product and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w:t>
      </w:r>
    </w:p>
    <w:p>
      <w:pPr>
        <w:spacing w:after="0" w:line="18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and sales liaisons in Japan, Greater China, Taiwan and Europe. We have a network of agents and distributors in Korea, Japan, Greater China, Taiwan and Europe. For the years ended December 31, 2020, 2019 and 2018, we derived 75%, 75% and 71% of net sales from our standard products business through our direct sales force, respectively, and 25%, 25% and 29% of net sales from our standard products business through our network of authorized agents and distributors, respectively.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sell our Display Solutions and Power Solutions products to consumer, computing and industrial electronics OEMs, original design manufacturers and electronics manufacturing services companies, as well as subsystem designers. For the years ended December 31, 2020, 2019 and 2018, our ten largest customers accounted for 87.6%, 89.5% and 84.9% of net sales from our standard products business, respectively. Our arrangements with and reliance on key customers, particularly customers for our display products, may make it less practicable to pursue certain opportunities with other potential new and existing customers For the year ended December 31, 2020, sales to Samsung Display represented 56.2% of net sales from our standard products business and 87.5% of our Display Solutions division’s net sales. For the year ended December 31, 2019, sales to Samsung Display represented 53.8% of net sales from our standard products business and 84.5% of our Display Solutions division’s net sales. For the year ended December 31, 2018, sales to Samsung Display represented 34.1% of net sales from our standard products business and 56.6% of our Display Solutions division’s net sales, and LG Display represented 23.4% of net sales from our standard products business and 38.9% of our Display Solutions division’s net sales. For the year ended December 31, 2020, we recorded revenues of $5.1 million from customers in the US and $460.4 million from all foreign countries, of which 61.9% was from Greater China, 23.1% from Korea and 10.8% from Vietnam. For the year ended December 31, 2019, we recorded revenues of $2.4 million from customers in the US and $482.4 million from all foreign countries, of which 68.2% was from Greater China and 27.5% from Korea. For the year ended December 31, 2018, we recorded revenues of $2.0 million from customers in the US and $423.5 million from all foreign countries, of which 51.2% was from Greater China and 41.6% from Korea. All information pertaining to the geographic source of revenues is with respect to the geographic location to which our products are billed.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of December 31, 2020, our portfolio of intellectual property assets included approximately 1,044 registered patents and 158 pending patent applications. Approximately 548 and 54 of our patents and pending applications, respectively, are novel in that they are not a foreign counterpart of an existing patent or patent application. Because we file patents in multiple jurisdictions, we additionally have approximately 496 registered patents and 104 pending applications that relate to identical technical claims in our base patent portfolio. Our patents expire at various times approximately over the next 19 years. While these patents are in the aggregate important to our competitive position, we do not believe that any single registered or pending patent is material to 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worldwide workforce consisted of 880 employees (full- and part-time) as of December 31, 2020, of which 194 were involved in sales, marketing, general and administrative, 222 in research and development (including 90 with advanced degrees), 42 in quality, reliability and assurance, and 422 in manufacturing (comprised of 44 in engineering and 378 in operations, maintenance and others). As of December 31, 2020, 395 employees, or approximately 45% of our workforce, were represented by the Magnachip Semiconductor Labor Union. Our employees leverage their extensive expertise in engineering, design and process to accelerate the advancement of technology and be leaders in our industry. We pride our company on being a great workplace where employees from diverse backgrounds can reach their full potential.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Values and Culture</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support all employees, regardless of gender, gender identity or expression, age, veteran status, race, ethnicity, national origin, religion or disability. We place great importance on inclusion and diversity within the workplace. An inclusive and diverse culture creates a happier, more relaxed work environment.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and Ethics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Empowering Great Talent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w:t>
      </w:r>
    </w:p>
    <w:p>
      <w:pPr>
        <w:spacing w:after="0" w:line="176"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believe the foundation of Magnachip is our research and development (“R&amp;D”) talent. To ensure R&amp;D technical professionals continue to advance their skills and knowledge, we have technology committees that attend regular seminars and conduct periodic research. We have a reward program for exemplary research.</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also offer a Vision Seminar, which is led by our CEO and is designed to share our company’s vision, strategy and the management’s key messages to employees. Additionally, the CEO and management regularly communicate with employees through CEO letters and town hall meetings.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 and mid-term retention programs to attract and retain high-performing key talent.</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and Wellness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During and after the COVID-19 pandemic, our top priority is ensuring health and safety of our employees and their families. We built a companywide control tower to provide appropriate response guidance as the pandemic has evolved, and have secured internal/external capabilities to respond to emergencies systematically. In response to the COVID-19 pandemic, we quickly instituted infrastructure to support remote working, so that our employees could work from home in a safe and stable environment. In addition, we have installed safety facilities within our business sites.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adopted new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new requirements could adversely affect the sourcing, availability and pricing of metals used in the manufacture of our products. See “Item 1A. Risk Factors—Risks Related to Our Business—Compliance with new regulations regarding the use of “conflict minerals” could limit the supply and increase the cost of certain raw materials used in manufacturing our products.”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Our principal executive office is located at: c/o MagnaChip Semiconductor S.A., 1, Allée Scheffer, L-2520 Luxembourg, Grand Duchy of Luxembourg, and our telephone number is (352) 45-62-62. Our website address is www.magnachip.com. Our annual, quarterly and current reports on Forms 10-K,</w:t>
      </w:r>
    </w:p>
    <w:p>
      <w:pPr>
        <w:ind w:left="120" w:right="20"/>
        <w:spacing w:after="0" w:line="286" w:lineRule="auto"/>
        <w:rPr>
          <w:sz w:val="20"/>
          <w:szCs w:val="20"/>
          <w:color w:val="auto"/>
        </w:rPr>
      </w:pPr>
      <w:r>
        <w:rPr>
          <w:rFonts w:ascii="Arial" w:cs="Arial" w:eastAsia="Arial" w:hAnsi="Arial"/>
          <w:sz w:val="16"/>
          <w:szCs w:val="16"/>
          <w:color w:val="auto"/>
        </w:rPr>
        <w:t>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Ltd., 15F 501 Teheran-ro, Gangnam-gu, Seoul 06168, Korea Attention: General Counsel and Secretary; the telephone number at that address is 82-2-6903-7877.</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334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260" w:type="dxa"/>
            <w:vAlign w:val="bottom"/>
          </w:tcPr>
          <w:p>
            <w:pPr>
              <w:spacing w:after="0"/>
              <w:rPr>
                <w:sz w:val="19"/>
                <w:szCs w:val="19"/>
                <w:color w:val="auto"/>
              </w:rPr>
            </w:pPr>
          </w:p>
        </w:tc>
      </w:tr>
      <w:tr>
        <w:trPr>
          <w:trHeight w:val="197"/>
        </w:trPr>
        <w:tc>
          <w:tcPr>
            <w:tcW w:w="3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(YJ) Kim</w:t>
            </w: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CCEEFF"/>
            </w:tcBorders>
            <w:gridSpan w:val="3"/>
            <w:shd w:val="clear" w:color="auto" w:fill="CCEEFF"/>
          </w:tcPr>
          <w:p>
            <w:pPr>
              <w:ind w:left="80"/>
              <w:spacing w:after="0" w:line="196" w:lineRule="exact"/>
              <w:rPr>
                <w:sz w:val="20"/>
                <w:szCs w:val="20"/>
                <w:color w:val="auto"/>
              </w:rPr>
            </w:pPr>
            <w:r>
              <w:rPr>
                <w:rFonts w:ascii="Arial" w:cs="Arial" w:eastAsia="Arial" w:hAnsi="Arial"/>
                <w:sz w:val="18"/>
                <w:szCs w:val="18"/>
                <w:color w:val="auto"/>
              </w:rPr>
              <w:t>Director and Chief Executive Officer</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Young Soo Woo</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710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7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Compliance Officer, General Counsel and Secretary</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7100" w:type="dxa"/>
            <w:vAlign w:val="bottom"/>
            <w:gridSpan w:val="3"/>
          </w:tcPr>
          <w:p>
            <w:pPr>
              <w:ind w:left="80"/>
              <w:spacing w:after="0"/>
              <w:rPr>
                <w:sz w:val="20"/>
                <w:szCs w:val="20"/>
                <w:color w:val="auto"/>
              </w:rPr>
            </w:pPr>
            <w:r>
              <w:rPr>
                <w:rFonts w:ascii="Arial" w:cs="Arial" w:eastAsia="Arial" w:hAnsi="Arial"/>
                <w:sz w:val="18"/>
                <w:szCs w:val="18"/>
                <w:color w:val="auto"/>
              </w:rPr>
              <w:t>General Manager of Worldwide Sales</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7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General Manager of Power Solutions</w:t>
            </w:r>
          </w:p>
        </w:tc>
      </w:tr>
      <w:tr>
        <w:trPr>
          <w:trHeight w:val="365"/>
        </w:trPr>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ind w:left="150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 xml:space="preserve">Young-Joon (YJ) Kim, Director, Member of the Risk Committee and Chief Executive Officer. </w:t>
      </w:r>
      <w:r>
        <w:rPr>
          <w:rFonts w:ascii="Arial" w:cs="Arial" w:eastAsia="Arial" w:hAnsi="Arial"/>
          <w:sz w:val="16"/>
          <w:szCs w:val="16"/>
          <w:color w:val="auto"/>
        </w:rPr>
        <w:t>Mr. YJ Kim became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in a career spanning about 33 years. His past roles include marketing, engineering, product development and strategic planning, and his product expertise includes microprocessors, network processors, FLASH, EPROM, analog, mixed-signal, sensors, wireless base station,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7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i w:val="1"/>
          <w:iCs w:val="1"/>
          <w:color w:val="auto"/>
        </w:rPr>
        <w:t>Young Soo Woo, Chief Financial Officer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Young Soo Woo was appointed Chief Financial Officer of our company in May 2020.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our company, he served as the Chief Executive Officer of CoreeGroup, which owns and manages companies engaged in infant care service, pharmaceuticals and related research and technology businesses, from January 2020 to May 2020. Before CoreeGroup, from April 2017 to August 2019, Mr. Woo served as the Group Chief Financial Officer of Chong Kun Dang Holdings Corporation (“CKDH”), a public company and leading Korean pharmaceutical conglomerate, and also served as its Chief Executive Officer from March 2018 to August 2019. Before joining CKDH, Mr. Woo served as the General Secretary of the Kochon Foundation, a non-profit organization founded by the founder of CKDH, from March 2016 to April 2017. Prior to the Kochon Foundation, Mr. Woo served as the acting President of Dong-A One from June 2015 to October 2015, having been appointed to implement an internal restructuring plan. Prior to Dong-A One, from 2012 to 2014 Mr. Woo served in various positions at KT Corporation, one of the largest telecom companies in Korea, including as Head of Strategic Planning Office and Deputy Head of Finance Office. From 1997 to 2012, Mr. Woo served various management positions at technology and manufacturing companies, including as Chief Operating Officer and Chief Strategy Officer of Hankook Tire, and as Managing Director, Corporate Strategy of Hanaro Telecom. While at Hanaro Telecom, Mr. Woo played a key role in its initial listing on NASDAQ in 2000. Mr. Woo has extensive experience in financial planning and analysis, cost control, strategy, mergers and acquisitions, initial public offerings and risk management. Mr. Woo earned a B.A. degree in Economics from Seoul National University and received his M.A. and Ph.D. degrees in Economics from Cornell University.</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Theodore Kim, Chief Compliance Officer, General Counsel and Secretary. </w:t>
      </w:r>
      <w:r>
        <w:rPr>
          <w:rFonts w:ascii="Arial" w:cs="Arial" w:eastAsia="Arial" w:hAnsi="Arial"/>
          <w:sz w:val="16"/>
          <w:szCs w:val="16"/>
          <w:color w:val="auto"/>
        </w:rPr>
        <w:t>Mr. Theodore Kim (T. Kim) became our Chief Compliance Officer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2015, and became our General Counsel and Secretary in November 2013. Mr. T. Kim previously served as our Senior Vice President from November 2013 to May 2015. Prior to joining Magnachip, Mr. T. Kim served as Head Lawyer, Global Business Development at Samsung Fire &amp; Marine Insurance from October 2012 to October 2013. Mr. T. Kim was employed by Gibson, Dunn &amp; Crutcher LLP, a law firm, from October 2005 to July 2012, serving most recently as Of Counsel. Prior to that, he served as Foreign Legal Consultant at Kim &amp; Chang, a law firm in Korea, from 2001 to 2005, and prior to that, he worked as an associate attorney at Morrison &amp; Foerster LLP, a law firm, from 1997 to 2001. Mr. Kim holds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B.A. degree in Economics and a B.S. degree in Mechanical Engineering from the University of California, Irvine, and a J.D. degree from the University of California, Los Angeles, School of Law.</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Woung Moo Lee, General Manager of Worldwide Sales. </w:t>
      </w:r>
      <w:r>
        <w:rPr>
          <w:rFonts w:ascii="Arial" w:cs="Arial" w:eastAsia="Arial" w:hAnsi="Arial"/>
          <w:sz w:val="18"/>
          <w:szCs w:val="18"/>
          <w:color w:val="auto"/>
        </w:rPr>
        <w:t>Mr. Woung Moo Lee was named as General Manager of Worldwide Sales since June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Prior to that, Mr. Lee served as General Manager of Worldwide Sales and Power Solutions from February 2020. Mr. Lee had been appointed as General Manager of the Standard Products Group in 2015 and prior to that served as our Senior Vice President, Korea Sales from 2013. Before joining our company, he was one of the founding executives and served as Vice President of Global Strategy and Marketing, Samsung LED Co., Ltd. from 2009 to 2011. In 1984, Mr. Lee began his career as a memory semiconductor design engineer and served as Vice President of Memory Strategy &amp; Marketing Team at Samsung Electronics Co., Ltd. until 2009. Mr. Lee received the prestigious “Proud Samsung Employee Award” in 2005 and holds a B.S. degree in Electron.</w:t>
      </w:r>
    </w:p>
    <w:p>
      <w:pPr>
        <w:spacing w:after="0" w:line="19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b w:val="1"/>
          <w:bCs w:val="1"/>
          <w:i w:val="1"/>
          <w:iCs w:val="1"/>
          <w:color w:val="auto"/>
        </w:rPr>
        <w:t>Chan Ho Park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General Manager of Power Solutions. </w:t>
      </w:r>
      <w:r>
        <w:rPr>
          <w:rFonts w:ascii="Arial" w:cs="Arial" w:eastAsia="Arial" w:hAnsi="Arial"/>
          <w:sz w:val="16"/>
          <w:szCs w:val="16"/>
          <w:color w:val="auto"/>
        </w:rPr>
        <w:t>Dr. Chan Ho Park became our General Manager of Power Solutions in June 2020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30 years of hands-on experience in the development of discrete power devices and market insights throughout the power semiconductor industry. Prior to joining our company, he was a senior staff at Vishay Intertechnology Inc. since March, 2014. He developed cutting-edge technology platforms for low voltages MOSFETs having 1.5 giga-cell density and provided high and low side MOSFETs for DrMOS to various power stage solutions.</w:t>
      </w:r>
    </w:p>
    <w:p>
      <w:pPr>
        <w:spacing w:after="0" w:line="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Dr. Park started his professional career in 1986 as a design engineer in the field of BJT, J-FET, and Schottky Diode at Samsung Electronics, located in Bucheon, Korea. Afterwards, he worked for Fairchild Semiconductor in West Jordan, Utah and for Vishay Siliconix in San Jose, California. He rejoined Samsung Electronics, System LSI Business in 2011 as the Vice President of Discrete Development Team, where he led R&amp;D, PE, FAE and high voltage power IC technologies for IGBTs, super-junction MOSFETs, split gate MOSFETs and driver ICs. He received a Ph.D. in Electrical Engineering from KAIST (Korea Advanced Institute of Science and Technology) and a B.S. in Physics from Seoul National University. He is a member of IEEE and a peer reviewer for IEEE transactions on Electron Devices and Electron Device Letters.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risk factors included herein.</w:t>
      </w:r>
    </w:p>
    <w:p>
      <w:pPr>
        <w:spacing w:after="0" w:line="131" w:lineRule="exact"/>
        <w:rPr>
          <w:sz w:val="20"/>
          <w:szCs w:val="20"/>
          <w:color w:val="auto"/>
        </w:rPr>
      </w:pPr>
    </w:p>
    <w:p>
      <w:pPr>
        <w:ind w:left="540" w:right="22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A significant portion of our sales comes from a relatively limited number of customers, the loss of which could adversely affect our financial results.</w:t>
      </w:r>
    </w:p>
    <w:p>
      <w:pPr>
        <w:spacing w:after="0" w:line="75"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75"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75"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Expanded trade restrictions imposed by the United States may limit our ability to sell to certain customers.</w:t>
      </w:r>
    </w:p>
    <w:p>
      <w:pPr>
        <w:spacing w:after="0" w:line="130" w:lineRule="exact"/>
        <w:rPr>
          <w:rFonts w:ascii="Arial" w:cs="Arial" w:eastAsia="Arial" w:hAnsi="Arial"/>
          <w:sz w:val="18"/>
          <w:szCs w:val="18"/>
          <w:color w:val="auto"/>
        </w:rPr>
      </w:pPr>
    </w:p>
    <w:p>
      <w:pPr>
        <w:ind w:left="540" w:right="240" w:hanging="424"/>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29" w:lineRule="exact"/>
        <w:rPr>
          <w:rFonts w:ascii="Arial" w:cs="Arial" w:eastAsia="Arial" w:hAnsi="Arial"/>
          <w:sz w:val="16"/>
          <w:szCs w:val="16"/>
          <w:color w:val="auto"/>
        </w:rPr>
      </w:pPr>
    </w:p>
    <w:p>
      <w:pPr>
        <w:ind w:left="540" w:right="32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75"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operate in the highly cyclical semiconductor industry, which is subject to significant downturns that may negatively impact our results of operations.</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Recently, the semiconductor industry has experienced a period of upturn, which has resulted in shortages in manufacturing capacity. To the extent there are shortages, we may experience difficulties in sourcing sufficient manufacturing capacity or could be forced to pay increased prices for such services, either of which could negatively impact our results of operations.</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associated with transitioning or eliminating certain employee positions and modifying or terminating vendor relationships in connection with those exit activities.</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and technologies or enhance our existing products in order to react to rapid technological change and market demands, our business will suffer.</w:t>
      </w:r>
    </w:p>
    <w:p>
      <w:pPr>
        <w:spacing w:after="0" w:line="62"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w:t>
      </w:r>
    </w:p>
    <w:p>
      <w:pPr>
        <w:spacing w:after="0" w:line="296"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customers may cancel their orders, reduce quantities or delay production, which would adversely affect our margins and results of operations.</w:t>
      </w:r>
    </w:p>
    <w:p>
      <w:pPr>
        <w:spacing w:after="0" w:line="15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underestimate our costs when determining pricing, our margins and results of operations would be adversely affected.</w:t>
      </w:r>
    </w:p>
    <w:p>
      <w:pPr>
        <w:spacing w:after="0" w:line="33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fab manufacturing depends on high utilization of our manufacturing capacity, a reduction of which could have a material adverse effect on our business, financial condition and the results of our operations.</w:t>
      </w:r>
    </w:p>
    <w:p>
      <w:pPr>
        <w:spacing w:after="0" w:line="62"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significant portion of our sales comes from a relatively limited number of customers, the loss of which could adversely affect our financial results.</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Historically, we have relied on a limited number of customers for a substantial portion of our total revenue. If we were to lose key customers or if customers cease to place orders for our high-volume products, particularly our display products, our financial results could be adversely affected. In addition, our arrangements with and reliance on key customers may make it less practicable to pursue certain opportunities with other potential new and existing customers. For the years ended December 31, 2020, 2019 and 2018, our ten largest customers accounted for 87.6%, 89.5% and 84.9% of net sales from our standard products business, respectively. For the year ended December 31, 2020, sales to Samsung Display represented 56.2% of net sales from our standard products business and 87.5% of our Display Solutions division’s net sales. For the year ended December 31, 2019, sales to Samsung Display represented 53.8% of net sales from our standard products business and 84.5% of our Display Solutions division’s net sales. For the year ended December 31, 2018, sales to Samsung Display represented 34.1% of net sales from our standard products business and 56.6% of our Display Solutions division’s net sales, and LG Display represented 23.4% of net sales from our standard products business and 38.9% of our Display Solutions division’s net sales. Significant reductions in sales to any of these customers, especially our few largest customers, the loss of other major customers or a general curtailment in orders for our high-volume products within a short period of time could adversely affect our business.</w:t>
      </w:r>
    </w:p>
    <w:p>
      <w:pPr>
        <w:spacing w:after="0" w:line="28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industry is highly competitive, and our ability to compete could be negatively impacted by a variety of factors.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5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6"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entrance of new competitors into our markets;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enter the highly competitive power management market.</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demand for consumer electronics in our end markets can impact our results of operations.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8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Research and development investments may not yield profitable and commercially viable products, and thus will not necessarily result in increases in revenues for us.</w:t>
      </w:r>
    </w:p>
    <w:p>
      <w:pPr>
        <w:spacing w:after="0" w:line="62"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growth strategy is to leverage our advanced analog and mixed-signal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2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 favorable impact on our reported profit margins and operating income from operations for the fiscal year ended December 31, 2020 due to a relatively weaker Korean won during the period.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2020, the outstanding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intercompany loan balance including accrued interests between our Korean subsidiary and our Dutch subsidiary was $378.9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15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long-term debt rating falls below B-/B3 or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76"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6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As of December 31, 2020, 395 employees, or approximately 45% of our employees, were represented by the Magnachip Semiconductor Labor Union.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62"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8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are later determined to be worth less than the amount paid for them in an earlier original acquisition. In addition, our indebtedness may restrict us from making acquisitions that we may otherwise wish to pursue.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achieve acceptable manufacturing yields could adversely affect our business.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28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China, Taiwan and Thailand.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COVID-19)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COVID-19), or decrease the capacity of their operations available to us, our operating results could be adversely affected.</w:t>
      </w:r>
    </w:p>
    <w:p>
      <w:pPr>
        <w:spacing w:after="0" w:line="29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cooperate with independent foundries to produce certain advanced technology Display Solutions products, and the failure of such independent foundries to satisfy our demand could materially disrupt our business.</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use independent foundry services for certain of our OLED Display Solutions products and Power Solutions products. Silicon wafer production at these facilities is allocated solely by our vendors and beyond our direct control. Therefore, any disruption in wafer supply form these vendors could have a material impact on our revenue and results of operations.</w:t>
      </w:r>
    </w:p>
    <w:p>
      <w:pPr>
        <w:spacing w:after="0" w:line="2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62"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Recent sharp increases in demand for semiconductor products have resulted in a global shortage of manufacturing capacities. As a result, we may experience increases in the costs to manufacture our products and may not be able to manufacture and deliver all of the orders placed by our customers. We are not able to foresee when the current shortage of manufacturing capacity will subside. If we are unable secure manufacturing capacities from our current subcontractors, our ability to deliver our products to our customers may be negatively impacted. Also, our subcontractors may their fees, which would result in an increase in our manufacturing costs,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we may not be fully able to pass to our customers. These factors could cause a negative impact on our results of operations.</w:t>
      </w:r>
    </w:p>
    <w:p>
      <w:pPr>
        <w:spacing w:after="0" w:line="333"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3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were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8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warranty claims, product return, litigation and liability risks and the risk of negative publicity if our products fail.</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7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as a result of changes in, or differences in the interpretation of, applicable tax laws, including the recently enacted tax reform legislation in the United States.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December 2017, H.R. 1, originally known as the Tax Cuts and Jobs Act, was enacted in the US (the “Tax Reform”). The Tax Reform reduces the US federal statutory rate to 21.0% from 35.0% effective January 1, 2018. The Tax Reform contains several key provisions that affect our assessment of deferred taxes, which include the remeasurement of deferred taxes, recognition of liabilities for taxes on mandatory deemed repatriation and certain other foreign income, and reassessment of the realizability of deferred tax assets. For further information regarding the impact of the Tax Reform, see “Item 8. Financial Statements and Supplementary Data—Notes to Consolidated Financial Statements—Note 17. Income Taxes” included elsewhere in this Report.</w:t>
      </w:r>
    </w:p>
    <w:p>
      <w:pPr>
        <w:spacing w:after="0" w:line="192"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also subject to regular reviews, examinations and audits by the IRS and other taxing authorities, including the Korean National Tax Service,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Expanded trade restrictions imposed by the United States may limit our ability to sell to certain customers.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August 17, 2020, the U.S. Department of Commerce expanded the scope of export restrictions as applied to products directed to Huawei and its affiliates listed on the Bureau of Industry and Security’s Entity List (collectively, “Huawei”). While prior restrictions had minimal effect on our ability to supply to customers, the newly expanded restrictions would limit our ability to supply to a variety of customers who we believe incorporate our products to those customers’ products directly or indirectly sold to Huawei. As of the date of this Annual Report, we are uncertain on the seriousness of the restrictions’ impact or duration and the future trajectory of our business from customers who directly or indirectly supply Huawei with products that incorporate our products. For export of some of our products, we have successfully obtained the necessary export licenses, and if exports of other products require export licenses due to the restrictions, we will consider applying for the necessary export licenses to continue to sell to the affected customers. Although we have thus far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successfully obtained the necessary export licenses for exporting some of our products, we are unsure whether our other applications will be successful. There is also a possibility that export restrictions may be further expanded to target companies in addition to Huawei, which may have an additional impact on our ability to sell to our customers. Export restrictions may also affect our contractors, suppliers or customers, and we cannot assure that they will not violate the restrictions, and any such violations may result in fines or criminal sanctions against us and damage our reputation.</w:t>
      </w:r>
    </w:p>
    <w:p>
      <w:pPr>
        <w:spacing w:after="0" w:line="26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Additionally, it is currently unclear how the recent change in presidential administration in the U.S. may further impact international trade tariffs going forward. Imposition of tariffs could increase costs of the end-user products we supply that we may not be able to pass on to our customers, which could in turn cause a decrease in the sales of our products and materially and adversely affect our business and results of operations.</w:t>
      </w:r>
    </w:p>
    <w:p>
      <w:pPr>
        <w:spacing w:after="0" w:line="286"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98" w:lineRule="exact"/>
        <w:rPr>
          <w:sz w:val="20"/>
          <w:szCs w:val="20"/>
          <w:color w:val="auto"/>
        </w:rPr>
      </w:pPr>
    </w:p>
    <w:p>
      <w:pPr>
        <w:ind w:left="540" w:right="4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our manufacture, use, sale or importation of the accused products;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reengineer or rebrand our products, if feasible;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technologies;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licenses to a third party’s intellectual property.</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license certain intellectual property from third parties. The termination of key third-party licenses relating to the use of intellectual property in our products and our design processes, such as our agreements with Silicon Works Co., Ltd. and ARM Limited, would materially and adversely affect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many environmental laws and regulations that could affect our operations or result in significant expenses.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 environmental offenses such as illegally emitting specified hazardous air pollutants or emitting air pollutants without necessary permits will be subject to penalties of up to 5% of the sales amount generated from the relevant business.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6"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Since 2015, our Korean subsidiary has been subject to K-ETS, a new set of greenhouse gas emissions regulation,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subsidiary has been allocated emissions allowance in the third implementation period from 2021 to 2025, and we do not expect to exceed the allocated emission amount during the third implementation period. However, we will continue to monitor our compliance with the emissions allowance on a yearly basis. In addition, from time to time, if we assess that we have excess allowances, we may sell such excess allowances to manufacturers in the emission market in Korea.</w:t>
      </w:r>
    </w:p>
    <w:p>
      <w:pPr>
        <w:spacing w:after="0" w:line="28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January 26, 2021, the SAPA was enacted in Korea, which will impose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subsidiary is expected to be subject to the law after the effective date. According to the SAPA, if a serious occupational accident occurs that results in at least one deceased person, at least two persons wounded for six months or more, or at least three persons suffering from occupational diseases within a one year period,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Relevant responsible management personnel will also be required to spend more time, effort and cost to comply with the SAPA and perform the necessary additional duties imposed by the law to ensure compliance.</w:t>
      </w:r>
    </w:p>
    <w:p>
      <w:pPr>
        <w:spacing w:after="0" w:line="27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any event, such actions may result in a material adverse effect on our business and results of operations. In addition, our indebtedness limits our ability to incur additional indebtedness under certain circumstances.</w:t>
      </w:r>
    </w:p>
    <w:p>
      <w:pPr>
        <w:spacing w:after="0" w:line="2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outbreaks such as COVID-19),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2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and prospects may be materially and adversely affected by the recent COVID-19 pandemic.</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COVID-19, a virus causing potentially deadly respiratory tract infections, which has spread rapidly and enveloped most of the world, is a global public health crisis. On March 11, 2020, the World Health Organization characterized the COVID-19 outbreak as a pandemic. Governments in affected countries have imposed travel bans, quarantines and other emergency public health measures. In response to the virus, national and local governments in numerous countries around the world have implemented substantial business restrictions and lockdown measures and may continue to impose similar policies in the future from time to time in response to further outbreaks of the virus.. Private sector companies have also taken precautionary measures, such as requiring employees to work remotely, imposing travel restrictions and temporarily closing businesses and facilities. These restrictions, and future prevention and mitigation measures, may have had an adverse impact on global economic conditions, which could materially adversely affect our future operations. Uncertainties regarding the economic impact of the COVID-19 outbreak have resulted in sustained market turmoil, which have also negatively impacted our business in various ways.</w:t>
      </w:r>
    </w:p>
    <w:p>
      <w:pPr>
        <w:spacing w:after="0" w:line="18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 other alternative work arrangements. Also, some suppliers of materials used in the production of our products may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92"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impact of the COVID-19 pandemic continues to evolve and its duration and ultimate disruption on our customers, end-users, overall demand for our products, supply chain, and the related financial impact to us, cannot be estimated at this time. Should such disruption continue for an extended period of time, the impact could have a more severe adverse effect on our business, results of operations and financial condition (including liquidity).</w:t>
      </w:r>
    </w:p>
    <w:p>
      <w:pPr>
        <w:spacing w:after="0" w:line="2"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Additionally, weaker economic conditions generally could result in impairment in value of our tangible or intangible assets, or our ability to raise additional capital, if needed.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Tensions with North Korea could have an adverse effect on us and the market value of our shares.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Relations between South Korea and North Korea have been tense throughout Korea’s modern history. The level of tension between the two Koreas has fluctuated and may increase abruptly as a result of current and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North Korea’s economy also faces severe challenges, and any adverse economic developments may further aggravate social and political tensions within North Korea.</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95"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3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a holding company and depend on the business of our subsidiaries to make payments to us.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are a holding company with no independent operations of our own. Our subsidiaries conduct substantially all of the operations necessary to fund our obligations. Our ability to pay dividends or to make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payments on any future obligations will depend on our subsidiaries’ cash flow and their payment of funds to us. Our subsidiaries’ ability to make payments to us will depend on:</w:t>
      </w:r>
    </w:p>
    <w:p>
      <w:pPr>
        <w:spacing w:after="0" w:line="76"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covenants contained in any debt agreements to which we may then be subject, including any debt agreements of our subsidiaries;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130" w:lineRule="exact"/>
        <w:rPr>
          <w:rFonts w:ascii="Arial" w:cs="Arial" w:eastAsia="Arial" w:hAnsi="Arial"/>
          <w:sz w:val="18"/>
          <w:szCs w:val="18"/>
          <w:color w:val="auto"/>
        </w:rPr>
      </w:pPr>
    </w:p>
    <w:p>
      <w:pPr>
        <w:ind w:left="540" w:right="52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applicable law, including any restrictions under Korean law that may be imposed on Magnachip Korea that would restrict its ability to make payments on intercompany loans from MagnaChip Semiconductor B.V.</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We cannot assure that the operating results of our subsidiaries at any given time will be sufficient to make distributions or other payments to us.</w:t>
      </w:r>
    </w:p>
    <w:p>
      <w:pPr>
        <w:spacing w:after="0" w:line="35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may at times need to incur impairment, restructuring and other restructuring related charges, which could materially affect our results of operations and financial condition.</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litigation risks, which may be costly to defend and the outcome of which is uncertain.</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76"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86"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ownership of our common stock by certain stockholders could adversely affect our other stockholders.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concentration of ownership of our common stock by certain stockholders may limit the ability of other stockholders to influence corporate matters and, as a result, we may take actions that our public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88"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26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62"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76"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the Board of Directors may determine;</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540" w:right="180" w:hanging="424"/>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3" w:lineRule="exact"/>
        <w:rPr>
          <w:sz w:val="20"/>
          <w:szCs w:val="20"/>
          <w:color w:val="auto"/>
        </w:rPr>
      </w:pPr>
    </w:p>
    <w:p>
      <w:pPr>
        <w:ind w:left="5540" w:right="2360" w:hanging="5424"/>
        <w:spacing w:after="0" w:line="449" w:lineRule="auto"/>
        <w:tabs>
          <w:tab w:leader="none" w:pos="5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 33</w:t>
      </w:r>
    </w:p>
    <w:p>
      <w:pPr>
        <w:sectPr>
          <w:pgSz w:w="11900" w:h="16838" w:orient="portrait"/>
          <w:cols w:equalWidth="0" w:num="1">
            <w:col w:w="11100"/>
          </w:cols>
          <w:pgMar w:left="320" w:top="48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540" w:right="440" w:hanging="424"/>
        <w:spacing w:after="0" w:line="308"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In general, DGCL Section 203 defines a business combination to include the following:</w:t>
      </w:r>
    </w:p>
    <w:p>
      <w:pPr>
        <w:spacing w:after="0" w:line="130" w:lineRule="exact"/>
        <w:rPr>
          <w:rFonts w:ascii="Arial" w:cs="Arial" w:eastAsia="Arial" w:hAnsi="Arial"/>
          <w:sz w:val="17"/>
          <w:szCs w:val="17"/>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540" w:right="52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manufacturing operations take place in a single fabrication facility located in Korea in Gumi. Our facility has a capacity of approximately 31,000 eight-inch equivalent wafers per month. We manufacture wafers utilizing geometries ranging from 0.35 to 0.50 microns. The Gumi facility has one main building with 41,022 square meters devoted to manufacturing, testing and packaging.</w:t>
      </w:r>
    </w:p>
    <w:p>
      <w:pPr>
        <w:spacing w:after="0" w:line="184" w:lineRule="exact"/>
        <w:rPr>
          <w:sz w:val="20"/>
          <w:szCs w:val="20"/>
          <w:color w:val="auto"/>
        </w:rPr>
      </w:pPr>
    </w:p>
    <w:p>
      <w:pPr>
        <w:jc w:val="both"/>
        <w:ind w:left="120" w:right="180" w:firstLine="440"/>
        <w:spacing w:after="0" w:line="342" w:lineRule="auto"/>
        <w:rPr>
          <w:sz w:val="20"/>
          <w:szCs w:val="20"/>
          <w:color w:val="auto"/>
        </w:rPr>
      </w:pPr>
      <w:r>
        <w:rPr>
          <w:rFonts w:ascii="Arial" w:cs="Arial" w:eastAsia="Arial" w:hAnsi="Arial"/>
          <w:sz w:val="16"/>
          <w:szCs w:val="16"/>
          <w:color w:val="auto"/>
        </w:rPr>
        <w:t>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87"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A substantial majority of our assembly, test and packaging services for our Display Solutions business and all of such services for our Power Solutions business are outsourced with the balance handled in-house. The independent providers of these outsourced services are located in Korea, China, Taiwan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also “Item 1A. Risk Factors” and “Item 8. Financial Statements and Supplementary Data—Notes to Consolidated Financial Statements—Note 19” in this Report for additional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7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graph and table below compare the cumulative total stockholder return of our common shares with the cumulative total return of the S&amp;P 500 Index and the Philadelphia Semiconductor Index (PHLX) from December 31, 2015 (the last trading day before the beginning of our fifth preceding fiscal year) through December 31, 2020. The graph assumes that $100 was invested on December 31, 2015 in our common shares and in each index and that any dividends were reinvested. No cash dividends have been declared on our common shares during the five-year period ended December 31, 2020.</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168910</wp:posOffset>
            </wp:positionV>
            <wp:extent cx="5031740" cy="2974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317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The stock performance included in this graph is not necessarily indicative of future stock performance.</w:t>
      </w:r>
    </w:p>
    <w:p>
      <w:pPr>
        <w:sectPr>
          <w:pgSz w:w="11900" w:h="16838" w:orient="portrait"/>
          <w:cols w:equalWidth="0" w:num="1">
            <w:col w:w="11100"/>
          </w:cols>
          <w:pgMar w:left="320" w:top="486" w:right="479" w:bottom="1440" w:gutter="0" w:footer="0" w:header="0"/>
        </w:sectPr>
      </w:pPr>
    </w:p>
    <w:p>
      <w:pPr>
        <w:spacing w:after="0" w:line="329" w:lineRule="exact"/>
        <w:rPr>
          <w:sz w:val="20"/>
          <w:szCs w:val="20"/>
          <w:color w:val="auto"/>
        </w:rPr>
      </w:pPr>
    </w:p>
    <w:p>
      <w:pPr>
        <w:ind w:left="120"/>
        <w:spacing w:after="0" w:line="407" w:lineRule="auto"/>
        <w:rPr>
          <w:sz w:val="20"/>
          <w:szCs w:val="20"/>
          <w:color w:val="auto"/>
        </w:rPr>
      </w:pPr>
      <w:r>
        <w:rPr>
          <w:rFonts w:ascii="Arial" w:cs="Arial" w:eastAsia="Arial" w:hAnsi="Arial"/>
          <w:sz w:val="18"/>
          <w:szCs w:val="18"/>
          <w:b w:val="1"/>
          <w:bCs w:val="1"/>
          <w:color w:val="auto"/>
        </w:rPr>
        <w:t>Total Return to Stockholders (Including Reinvestment of Dividends) Indexed Returns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Company/Index</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S&amp;P 500 Index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Philadelphia Semiconductor Index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Base Period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12/31/2015</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12/30/2016</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12/29/2017</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12/31/2018</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12/31/2019</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12/31/2020</w:t>
            </w:r>
          </w:p>
        </w:tc>
        <w:tc>
          <w:tcPr>
            <w:tcW w:w="20" w:type="dxa"/>
            <w:vAlign w:val="bottom"/>
          </w:tcPr>
          <w:p>
            <w:pPr>
              <w:spacing w:after="0"/>
              <w:rPr>
                <w:sz w:val="14"/>
                <w:szCs w:val="14"/>
                <w:color w:val="auto"/>
              </w:rPr>
            </w:pPr>
          </w:p>
        </w:tc>
      </w:tr>
      <w:tr>
        <w:trPr>
          <w:trHeight w:val="195"/>
        </w:trPr>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117.20</w:t>
            </w:r>
          </w:p>
        </w:tc>
        <w:tc>
          <w:tcPr>
            <w:tcW w:w="26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188.09</w:t>
            </w:r>
          </w:p>
        </w:tc>
        <w:tc>
          <w:tcPr>
            <w:tcW w:w="28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117.39</w:t>
            </w:r>
          </w:p>
        </w:tc>
        <w:tc>
          <w:tcPr>
            <w:tcW w:w="26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219.47</w:t>
            </w:r>
          </w:p>
        </w:tc>
        <w:tc>
          <w:tcPr>
            <w:tcW w:w="28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255.58</w:t>
            </w:r>
          </w:p>
        </w:tc>
        <w:tc>
          <w:tcPr>
            <w:tcW w:w="20" w:type="dxa"/>
            <w:vAlign w:val="bottom"/>
          </w:tcPr>
          <w:p>
            <w:pPr>
              <w:spacing w:after="0"/>
              <w:rPr>
                <w:sz w:val="16"/>
                <w:szCs w:val="16"/>
                <w:color w:val="auto"/>
              </w:rPr>
            </w:pPr>
          </w:p>
        </w:tc>
      </w:tr>
      <w:tr>
        <w:trPr>
          <w:trHeight w:val="216"/>
        </w:trPr>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109.54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130.81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122.65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159.39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183.77</w:t>
            </w:r>
          </w:p>
        </w:tc>
      </w:tr>
      <w:tr>
        <w:trPr>
          <w:trHeight w:val="230"/>
        </w:trPr>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136.62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188.86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174.11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278.78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-419100</wp:posOffset>
            </wp:positionV>
            <wp:extent cx="699516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-136525</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5360" w:space="180"/>
            <w:col w:w="5560"/>
          </w:cols>
          <w:pgMar w:left="320" w:top="486"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approximate number of record holders of our outstanding common stock as of February 15, 2021 was 70. This number does not include beneficial owners for whom shares are held by nominees in street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86"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[Removed and Reserved].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 We have reclassified certain prior year amounts in connection with discontinued operations to conform to the current year’s presentation to reflect the divestiture of our Foundry Services Group business and Fab 4. Unless otherwise stated, information in this section relates to our continuing operations. The consolidated statements of cash flows have not been adjusted to separately disclose cash flows related to discontinued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700" w:firstLine="440"/>
        <w:spacing w:after="0" w:line="30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provide technology platforms for analog, mixed-signal, power, high voltage, non-volatile memory, and radio frequency applications. We have a proven record with more than 40 years of operating history, a portfolio of approximately 1,200 registered patents and pending applications and extensive engineering and manufacturing process expertise.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Our Display Solutions products provides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Micro light emitting diode (LED) televisions. Our Display Solutions products support the industry’s most advanced display technologies, such as OLEDs, and low temperature polysilicons thin film transistor (LTPS TFT), as well as high-volume display technologies such as amorphous silicon thin film transistors (a-Si TFTs).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w:t>
      </w:r>
    </w:p>
    <w:p>
      <w:pPr>
        <w:spacing w:after="0" w:line="165"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Our Power Solutions business line produces power management semiconductor products including discrete and integrated circuit solutions for power management in consumer, communications, computing, industrial and automotive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uninterruptible power supplies (UPSs), LED lighting, personal mobility, motor drives, battery management systems (BMS) and automotive electronics.</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Since 2007, we have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This additional source of manufacturing is an increasingly important part of our supply chain management. By outsourcing manufacturing of advanced OLED products to external 12-inch foundries, we are able to dynamically adapt to the changing customer requirements and address growing markets without substantial capital investments by us. Both at the internal 8-inch manufacturing facilities and external 12-inch foundries, we apply our unique OLED process patents as well as other intellectual property, proprietary process design kits and custom design-flow methodologies.</w:t>
      </w:r>
    </w:p>
    <w:p>
      <w:pPr>
        <w:spacing w:after="0" w:line="17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5.0% Exchangeable Senior Notes due 2021 (the “Exchangeable Notes”)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Prior to the March 1, 2021 maturity of our Exchangeable Notes, holders elected to exchange for an aggregate of 10,144,131 shares of our common stock in satisfaction in full of the outstanding obligations under the Exchangeable Notes. On March 1, 2021, we paid the final interest payment on the Exchangeable Notes of $2.1 million and no longer have any Exchangeable Notes obligations outstanding as of such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Resignation Program</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On October 16, 2020, we commenced a voluntary resignation program (the “Program”), which was available for all employees. In connection with the Program, we recorded in our consolidated statement of operations $4.4 million of termination related charges within “early termination and other charges” for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6.625% Senior Notes due 2021 (the “2021 Notes”)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completed the redemption of all of our outstanding 2021 Notes on October 2, 2020. We paid approximately $227.4 million to fully redeem all of the outstanding $224.25 million aggregate principal amount of the 2021 Notes at a redemption price equal to the sum of 100% of the principal amount of the 2021 Notes, plus accrued and unpaid interest through but excluding the redemption date. The redemption of the 2021 Notes was funded by our Korean subsidiary’s repayment of intercompany loans using the cash proceeds that it received from the sale of the Foundry Services Group business and Fab 4. On October 12, 2020, we paid a withholding tax of approximately $20.6 million, attributable to the repaid accrued interests on the related intercompany loans.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Completion of Sale of the Foundry Services Group business and Fab 4</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September 1, 2020 (the “Closing Date”), we completed the sale of our Foundry Services Group business and Fab 4 to Key Foundry Co., Ltd. (the “Buyer”) in exchange for a purchase price equal to approximately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$350.6 million in cash. The purchase price was paid in a combination of U.S. Dollars in the amount of $46.5 million and Korean Won in the amount of approximately KRW 360.6 billion. In addition to the purchase price, the Buyer assumed all severance liabilities relating to the transferred employees, which had a value of approximately $100 million.</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divestiture of the Foundry Services Group business and Fab 4 was to strategically shift our operational focus to the standard products business. As a result, the results of the Foundry Services Group business were classified as discontinued operations in our consolidated statements of operations and excluded from both continuing operations and segment results for all periods presented. Accordingly, we have one reportable segment: our standard products business, together with transitional foundry services associated with our fabrication facility located in Gumi, Korea, known as Fab 3, which we expect to perform for the Buyer up to September 1, 2023 (the “Transitional Fab 3 Foundry Services”).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 Outage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July 20, 2020, our Fab 3 facility in Gumi, South Korea experienced a temporary power outage for approximately 9 hours and 15 minutes. The recovery from this power outage took longer than expected, which limited our ability to produce products in Fab 3 at full capacity, resulting in a lower factory utilization primarily during the third quarter of 2020. The accident caused certain damage to our work in process wafers and we incurred charges for facility recovery, resulting in an incremental cost of approximately $1.2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experienced some minor disruption in our Power Solutions business from assembly and test subcontractors located in China in the first quarter of 2020 as a result of the COVID-19 pandemic. To date, our external Display Solutions business contractors and sub-contractors have not been materially impacted by the COVID-19 pandemic. Nevertheless, while the future impact on our business from the COVID-19 pandemic is currently difficult to assess, we believe that significant global macro-economic disruption will adversely affect customer demand for some of our products in the near term. We are, however, unable to accurately predict the full impact that the COVID-19 pandemic will have on our future results of operations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166"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use the terms Adjusted EBITDA, Adjusted Operating Income and Adjusted Net Income (including on a per share basis) in this Report. Adjusted EBITDA, as we define it, is a non-U.S. GAAP measure. We define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8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Adjusted EBITDA for the periods indicated as EBITDA (as defined below), adjusted to exclude (i) equity-based compensation expense, (ii) early termination and other charges, (iii) foreign currency loss, net, (iv) derivative valuation loss (gain), net, (v) loss on early extinguishment of borrowings, net, (vi) inventory reserve related to Huawei impact of downstream trade restrictions, (vii) expenses related to Fab 3 power outage, (viii) restatement related expenses (gain) and (ix) others. EBITDA for the periods indicated is defined as income (loss) from continuing operations before interest expense, net, income tax expense (benefit), and depreciation and amortization.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540" w:right="6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540" w:right="14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9" w:lineRule="exact"/>
        <w:rPr>
          <w:rFonts w:ascii="Arial" w:cs="Arial" w:eastAsia="Arial" w:hAnsi="Arial"/>
          <w:sz w:val="18"/>
          <w:szCs w:val="18"/>
          <w:color w:val="auto"/>
        </w:rPr>
      </w:pPr>
    </w:p>
    <w:p>
      <w:pPr>
        <w:ind w:left="540" w:right="760" w:hanging="424"/>
        <w:spacing w:after="0" w:line="308"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income (loss) from continuing operations to Adjusted EBITDA from continuing operations is as follows: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6"/>
              </w:rPr>
              <w:t>Year Ended</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2019</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16"/>
        </w:trPr>
        <w:tc>
          <w:tcPr>
            <w:tcW w:w="440" w:type="dxa"/>
            <w:vAlign w:val="bottom"/>
          </w:tcPr>
          <w:p>
            <w:pPr>
              <w:spacing w:after="0"/>
              <w:rPr>
                <w:sz w:val="18"/>
                <w:szCs w:val="18"/>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spacing w:after="0"/>
              <w:rPr>
                <w:sz w:val="18"/>
                <w:szCs w:val="18"/>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4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440" w:type="dxa"/>
            <w:vAlign w:val="bottom"/>
          </w:tcPr>
          <w:p>
            <w:pPr>
              <w:spacing w:after="0"/>
              <w:rPr>
                <w:sz w:val="18"/>
                <w:szCs w:val="18"/>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Early termination and other charges(b)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loss, net(c)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440" w:type="dxa"/>
            <w:vAlign w:val="bottom"/>
          </w:tcPr>
          <w:p>
            <w:pPr>
              <w:spacing w:after="0"/>
              <w:rPr>
                <w:sz w:val="18"/>
                <w:szCs w:val="18"/>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Derivative valuation loss (gain), net(d)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8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borrowings, net(e)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02"/>
        </w:trPr>
        <w:tc>
          <w:tcPr>
            <w:tcW w:w="440" w:type="dxa"/>
            <w:vAlign w:val="bottom"/>
          </w:tcPr>
          <w:p>
            <w:pPr>
              <w:spacing w:after="0"/>
              <w:rPr>
                <w:sz w:val="17"/>
                <w:szCs w:val="17"/>
                <w:color w:val="auto"/>
              </w:rPr>
            </w:pPr>
          </w:p>
        </w:tc>
        <w:tc>
          <w:tcPr>
            <w:tcW w:w="58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 downstream trade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0" w:type="dxa"/>
            <w:vAlign w:val="bottom"/>
          </w:tcPr>
          <w:p>
            <w:pPr>
              <w:spacing w:after="0"/>
              <w:rPr>
                <w:sz w:val="20"/>
                <w:szCs w:val="20"/>
                <w:color w:val="auto"/>
              </w:rPr>
            </w:pPr>
          </w:p>
        </w:tc>
        <w:tc>
          <w:tcPr>
            <w:tcW w:w="5800" w:type="dxa"/>
            <w:vAlign w:val="bottom"/>
            <w:gridSpan w:val="2"/>
          </w:tcPr>
          <w:p>
            <w:pPr>
              <w:ind w:left="540"/>
              <w:spacing w:after="0"/>
              <w:rPr>
                <w:sz w:val="20"/>
                <w:szCs w:val="20"/>
                <w:color w:val="auto"/>
              </w:rPr>
            </w:pPr>
            <w:r>
              <w:rPr>
                <w:rFonts w:ascii="Arial" w:cs="Arial" w:eastAsia="Arial" w:hAnsi="Arial"/>
                <w:sz w:val="18"/>
                <w:szCs w:val="18"/>
                <w:color w:val="auto"/>
              </w:rPr>
              <w:t>restrictions (f)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Restatement related expenses (gain)(h)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440" w:type="dxa"/>
            <w:vAlign w:val="bottom"/>
          </w:tcPr>
          <w:p>
            <w:pPr>
              <w:spacing w:after="0"/>
              <w:rPr>
                <w:sz w:val="18"/>
                <w:szCs w:val="18"/>
                <w:color w:val="auto"/>
              </w:rPr>
            </w:pPr>
          </w:p>
        </w:tc>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Others(i)</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6240" w:type="dxa"/>
            <w:vAlign w:val="bottom"/>
            <w:gridSpan w:val="3"/>
          </w:tcPr>
          <w:p>
            <w:pPr>
              <w:ind w:left="44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line="254"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year ended December 31, 2020, this adjustment eliminates $5.6 million, of which $4.4 million related to the reduction of workforce under the Program and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58" w:lineRule="auto"/>
        <w:rPr>
          <w:sz w:val="20"/>
          <w:szCs w:val="20"/>
          <w:color w:val="auto"/>
        </w:rPr>
      </w:pPr>
      <w:r>
        <w:rPr>
          <w:rFonts w:ascii="Arial" w:cs="Arial" w:eastAsia="Arial" w:hAnsi="Arial"/>
          <w:sz w:val="18"/>
          <w:szCs w:val="18"/>
          <w:color w:val="auto"/>
        </w:rPr>
        <w:t>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sz w:val="20"/>
          <w:szCs w:val="20"/>
          <w:color w:val="auto"/>
        </w:rPr>
      </w:pPr>
    </w:p>
    <w:p>
      <w:pPr>
        <w:ind w:left="540" w:right="80" w:hanging="424"/>
        <w:spacing w:after="0" w:line="265"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eliminates $0.8 million in expenses related to the full redemption of our outstanding 2021 Notes in the fourth quarter of 2020. For the years ended December 31, 2019 and 2018, this adjustment eliminates expenses related to the repurchase of a portion of the 2021 Notes and the Exchangeable Notes in the first quarter of 2019 and the fourth quarter of 2018.</w:t>
      </w:r>
    </w:p>
    <w:p>
      <w:pPr>
        <w:ind w:left="540" w:right="40" w:hanging="424"/>
        <w:spacing w:after="0" w:line="265"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adjustment eliminates a $1.5 million excess and obsolete inventory charge that we recorded in the third quarter of 2020 in relation to the U.S. Government’s export restrictions on Huawei, which is a downstream customer of some of our direct customers. As this charge meaningfully impacted our operational results and is not expected to represent an ongoing operating expense subject to our ability to foresee and control, we believe our operating performance results are more meaningfully compared if this charge is excluded.</w:t>
      </w:r>
    </w:p>
    <w:p>
      <w:pPr>
        <w:ind w:left="540" w:right="28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adjustment eliminates the reversal of a $0.8 million accrual related to certain legal fees incurred in prior periods and reimbursed by insurers in the first quarter of 2018. As these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6"/>
          <w:szCs w:val="16"/>
          <w:color w:val="auto"/>
        </w:rPr>
      </w:pPr>
    </w:p>
    <w:p>
      <w:pPr>
        <w:ind w:left="540" w:right="160" w:hanging="424"/>
        <w:spacing w:after="0" w:line="25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year ended December 31, 2019, this adjustment primarily eliminates a $0.5 million legal settlement charge related to dispute with a prior customer and a legal expense related to the indemnification of a former employee during the three months ended March 31, 2019. For the year ended December 31, 2018, this adjustment eliminates a $0.4 million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56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8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to eliminate the impact of equity-based compensation expenses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early termination and other charges, (iii) inventory reserve related to Huawei impact of downstream trade restrictions, (iv) expenses related to Fab 3 power outage, (v) restatement related expenses (gain) and (vi) others.</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from continuing operations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8"/>
              </w:rPr>
              <w:t>Year Ended</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rPr>
              <w:t>Early termination and other charges(b)</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trade restrictions(c)</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rPr>
              <w:t>Expenses related to Fab 3 power outage(d)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Restatement related expenses (gain)(e)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gridSpan w:val="2"/>
          </w:tcPr>
          <w:p>
            <w:pPr>
              <w:ind w:left="360"/>
              <w:spacing w:after="0"/>
              <w:rPr>
                <w:sz w:val="20"/>
                <w:szCs w:val="20"/>
                <w:color w:val="auto"/>
              </w:rPr>
            </w:pPr>
            <w:r>
              <w:rPr>
                <w:rFonts w:ascii="Arial" w:cs="Arial" w:eastAsia="Arial" w:hAnsi="Arial"/>
                <w:sz w:val="18"/>
                <w:szCs w:val="18"/>
                <w:color w:val="auto"/>
              </w:rPr>
              <w:t>Others(f)</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8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primarily eliminates $5.6 million, of which $4.4 million related to the reduction of workforce under the Program and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ind w:left="540" w:right="4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adjustment eliminates a $1.5 million excess and obsolete inventory charge that we recorded in the third quarter of 2020 in relation to the U.S. Government’s export restrictions on Huawei, which is a downstream customer of some of our direct customers. As this charge meaningfully impacted our operational results and is not expected to represent an ongoing operating expense subject to our ability to foresee and control, we believe our operating performance results are more meaningfully compared if this charge is excluded.</w:t>
      </w:r>
    </w:p>
    <w:p>
      <w:pPr>
        <w:ind w:left="540" w:right="600" w:hanging="424"/>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believe that these charges are indicative of our core operation performance and have been excluded for comparative purposes.</w:t>
      </w:r>
    </w:p>
    <w:p>
      <w:pPr>
        <w:spacing w:after="0" w:line="23" w:lineRule="exact"/>
        <w:rPr>
          <w:sz w:val="20"/>
          <w:szCs w:val="20"/>
          <w:color w:val="auto"/>
        </w:rPr>
      </w:pPr>
    </w:p>
    <w:p>
      <w:pPr>
        <w:ind w:left="540" w:right="6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adjustment eliminates the reversal of a $0.8 million accrual related to certain legal fees incurred in prior periods and reimbursed by insurers in the first quarter of 2018. As these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6"/>
          <w:szCs w:val="16"/>
          <w:color w:val="auto"/>
        </w:rPr>
      </w:pPr>
    </w:p>
    <w:p>
      <w:pPr>
        <w:ind w:left="540" w:right="160" w:hanging="424"/>
        <w:spacing w:after="0" w:line="25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year ended December 31, 2019, this adjustment primarily eliminates a $0.5 million legal settlement charge related to dispute with a prior customer and a legal expense related to the indemnification of a former employee during the three months ended March 31, 2019. For the year ended December 31, 2018, this adjustment eliminates a $0.4 million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19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present Adjusted Net Income (including on a per share basis) as a further supplemental measure of our performance. We prepare Adjusted Net Income (including on a per share basis)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67" w:lineRule="exact"/>
        <w:rPr>
          <w:sz w:val="20"/>
          <w:szCs w:val="20"/>
          <w:color w:val="auto"/>
        </w:rPr>
      </w:pPr>
    </w:p>
    <w:p>
      <w:pPr>
        <w:ind w:left="1080" w:right="10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9"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income (loss) from continuing operations, adjusted to exclude</w:t>
      </w:r>
    </w:p>
    <w:p>
      <w:pPr>
        <w:spacing w:after="0" w:line="4"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equity-based compensation expense, (ii) early termination and other charges, (iii) foreign currency loss, net, (iv) derivative valuation loss (gain), net,</w:t>
      </w:r>
    </w:p>
    <w:p>
      <w:pPr>
        <w:spacing w:after="0" w:line="32" w:lineRule="exact"/>
        <w:rPr>
          <w:rFonts w:ascii="Arial" w:cs="Arial" w:eastAsia="Arial" w:hAnsi="Arial"/>
          <w:sz w:val="16"/>
          <w:szCs w:val="16"/>
          <w:color w:val="auto"/>
        </w:rPr>
      </w:pPr>
    </w:p>
    <w:p>
      <w:pPr>
        <w:ind w:left="120" w:right="180" w:hanging="4"/>
        <w:spacing w:after="0" w:line="323" w:lineRule="auto"/>
        <w:tabs>
          <w:tab w:leader="none" w:pos="3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loss on early extinguishment of borrowings, net, (vi) inventory reserve related to Huawei impact of downstream trade restrictions, (vii) expenses related to Fab 3 power outage, (viii) restatement related expenses (gain), (ix) valuation allowance release on deferred income tax assets and (x) others.</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summarizes the adjustments to income (loss) from continuing operations that we make in order to calculate Adjusted Net Income (including on a per share basis)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2"/>
                <w:szCs w:val="12"/>
                <w:color w:val="auto"/>
              </w:rPr>
            </w:pPr>
          </w:p>
        </w:tc>
        <w:tc>
          <w:tcPr>
            <w:tcW w:w="18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Early termination and other charges(b)</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net(c)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Derivative valuation loss (gain), net(d)</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borrowings, net(e)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trade restrictions(f)</w:t>
            </w: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Fab 3 power outage(g)</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Restatement related expenses (gain)(h)</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and cash tax expense difference (i)</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Others(j)</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effect on non-GAAP adjustments(k)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Reported earnings (loss) per share—diluted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(0.59)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35,213,525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6"/>
              </w:rPr>
              <w:t>34,321,888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34,469,921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46,503,586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w w:val="86"/>
              </w:rPr>
              <w:t>34,321,888</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34,469,921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Adjusted earnings per share—diluted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0.25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35,213,525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6"/>
              </w:rPr>
              <w:t>34,321,888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34,469,921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46,503,586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w w:val="86"/>
              </w:rPr>
              <w:t>35,405,077</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35,503,667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line="25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8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primarily eliminates $5.6 million of which $4.4 million related to the reduction of workforce under the Program and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ind w:left="540" w:right="100" w:hanging="424"/>
        <w:spacing w:after="0" w:line="270"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69"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7"/>
          <w:szCs w:val="17"/>
          <w:color w:val="auto"/>
        </w:rPr>
      </w:pPr>
    </w:p>
    <w:p>
      <w:pPr>
        <w:ind w:left="540" w:right="8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the year ended December 31, 2020, this adjustment eliminates $0.8 million in expenses related to the full redemption of our outstanding 2021 Notes in the fourth quarter of 2020. For the years ended December 31, 2019 and 2018, this adjustment eliminates expenses related to the repurchase of a portion of the 2021 Notes and the Exchangeable Notes in the first quarter of 2019 and the fourth quarter of 2018.</w:t>
      </w:r>
    </w:p>
    <w:p>
      <w:pPr>
        <w:ind w:left="540" w:right="4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adjustment eliminates a $1.5 million excess and obsolete inventory charge that we recorded in the third quarter of 2020 in relation to the U.S. Government’s export restrictions on Huawei, which is a downstream customer of some of our direct customers. As this charge meaningfully impacted our operational results and is not expected to represent an ongoing operating expense subject to our ability to foresee and control, we believe our operating performance results are more meaningfully compared if this charge is excluded.</w:t>
      </w:r>
    </w:p>
    <w:p>
      <w:pPr>
        <w:ind w:left="540" w:right="28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adjustment eliminates $1.2 million in expenses related to the write-off of the damaged work in process wafers and charges for facility recovery. These charges are inconsistent in amount and frequency, and we do not believe that these charges are indicative of our core operation performance and have been excluded for comparative purposes.</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adjustment eliminates the reversal of a $0.8 million accrual related to certain legal fees incurred in prior periods and reimbursed by insurers in the first quarter of 2018. As these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adjustment eliminates the impact of difference between GAAP and cash tax expense.</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year ended December 31, 2019, this adjustment primarily eliminates a $0.5 million legal settlement charge related to dispute with a prior customer and a legal expense related to the indemnification of a former employee during the three months ended March 31, 2019. For the year ended December 31, 2018, this adjustment eliminates a $0.4 million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1" w:lineRule="exact"/>
        <w:rPr>
          <w:rFonts w:ascii="Arial" w:cs="Arial" w:eastAsia="Arial" w:hAnsi="Arial"/>
          <w:sz w:val="18"/>
          <w:szCs w:val="18"/>
          <w:color w:val="auto"/>
        </w:rPr>
      </w:pPr>
    </w:p>
    <w:p>
      <w:pPr>
        <w:ind w:left="540" w:hanging="424"/>
        <w:spacing w:after="0" w:line="30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the year ended December 31, 2020, income tax effect on non-GAAP adjustments was calculated using an effective income tax rate in Korea of 7.3%. There was no tax impact from the adjustments to net income to calculate our Adjusted Net Income for the years ended December 31, 2019 and 2018 due to net operating loss carry-forwards available to offset taxable income and full allowance for deferred tax assets.</w:t>
      </w:r>
    </w:p>
    <w:p>
      <w:pPr>
        <w:spacing w:after="0" w:line="47" w:lineRule="exact"/>
        <w:rPr>
          <w:rFonts w:ascii="Arial" w:cs="Arial" w:eastAsia="Arial" w:hAnsi="Arial"/>
          <w:sz w:val="16"/>
          <w:szCs w:val="16"/>
          <w:color w:val="auto"/>
        </w:rPr>
      </w:pPr>
    </w:p>
    <w:p>
      <w:pPr>
        <w:ind w:left="560" w:right="20"/>
        <w:spacing w:after="0" w:line="277" w:lineRule="auto"/>
        <w:rPr>
          <w:rFonts w:ascii="Arial" w:cs="Arial" w:eastAsia="Arial" w:hAnsi="Arial"/>
          <w:sz w:val="16"/>
          <w:szCs w:val="16"/>
          <w:color w:val="auto"/>
        </w:rPr>
      </w:pPr>
      <w:r>
        <w:rPr>
          <w:rFonts w:ascii="Arial" w:cs="Arial" w:eastAsia="Arial" w:hAnsi="Arial"/>
          <w:sz w:val="18"/>
          <w:szCs w:val="18"/>
          <w:color w:val="auto"/>
        </w:rPr>
        <w:t>We believe that all adjustments to income (loss) from continuing operations used to calculate Adjusted Net Income was applied consistently to the periods presented.</w:t>
      </w:r>
    </w:p>
    <w:p>
      <w:pPr>
        <w:spacing w:after="0" w:line="62" w:lineRule="exact"/>
        <w:rPr>
          <w:rFonts w:ascii="Arial" w:cs="Arial" w:eastAsia="Arial" w:hAnsi="Arial"/>
          <w:sz w:val="16"/>
          <w:szCs w:val="16"/>
          <w:color w:val="auto"/>
        </w:rPr>
      </w:pPr>
    </w:p>
    <w:p>
      <w:pPr>
        <w:ind w:left="560" w:right="160"/>
        <w:spacing w:after="0" w:line="277" w:lineRule="auto"/>
        <w:rPr>
          <w:rFonts w:ascii="Arial" w:cs="Arial" w:eastAsia="Arial" w:hAnsi="Arial"/>
          <w:sz w:val="16"/>
          <w:szCs w:val="16"/>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40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substantially all of our sales (net of sales returns and allowances) from our standard products business. We outsource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of advanced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Japan and Greater China. Our network of authorized agents and distributors is in the United States, Europe and the Asia Pacific region.</w:t>
      </w:r>
    </w:p>
    <w:p>
      <w:pPr>
        <w:spacing w:after="0" w:line="16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years ended December 31, 2020, 2019 and 2018, we sold products to 178, 180 and 192 customers, respectively, and our net sales to our ten largest customers represented 88%, 90% and 85% of our net sales— standard products business, respectively.</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will provide the Transitional Fab 3 Foundry Services up to September 1, 2023 at an agreed upon cost plus a mark-up. For the periods prior to the closing of the sale of the Foundry Services Group business and Fab 4 (which are accounted for as discontinued operations beginning in the first quarter of 2020), revenue derived from the Transitional Fab 3 Foundry Services is recorded at cost in both our continuing and discontinued operations.</w:t>
      </w:r>
    </w:p>
    <w:p>
      <w:pPr>
        <w:spacing w:after="0" w:line="14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December 31, 2020, approximately 98% of our employees were eligible for severance benefits.</w:t>
      </w:r>
    </w:p>
    <w:p>
      <w:pPr>
        <w:spacing w:after="0" w:line="16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40-nanometer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5.0% Exchangeable Senior Notes due March 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redeemed all outstanding 2021 Notes on October 2, 2020. Our Exchangeable Notes were exchanged for common stock prior to their maturity date of March 1, 2021. From and after October 2, 2020 and March 1, 2021, we have not and will not incur interest expense associated with the 2021 Notes and Exchangeable Notes, respectively.</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2020, the outstanding intercompany loan balance including accrued interest between our Korean subsidiary and our Dutch subsidiary was $378.9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10. Derivative Financial Instruments” to our consolidated financial statements under “Item 8. Financial Statements and Supplementary Data” for additional information regarding our foreign exchange hedging activities.</w:t>
      </w:r>
    </w:p>
    <w:p>
      <w:pPr>
        <w:spacing w:after="0" w:line="17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See “Item 8. Financial Statements and Supplementary Data—Notes to Consolidated Financial Statements—Note 17. Income Taxes” included elsewhere in this Report.</w:t>
      </w:r>
    </w:p>
    <w:p>
      <w:pPr>
        <w:spacing w:after="0" w:line="188"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On March 30, 2020, we entered into the Business Transfer Agreement for the sale of our Foundry Services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Fab 4 to the Buyer. As a result, the results of the Foundry Services Group business were classified as discontinued operations in our consolidated statements of operations and excluded from both continuing operations and segment results for all periods presented. On September 1, 2020, we completed the sale for a purchase price equal to approximately $350.6 million in cash.</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We have reclassified certain prior year amounts in connection with discontinued operations to conform to the current year’s presentation to reflect the divestiture of our Foundry Services Group business and Fab 4. For the periods prior to the closing of the sale of the Foundry Services Group business and Fab 4, revenue derived from the Transitional Fab 3 Foundry Services is recorded at cost in both our continuing and discontinued operations. Following the consummation of the sale, revenue derived from the Transitional Fab 3 Foundry Services is recorded at an agreed upon cost plus a mark-up.</w:t>
      </w:r>
    </w:p>
    <w:p>
      <w:pPr>
        <w:spacing w:after="0" w:line="188"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U.S. dollars and as a percentage of our total revenues: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8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5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5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020" w:type="dxa"/>
            <w:vAlign w:val="bottom"/>
            <w:gridSpan w:val="4"/>
          </w:tcPr>
          <w:p>
            <w:pPr>
              <w:jc w:val="center"/>
              <w:ind w:left="572"/>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Total</w:t>
            </w:r>
          </w:p>
        </w:tc>
        <w:tc>
          <w:tcPr>
            <w:tcW w:w="82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vMerge w:val="continue"/>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revenues</w:t>
            </w:r>
          </w:p>
        </w:tc>
        <w:tc>
          <w:tcPr>
            <w:tcW w:w="800" w:type="dxa"/>
            <w:vAlign w:val="bottom"/>
            <w:gridSpan w:val="3"/>
            <w:vMerge w:val="continue"/>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Revenues</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sales—standard products business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$465.5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0"/>
              </w:rPr>
              <w:t>$484.8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425.5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00" w:type="dxa"/>
            <w:vAlign w:val="bottom"/>
            <w:gridSpan w:val="2"/>
          </w:tcPr>
          <w:p>
            <w:pPr>
              <w:jc w:val="right"/>
              <w:ind w:right="221"/>
              <w:spacing w:after="0"/>
              <w:rPr>
                <w:sz w:val="20"/>
                <w:szCs w:val="20"/>
                <w:color w:val="auto"/>
              </w:rPr>
            </w:pPr>
            <w:r>
              <w:rPr>
                <w:rFonts w:ascii="Arial" w:cs="Arial" w:eastAsia="Arial" w:hAnsi="Arial"/>
                <w:sz w:val="18"/>
                <w:szCs w:val="18"/>
                <w:color w:val="auto"/>
              </w:rPr>
              <w:t>39.9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465.4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338.4</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368.5</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309.8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00" w:type="dxa"/>
            <w:vAlign w:val="bottom"/>
            <w:gridSpan w:val="2"/>
          </w:tcPr>
          <w:p>
            <w:pPr>
              <w:jc w:val="right"/>
              <w:ind w:right="221"/>
              <w:spacing w:after="0"/>
              <w:rPr>
                <w:sz w:val="20"/>
                <w:szCs w:val="20"/>
                <w:color w:val="auto"/>
              </w:rPr>
            </w:pPr>
            <w:r>
              <w:rPr>
                <w:rFonts w:ascii="Arial" w:cs="Arial" w:eastAsia="Arial" w:hAnsi="Arial"/>
                <w:sz w:val="18"/>
                <w:szCs w:val="18"/>
                <w:color w:val="auto"/>
              </w:rPr>
              <w:t>39.9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 of sales</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349.8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25.3</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115.6</w:t>
            </w:r>
          </w:p>
        </w:tc>
        <w:tc>
          <w:tcPr>
            <w:tcW w:w="3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47.6</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47.7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45.7</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45.0</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00" w:type="dxa"/>
            <w:vAlign w:val="bottom"/>
            <w:gridSpan w:val="2"/>
          </w:tcPr>
          <w:p>
            <w:pPr>
              <w:jc w:val="right"/>
              <w:ind w:right="221"/>
              <w:spacing w:after="0"/>
              <w:rPr>
                <w:sz w:val="20"/>
                <w:szCs w:val="20"/>
                <w:color w:val="auto"/>
              </w:rPr>
            </w:pPr>
            <w:r>
              <w:rPr>
                <w:rFonts w:ascii="Arial" w:cs="Arial" w:eastAsia="Arial" w:hAnsi="Arial"/>
                <w:sz w:val="18"/>
                <w:szCs w:val="18"/>
                <w:color w:val="auto"/>
              </w:rPr>
              <w:t>46.0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and other charges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0.1</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(22.2)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3"/>
              </w:rPr>
              <w:t>(22.0)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Foreign currency loss, net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161"/>
              <w:spacing w:after="0"/>
              <w:rPr>
                <w:sz w:val="20"/>
                <w:szCs w:val="20"/>
                <w:color w:val="auto"/>
              </w:rPr>
            </w:pPr>
            <w:r>
              <w:rPr>
                <w:rFonts w:ascii="Arial" w:cs="Arial" w:eastAsia="Arial" w:hAnsi="Arial"/>
                <w:sz w:val="18"/>
                <w:szCs w:val="18"/>
                <w:color w:val="auto"/>
              </w:rPr>
              <w:t>(22.3)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3"/>
              </w:rPr>
              <w:t>(26.3)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borrowings, net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Others, net</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(41.9)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3"/>
              </w:rPr>
              <w:t>(48.7)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w w:val="94"/>
              </w:rPr>
              <w:t>Income (loss) from continuing operations before income tax expense</w:t>
            </w:r>
          </w:p>
        </w:tc>
        <w:tc>
          <w:tcPr>
            <w:tcW w:w="6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20" w:type="dxa"/>
            <w:vAlign w:val="bottom"/>
            <w:gridSpan w:val="2"/>
          </w:tcPr>
          <w:p>
            <w:pPr>
              <w:jc w:val="right"/>
              <w:ind w:right="161"/>
              <w:spacing w:after="0"/>
              <w:rPr>
                <w:sz w:val="20"/>
                <w:szCs w:val="20"/>
                <w:color w:val="auto"/>
              </w:rPr>
            </w:pPr>
            <w:r>
              <w:rPr>
                <w:rFonts w:ascii="Arial" w:cs="Arial" w:eastAsia="Arial" w:hAnsi="Arial"/>
                <w:sz w:val="18"/>
                <w:szCs w:val="18"/>
                <w:color w:val="auto"/>
              </w:rPr>
              <w:t>(18.2)</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3"/>
              </w:rPr>
              <w:t>(26.9)</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57.1</w:t>
            </w:r>
          </w:p>
        </w:tc>
        <w:tc>
          <w:tcPr>
            <w:tcW w:w="2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20" w:type="dxa"/>
            <w:vAlign w:val="bottom"/>
            <w:gridSpan w:val="2"/>
          </w:tcPr>
          <w:p>
            <w:pPr>
              <w:jc w:val="right"/>
              <w:ind w:right="161"/>
              <w:spacing w:after="0"/>
              <w:rPr>
                <w:sz w:val="20"/>
                <w:szCs w:val="20"/>
                <w:color w:val="auto"/>
              </w:rPr>
            </w:pPr>
            <w:r>
              <w:rPr>
                <w:rFonts w:ascii="Arial" w:cs="Arial" w:eastAsia="Arial" w:hAnsi="Arial"/>
                <w:sz w:val="18"/>
                <w:szCs w:val="18"/>
                <w:color w:val="auto"/>
              </w:rPr>
              <w:t>(20.4)</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93"/>
              </w:rPr>
              <w:t>(25.8)</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6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345.0</w:t>
            </w:r>
          </w:p>
        </w:tc>
        <w:tc>
          <w:tcPr>
            <w:tcW w:w="2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(21.8</w:t>
            </w:r>
          </w:p>
        </w:tc>
        <w:tc>
          <w:tcPr>
            <w:tcW w:w="3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299.1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308.5</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256.1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166.5</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176.3</w:t>
            </w:r>
          </w:p>
        </w:tc>
        <w:tc>
          <w:tcPr>
            <w:tcW w:w="3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700" w:type="dxa"/>
            <w:vAlign w:val="bottom"/>
            <w:gridSpan w:val="2"/>
          </w:tcPr>
          <w:p>
            <w:pPr>
              <w:jc w:val="right"/>
              <w:ind w:right="221"/>
              <w:spacing w:after="0"/>
              <w:rPr>
                <w:sz w:val="20"/>
                <w:szCs w:val="20"/>
                <w:color w:val="auto"/>
              </w:rPr>
            </w:pPr>
            <w:r>
              <w:rPr>
                <w:rFonts w:ascii="Arial" w:cs="Arial" w:eastAsia="Arial" w:hAnsi="Arial"/>
                <w:sz w:val="18"/>
                <w:szCs w:val="18"/>
                <w:color w:val="auto"/>
                <w:w w:val="84"/>
              </w:rPr>
              <w:t>169.4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425.5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00" w:type="dxa"/>
            <w:vAlign w:val="bottom"/>
            <w:gridSpan w:val="2"/>
          </w:tcPr>
          <w:p>
            <w:pPr>
              <w:jc w:val="right"/>
              <w:ind w:right="221"/>
              <w:spacing w:after="0"/>
              <w:rPr>
                <w:sz w:val="20"/>
                <w:szCs w:val="20"/>
                <w:color w:val="auto"/>
              </w:rPr>
            </w:pPr>
            <w:r>
              <w:rPr>
                <w:rFonts w:ascii="Arial" w:cs="Arial" w:eastAsia="Arial" w:hAnsi="Arial"/>
                <w:sz w:val="18"/>
                <w:szCs w:val="18"/>
                <w:color w:val="auto"/>
              </w:rPr>
              <w:t>39.9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507.1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520.7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4"/>
              </w:rPr>
              <w:t>465.4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8"/>
                <w:szCs w:val="18"/>
                <w:color w:val="auto"/>
              </w:rPr>
              <w:t>52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Operations—Comparison of Years Ended December 31,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20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left="72"/>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left="52"/>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revenues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$465.5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$484.8</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93.1%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(19.3)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507.1</w:t>
            </w:r>
          </w:p>
        </w:tc>
        <w:tc>
          <w:tcPr>
            <w:tcW w:w="2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520.7</w:t>
            </w:r>
          </w:p>
        </w:tc>
        <w:tc>
          <w:tcPr>
            <w:tcW w:w="28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338.4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368.5</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1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2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2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77.6</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9.1</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Early termination and other charges</w:t>
            </w:r>
          </w:p>
        </w:tc>
        <w:tc>
          <w:tcPr>
            <w:tcW w:w="1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0.0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9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24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Loss on early extinguishment of borrowings, net</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(0.8)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(8.1)</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9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24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from continuing operations before income tax expense</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287.9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56.8</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(21.8)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20" w:type="dxa"/>
            <w:vAlign w:val="bottom"/>
            <w:vMerge w:val="restart"/>
          </w:tcPr>
          <w:p>
            <w:pPr>
              <w:jc w:val="right"/>
              <w:ind w:right="710"/>
              <w:spacing w:after="0"/>
              <w:rPr>
                <w:sz w:val="20"/>
                <w:szCs w:val="20"/>
                <w:color w:val="auto"/>
              </w:rPr>
            </w:pPr>
            <w:r>
              <w:rPr>
                <w:rFonts w:ascii="Arial" w:cs="Arial" w:eastAsia="Arial" w:hAnsi="Arial"/>
                <w:sz w:val="18"/>
                <w:szCs w:val="18"/>
                <w:color w:val="auto"/>
              </w:rPr>
              <w:t>53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by business line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9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68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6"/>
              </w:rPr>
              <w:t>December 31, 2020</w:t>
            </w:r>
          </w:p>
        </w:tc>
        <w:tc>
          <w:tcPr>
            <w:tcW w:w="260" w:type="dxa"/>
            <w:vAlign w:val="bottom"/>
          </w:tcPr>
          <w:p>
            <w:pPr>
              <w:spacing w:after="0"/>
              <w:rPr>
                <w:sz w:val="14"/>
                <w:szCs w:val="14"/>
                <w:color w:val="auto"/>
              </w:rPr>
            </w:pPr>
          </w:p>
        </w:tc>
        <w:tc>
          <w:tcPr>
            <w:tcW w:w="19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6"/>
              </w:rPr>
              <w:t>December 31, 2019</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79"/>
              </w:rPr>
              <w:t>Amount</w:t>
            </w:r>
          </w:p>
        </w:tc>
        <w:tc>
          <w:tcPr>
            <w:tcW w:w="10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2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1"/>
              </w:rPr>
              <w:t>revenues</w:t>
            </w: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Amount</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299.1</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308.5</w:t>
            </w:r>
          </w:p>
        </w:tc>
        <w:tc>
          <w:tcPr>
            <w:tcW w:w="3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176.3</w:t>
            </w:r>
          </w:p>
        </w:tc>
        <w:tc>
          <w:tcPr>
            <w:tcW w:w="3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5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5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465.5</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484.8</w:t>
            </w:r>
          </w:p>
        </w:tc>
        <w:tc>
          <w:tcPr>
            <w:tcW w:w="3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35.8</w:t>
            </w:r>
          </w:p>
        </w:tc>
        <w:tc>
          <w:tcPr>
            <w:tcW w:w="3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507.1</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520.7</w:t>
            </w:r>
          </w:p>
        </w:tc>
        <w:tc>
          <w:tcPr>
            <w:tcW w:w="36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0"/>
              </w:rPr>
              <w:t>$ (13.6)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580" w:type="dxa"/>
            <w:vAlign w:val="bottom"/>
          </w:tcPr>
          <w:p>
            <w:pPr>
              <w:spacing w:after="0"/>
              <w:rPr>
                <w:sz w:val="24"/>
                <w:szCs w:val="24"/>
                <w:color w:val="auto"/>
              </w:rPr>
            </w:pPr>
          </w:p>
        </w:tc>
        <w:tc>
          <w:tcPr>
            <w:tcW w:w="16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24"/>
                <w:szCs w:val="24"/>
                <w:color w:val="auto"/>
              </w:rPr>
            </w:pPr>
          </w:p>
        </w:tc>
        <w:tc>
          <w:tcPr>
            <w:tcW w:w="19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6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8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Borders>
              <w:top w:val="single" w:sz="8" w:color="auto"/>
            </w:tcBorders>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5"/>
              </w:rPr>
              <w:t>Net Sales</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Gross profit—standard products business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127.1</w:t>
            </w:r>
          </w:p>
        </w:tc>
        <w:tc>
          <w:tcPr>
            <w:tcW w:w="3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27.3</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116.4</w:t>
            </w: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24.0</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profit—transitional Fab 3 foundry services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128.3</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25.3%</w:t>
            </w:r>
          </w:p>
        </w:tc>
        <w:tc>
          <w:tcPr>
            <w:tcW w:w="26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9"/>
              </w:rPr>
              <w:t>$ 116.4</w:t>
            </w:r>
          </w:p>
        </w:tc>
        <w:tc>
          <w:tcPr>
            <w:tcW w:w="360" w:type="dxa"/>
            <w:vAlign w:val="bottom"/>
            <w:vMerge w:val="continue"/>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9"/>
              </w:rPr>
              <w:t>$ 11.9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100" w:firstLine="440"/>
        <w:spacing w:after="0" w:line="342" w:lineRule="auto"/>
        <w:rPr>
          <w:sz w:val="20"/>
          <w:szCs w:val="20"/>
          <w:color w:val="auto"/>
        </w:rPr>
      </w:pPr>
      <w:r>
        <w:rPr>
          <w:rFonts w:ascii="Arial" w:cs="Arial" w:eastAsia="Arial" w:hAnsi="Arial"/>
          <w:sz w:val="16"/>
          <w:szCs w:val="16"/>
          <w:color w:val="auto"/>
        </w:rPr>
        <w:t>Total revenues were $507.1 million for the year ended December 31, 2020, a $13.6 million, or 2.6%, decrease compared to $520.7 million for the year ended December 31, 2019. This decrease was primarily due to a decrease in revenue related to our standard products business as described below.</w:t>
      </w:r>
    </w:p>
    <w:p>
      <w:pPr>
        <w:spacing w:after="0" w:line="12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Net sales from our standard products business were $465.5 million for the year ended December 31, 2020,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$19.3 million, or 4.0%, decrease compared to $484.8 million for the year ended December 31, 2019. The decrease in net sales from our Display Solutions business line was primarily attributable to a strategic reduction of our lower margin non-auto LCD DDIC business, which was offset in part by an increase in revenue related to our mobile OLED display driver ICs due to an increase in demand for production of OLED smartphones by Chinese manufacturers in the second half of 2020 due in part to the geographic diversification of our OLED product portfolio. This increase continued until the U.S. Government’s export restrictions on Huawei, which is a downstream customer of some of our direct customers, impacted the shipment of certain mobile OLED display driver ICs to certain of our customers. The decrease in net sales from our Power Solutions business line was primarily attributable to the significant global macro-economic market disruption in the first half of 2020 due to the COVID-19 pandemic and the Fab 3 power outage, which affected our ability to meet customer demand for some of our Power Solution products during the third quarter of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Total gross profit was $128.3 million for the year ended December 31, 2020 compared to $116.4 million for the year ended December 31, 2019, representing an $11.9 million, or 10.2%, increase. Gross profit as a percentage of total revenues for the year ended December 31, 2020 increased to</w:t>
      </w:r>
    </w:p>
    <w:p>
      <w:pPr>
        <w:ind w:left="120" w:right="60"/>
        <w:spacing w:after="0" w:line="323" w:lineRule="auto"/>
        <w:rPr>
          <w:sz w:val="20"/>
          <w:szCs w:val="20"/>
          <w:color w:val="auto"/>
        </w:rPr>
      </w:pPr>
      <w:r>
        <w:rPr>
          <w:rFonts w:ascii="Arial" w:cs="Arial" w:eastAsia="Arial" w:hAnsi="Arial"/>
          <w:sz w:val="16"/>
          <w:szCs w:val="16"/>
          <w:color w:val="auto"/>
        </w:rPr>
        <w:t>25.3% compared to 22.4% for the year ended December 31, 2019. The increase in gross profit and gross profit as a percentage of total revenues was due to the increase in gross profit and gross profit as a percentage of total revenues from our standard products business as further described below.</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8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Gross profit from our standard products business was $127.1 million for the year ended December 31,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a $10.7 million, or 9.2%, increase from $116.4 million for the year ended December 31, 2019. Gross profit as a percentage of net sales for the year ended December 31, 2020 increased to 27.3% compared to 24.0% for the year ended December 31, 2019. The increase in both gross profit and gross profit as a percentage of net sales was primarily attributable to inventory reserves related to certain legacy display products that were recorded in the first half of 2019 and an improved product mix, which was offset in part by an $1.5 million unexpected excess and obsolete inventory charge that we recorded in the second half of 2020 in relation to the U.S. Government’s export restrictions on Huawei, which is a downstream customer of some of our direct customers. The delayed recovery of Fab 3 from the power outage, resulting in a lower than anticipated utilization rate, also negatively affected both gross profit and gross profit as a percentage of net sales in the third quarter of 2020.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2020 and 2019: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20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4"/>
                <w:szCs w:val="14"/>
                <w:color w:val="auto"/>
              </w:rPr>
            </w:pPr>
          </w:p>
        </w:tc>
        <w:tc>
          <w:tcPr>
            <w:tcW w:w="20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Net Sales –</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standard</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products</w:t>
            </w:r>
          </w:p>
        </w:tc>
        <w:tc>
          <w:tcPr>
            <w:tcW w:w="24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business</w:t>
            </w: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(26.2)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347.6</w:t>
            </w: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74.7</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343.7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70.9</w:t>
            </w: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465.5</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484.8</w:t>
            </w:r>
          </w:p>
        </w:tc>
        <w:tc>
          <w:tcPr>
            <w:tcW w:w="360" w:type="dxa"/>
            <w:vAlign w:val="bottom"/>
            <w:vMerge w:val="continue"/>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w w:val="85"/>
              </w:rPr>
              <w:t>$ (19.3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Net sales—standard products business in Korea for the year ended December 31, 2020 decreased from $132.6 million to $106.4 million compared to the year ended December 31, 2019, or by $26.2 million, or 19.8%, primarily due to a strategic reduction of our lower margin non-auto LCD DDIC business and lower demand for certain power products such as MOSFETs, primarily for smartphone applications, which was offset in part by an increase in revenue related to our mobile OLED display driver ICs due to an increase in demand for production of OLED smartphones by Chinese manufacturers in the second half of 2020 due in part to the geographic diversification of our OLED product portfolio. This increase continued until the U.S. Government’s export restrictions on Huawei, which is a downstream customer of some of our direct customers, impacted the shipment of certain mobile OLED display driver ICs to certain of our customers.</w:t>
      </w:r>
    </w:p>
    <w:p>
      <w:pPr>
        <w:spacing w:after="0" w:line="17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Net sales—standard products business in the Asia Pacific for the year ended December 31, 2020 increased from $343.7 million to $347.6 million compared to the year ended December 31, 2019, or by $3.9 million, or 1.1%, primarily due to higher demand for certain auto LCD DDIC products. The revenue related to our mobile OLED display driver IC remained flat year over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$50.0 million, or 9.9% of total revenues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2020, compared to $47.6 million, 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86"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9.1% of total revenues for the year ended December 31, 2019. The increase of $2.4 million, or 5.0%, was primarily attributable to an increase in certain employee incentives, including equity-based compensation and professional fees, which were mainly comprised of legal and consulting services. This increase was offset in part by a $0.5 million legal settlement charge related to dispute with a prior customer recorded in the first quarter of 2019.</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$45.7 million, or 9.0% of total revenues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compared to $45.0 million, or 8.6%, of total revenues for the year ended December 31, 2019. The increase of $0.7 million, or 1.5%, was primarily attributable to an increase in certain employee incentives, including equity-based compensation, which was offset in part by decreased material costs.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Early Termination and Other Charges. </w:t>
      </w:r>
      <w:r>
        <w:rPr>
          <w:rFonts w:ascii="Arial" w:cs="Arial" w:eastAsia="Arial" w:hAnsi="Arial"/>
          <w:sz w:val="18"/>
          <w:szCs w:val="18"/>
          <w:color w:val="auto"/>
        </w:rPr>
        <w:t>Early termination and other charges related to the charges of $4.4 million in connection with the reduction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workforce under the Program and non-recurring professional service fees and expenses incurred in connection with certain treasury and finance initiatives.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 foregoing, operating income of $27.0 million was recorded for the year ended December 31, 2020 compared to operating income of $23.7 million the year ended December 31, 2019. The increase in operating income of $3.3 million resulted primarily from an $11.9 million increase in gross profit, which was offset in part by a $5.6 million increase in early termination and other charges, a $2.4 million increase in selling, general and administrative expenses, and a $0.7 million increase in research and development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expenses for the year ended December 31, 2020 were $18.1 million compared to $22.2 million of interest expenses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2019. The $4.0 million decrease in interest expenses was attributable to the full redemption of our outstanding 2021 Notes on October 2, 2020. We did not incur interest expense associated with the 2021 Notes from and after October 2, 2020.</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2020 was $0.4 million compared to net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$22.3 million for the year ended December 31, 2019. The net foreign currency losses for the years ended December 31, 2020 and 2019 were due to the depreciation in the value of the Korean won relative to the U.S. dollar during each period.</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120" w:right="140"/>
        <w:spacing w:after="0" w:line="270" w:lineRule="auto"/>
        <w:rPr>
          <w:sz w:val="20"/>
          <w:szCs w:val="20"/>
          <w:color w:val="auto"/>
        </w:rPr>
      </w:pPr>
      <w:r>
        <w:rPr>
          <w:rFonts w:ascii="Arial" w:cs="Arial" w:eastAsia="Arial" w:hAnsi="Arial"/>
          <w:sz w:val="17"/>
          <w:szCs w:val="17"/>
          <w:color w:val="auto"/>
        </w:rPr>
        <w:t>U.S. dollar. As of December 31, 2020 and 2019, the outstanding intercompany loan balance including accrued interest between our Korean subsidiary and our Dutch subsidiary was $378.9 million and $686.5 million, respectively. The decrease in the outstanding intercompany loan balances including accrued interest was primarily attributable to our Korean subsidiary’s repayment of certain loans by our Dutch subsidiary to fund the redemption of the outstanding 2021 Notes on October 2, 2020.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8"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Loss on Early Extinguishment of Borrowings, Net. </w:t>
      </w:r>
      <w:r>
        <w:rPr>
          <w:rFonts w:ascii="Arial" w:cs="Arial" w:eastAsia="Arial" w:hAnsi="Arial"/>
          <w:sz w:val="18"/>
          <w:szCs w:val="18"/>
          <w:color w:val="auto"/>
        </w:rPr>
        <w:t>Loss on early extinguishment of borrowings for the year ended December 31, 2020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compared to $0.04 million of loss for the year ended December 31, 2019. The $0.7 million increase in loss on early extinguishment of borrowings was attributable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full redemption of our outstanding 2021 Notes on October 2, 2020. In connection with the redemption of the 2021 Notes, we reclassified the remaining unamortized discount and debt issuance costs on the redemption date as a loss on early extinguishment of borrowings.</w:t>
      </w:r>
    </w:p>
    <w:p>
      <w:pPr>
        <w:spacing w:after="0" w:line="124"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interest income. Others for the years ended December 31, 2020 and 2019 were $3.1 million and $2.6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recorded a $46.2 million income tax benefit for the year ended December 31, 2020, primarily as a result of releasing valuation allowances established against the related deferred tax assets related to our Korean subsidiary and the parent entity in the U.S. Our Korean subsidiary had generated three years of cumulative profits adjusted for permanent differences and is anticipated to generate taxable basis for the subsequent years. As a result, $39.4 million of valuation allowances, established against the Korean subsidiary’s deferred tax assets, were released as of December 31, 2020. In addition, we believe it is more likely than not that the parent entity in the U.S. would be able to utilize its net operating loss in future tax years, which would provide incremental tax savings of approximately $4.5 million. Therefore, we released the valuation allowances, established against the U.S. parent’s deferred tax assets, up to these anticipated tax savings as of December 31, 2020.</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2019, we recorded $3.8 million income tax expenses, primarily attributable to interest on intercompany loan balances, which was offset in part by an income tax benefit of $1.7 million, resulting in a net income tax expense of $2.2 million. The income tax benefit of $1.7 million was due to the application of the exception rule under Accounting Standards Codification 740, “Income Taxes” (“ASC 740”) in connection with the intra-period allocation, which resulted in tax benefits in our continuing operations and tax expenses in the discontinued operations for an equal and offsetting amount for the presentation purposes only.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Income from continuing operations for the year ended December 31, 2020 was $57.1 million compared to loss from continuing operations of $20.4 million for the year ended December 31, 2019. The $77.5 million improvement in results from continuing operations was primarily attributable to a $48.4 milling improvement in income tax expense, a $21.9 million improvement in net foreign currency loss, a $4.0 million decrease in interest expense and a $3.3 million increase in operating income.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Income from discontinued operations, net of tax for the year ended December 31, 2020 was $287.9 million compared to loss from discontinued operations, net of tax of $1.4 million for the year ended December 31, 2019. The $289.3 million increase in income from discontinued operations, net of tax primarily resulted from a $287.1 million increase in gain on sale of discontinued operations, a $10.8 million decrease in research and development expenses, a $9.2 million decrease in selling, general and administrative expenses and a $7.6 million increase in gross profit due in part to depreciation and amortization associated with the assets classified as those held for sale having been ceased starting in the second quarter of 2020, which were offset in part by a $10.8 million increase in transaction costs, a $8.9 million increase in income tax expense and a $6.7 million increase in restructuring and other charges.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As a result of the foregoing, net income of $345.0 million was recorded for the year ended December 31, 2020 compared to net loss of $21.8 million for the year ended December 31, 2019. As discussed above, the increase in net income of $366.8 million primarily resulted from a $289.3 million increase in income from discontinued operations, net of tax, mainly attributable to the completion of the sale of the Foundry Service Group business and Fab 4, and a $77.5 million improvement in loss from continuing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Operations—Comparison of Years Ended December 31, 2019 and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2019 and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left="52"/>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left="32"/>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tcPr>
          <w:p>
            <w:pPr>
              <w:spacing w:after="0"/>
              <w:rPr>
                <w:sz w:val="10"/>
                <w:szCs w:val="10"/>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2280" w:type="dxa"/>
            <w:vAlign w:val="bottom"/>
            <w:gridSpan w:val="3"/>
          </w:tcPr>
          <w:p>
            <w:pPr>
              <w:jc w:val="right"/>
              <w:ind w:right="240"/>
              <w:spacing w:after="0"/>
              <w:rPr>
                <w:sz w:val="20"/>
                <w:szCs w:val="20"/>
                <w:color w:val="auto"/>
              </w:rPr>
            </w:pPr>
            <w:r>
              <w:rPr>
                <w:rFonts w:ascii="Arial" w:cs="Arial" w:eastAsia="Arial" w:hAnsi="Arial"/>
                <w:sz w:val="18"/>
                <w:szCs w:val="18"/>
                <w:color w:val="auto"/>
              </w:rPr>
              <w:t>$484.8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425.5</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2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8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5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465.4</w:t>
            </w:r>
          </w:p>
        </w:tc>
        <w:tc>
          <w:tcPr>
            <w:tcW w:w="26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2280" w:type="dxa"/>
            <w:vAlign w:val="bottom"/>
            <w:gridSpan w:val="3"/>
          </w:tcPr>
          <w:p>
            <w:pPr>
              <w:jc w:val="right"/>
              <w:ind w:right="240"/>
              <w:spacing w:after="0"/>
              <w:rPr>
                <w:sz w:val="20"/>
                <w:szCs w:val="20"/>
                <w:color w:val="auto"/>
              </w:rPr>
            </w:pPr>
            <w:r>
              <w:rPr>
                <w:rFonts w:ascii="Arial" w:cs="Arial" w:eastAsia="Arial" w:hAnsi="Arial"/>
                <w:sz w:val="18"/>
                <w:szCs w:val="18"/>
                <w:color w:val="auto"/>
              </w:rPr>
              <w:t>368.5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309.8</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2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5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2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349.8</w:t>
            </w:r>
          </w:p>
        </w:tc>
        <w:tc>
          <w:tcPr>
            <w:tcW w:w="26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115.6</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47.7</w:t>
            </w:r>
          </w:p>
        </w:tc>
        <w:tc>
          <w:tcPr>
            <w:tcW w:w="26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Early termination and other charges</w:t>
            </w:r>
          </w:p>
        </w:tc>
        <w:tc>
          <w:tcPr>
            <w:tcW w:w="15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5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(22.0)</w:t>
            </w: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Loss on early extinguishment of borrowings, net</w:t>
            </w:r>
          </w:p>
        </w:tc>
        <w:tc>
          <w:tcPr>
            <w:tcW w:w="228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(48.7)</w:t>
            </w: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(25.8)</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(21.8)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vMerge w:val="restart"/>
          </w:tcPr>
          <w:p>
            <w:pPr>
              <w:jc w:val="right"/>
              <w:ind w:right="710"/>
              <w:spacing w:after="0"/>
              <w:rPr>
                <w:sz w:val="20"/>
                <w:szCs w:val="20"/>
                <w:color w:val="auto"/>
              </w:rPr>
            </w:pPr>
            <w:r>
              <w:rPr>
                <w:rFonts w:ascii="Arial" w:cs="Arial" w:eastAsia="Arial" w:hAnsi="Arial"/>
                <w:sz w:val="18"/>
                <w:szCs w:val="18"/>
                <w:color w:val="auto"/>
              </w:rPr>
              <w:t>58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by business line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9"/>
              </w:rPr>
              <w:t>December 31, 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9"/>
              </w:rPr>
              <w:t>December 31, 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308.5</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11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256.1</w:t>
            </w:r>
          </w:p>
        </w:tc>
        <w:tc>
          <w:tcPr>
            <w:tcW w:w="114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32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176.3</w:t>
            </w: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33.9</w:t>
            </w:r>
          </w:p>
        </w:tc>
        <w:tc>
          <w:tcPr>
            <w:tcW w:w="1120" w:type="dxa"/>
            <w:vAlign w:val="bottom"/>
            <w:gridSpan w:val="5"/>
          </w:tcPr>
          <w:p>
            <w:pPr>
              <w:jc w:val="right"/>
              <w:ind w:right="320"/>
              <w:spacing w:after="0"/>
              <w:rPr>
                <w:sz w:val="20"/>
                <w:szCs w:val="20"/>
                <w:color w:val="auto"/>
              </w:rPr>
            </w:pPr>
            <w:r>
              <w:rPr>
                <w:rFonts w:ascii="Arial" w:cs="Arial" w:eastAsia="Arial" w:hAnsi="Arial"/>
                <w:sz w:val="18"/>
                <w:szCs w:val="18"/>
                <w:color w:val="auto"/>
              </w:rPr>
              <w:t>169.4</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3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484.8</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11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425.5</w:t>
            </w:r>
          </w:p>
        </w:tc>
        <w:tc>
          <w:tcPr>
            <w:tcW w:w="114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32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35.8</w:t>
            </w: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6.9</w:t>
            </w:r>
          </w:p>
        </w:tc>
        <w:tc>
          <w:tcPr>
            <w:tcW w:w="1120" w:type="dxa"/>
            <w:vAlign w:val="bottom"/>
            <w:gridSpan w:val="5"/>
          </w:tcPr>
          <w:p>
            <w:pPr>
              <w:jc w:val="right"/>
              <w:ind w:right="320"/>
              <w:spacing w:after="0"/>
              <w:rPr>
                <w:sz w:val="20"/>
                <w:szCs w:val="20"/>
                <w:color w:val="auto"/>
              </w:rPr>
            </w:pPr>
            <w:r>
              <w:rPr>
                <w:rFonts w:ascii="Arial" w:cs="Arial" w:eastAsia="Arial" w:hAnsi="Arial"/>
                <w:sz w:val="18"/>
                <w:szCs w:val="18"/>
                <w:color w:val="auto"/>
              </w:rPr>
              <w:t>39.9</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520.7</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1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465.4</w:t>
            </w:r>
          </w:p>
        </w:tc>
        <w:tc>
          <w:tcPr>
            <w:tcW w:w="11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94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3"/>
              </w:rPr>
              <w:t>December 31, 2018</w:t>
            </w:r>
          </w:p>
        </w:tc>
        <w:tc>
          <w:tcPr>
            <w:tcW w:w="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960" w:type="dxa"/>
            <w:vAlign w:val="bottom"/>
            <w:tcBorders>
              <w:top w:val="single" w:sz="8" w:color="auto"/>
            </w:tcBorders>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Borders>
              <w:top w:val="single" w:sz="8" w:color="auto"/>
            </w:tcBorders>
            <w:gridSpan w:val="2"/>
          </w:tcPr>
          <w:p>
            <w:pPr>
              <w:jc w:val="right"/>
              <w:ind w:right="65"/>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46"/>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5"/>
              </w:rPr>
              <w:t>Net Sales</w:t>
            </w:r>
          </w:p>
        </w:tc>
        <w:tc>
          <w:tcPr>
            <w:tcW w:w="16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Net Sales</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Gross profit—standard products business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115.6</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profit—transitional Fab 3 foundry services</w:t>
            </w:r>
          </w:p>
        </w:tc>
        <w:tc>
          <w:tcPr>
            <w:tcW w:w="3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5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9"/>
              </w:rPr>
              <w:t>$ 116.4</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$ 115.6</w:t>
            </w:r>
          </w:p>
        </w:tc>
        <w:tc>
          <w:tcPr>
            <w:tcW w:w="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Total revenues were $520.7 million for the year ended December 31, 2019, representing a $55.2 million, or 11.9%, increase compared to $465.4 million for the year ended December 31, 2018. This increase was primarily due to an increase in revenue related to our standard products business as described below.</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Net sales from our standard products business were $484.8 million for the year ended December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a $59.4 million, or 14.0%, increase compared to $425.5 million for the year ended December 31, 2018. This increase was primarily attributable to an increase in revenue related to our mobile OLED display driver ICs due to an increase in new OLED smartphones by Chinese and Korean manufacturers and higher demand for premium power products such as high-end MOSFETs primarily for TV and industrial applications. This increase was offset in part by a strategic reduction of our lower margin non-auto LCD DDIC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Total gross profit was $116.4 million for the year ended December 31, 2019 compared to $115.6 million for the year ended December 31, 2018, representing a $0.7 million, or 0.6%, increase. Gross profit as a percentage of total revenues for the year ended December 31, 2019 decreased to 22.4% compared to 24.8% for the year ended December 31, 2018. The decrease in gross profit as a percentage of total revenues was due to the decrease in gross profit as a percentage of total revenues from our standard products business as further described below.</w:t>
      </w:r>
    </w:p>
    <w:p>
      <w:pPr>
        <w:spacing w:after="0" w:line="171"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Gross profit from our standard products business was $116.4 million for the year ended December 31,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 $0.7 million, or 0.6%, increase from $115.6 million for the year ended December 31, 2018. Gross profit as a percentage of net sales for the year ended December 31, 2019 decreased to 24.0% compared to 27.2% for the year ended December 31, 2018. The decrease in gross profit as a</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86"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percentage of net sales was primarily attributable to inventory reserves related to certain legacy display products, a significant drop in the utilization rate during the first half of 2019 and lower yields of a newly introduced mobile display product during an early stage of production during the third quarter of 2019. This decrease was offset in part by a better product mix from an increase in sales of premium power products such as high-end MOSFETs primarily for TV and industrial applications.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2019 and 2018:</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20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4"/>
                <w:szCs w:val="14"/>
                <w:color w:val="auto"/>
              </w:rPr>
            </w:pPr>
          </w:p>
        </w:tc>
        <w:tc>
          <w:tcPr>
            <w:tcW w:w="20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Net Sales –</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standard</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products</w:t>
            </w:r>
          </w:p>
        </w:tc>
        <w:tc>
          <w:tcPr>
            <w:tcW w:w="24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business</w:t>
            </w: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$132.6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$176.1</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(43.5)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343.7</w:t>
            </w: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241.5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102.2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4.4</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484.8</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425.5</w:t>
            </w:r>
          </w:p>
        </w:tc>
        <w:tc>
          <w:tcPr>
            <w:tcW w:w="360" w:type="dxa"/>
            <w:vAlign w:val="bottom"/>
            <w:vMerge w:val="continue"/>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sales—standard products business in Korea for the year ended December 31, 2019 decreased from $176.1 million, or by $43.5 million, or 24.7%, to $132.6 million compared to the year ended December 31, 2018, primarily due to a decrease in revenue related to mobile OLED display driver ICs and a strategic reduction of lower margin non-auto LCD DDIC business.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Net sales—standard products business in the Asia Pacific for the year ended December 31, 2019 increased from $241.5 million to $343.7 million compared to the year ended December 31, 2018, or by $102.2 million, or 42.3%, primarily due to an increase in revenue related to mobile OLED display driver ICs in connection with an increase in new OLED smartphones by Chinese and Korean manufacturers, which was offset in part by a lower demand for certain of our lower margin power products.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were $47.6 million, or 9.1% of total revenues,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2019, which remained flat compared to $47.7 million, or 10.3%, of total revenues, for the year ended December 31, 2018. The decrease of $0.1 million, or 0.2%, was primarily attributable to a decrease in certain employee incentives and professional fees, which were mainly comprised of legal and consulting services. This decrease was offset in part by an increase in equity-based compensation and legal settlement charges relating to a dispute with a prior customer recorded in the first quarter of 2019.</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$45.0 million, or 8.6% of total revenues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compared to $46.0 million, or 9.9% of total revenues for the year ended December 31, 2018. The decrease of $1.0 million, or 2.2%, was primarily attributable to a decrease in outside service fees and various overhead expenses, which was offset in part by an increase in development activities for our 28-nanometer OLED display driver ICs.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8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 foregoing, operating income of $23.7 million was recorded for the year ended December 31, 2019 compared to operating income of $21.9 million the year ended December 31, 2018. As discussed above, the increase in operating income of $1.8 million resulted primarily from a $1.0 million decrease in research and development expenses, a $0.7 million increase in gross profit and a $0.1 million decrease in selling, general and administrative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$22.2 million and $22.0 million for the year ended December 31, 2019 and December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2019 was $22.3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loss of $26.3 million for the year ended December 31, 2018, The net foreign currency losses for the years ended December 31, 2020 and 2019 were due to the depreciation in value of the Korean won relative to the U.S. dollar during each period.</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120" w:right="60"/>
        <w:spacing w:after="0" w:line="273" w:lineRule="auto"/>
        <w:rPr>
          <w:sz w:val="20"/>
          <w:szCs w:val="20"/>
          <w:color w:val="auto"/>
        </w:rPr>
      </w:pPr>
      <w:r>
        <w:rPr>
          <w:rFonts w:ascii="Arial" w:cs="Arial" w:eastAsia="Arial" w:hAnsi="Arial"/>
          <w:sz w:val="17"/>
          <w:szCs w:val="17"/>
          <w:color w:val="auto"/>
        </w:rPr>
        <w:t>U.S. dollar. As of December 31, 2019 and 2018, the outstanding intercompany loan balance including accrued interest between our Korean subsidiary and our Dutch subsidiary was $686.5 million and $666.6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Loss on Early Extinguishment of Borrowings, Net. </w:t>
      </w:r>
      <w:r>
        <w:rPr>
          <w:rFonts w:ascii="Arial" w:cs="Arial" w:eastAsia="Arial" w:hAnsi="Arial"/>
          <w:sz w:val="18"/>
          <w:szCs w:val="18"/>
          <w:color w:val="auto"/>
        </w:rPr>
        <w:t>Loss on early extinguishment of long-term borrowings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2018 were $0.04 million and $0.2 million, respectively.</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were comprised of gains and losses on the valuation of derivatives which were designated as hedging instruments,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interest income. Others for the year ended December 31, 2019 and December 31, 2018 were $2.6 million and negative $0.2 million,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Expenses (Benefit)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the year ended December 31, 2019, we recorded $3.8 million income tax expenses, primarily attributable to interest on intercompany loan balances, which was offset in part by an income tax benefit of $1.7 million, resulting in a net income tax expense of $2.2 million. The income tax benefit of $1.7 million was due to the application of the exception rule under ASC 740 in connection with the intra-period allocation. For the year ended December 31, 2018, we recorded $4.6 million income tax benefits as a result of the application of the exception rule under ASC 740, in connection with the intra-period allocation, which was offset in part by an income tax expense of $3.5 million, primarily attributable to interest on intercompany loan balances. This resulted in a net income tax benefit of $1.1 million for the year ended December 31, 2018. For the years ended December 31, 2019 and 2018, the application of the exception rule under ASC 740 resulted in tax benefits in our continuing operations and tax expenses in the discontinued operations for an equal and offsetting amount for the presentation purposes only.</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make an ongoing assessment regarding the realization of U.S. and non-U.S. deferred tax assets. The valuation allowances at December 31, 2019 and 2018 were primarily attributable to deferred tax assets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As a result of the foregoing, loss from continuing operations improved by $5.4 million for the year ended December 31, 2019 compared to the year ended December 31, 2018. As discussed above, the improvement in loss from continuing operations primarily resulted from a $4.0 million improvement in net foreign currency loss, a $2.1 million improvement in loss on the valuation of derivatives recorded in others, net and a $1.8 million increase in operating income, which was offset in part by a $3.3 million increase in income tax expense.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Loss from discontinued operations, net of tax for the year ended December 31, 2019 was $1.4 million compared to income from discontinued operations, net of tax of $21.9 million for the year ended December 31, 2018. The $23.3 million decrease in income from discontinued operations, net of tax primarily resulted from a $18.2 million decrease in gross profit, a $9.1 million increase in restructuring and other charges and a $1.4 million decrease in net foreign currency gain, which were offset in part by a $3.1 million decrease in income tax expense, a $1.7 million decrease in research and development expenses and a $0.9 million decrease in selling, general and administrative expenses.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As a result of the foregoing, net loss of $21.8 million was recorded for the year ended December 31, 2019 compared to net loss of $3.9 million for the year ended December 31, 2018. As discussed above, the increase in net loss of $17.9 million primarily resulted from a $23.3 million decrease in income from discontinued operations, net of tax, which was offset in part by a $5.4 million improvement in loss from continuing operations.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8. Financial Statements and Supplementary Data—Notes to Consolidated Financial Statements—Note 4. Accounts Receivable” included elsewhere in this Report. In addition, from time to time, we may make payments to our vendors on extended terms with their consent. As of December 31, 2020, we did not have any accounts payable on extended terms or payment deferment with our vendors.</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September 1, 2020, we completed the sale of our Foundry Services Group business and Fab 4 to the Buyer in exchange for a purchase price equal to approximately $350.6 million in cash. The purchase price was paid in a combination of U.S. Dollars in the amount of $46.5 million and Korean Won in the amount of approximately KRW 360.6 billion.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October 2, 2020, we redeemed of all of our outstanding 2021 Notes. We paid approximately $227.4 million to fully redeem all of the outstanding $224.25 million aggregate principal amount of the 2021 Notes at a redemption price equal to the sum of 100% of the principal amount plus accrued and unpaid interest thereon.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Prior to the March 1, 2021 maturity of our Exchangeable Notes, holders elected to exchange for an aggregate of 10,144,131 shares of our common stock in satisfaction in full of the outstanding obligations under the Exchangeable Notes.</w:t>
      </w:r>
    </w:p>
    <w:p>
      <w:pPr>
        <w:spacing w:after="0" w:line="18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As of December 31, 2020, cash and cash equivalents held by our Korean subsidiary were $271.8 million, which represents 97% of our total cash and cash equivalents on a consolidated basis. We currently believe that we will have sufficient cash reserves from cash on hand and expected cash from operations to fund our operations as well as capital expenditures for the next twelve months and the foreseeable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Year ended December 31, 2020 compared to year ended December 31, 2019</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of December 31, 2020, our cash and cash equivalents balance was $279.9 million, a $128.3 million increase compared to $151.7 million as of December 31, 2019. The increase resulted from a $318.5 million cash inflow provided by investing activities and a $7.5 million of cash inflow provided by operating activities, which were partially offset by a $222.3 million cash outflow used in financing activities.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Cash inflow provided by operating activities totaled $7.5 million for the year ended December 31, 2020, compared to $50.5 million of cash inflow provided by operating activities for the year ended December 31, 2019. The net operating cash inflow for the year ended December 31, 2020 reflects our net income of $57.8 million, excluding gain on sale of discontinued operations, as adjusted unfavorably by $17.4 million, which mainly consisted of depreciation and amortization, provision for severance benefits, net foreign currency loss and deferred income tax assets, and net unfavorable impact of $33.0 million from changes of operating assets and liabilities.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working capital balance as of December 31, 2020 was $236.0 million compared to $245.5 million as of December 31, 2019. The decrease in working capital was primarily attributable to reclassification of the outstanding Exchangeable Notes, which were reclassified as a current liability in the first quarter of 2020, which was offset in part by increased cash and cash equivalents as a result of the completion of sale of our Foundry Services Group business and Fab 4 and redemption of our outstanding 2021 Notes.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Cash inflow provided by investing activities totaled $318.5 million for the year ended December 31, 2020, compared to $28.9 million of cash outflow used in investing activities for the year ended December 31, 2019. The $347.4 million increase in cash inflow was attributable to $350.6 million of proceeds received from the sale of the Foundry Services Group business and Fab 4, a $9.2 million net decrease in hedge collateral, which was offset in part by a $13.1 million increase in purchase of plant, property and equipment.</w:t>
      </w:r>
    </w:p>
    <w:p>
      <w:pPr>
        <w:spacing w:after="0" w:line="18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Cash outflow used in financing activities totaled $222.3 million for the year ended December 31, 2020, compared to $1.8 million of cash outflow used in financing activities for the year ended December 31, 2019. The financing cash outflow for the year ended December 31, 2020 was primarily attributable to a payment of $224.3 million for the full redemption of the outstanding 2021 Notes in the fourth quarter of 2020 and a payment of</w:t>
      </w:r>
    </w:p>
    <w:p>
      <w:pPr>
        <w:spacing w:after="0" w:line="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$1.1 million for the repurchase of our common stock to satisfy tax withholding obligation in connection with the vesting of restricted stock units, which was offset in part by $3.9 million of proceeds received from the issuance of common stock in connection with the exercise of stock options. The financing cash outflow for the year ended December 31, 2019 was primarily attributable to a payment of $1.2 million for the repurchase of 2021 Notes and Exchangeable Notes in the first quarter of 2019 and a payment of $2.4 million for the repurchase of our common stock in January 2019 pursuant to our stock repurchase plan, which was offset in part by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$2.9 million of proceeds received from the issuance of common stock in connection with the exercise of stock options.</w:t>
      </w:r>
    </w:p>
    <w:p>
      <w:pPr>
        <w:spacing w:after="0" w:line="225"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For the year ended December 31, 2020, capital expenditures for plant, property and equipment were $36.1 million, a $13.1 million, or 57.3% increase from $23.0 million of capital expenditures for the year ended December 31, 2019. The capital expenditures for the year ended December 31, 2020 included certain one-time investments relating to separating shared IT infrastructure and R&amp;D building upon the sale of the Foundry Services Group business and Fab 4. In addition, we routinely make capital expenditures for fabrication facility maintenance, enhancement of our existing facilities and reinforcement of our global research and development capabilities. The routine capital expenditures for the years ended December 31, 2020 and 2019 were related to meeting customer demand, supporting technology and facility improvement at our fabrication facilities.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Year ended December 31, 2019 compared to year ended December 31, 2018</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As of December 31, 2019, our cash and cash equivalents balance was $151.7 million, a $19.2 million increase, compared to $132.4 million as of December 31, 2018. The increase resulted from a $50.5 million of cash inflow provided by operating activities, which was partially offset by a $28.9 million cash outflow used in investing activities and a $1.8 million of cash outflow used in financing activities.</w:t>
      </w:r>
    </w:p>
    <w:p>
      <w:pPr>
        <w:spacing w:after="0" w:line="165"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Cash inflow provided by operating activities totaled $50.5 million for the year ended December 31, 2019, compared to $39.2 million of cash inflow provided by operating activities for the year ended December 31, 2018. The net operating cash inflow for the year ended December 31, 2019 reflects our net loss of $21.8 million, as adjusted favorably by $87.7 million, which mainly consisted of depreciation and amortization, provision for severance benefits and net foreign currency loss, and net unfavorable impact of $15.4 million from changes of operating assets and liabilities.</w:t>
      </w:r>
    </w:p>
    <w:p>
      <w:pPr>
        <w:spacing w:after="0" w:line="15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working capital balance as of December 31, 2019 was $245.5 million compared to $220.1 million as of December 31, 2018. The $25.4 million increase was primarily attributable to a $19.2 million increase in cash and cash equivalents, a $15.6 million increase in accounts receivable, net, a $5.1 million decrease in deferred revenue and a $4.0 million increase in hedge collateral, which was offset in part by a $21.1 million decrease in unbilled accounts receivable, net.</w:t>
      </w:r>
    </w:p>
    <w:p>
      <w:pPr>
        <w:spacing w:after="0" w:line="18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Cash outflow used in investing activities totaled $28.9 million for the year ended December 31, 2019, compared to $33.3 million for the year ended December 31, 2018. The $4.4 million decrease in investing activities was attributable to a $10.3 million decrease in purchase of plant, property and equipment, including a $4.3 million payment for the purchase of certain facilities related to a water treatment facility arrangement in 2018. This decrease was offset in part by a $5.7 million net increase in hedge collateral.</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Cash outflow used in financing activities totaled $1.8 million for the year ended December 31, 2019, compared to $1.3 million of cash inflow provided by financing activities for the year ended December 31, 2018. The financing cash outflow for the year ended December 31, 2019 was primarily attributable to a payment of $1.2 million for the repurchase of 2021 Notes and Exchangeable Notes in the first quarter of 2019 and a payment of</w:t>
      </w:r>
    </w:p>
    <w:p>
      <w:pPr>
        <w:spacing w:after="0" w:line="2"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$2.4 million for the repurchase of our common stock in January 2019 pursuant to our stock repurchase plan, which was offset in part by $2.9 million of proceeds received from the issuance of common stock in connection with the exercise of stock options. The financing cash inflow for the year ended December 31, 2018 was primarily attributable to proceeds of $4.3 million in connection with the water treatment facility arrangement and $1.1 million of proceeds received from the issuance of common stock in connection with the exercise of stock options, which was offset in part by a payment of $2.2 million for the repurchases of 2021 Notes and Exchangeable Notes in December 2018 and $1.6 million for the repurchase of our common stock in December 2018 pursuant to our stock repurchase plan.</w:t>
      </w:r>
    </w:p>
    <w:p>
      <w:pPr>
        <w:spacing w:after="0" w:line="19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routinely make capital expenditures for fabrication facility maintenance, enhancement of our existing facilities and reinforcement of our global research and development capabilities. For the year ended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December 31, 2019, capital expenditures for plant, property and equipment were $23.0 million, a $10.3 million, or 30.9%, decrease from $33.2 million, including a $4.3 million payment for the purchase of certain facilities related to a water treatment facility arrangement, for the year ended December 31, 2018. The capital expenditures for the year ended December 31, 2019 were related to meeting our customer demand and supporting technology and facility improvements at our fabrication facilities.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contractual obligations as of December 31, 2020:</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w w:val="93"/>
              </w:rPr>
              <w:t>Thereafter</w:t>
            </w:r>
          </w:p>
        </w:tc>
        <w:tc>
          <w:tcPr>
            <w:tcW w:w="60" w:type="dxa"/>
            <w:vAlign w:val="bottom"/>
          </w:tcPr>
          <w:p>
            <w:pPr>
              <w:spacing w:after="0"/>
              <w:rPr>
                <w:sz w:val="13"/>
                <w:szCs w:val="13"/>
                <w:color w:val="auto"/>
              </w:rPr>
            </w:pPr>
          </w:p>
        </w:tc>
      </w:tr>
      <w:tr>
        <w:trPr>
          <w:trHeight w:val="142"/>
        </w:trPr>
        <w:tc>
          <w:tcPr>
            <w:tcW w:w="4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right"/>
              <w:ind w:right="393"/>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$85.8</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leases(2)</w:t>
            </w:r>
          </w:p>
        </w:tc>
        <w:tc>
          <w:tcPr>
            <w:tcW w:w="2700" w:type="dxa"/>
            <w:vAlign w:val="bottom"/>
            <w:gridSpan w:val="2"/>
          </w:tcPr>
          <w:p>
            <w:pPr>
              <w:jc w:val="right"/>
              <w:ind w:right="68"/>
              <w:spacing w:after="0"/>
              <w:rPr>
                <w:sz w:val="20"/>
                <w:szCs w:val="20"/>
                <w:color w:val="auto"/>
              </w:rPr>
            </w:pPr>
            <w:r>
              <w:rPr>
                <w:rFonts w:ascii="Arial" w:cs="Arial" w:eastAsia="Arial" w:hAnsi="Arial"/>
                <w:sz w:val="18"/>
                <w:szCs w:val="18"/>
                <w:color w:val="auto"/>
              </w:rPr>
              <w:t>5.0</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0.6</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leases(2)</w:t>
            </w:r>
          </w:p>
        </w:tc>
        <w:tc>
          <w:tcPr>
            <w:tcW w:w="2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Water Treatment Services(2)(3)</w:t>
            </w:r>
          </w:p>
        </w:tc>
        <w:tc>
          <w:tcPr>
            <w:tcW w:w="2700" w:type="dxa"/>
            <w:vAlign w:val="bottom"/>
            <w:gridSpan w:val="2"/>
          </w:tcPr>
          <w:p>
            <w:pPr>
              <w:jc w:val="right"/>
              <w:ind w:right="68"/>
              <w:spacing w:after="0"/>
              <w:rPr>
                <w:sz w:val="20"/>
                <w:szCs w:val="20"/>
                <w:color w:val="auto"/>
              </w:rPr>
            </w:pPr>
            <w:r>
              <w:rPr>
                <w:rFonts w:ascii="Arial" w:cs="Arial" w:eastAsia="Arial" w:hAnsi="Arial"/>
                <w:sz w:val="18"/>
                <w:szCs w:val="18"/>
                <w:color w:val="auto"/>
              </w:rPr>
              <w:t>30.4</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Others(2)(4)</w:t>
            </w:r>
          </w:p>
        </w:tc>
        <w:tc>
          <w:tcPr>
            <w:tcW w:w="2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00" w:hanging="424"/>
        <w:spacing w:after="0" w:line="255"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December 31, 2020, which bore interest at a rate of 5.0% per annum and were scheduled to mature on March 1, 2021. Prior to the March 1 maturity of our Exchangeable Notes, holders elected to exchange for an aggregate of 10,144,131 shares of common stock.</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1,088:1, the exchange rate as of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facility in Gumi, Korea based on the contractual terms.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We lease land, office space and equipment under various operating lease agreements that expire through 2025.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party to an arrangement for the water treatment facility in Gumi, Korea, which includes a 10-year service agreement beginning July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December 31, 2020, our accrued severance benefits, net, totaled $40.5 million and cumulative contributions to these severance insurance deposit accounts amounted to $13.7 million.</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December 31, 2020. These unrecognized tax benefits have been excluded from the above table because we cannot estimate the period of cash settlement with the respective taxing authorities.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86"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82"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The gross amount of inventory reserves charged to cost of sales totaled $7.3 million, $12.9 million and $6.7 million in the fiscal years ended December 31, 2020, 2019 and 2018, respectively. The new cost base related to the sale of inventory that was previously written down totaled $4.3 million, $2.9 million and $3.7 million in the fiscal years ended December 31, 2020, 2019 and 2018, respectively.</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account for income taxes in accordance with ASC 740, “Income Taxes” (“ASC 740”). ASC 740 requires recognition of deferred tax assets and liabilities for the expected future tax consequences of events that have been recognized in our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make an ongoing assessment of our deferred tax assets for recoverability considering historical profitability, projected future taxable income, the expected timing of the reversals of existing temporary differences, expiration of tax credits and net operating loss carry-forwards and tax planning strategies. As of December 31, 2020, we released the valuation allowances at our operating subsidiary in Korea and the parent entity in the U.S. since it was determined that it is more likely than not that the deferred tax assets at these subsidiaries will be realizable based on the current prospects of their future taxable income. We will continue to evaluate the ability to realize our net deferred tax assets on an ongoing basis to identify whether any significant changes in circumstances or assumptions have occurred that could materially affect the ability to realize deferred tax assets.</w:t>
      </w:r>
    </w:p>
    <w:p>
      <w:pPr>
        <w:spacing w:after="0" w:line="16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Exposures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2020 for our Korean subsidiary, a 10% devaluation of the Korean won against the U.S. dollar would have resulted in a decrease of $4.7 million in our U.S. dollar financial instruments and cash balances.</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See “Note 10. Derivative Financial Instruments” to our consolidated financial statements under “Item 8. Financial Statements and Supplementary Data” and “Item 7.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064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440" w:type="dxa"/>
            <w:vAlign w:val="bottom"/>
          </w:tcPr>
          <w:p>
            <w:pPr>
              <w:spacing w:after="0"/>
              <w:rPr>
                <w:sz w:val="20"/>
                <w:szCs w:val="20"/>
                <w:color w:val="auto"/>
              </w:rPr>
            </w:pPr>
          </w:p>
        </w:tc>
      </w:tr>
      <w:tr>
        <w:trPr>
          <w:trHeight w:val="513"/>
        </w:trPr>
        <w:tc>
          <w:tcPr>
            <w:tcW w:w="10640" w:type="dxa"/>
            <w:vAlign w:val="bottom"/>
          </w:tcPr>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40" w:type="dxa"/>
            <w:vAlign w:val="bottom"/>
          </w:tcPr>
          <w:p>
            <w:pPr>
              <w:spacing w:after="0"/>
              <w:rPr>
                <w:sz w:val="24"/>
                <w:szCs w:val="24"/>
                <w:color w:val="auto"/>
              </w:rPr>
            </w:pPr>
          </w:p>
        </w:tc>
      </w:tr>
      <w:tr>
        <w:trPr>
          <w:trHeight w:val="432"/>
        </w:trPr>
        <w:tc>
          <w:tcPr>
            <w:tcW w:w="1064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440" w:type="dxa"/>
            <w:vAlign w:val="bottom"/>
          </w:tcPr>
          <w:p>
            <w:pPr>
              <w:spacing w:after="0"/>
              <w:rPr>
                <w:sz w:val="24"/>
                <w:szCs w:val="24"/>
                <w:color w:val="auto"/>
              </w:rPr>
            </w:pPr>
          </w:p>
        </w:tc>
      </w:tr>
      <w:tr>
        <w:trPr>
          <w:trHeight w:val="445"/>
        </w:trPr>
        <w:tc>
          <w:tcPr>
            <w:tcW w:w="1064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Report of Independent Registered Public Accounting Firm</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640" w:type="dxa"/>
            <w:vAlign w:val="bottom"/>
          </w:tcPr>
          <w:p>
            <w:pPr>
              <w:ind w:left="1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Magnachip Semiconductor Corporation Consolidated Balance Sheets as of December 31,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640" w:type="dxa"/>
            <w:vAlign w:val="bottom"/>
          </w:tcPr>
          <w:p>
            <w:pPr>
              <w:ind w:left="120"/>
              <w:spacing w:after="0"/>
              <w:rPr>
                <w:rFonts w:ascii="Arial" w:cs="Arial" w:eastAsia="Arial" w:hAnsi="Arial"/>
                <w:sz w:val="18"/>
                <w:szCs w:val="18"/>
                <w:u w:val="single" w:color="auto"/>
                <w:color w:val="0000EE"/>
                <w:w w:val="96"/>
              </w:rPr>
            </w:pPr>
            <w:hyperlink w:anchor="page75">
              <w:r>
                <w:rPr>
                  <w:rFonts w:ascii="Arial" w:cs="Arial" w:eastAsia="Arial" w:hAnsi="Arial"/>
                  <w:sz w:val="18"/>
                  <w:szCs w:val="18"/>
                  <w:u w:val="single" w:color="auto"/>
                  <w:color w:val="0000EE"/>
                  <w:w w:val="96"/>
                </w:rPr>
                <w:t>Magnachip Semiconductor Corporation Consolidated Statements of Operations for the Years Ended December 31, 2020, 2019 and 2018</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640" w:type="dxa"/>
            <w:vAlign w:val="bottom"/>
          </w:tcPr>
          <w:p>
            <w:pPr>
              <w:ind w:left="120"/>
              <w:spacing w:after="0"/>
              <w:rPr>
                <w:rFonts w:ascii="Arial" w:cs="Arial" w:eastAsia="Arial" w:hAnsi="Arial"/>
                <w:sz w:val="18"/>
                <w:szCs w:val="18"/>
                <w:u w:val="single" w:color="auto"/>
                <w:color w:val="0000EE"/>
                <w:w w:val="93"/>
              </w:rPr>
            </w:pPr>
            <w:hyperlink w:anchor="page76">
              <w:r>
                <w:rPr>
                  <w:rFonts w:ascii="Arial" w:cs="Arial" w:eastAsia="Arial" w:hAnsi="Arial"/>
                  <w:sz w:val="18"/>
                  <w:szCs w:val="18"/>
                  <w:u w:val="single" w:color="auto"/>
                  <w:color w:val="0000EE"/>
                  <w:w w:val="93"/>
                </w:rPr>
                <w:t>Magnachip Semiconductor Corporation Consolidated Statements of Comprehensive Income/ (Loss) for the Years Ended December 31, 2020,</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640" w:type="dxa"/>
            <w:vAlign w:val="bottom"/>
          </w:tcPr>
          <w:p>
            <w:pPr>
              <w:ind w:left="120"/>
              <w:spacing w:after="0"/>
              <w:rPr>
                <w:rFonts w:ascii="Arial" w:cs="Arial" w:eastAsia="Arial" w:hAnsi="Arial"/>
                <w:sz w:val="18"/>
                <w:szCs w:val="18"/>
                <w:u w:val="single" w:color="auto"/>
                <w:color w:val="0000EE"/>
                <w:w w:val="92"/>
              </w:rPr>
            </w:pPr>
            <w:hyperlink w:anchor="page77">
              <w:r>
                <w:rPr>
                  <w:rFonts w:ascii="Arial" w:cs="Arial" w:eastAsia="Arial" w:hAnsi="Arial"/>
                  <w:sz w:val="18"/>
                  <w:szCs w:val="18"/>
                  <w:u w:val="single" w:color="auto"/>
                  <w:color w:val="0000EE"/>
                  <w:w w:val="92"/>
                </w:rPr>
                <w:t>Magnachip Semiconductor Corporation Consolidated Statements of Changes in Stockholders’ Equity for the Years Ended December 31, 2020,</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640" w:type="dxa"/>
            <w:vAlign w:val="bottom"/>
          </w:tcPr>
          <w:p>
            <w:pPr>
              <w:ind w:left="120"/>
              <w:spacing w:after="0"/>
              <w:rPr>
                <w:rFonts w:ascii="Arial" w:cs="Arial" w:eastAsia="Arial" w:hAnsi="Arial"/>
                <w:sz w:val="18"/>
                <w:szCs w:val="18"/>
                <w:u w:val="single" w:color="auto"/>
                <w:color w:val="0000EE"/>
                <w:w w:val="95"/>
              </w:rPr>
            </w:pPr>
            <w:hyperlink w:anchor="page78">
              <w:r>
                <w:rPr>
                  <w:rFonts w:ascii="Arial" w:cs="Arial" w:eastAsia="Arial" w:hAnsi="Arial"/>
                  <w:sz w:val="18"/>
                  <w:szCs w:val="18"/>
                  <w:u w:val="single" w:color="auto"/>
                  <w:color w:val="0000EE"/>
                  <w:w w:val="95"/>
                </w:rPr>
                <w:t>Magnachip Semiconductor Corporation Consolidated Statements of Cash Flows for the Years Ended December 31, 2020, 2019 and 2018</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0640" w:type="dxa"/>
            <w:vAlign w:val="bottom"/>
          </w:tcPr>
          <w:p>
            <w:pPr>
              <w:ind w:left="1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Magnachip Semiconductor Corporation Notes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64"/>
        </w:trPr>
        <w:tc>
          <w:tcPr>
            <w:tcW w:w="10640" w:type="dxa"/>
            <w:vAlign w:val="bottom"/>
          </w:tcPr>
          <w:p>
            <w:pPr>
              <w:ind w:left="5540"/>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8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Magnachip Semiconductor Corporation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Magnachip Semiconductor Corporation and its subsidiaries (the “Company”) as of December 31, 2020 and 2019, and the related consolidated statements of operations, comprehensive income (loss), changes in stockholders’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2020 and 2019</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discussed in Note 8 to the consolidated financial statements, the Company changed the manner in which it accounts for leases in 2019, and as discussed in Note 1 the manner in which it accounts for revenue from contracts with customers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Realizability of Deferred Tax Assets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described in Notes 1 and 17 to the consolidated financial statements, the Company has net deferred tax assets of $44.5 million, including a valuation allowance of $115.6 million, as of December 31, 2020. Management determines deferred tax assets and liabilities based upon the difference between the financial statement carrying amounts and the tax basis of assets and liabilities using enacted tax rates in effect in the years in which the differences are expected to reverse.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realizability of deferred tax assets is a critical audit matter are (i) the significant judgment by management when assessing the available positive and negative evidence surrounding the realizability of deferred tax assets, including the application of tax law to the projected tax calculation and a high degree of estimation uncertainty relative to the estimates of future taxable income, (ii) a high degree of auditor judgment, subjectivity and effort in performing procedures and evaluating audit evidence related to management’s estimates of future taxable income,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hanging="4"/>
        <w:spacing w:after="0" w:line="277"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auditor judgment in assessing management’s application of tax law to the projected tax calculation, and (iv) the audit effort involved the use of professionals with specialized skill and knowledge.</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realizability of deferred tax assets. These procedures also included, among others, (i) evaluating the appropriateness of management’s calculation used, (ii) testing the completeness, accuracy and relevance of the underlying data used in the calculation, and (iii) evaluating the reasonableness of significant assumptions used in the calculation of future taxable income. Evaluating management’s assumptions related to estimates of future taxable income involved evaluating whether the assumptions used were reasonable considering (i) current and past profitability, (ii) the consistency with external market and industry data, and</w:t>
      </w:r>
    </w:p>
    <w:p>
      <w:pPr>
        <w:spacing w:after="0" w:line="4" w:lineRule="exact"/>
        <w:rPr>
          <w:sz w:val="20"/>
          <w:szCs w:val="20"/>
          <w:color w:val="auto"/>
        </w:rPr>
      </w:pPr>
    </w:p>
    <w:p>
      <w:pPr>
        <w:ind w:left="120" w:right="80" w:hanging="4"/>
        <w:spacing w:after="0" w:line="255" w:lineRule="auto"/>
        <w:tabs>
          <w:tab w:leader="none" w:pos="4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these assumptions were consistent with evidence obtained in other areas of the audit. Professionals with specialized skill and knowledge were used to assist in evaluating management’s assumptions and calculation for assessing the realizability of deferred tax assets, including the mechanics and application of tax law to the projected tax calculation.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 Samil PricewaterhouseCoopers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Seoul, Korea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9,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2004.</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320" w:top="486" w:right="6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8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5"/>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except share data)</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279,940</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64,390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Other receivables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Hedge collateral (Note 10)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320"/>
              <w:spacing w:after="0"/>
              <w:rPr>
                <w:sz w:val="20"/>
                <w:szCs w:val="20"/>
                <w:color w:val="auto"/>
              </w:rPr>
            </w:pPr>
            <w:r>
              <w:rPr>
                <w:rFonts w:ascii="Arial" w:cs="Arial" w:eastAsia="Arial" w:hAnsi="Arial"/>
                <w:sz w:val="16"/>
                <w:szCs w:val="16"/>
                <w:color w:val="auto"/>
              </w:rPr>
              <w:t>Current assets held for sale (Note 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96,383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Long-term prepaid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Deferred income taxes (Note 17)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44,541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6"/>
                <w:szCs w:val="16"/>
                <w:color w:val="auto"/>
              </w:rPr>
              <w:t>Non-current assets held for sale (Note 2)</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571,690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52,164</w:t>
            </w:r>
          </w:p>
        </w:tc>
        <w:tc>
          <w:tcPr>
            <w:tcW w:w="180" w:type="dxa"/>
            <w:vAlign w:val="bottom"/>
          </w:tcPr>
          <w:p>
            <w:pPr>
              <w:spacing w:after="0"/>
              <w:rPr>
                <w:sz w:val="17"/>
                <w:szCs w:val="17"/>
                <w:color w:val="auto"/>
              </w:rPr>
            </w:pP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accounts payable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Accrued expenses (Note 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44,799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income taxes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Operating lease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2,210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long-term borrowings,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liabilities held for sale (Note 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Long-term borrowings,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Accrued severance benefits,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 held for sale (Note 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110,881</w:t>
            </w:r>
          </w:p>
        </w:tc>
        <w:tc>
          <w:tcPr>
            <w:tcW w:w="0" w:type="dxa"/>
            <w:vAlign w:val="bottom"/>
          </w:tcPr>
          <w:p>
            <w:pPr>
              <w:spacing w:after="0"/>
              <w:rPr>
                <w:sz w:val="1"/>
                <w:szCs w:val="1"/>
                <w:color w:val="auto"/>
              </w:rPr>
            </w:pPr>
          </w:p>
        </w:tc>
      </w:tr>
      <w:tr>
        <w:trPr>
          <w:trHeight w:val="217"/>
        </w:trPr>
        <w:tc>
          <w:tcPr>
            <w:tcW w:w="854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226,090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540" w:type="dxa"/>
            <w:vAlign w:val="bottom"/>
            <w:shd w:val="clear" w:color="auto" w:fill="CCEEFF"/>
          </w:tcPr>
          <w:p>
            <w:pPr>
              <w:ind w:left="320"/>
              <w:spacing w:after="0" w:line="138" w:lineRule="exact"/>
              <w:rPr>
                <w:sz w:val="20"/>
                <w:szCs w:val="20"/>
                <w:color w:val="auto"/>
              </w:rPr>
            </w:pPr>
            <w:r>
              <w:rPr>
                <w:rFonts w:ascii="Arial" w:cs="Arial" w:eastAsia="Arial" w:hAnsi="Arial"/>
                <w:sz w:val="16"/>
                <w:szCs w:val="16"/>
                <w:color w:val="auto"/>
                <w:w w:val="94"/>
              </w:rPr>
              <w:t>Common stock, $0.01 par value, 150,000,000 shares authorized, 44,943,854 shares issued and 35,783,347 outstanding at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2020 and 43,851,991 shares issued and 34,800,312 outstanding at December 31, 2019</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163,010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 (deficit)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(58,131)</w:t>
            </w: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Treasury stock, 9,160,507 shares at December 31, 2020 and 9,051,679 shares at December 31, 2019, respectively</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(108,397)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(107,033)</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income (loss)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640"/>
              <w:spacing w:after="0"/>
              <w:rPr>
                <w:sz w:val="20"/>
                <w:szCs w:val="20"/>
                <w:color w:val="auto"/>
              </w:rPr>
            </w:pPr>
            <w:r>
              <w:rPr>
                <w:rFonts w:ascii="Arial" w:cs="Arial" w:eastAsia="Arial" w:hAnsi="Arial"/>
                <w:sz w:val="16"/>
                <w:szCs w:val="16"/>
                <w:color w:val="auto"/>
              </w:rPr>
              <w:t>Total stockholders’ equity (deficit)</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345,600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(14,981)</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571,690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86"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1"/>
              <w:spacing w:after="0" w:line="155"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Net sales—standard products business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465,519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484,847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425,490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sales—transitional Fab 3 foundry services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35,824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507,059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520,671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Cost of sales—standard products business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338,420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368,450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309,842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sales—transitional Fab 3 foundry services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35,824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30"/>
        </w:trPr>
        <w:tc>
          <w:tcPr>
            <w:tcW w:w="59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378,742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404,274</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116,397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115,648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47,595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45,698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45,024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101,301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92,672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23,725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(22,316)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 expense</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57,059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287,906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21,877</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344,965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10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9.80</w:t>
            </w:r>
          </w:p>
        </w:tc>
        <w:tc>
          <w:tcPr>
            <w:tcW w:w="1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(0.64)</w:t>
            </w: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10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(0.64)</w:t>
            </w: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35,213,525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w w:val="88"/>
              </w:rPr>
              <w:t>34,321,888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34,469,921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46,503,586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88"/>
              </w:rPr>
              <w:t>34,321,888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34,469,921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86"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gridSpan w:val="10"/>
          </w:tcPr>
          <w:p>
            <w:pPr>
              <w:jc w:val="right"/>
              <w:ind w:right="353"/>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20" w:type="dxa"/>
            <w:vAlign w:val="bottom"/>
          </w:tcPr>
          <w:p>
            <w:pPr>
              <w:spacing w:after="0"/>
              <w:rPr>
                <w:sz w:val="12"/>
                <w:szCs w:val="1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$ 344,965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(21,826)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(3,900)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15,856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18,352</w:t>
            </w: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(1,589)</w:t>
            </w: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Reclassification adjustment for loss (gain) on derivatives included in net income (loss)</w:t>
            </w:r>
          </w:p>
        </w:tc>
        <w:tc>
          <w:tcPr>
            <w:tcW w:w="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(3,759)</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17,450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13,004</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$ 351,328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12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86"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1240"/>
        <w:spacing w:after="0" w:line="307" w:lineRule="auto"/>
        <w:rPr>
          <w:sz w:val="20"/>
          <w:szCs w:val="20"/>
          <w:color w:val="auto"/>
        </w:rPr>
      </w:pPr>
      <w:r>
        <w:rPr>
          <w:rFonts w:ascii="Arial" w:cs="Arial" w:eastAsia="Arial" w:hAnsi="Arial"/>
          <w:sz w:val="12"/>
          <w:szCs w:val="12"/>
          <w:b w:val="1"/>
          <w:bCs w:val="1"/>
          <w:u w:val="single" w:color="auto"/>
          <w:color w:val="auto"/>
        </w:rPr>
        <w:t xml:space="preserve">(In thousands of U.S. dollars, except share data) </w:t>
      </w:r>
      <w:r>
        <w:rPr>
          <w:rFonts w:ascii="Arial" w:cs="Arial" w:eastAsia="Arial" w:hAnsi="Arial"/>
          <w:sz w:val="12"/>
          <w:szCs w:val="12"/>
          <w:b w:val="1"/>
          <w:bCs w:val="1"/>
          <w:color w:val="auto"/>
        </w:rPr>
        <w:t>Balance at December 31, 2017, as previously reported</w:t>
      </w:r>
    </w:p>
    <w:p>
      <w:pPr>
        <w:ind w:left="120" w:right="1640" w:firstLine="288"/>
        <w:spacing w:after="0" w:line="299" w:lineRule="auto"/>
        <w:rPr>
          <w:sz w:val="20"/>
          <w:szCs w:val="20"/>
          <w:color w:val="auto"/>
        </w:rPr>
      </w:pPr>
      <w:r>
        <w:rPr>
          <w:rFonts w:ascii="Arial" w:cs="Arial" w:eastAsia="Arial" w:hAnsi="Arial"/>
          <w:sz w:val="12"/>
          <w:szCs w:val="12"/>
          <w:color w:val="auto"/>
        </w:rPr>
        <w:t xml:space="preserve">Impact of adopting the new revenue standard </w:t>
      </w:r>
      <w:r>
        <w:rPr>
          <w:rFonts w:ascii="Arial" w:cs="Arial" w:eastAsia="Arial" w:hAnsi="Arial"/>
          <w:sz w:val="12"/>
          <w:szCs w:val="12"/>
          <w:b w:val="1"/>
          <w:bCs w:val="1"/>
          <w:color w:val="auto"/>
        </w:rPr>
        <w:t>Balance at January 1, 2018, as adjusted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gridSpan w:val="4"/>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7"/>
                <w:szCs w:val="7"/>
                <w:color w:val="auto"/>
              </w:rPr>
            </w:pPr>
          </w:p>
        </w:tc>
        <w:tc>
          <w:tcPr>
            <w:tcW w:w="7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8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Treasury</w:t>
            </w:r>
          </w:p>
        </w:tc>
        <w:tc>
          <w:tcPr>
            <w:tcW w:w="116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3"/>
                <w:szCs w:val="3"/>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(Deficit)</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34,189,599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auto"/>
            </w:tcBorders>
          </w:tcPr>
          <w:p>
            <w:pPr>
              <w:jc w:val="right"/>
              <w:ind w:right="15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5"/>
              </w:rPr>
              <w:t>426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136,259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7"/>
              </w:rPr>
              <w:t>$ (40,889)</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3"/>
              </w:rPr>
              <w:t>$ (102,319)</w:t>
            </w:r>
          </w:p>
        </w:tc>
        <w:tc>
          <w:tcPr>
            <w:tcW w:w="200" w:type="dxa"/>
            <w:vAlign w:val="bottom"/>
          </w:tcPr>
          <w:p>
            <w:pPr>
              <w:spacing w:after="0"/>
              <w:rPr>
                <w:sz w:val="10"/>
                <w:szCs w:val="10"/>
                <w:color w:val="auto"/>
              </w:rPr>
            </w:pPr>
          </w:p>
        </w:tc>
        <w:tc>
          <w:tcPr>
            <w:tcW w:w="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ind w:left="440"/>
              <w:spacing w:after="0" w:line="123" w:lineRule="exact"/>
              <w:rPr>
                <w:sz w:val="20"/>
                <w:szCs w:val="20"/>
                <w:color w:val="auto"/>
              </w:rPr>
            </w:pPr>
            <w:r>
              <w:rPr>
                <w:rFonts w:ascii="Arial" w:cs="Arial" w:eastAsia="Arial" w:hAnsi="Arial"/>
                <w:sz w:val="14"/>
                <w:szCs w:val="14"/>
                <w:color w:val="auto"/>
                <w:w w:val="80"/>
              </w:rPr>
              <w:t>(33,114)</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4"/>
              </w:rPr>
              <w:t>$ (39,637)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8,484</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8,484</w:t>
            </w:r>
          </w:p>
        </w:tc>
        <w:tc>
          <w:tcPr>
            <w:tcW w:w="0" w:type="dxa"/>
            <w:vAlign w:val="bottom"/>
          </w:tcPr>
          <w:p>
            <w:pPr>
              <w:spacing w:after="0"/>
              <w:rPr>
                <w:sz w:val="1"/>
                <w:szCs w:val="1"/>
                <w:color w:val="auto"/>
              </w:rPr>
            </w:pPr>
          </w:p>
        </w:tc>
      </w:tr>
      <w:tr>
        <w:trPr>
          <w:trHeight w:val="167"/>
        </w:trPr>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34,189,599</w:t>
            </w:r>
          </w:p>
        </w:tc>
        <w:tc>
          <w:tcPr>
            <w:tcW w:w="460" w:type="dxa"/>
            <w:vAlign w:val="bottom"/>
            <w:gridSpan w:val="2"/>
          </w:tcPr>
          <w:p>
            <w:pPr>
              <w:jc w:val="right"/>
              <w:ind w:right="158"/>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0"/>
                <w:szCs w:val="20"/>
                <w:color w:val="auto"/>
              </w:rPr>
            </w:pPr>
            <w:r>
              <w:rPr>
                <w:rFonts w:ascii="Arial" w:cs="Arial" w:eastAsia="Arial" w:hAnsi="Arial"/>
                <w:sz w:val="14"/>
                <w:szCs w:val="14"/>
                <w:color w:val="auto"/>
              </w:rPr>
              <w:t>426</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136,259</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 (32,405)</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 (102,319)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(33,114)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0"/>
              </w:rPr>
              <w:t>$ (31,153)</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-316230</wp:posOffset>
            </wp:positionV>
            <wp:extent cx="699516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-119380</wp:posOffset>
            </wp:positionV>
            <wp:extent cx="6995160"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578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162"/>
        </w:trPr>
        <w:tc>
          <w:tcPr>
            <w:tcW w:w="52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5,213</w:t>
            </w:r>
          </w:p>
        </w:tc>
        <w:tc>
          <w:tcPr>
            <w:tcW w:w="80" w:type="dxa"/>
            <w:vAlign w:val="bottom"/>
          </w:tcPr>
          <w:p>
            <w:pPr>
              <w:spacing w:after="0"/>
              <w:rPr>
                <w:sz w:val="14"/>
                <w:szCs w:val="14"/>
                <w:color w:val="auto"/>
              </w:rPr>
            </w:pPr>
          </w:p>
        </w:tc>
        <w:tc>
          <w:tcPr>
            <w:tcW w:w="78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color w:val="auto"/>
              </w:rPr>
              <w:t>5,213</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162,341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328,309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(239,017)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(1,607)</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13,004</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13,004</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(3,900)</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56"/>
        </w:trPr>
        <w:tc>
          <w:tcPr>
            <w:tcW w:w="5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34,441,232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431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142,600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 (36,305</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(103,926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(20,110)</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(17,310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3"/>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6,952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6,952</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452,819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2,856</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344,714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(438,453)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(3,107)</w:t>
            </w:r>
          </w:p>
        </w:tc>
        <w:tc>
          <w:tcPr>
            <w:tcW w:w="3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17,450</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17,450</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(21,826)</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(21,826)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34,800,312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439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152,404</w:t>
            </w:r>
          </w:p>
        </w:tc>
        <w:tc>
          <w:tcPr>
            <w:tcW w:w="86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 (58,131)</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86"/>
              </w:rPr>
              <w:t>$ (107,033)</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(2,660)</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0"/>
              </w:rPr>
              <w:t>$ (14,981)</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80"/>
              <w:spacing w:after="0"/>
              <w:rPr>
                <w:sz w:val="20"/>
                <w:szCs w:val="20"/>
                <w:color w:val="auto"/>
              </w:rPr>
            </w:pPr>
            <w:r>
              <w:rPr>
                <w:rFonts w:ascii="Arial" w:cs="Arial" w:eastAsia="Arial" w:hAnsi="Arial"/>
                <w:sz w:val="14"/>
                <w:szCs w:val="14"/>
                <w:color w:val="auto"/>
              </w:rPr>
              <w:t>Stock-based compensation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0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6,699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6,699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510,648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3,918</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Settlement of restricted stock units</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(108,828)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(1,364)</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48"/>
        </w:trPr>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 net</w:t>
            </w: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6,363</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6,363</w:t>
            </w: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344,965</w:t>
            </w:r>
          </w:p>
        </w:tc>
        <w:tc>
          <w:tcPr>
            <w:tcW w:w="80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344,965</w:t>
            </w:r>
          </w:p>
        </w:tc>
        <w:tc>
          <w:tcPr>
            <w:tcW w:w="0" w:type="dxa"/>
            <w:vAlign w:val="bottom"/>
          </w:tcPr>
          <w:p>
            <w:pPr>
              <w:spacing w:after="0"/>
              <w:rPr>
                <w:sz w:val="1"/>
                <w:szCs w:val="1"/>
                <w:color w:val="auto"/>
              </w:rPr>
            </w:pPr>
          </w:p>
        </w:tc>
      </w:tr>
      <w:tr>
        <w:trPr>
          <w:trHeight w:val="156"/>
        </w:trPr>
        <w:tc>
          <w:tcPr>
            <w:tcW w:w="5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35,783,347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450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163,010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$ 286,834</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(108,397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3,703</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345,600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6"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9"/>
          </w:tcPr>
          <w:p>
            <w:pPr>
              <w:jc w:val="right"/>
              <w:ind w:right="208"/>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344,965</w:t>
            </w:r>
          </w:p>
        </w:tc>
        <w:tc>
          <w:tcPr>
            <w:tcW w:w="10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(21,826)</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16,481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32,729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32,048</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severance benefits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17,139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17,644</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 and original issue discount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2,299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(gain) on foreign currency, net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(23,233)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24,692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30,215</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charges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3,598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inventory reserves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10,468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6,952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4,409</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early extinguishment of borrowings, net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Gain on sale of discontinued operations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(287,117)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(44,441)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Others,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(19,268)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(19,824)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8,294</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Unbilled accounts receivable, net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19,274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49"/>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(14,678)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(34,965)</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receivables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13,561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11,984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9,942</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7,375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 accounts payable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(11,183)</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5,279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(3,926)</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Accrued income taxes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10,825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Contributions to severance insurance deposit accounts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(2,532)</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severance benefits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(11,688)</w:t>
            </w:r>
          </w:p>
        </w:tc>
        <w:tc>
          <w:tcPr>
            <w:tcW w:w="0" w:type="dxa"/>
            <w:vAlign w:val="bottom"/>
          </w:tcPr>
          <w:p>
            <w:pPr>
              <w:spacing w:after="0"/>
              <w:rPr>
                <w:sz w:val="1"/>
                <w:szCs w:val="1"/>
                <w:color w:val="auto"/>
              </w:rPr>
            </w:pPr>
          </w:p>
        </w:tc>
      </w:tr>
      <w:tr>
        <w:trPr>
          <w:trHeight w:val="149"/>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Others,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514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55"/>
        </w:trPr>
        <w:tc>
          <w:tcPr>
            <w:tcW w:w="83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7,470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50,497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39,236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settlement of hedge collateral</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13,583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14,342</w:t>
            </w:r>
          </w:p>
        </w:tc>
        <w:tc>
          <w:tcPr>
            <w:tcW w:w="0" w:type="dxa"/>
            <w:vAlign w:val="bottom"/>
          </w:tcPr>
          <w:p>
            <w:pPr>
              <w:spacing w:after="0"/>
              <w:rPr>
                <w:sz w:val="1"/>
                <w:szCs w:val="1"/>
                <w:color w:val="auto"/>
              </w:rPr>
            </w:pPr>
          </w:p>
        </w:tc>
      </w:tr>
      <w:tr>
        <w:trPr>
          <w:trHeight w:val="149"/>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Payment of hedge collateral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(17,833)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(12,907)</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Purchase of property, plant and equipment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(22,955)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(28,948)</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for property related to water treatment facility arrangement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(4,283)</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Collection of guarantee deposits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549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Payment of guarantee deposits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 of discontinued operations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350,553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5"/>
        </w:trPr>
        <w:tc>
          <w:tcPr>
            <w:tcW w:w="83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318,482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(28,897</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shd w:val="clear" w:color="auto" w:fill="CCEEFF"/>
              </w:rPr>
              <w:t>)</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8"/>
              </w:rPr>
              <w:t>(33,306)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borrowings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(224,250)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(2,228)</w:t>
            </w:r>
          </w:p>
        </w:tc>
        <w:tc>
          <w:tcPr>
            <w:tcW w:w="0" w:type="dxa"/>
            <w:vAlign w:val="bottom"/>
          </w:tcPr>
          <w:p>
            <w:pPr>
              <w:spacing w:after="0"/>
              <w:rPr>
                <w:sz w:val="1"/>
                <w:szCs w:val="1"/>
                <w:color w:val="auto"/>
              </w:rPr>
            </w:pPr>
          </w:p>
        </w:tc>
      </w:tr>
      <w:tr>
        <w:trPr>
          <w:trHeight w:val="149"/>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2,860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treasury stock</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49"/>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Proceeds from property related to water treatment facility arrangement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4,283</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financing related to water treatment facility arrangement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8"/>
        </w:trPr>
        <w:tc>
          <w:tcPr>
            <w:tcW w:w="8360" w:type="dxa"/>
            <w:vAlign w:val="bottom"/>
          </w:tcPr>
          <w:p>
            <w:pPr>
              <w:ind w:left="280"/>
              <w:spacing w:after="0" w:line="149" w:lineRule="exact"/>
              <w:rPr>
                <w:sz w:val="20"/>
                <w:szCs w:val="20"/>
                <w:color w:val="auto"/>
              </w:rPr>
            </w:pPr>
            <w:r>
              <w:rPr>
                <w:rFonts w:ascii="Arial" w:cs="Arial" w:eastAsia="Arial" w:hAnsi="Arial"/>
                <w:sz w:val="14"/>
                <w:szCs w:val="14"/>
                <w:color w:val="auto"/>
              </w:rPr>
              <w:t>Others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3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shd w:val="clear" w:color="auto" w:fill="CCEEFF"/>
              </w:rPr>
              <w:t>(222,281</w:t>
            </w: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shd w:val="clear" w:color="auto" w:fill="CCEEFF"/>
              </w:rPr>
              <w:t>)</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(1,802</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shd w:val="clear" w:color="auto" w:fill="CCEEFF"/>
              </w:rPr>
              <w:t>)</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1,294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3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Effect of exchange rates on cash and cash equivalents</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24,612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128,283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19,219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36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151,657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0"/>
              </w:rPr>
              <w:t>132,438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128,575</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End of the period</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279,940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151,657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132,438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3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paid for interest</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19,071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19,255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income taxes</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shd w:val="clear" w:color="auto" w:fill="CCEEFF"/>
              </w:rPr>
              <w:t>$</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shd w:val="clear" w:color="auto" w:fill="CCEEFF"/>
              </w:rPr>
              <w:t>23,056</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additions in other accounts payable</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2,542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5,249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4"/>
                <w:szCs w:val="14"/>
                <w:color w:val="auto"/>
              </w:rPr>
              <w:t>Acquisition of treasury stock to satisfy the tax withholding obligations in connection with equity-based compensation</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86"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w:t>
      </w:r>
    </w:p>
    <w:p>
      <w:pPr>
        <w:spacing w:after="0" w:line="14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On September 1, 2020 (the “Closing Date”), the Company completed the sale of the Company’s Foundry Services Group business and its Fab 4 to Key Foundry Co., Ltd. (the “Buyer”), a Korean limited liability company, in exchange for a purchase price equal to approximately $350.6 million in cash. The purchase price was paid in a combination of U.S. Dollars in the amount of $46.5 million and Korean Won in the amount of approximately KRW 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all periods presented.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186"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Significant accounting policies followed by the Company in the preparation of the accompanying consolidated financial statements are summarized below.</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reclassified certain prior years’ amounts to conform to the current year’s presentation for discontinued operations to reflect the divestiture of its Foundry Services Group business and Fab 4. The assets and liabilities transferred to the Buyer as of the Closing Date have been classified as assets and liabilities held for sale in the Company’s consolidated balance sheet as of December 31, 2019. See Note 2 “Discontinued Operations and Assets Held for Sale” for additional information. The consolidated statements of cash flows have not been adjusted to separately disclose cash flows related to discontinued operations, but the material items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intercompany transactions and balances are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 based compensation, property plant and equipment, leases, other long-lived assets, long-term employee benefits, contingencies liabilities, estimated future cash flows and other assumptions used in long-lived asset impairment tests and calculation of current and deferred income taxes and deferred tax valuation allowances, and assumptions used in the calculation of sales incentives, among others. Although these estimates and assumptions are based on management’s best knowledge of current events and actions that the Company may undertake in the future, actual results may be significantly different from the estimates. The Company assessed the impact of COVID-19 on the estimates and assumptions to the extent applicable, and determined that there was no material impact on the Company’s consolidated financial statements as of and for the year ended December 31, 2020. However, the Company is not able to predict with certainty the future impact of COVID-19 on its estimates and assumptions due to the rapidly changing nature of the COVID-19 pandemic.</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 and Assets Held for Sale</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Accounting Standards Codification (“ASC”) 205, “Presentation of Financial Statements” (“ASC 205”) and ASC 360, “Property, Plant and Equipment” (“ASC 360”). Assets and liabilities of a business classified as held for sale are recorded at the lower of its carrying amount or estimated fair value less costs to sell, and depreciation and amortization ceases on the date that the held for sale criteria are met. If the carrying amount of the business exceeds its estimated fair value less costs to sell, a loss is recognized. Assets and liabilities related to discontinued operations classified as held for sale are segregated in the prior balance sheet in the period in which the business is classified as held for sale. The results of discontinued operations are reported in “Income from discontinued operations, net of tax” in the accompanying consolidated statements of operations for the current and prior periods commencing in the period in which the business meets the criteria.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has assessed in accordance with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loss, net in its statements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 when purchased.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makes estimates of expected credit losses for the allowance for credit losses based upon its assessment of various factors, including historical collection experience, the age of the accounts receivable 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11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$5,500 thousand and $6,593 thousand as other current assets as of December 31,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- 40 years</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- 20 years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- 12 years</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ind w:left="20"/>
              <w:spacing w:after="0"/>
              <w:rPr>
                <w:sz w:val="20"/>
                <w:szCs w:val="20"/>
                <w:color w:val="auto"/>
              </w:rPr>
            </w:pPr>
            <w:r>
              <w:rPr>
                <w:rFonts w:ascii="Arial" w:cs="Arial" w:eastAsia="Arial" w:hAnsi="Arial"/>
                <w:sz w:val="18"/>
                <w:szCs w:val="18"/>
                <w:color w:val="auto"/>
                <w:w w:val="94"/>
              </w:rPr>
              <w:t>- 10 years</w:t>
            </w: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Company recognizes restructuring charges in accordance with ASC 420, “Exit or Disposal Cost Obligations.” Certain costs and expenses related to exit or disposal activities are recorded as restructuring charges when liabilities for those costs and expenses are incurred.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plant and equipment, net and the related lease liabilities are included in other current liabilities and other non-current liabilities on the consolidated balance sheets.</w:t>
      </w:r>
    </w:p>
    <w:p>
      <w:pPr>
        <w:spacing w:after="0" w:line="16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Intangible assets other than intellectual property include technology and customer relationships which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follows ASC 820, “Fair Value Measurements and Disclosures” (“ASC 820”) for measurement and disclosures about fair value of its financial instruments. ASC 820 establishes a framework for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8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117" w:lineRule="exact"/>
        <w:rPr>
          <w:sz w:val="20"/>
          <w:szCs w:val="20"/>
          <w:color w:val="auto"/>
        </w:rPr>
      </w:pPr>
    </w:p>
    <w:p>
      <w:pPr>
        <w:ind w:left="560" w:right="260" w:firstLine="423"/>
        <w:spacing w:after="0" w:line="308" w:lineRule="auto"/>
        <w:rPr>
          <w:sz w:val="20"/>
          <w:szCs w:val="20"/>
          <w:color w:val="auto"/>
        </w:rPr>
      </w:pPr>
      <w:r>
        <w:rPr>
          <w:rFonts w:ascii="Arial" w:cs="Arial" w:eastAsia="Arial" w:hAnsi="Arial"/>
          <w:sz w:val="17"/>
          <w:szCs w:val="17"/>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Magnachip Semiconductor, Ltd.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2020, 98% of all employees of the Company were eligible for severance benefits.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Beginning in July 2018, the Company began contributing to certain severance insurance deposit accounts a percentage of severance benefits, which may be adjusted from time to time, accrued for eligible employees for their services beginning January 1, 2018. These accounts consist of time deposits and other guaranteed principal and interest accounts, and are maintained at insurance companies, banks or security companies for the benefit of the Company’s employees.</w:t>
      </w:r>
    </w:p>
    <w:p>
      <w:pPr>
        <w:spacing w:after="0" w:line="18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Accrued severance benefits are partly funded through a group severance insurance plan. The amounts funded under this insurance plan are classified as a reduction of the accrued severance benefits. Subsequent accruals are to be funded at the discretion of the Company.</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8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Company sells products manufactured based on the Company’s design. The Company’s products are either standardized with an alternative use or the Company does not have an enforceable right to payment for the 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provides warranties under which customers can return defective products. The Company estimates the costs related to warranty claims and repair or replacements, and records them as components of cost of sales.</w:t>
      </w:r>
    </w:p>
    <w:p>
      <w:pPr>
        <w:spacing w:after="0" w:line="17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4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8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Company adopted the new revenue standard effective on January 1, 2018 using modified retrospective transition method, it recognized the cumulative effect of initially applying the new revenue standard as an adjustment to the Company’s equity as of January 1, 2018.</w:t>
      </w:r>
    </w:p>
    <w:p>
      <w:pPr>
        <w:spacing w:after="0" w:line="12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$993 thousand, $990 thousand, and $1,072 thousand for the years ended December 31, 2020, 2019 and 2018, respectively.</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Of the recorded deferred revenue of $559 thousand as of December 31, 2019 and $548 thousand as of December 31, 2018, $559 thousand and $548 thousand were recognized as revenue during the years ended December 31,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w:t>
      </w:r>
    </w:p>
    <w:p>
      <w:pPr>
        <w:spacing w:after="0" w:line="166"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accordance with ASC 815, changes in the fair value of derivative instruments that are cash flow hedges are recognized in accumulated other comprehensive income (loss) and reclassified into earnings in the period in which the hedged item affects earnings. Derivative instruments that do not qualify, or cease to qualify, as hedges must be adjusted to fair value and the adjustments are recorded through net income (loss).</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expenses advertising costs as incurred. Advertising expenses were $87 thousand, $62 thousand and $43 thousand for the years ended December 31, 2020,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Research and development expenses are expensed as incurred and include wafers, masks, employee expenses, contractor fees, building costs, utilities and administrative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86"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of the agreements and the costs are amortized over the contract period using the straight-line method and charged to research and development expenses in the consolidated statements of operations.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Running royalties are paid based on the revenue of related products sold by the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uses the Black-Scholes option-pricing model to measure the grant-date-fair-value of options. The Black-Scholes model requires certain assumptions to determine an option’s fair value, including expected term, risk free interest rate and expected volatility.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accordance with ASC 260, “Earnings Per Share”, the Company computes basic earnings per share by dividing net income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if-converted method.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basis of assets and liabilities using enacted tax rates in effect in the years in which the differences are expected to reverse. Income tax expense is the tax payable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9"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ASU 2019-12 is effective for fiscal years beginning after December 15, 2020, and interim periods within those fiscal years. The Company does not expect the adoption of ASU 2019-12 to have a material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issued Accounting Standards Update No. 2019-04, “Codification Improvements to Topic 326, Financial Instruments—Credit Losses, Topic 815, Derivatives and Hedging, and Topic 825, Financial Instruments” (“ASU 2019-04”), and in November 2019, the FASB issued Accounting Standards</w:t>
      </w:r>
    </w:p>
    <w:p>
      <w:pPr>
        <w:spacing w:after="0" w:line="3"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Update No. 2019-11, “Codification Improvements to Topic 326, Financial Instruments—Credit Losses” (“ASU 2019-11”) to clarify and address certain items related to the amendments in ASU 2016-13. In February 2020, the FASB issued Accounting Standards Update No. 2020-02, “Financial Instruments—Credit Losses (Topic 326)” (“ASU 2020-02”), which incorporates SEC SAB 119 (updated from SAB 102) into the ASC by aligning SEC recommended policies and procedures with ASC 326. The Company adopted ASU 2016-13, ASU 2019-04, ASU 2019-11 and ASU 2020-02 as of January 1, 2020, and the adoption did not have a material impact on the Company’s consolidated financial statements.</w:t>
      </w:r>
    </w:p>
    <w:p>
      <w:pPr>
        <w:spacing w:after="0" w:line="17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In August 2018, the FASB issued Accounting Standards Update No. 2018-13 “Fair Value Measurement (Topic 820): Disclosure Framework— Changes to the Disclosure Requirements for Fair Value Measurement” (“ASU 2018-13”). ASU 2018-13 amends existing fair value measurement disclosure requirements by adding, changing, or removing certain disclosures. The Company adopted ASU 2018-13 as of January 1, 2020, and the adoption of ASU 2018-13 did not have a material impact on the Company’s consolidated financial statements.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Discontinued Operations and Assets Held for Sale</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September 1, 2020, the Company completed the sale of the Company’s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all periods presented. Following the consummation of the sale, and for up to three years, the Company is expected to provide the Transitional Fab 3 Foundry Services at an agreed upon cost plus mark-up. For the periods prior to the closing of the sale, revenue from providing the Transitional Fab 3 Foundry Services to the Foundry Services Group is recorded at cost on both of the continuing and discontinued businesses for comparative purposes. Cash inflows to the Company from the Buyer related to providing the Transitional Fab 3 Foundry Services was $7,643 thousand for the year ended December 31, 2020.</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results from discontinued operations, net of tax, for the years ended December 31, 2020, 2019 and 2018.</w:t>
      </w:r>
    </w:p>
    <w:p>
      <w:pPr>
        <w:spacing w:after="0" w:line="28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00" w:type="dxa"/>
            <w:vAlign w:val="bottom"/>
            <w:gridSpan w:val="7"/>
          </w:tcPr>
          <w:p>
            <w:pPr>
              <w:jc w:val="right"/>
              <w:ind w:right="290"/>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Net sales—Foundry Services Group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254,732</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307,348</w:t>
            </w:r>
          </w:p>
        </w:tc>
        <w:tc>
          <w:tcPr>
            <w:tcW w:w="6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325,408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sales—transitional Fab 3 foundry services</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(25,887)</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(35,824)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271,524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Cost of sales—Foundry Services Group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182,872</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243,134</w:t>
            </w:r>
          </w:p>
        </w:tc>
        <w:tc>
          <w:tcPr>
            <w:tcW w:w="6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242,960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sales—transitional Fab 3 foundry services</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(25,887)</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(35,824)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Total cost of sales</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207,310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71,860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64,214</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19,484</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30,332</w:t>
            </w:r>
          </w:p>
        </w:tc>
        <w:tc>
          <w:tcPr>
            <w:tcW w:w="6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Foreign currency gain, net</w:t>
            </w:r>
          </w:p>
        </w:tc>
        <w:tc>
          <w:tcPr>
            <w:tcW w:w="3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 net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w w:val="98"/>
              </w:rPr>
              <w:t>Income from discontinued operations before income tax expense</w:t>
            </w:r>
          </w:p>
        </w:tc>
        <w:tc>
          <w:tcPr>
            <w:tcW w:w="3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287,117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(10,814)</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years ended December 31, 2020, 2019 and 2018, the Company recorded $15,873 thousand, $6,991 thousand and nil, respectively, in professional fees and transaction related expenses incurred in connection with the sale of the Foundry Services Group business and Fab 4, and recorded such costs as restructuring and other charges. For the year ended December 31, 2019, the Company also recorded in restructuring and other charges a $2,151 thousand restructuring-related charge to its fab employees.</w:t>
      </w:r>
    </w:p>
    <w:p>
      <w:pPr>
        <w:spacing w:after="0" w:line="200" w:lineRule="exact"/>
        <w:rPr>
          <w:sz w:val="20"/>
          <w:szCs w:val="20"/>
          <w:color w:val="auto"/>
        </w:rPr>
      </w:pPr>
    </w:p>
    <w:p>
      <w:pPr>
        <w:ind w:left="120" w:firstLine="494"/>
        <w:spacing w:after="0" w:line="263" w:lineRule="auto"/>
        <w:rPr>
          <w:sz w:val="20"/>
          <w:szCs w:val="20"/>
          <w:color w:val="auto"/>
        </w:rPr>
      </w:pPr>
      <w:r>
        <w:rPr>
          <w:rFonts w:ascii="Arial" w:cs="Arial" w:eastAsia="Arial" w:hAnsi="Arial"/>
          <w:sz w:val="18"/>
          <w:szCs w:val="18"/>
          <w:color w:val="auto"/>
        </w:rPr>
        <w:t>The following table provides a reconciliation of the aggregate carrying amounts of major classes of assets and liabilities relating to the Foundry Services Group business and Fab 4, which are included in assets and liabilities held for sale as of December 31, 2019 in the accompanying consolidated balance sheet:</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48,194</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31,863</w:t>
            </w: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 held for sale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99,821</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held for sale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223,255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20,503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16,537</w:t>
            </w:r>
          </w:p>
        </w:tc>
        <w:tc>
          <w:tcPr>
            <w:tcW w:w="0" w:type="dxa"/>
            <w:vAlign w:val="bottom"/>
          </w:tcPr>
          <w:p>
            <w:pPr>
              <w:spacing w:after="0"/>
              <w:rPr>
                <w:sz w:val="1"/>
                <w:szCs w:val="1"/>
                <w:color w:val="auto"/>
              </w:rPr>
            </w:pPr>
          </w:p>
        </w:tc>
      </w:tr>
      <w:tr>
        <w:trPr>
          <w:trHeight w:val="230"/>
        </w:trPr>
        <w:tc>
          <w:tcPr>
            <w:tcW w:w="6500" w:type="dxa"/>
            <w:vAlign w:val="bottom"/>
          </w:tcPr>
          <w:p>
            <w:pPr>
              <w:ind w:left="720"/>
              <w:spacing w:after="0"/>
              <w:rPr>
                <w:sz w:val="20"/>
                <w:szCs w:val="20"/>
                <w:color w:val="auto"/>
              </w:rPr>
            </w:pPr>
            <w:r>
              <w:rPr>
                <w:rFonts w:ascii="Arial" w:cs="Arial" w:eastAsia="Arial" w:hAnsi="Arial"/>
                <w:sz w:val="18"/>
                <w:szCs w:val="18"/>
                <w:color w:val="auto"/>
              </w:rPr>
              <w:t>Total current liabilities held for sale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95,547</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held for sale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147,921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dollars)</w:t>
            </w: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thousands of U.S.</w:t>
            </w:r>
          </w:p>
        </w:tc>
        <w:tc>
          <w:tcPr>
            <w:tcW w:w="4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8"/>
              <w:spacing w:after="0"/>
              <w:rPr>
                <w:sz w:val="20"/>
                <w:szCs w:val="20"/>
                <w:color w:val="auto"/>
              </w:rPr>
            </w:pPr>
            <w:r>
              <w:rPr>
                <w:rFonts w:ascii="Arial" w:cs="Arial" w:eastAsia="Arial" w:hAnsi="Arial"/>
                <w:sz w:val="18"/>
                <w:szCs w:val="18"/>
                <w:color w:val="auto"/>
              </w:rPr>
              <w:t>5,365</w:t>
            </w:r>
          </w:p>
        </w:tc>
        <w:tc>
          <w:tcPr>
            <w:tcW w:w="1340" w:type="dxa"/>
            <w:vAlign w:val="bottom"/>
            <w:gridSpan w:val="3"/>
          </w:tcPr>
          <w:p>
            <w:pPr>
              <w:jc w:val="right"/>
              <w:ind w:right="408"/>
              <w:spacing w:after="0"/>
              <w:rPr>
                <w:sz w:val="20"/>
                <w:szCs w:val="20"/>
                <w:color w:val="auto"/>
              </w:rPr>
            </w:pPr>
            <w:r>
              <w:rPr>
                <w:rFonts w:ascii="Arial" w:cs="Arial" w:eastAsia="Arial" w:hAnsi="Arial"/>
                <w:sz w:val="18"/>
                <w:szCs w:val="18"/>
                <w:color w:val="auto"/>
              </w:rPr>
              <w:t>$ 22,411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$ 23,220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8,209</w:t>
            </w:r>
          </w:p>
        </w:tc>
        <w:tc>
          <w:tcPr>
            <w:tcW w:w="13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10,879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8"/>
                <w:szCs w:val="18"/>
                <w:color w:val="auto"/>
              </w:rPr>
              <w:t>388</w:t>
            </w:r>
          </w:p>
        </w:tc>
        <w:tc>
          <w:tcPr>
            <w:tcW w:w="1340" w:type="dxa"/>
            <w:vAlign w:val="bottom"/>
            <w:gridSpan w:val="3"/>
          </w:tcPr>
          <w:p>
            <w:pPr>
              <w:jc w:val="right"/>
              <w:ind w:right="408"/>
              <w:spacing w:after="0"/>
              <w:rPr>
                <w:sz w:val="20"/>
                <w:szCs w:val="20"/>
                <w:color w:val="auto"/>
              </w:rPr>
            </w:pPr>
            <w:r>
              <w:rPr>
                <w:rFonts w:ascii="Arial" w:cs="Arial" w:eastAsia="Arial" w:hAnsi="Arial"/>
                <w:sz w:val="18"/>
                <w:szCs w:val="18"/>
                <w:color w:val="auto"/>
              </w:rPr>
              <w:t>899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8"/>
              <w:spacing w:after="0"/>
              <w:rPr>
                <w:sz w:val="20"/>
                <w:szCs w:val="20"/>
                <w:color w:val="auto"/>
              </w:rPr>
            </w:pPr>
            <w:r>
              <w:rPr>
                <w:rFonts w:ascii="Arial" w:cs="Arial" w:eastAsia="Arial" w:hAnsi="Arial"/>
                <w:sz w:val="18"/>
                <w:szCs w:val="18"/>
                <w:color w:val="auto"/>
              </w:rPr>
              <w:t>(5,838)</w:t>
            </w:r>
          </w:p>
        </w:tc>
        <w:tc>
          <w:tcPr>
            <w:tcW w:w="1340" w:type="dxa"/>
            <w:vAlign w:val="bottom"/>
            <w:gridSpan w:val="3"/>
          </w:tcPr>
          <w:p>
            <w:pPr>
              <w:jc w:val="right"/>
              <w:ind w:right="348"/>
              <w:spacing w:after="0"/>
              <w:rPr>
                <w:sz w:val="20"/>
                <w:szCs w:val="20"/>
                <w:color w:val="auto"/>
              </w:rPr>
            </w:pPr>
            <w:r>
              <w:rPr>
                <w:rFonts w:ascii="Arial" w:cs="Arial" w:eastAsia="Arial" w:hAnsi="Arial"/>
                <w:sz w:val="18"/>
                <w:szCs w:val="18"/>
                <w:color w:val="auto"/>
              </w:rPr>
              <w:t>$(11,653)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$(14,170)</w:t>
            </w:r>
          </w:p>
        </w:tc>
        <w:tc>
          <w:tcPr>
            <w:tcW w:w="0" w:type="dxa"/>
            <w:vAlign w:val="bottom"/>
          </w:tcPr>
          <w:p>
            <w:pPr>
              <w:spacing w:after="0"/>
              <w:rPr>
                <w:sz w:val="1"/>
                <w:szCs w:val="1"/>
                <w:color w:val="auto"/>
              </w:rPr>
            </w:pPr>
          </w:p>
        </w:tc>
      </w:tr>
      <w:tr>
        <w:trPr>
          <w:trHeight w:val="350"/>
        </w:trPr>
        <w:tc>
          <w:tcPr>
            <w:tcW w:w="3520" w:type="dxa"/>
            <w:vAlign w:val="bottom"/>
          </w:tcPr>
          <w:p>
            <w:pPr>
              <w:spacing w:after="0"/>
              <w:rPr>
                <w:sz w:val="24"/>
                <w:szCs w:val="24"/>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6"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December 31, 2020, the following table represents the Company’s assets and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Quoted Prices in</w:t>
            </w: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Asset /</w:t>
            </w:r>
          </w:p>
        </w:tc>
        <w:tc>
          <w:tcPr>
            <w:tcW w:w="8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Liability (Level 1)</w:t>
            </w:r>
          </w:p>
        </w:tc>
        <w:tc>
          <w:tcPr>
            <w:tcW w:w="8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360"/>
              <w:spacing w:after="0" w:line="201" w:lineRule="exact"/>
              <w:rPr>
                <w:sz w:val="20"/>
                <w:szCs w:val="20"/>
                <w:color w:val="auto"/>
              </w:rPr>
            </w:pPr>
            <w:r>
              <w:rPr>
                <w:rFonts w:ascii="Arial" w:cs="Arial" w:eastAsia="Arial" w:hAnsi="Arial"/>
                <w:sz w:val="18"/>
                <w:szCs w:val="18"/>
                <w:color w:val="auto"/>
              </w:rPr>
              <w:t>Derivative assets (other current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540"/>
              <w:spacing w:after="0"/>
              <w:rPr>
                <w:sz w:val="20"/>
                <w:szCs w:val="20"/>
                <w:color w:val="auto"/>
              </w:rPr>
            </w:pPr>
            <w:r>
              <w:rPr>
                <w:rFonts w:ascii="Arial" w:cs="Arial" w:eastAsia="Arial" w:hAnsi="Arial"/>
                <w:sz w:val="18"/>
                <w:szCs w:val="18"/>
                <w:color w:val="auto"/>
              </w:rPr>
              <w:t>assets)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2,036</w:t>
            </w: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54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195</w:t>
            </w: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195</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December 31, 2019, the following table represents the Company’s assets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62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6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Measurement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2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17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December 31, 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62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360"/>
              <w:spacing w:after="0" w:line="201" w:lineRule="exact"/>
              <w:rPr>
                <w:sz w:val="20"/>
                <w:szCs w:val="20"/>
                <w:color w:val="auto"/>
              </w:rPr>
            </w:pPr>
            <w:r>
              <w:rPr>
                <w:rFonts w:ascii="Arial" w:cs="Arial" w:eastAsia="Arial" w:hAnsi="Arial"/>
                <w:sz w:val="18"/>
                <w:szCs w:val="18"/>
                <w:color w:val="auto"/>
              </w:rPr>
              <w:t>Derivative assets (other current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assets)</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1,456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1,456</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9"/>
              </w:rPr>
              <w:t>$   1,456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ind w:left="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50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0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r>
      <w:tr>
        <w:trPr>
          <w:trHeight w:val="171"/>
        </w:trPr>
        <w:tc>
          <w:tcPr>
            <w:tcW w:w="5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4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rPr>
              <w:t>of U.S. dollars)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w w:val="97"/>
              </w:rPr>
              <w:t>5.0% Exchangeable Senior Notes due March 2021 (Level 2)</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83,479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89"/>
              </w:rPr>
              <w:t>145,466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81,959</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$ 116,078</w:t>
            </w: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6.625% Senior Notes due July 2021 (Level 2)</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222,784</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$ 224,250</w:t>
            </w:r>
          </w:p>
        </w:tc>
      </w:tr>
      <w:tr>
        <w:trPr>
          <w:trHeight w:val="365"/>
        </w:trPr>
        <w:tc>
          <w:tcPr>
            <w:tcW w:w="5060" w:type="dxa"/>
            <w:vAlign w:val="bottom"/>
          </w:tcPr>
          <w:p>
            <w:pPr>
              <w:spacing w:after="0"/>
              <w:rPr>
                <w:sz w:val="24"/>
                <w:szCs w:val="24"/>
                <w:color w:val="auto"/>
              </w:rPr>
            </w:pPr>
          </w:p>
        </w:tc>
        <w:tc>
          <w:tcPr>
            <w:tcW w:w="2640" w:type="dxa"/>
            <w:vAlign w:val="bottom"/>
          </w:tcPr>
          <w:p>
            <w:pPr>
              <w:jc w:val="right"/>
              <w:ind w:right="20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12, “Borrowings.”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18, 2013, the Company issued 6.625% Senior Notes due July 15, 2021 (the “2021 Notes”) of $225,000 thousand, which represents the principal amount, excluding $1,125 thousand of original issue discount and $5,039 thousand of debt issuance costs. In December 2018 and January 2019, the Company repurchased a principal amount equal to $500 thousand and $250 thousand, respectively, of the 2021 Notes in the open market. The Company completed the full redemption of the remaining outstanding 2021 Notes on October 2, 2020 (the “Redemption Date”). The Company estimates the fair value of the 2021 Notes using the market approach, which utilizes quoted market prices that fall under Level 2. For further description of the 2021 Notes, see Note 12, “Borrowings.”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December 31, 2020 and 2019, the Company did not have any assets or liabilities measured at fair value on a non-recurring basis.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receivable as of December 31, 2020 and 2019 consisted of the following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$63,145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$44,176</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Notes receivable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1,606</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Allowance for credit losses</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(188)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return reserves</w:t>
            </w:r>
          </w:p>
        </w:tc>
        <w:tc>
          <w:tcPr>
            <w:tcW w:w="1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(173)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64,390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47,447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allowance for credit losses for the years ended December 31, 2020, 2019 and 2018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Provision</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Ending balance</w:t>
            </w:r>
          </w:p>
        </w:tc>
        <w:tc>
          <w:tcPr>
            <w:tcW w:w="29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960" w:type="dxa"/>
            <w:vAlign w:val="bottom"/>
            <w:vMerge w:val="restart"/>
          </w:tcPr>
          <w:p>
            <w:pPr>
              <w:jc w:val="right"/>
              <w:ind w:right="127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sales return reserves for the years ended December 31, 2020, 2019 and 2018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Reversal (provision)</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There was no sale of accounts receivable for the year ended December 31, 2020. The proceeds from the sales of these accounts receivable totaled $14,474 thousand and $25,266 thousand for the years ended December 31, 2019 and 2018, respectively, and these sales resulted in pre-tax losses of $45 thousand and $63 thousand for the years ended December 31, 2019 and 2018,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December 31, 2020 and December 31, 2019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$10,087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30,968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28,815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6,526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Materials in-transit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1,021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(5,901)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Inventories, net</w:t>
            </w:r>
          </w:p>
        </w:tc>
        <w:tc>
          <w:tcPr>
            <w:tcW w:w="3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39,039</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vMerge w:val="restart"/>
          </w:tcPr>
          <w:p>
            <w:pPr>
              <w:jc w:val="right"/>
              <w:ind w:right="217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years ended December 31, 2020, 2019 and 2018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$(5,947)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$(6,094)</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Change in reserve</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(12,941)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(6,721)</w:t>
            </w: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1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(10,003)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Write off</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8,451</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(4,845)</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December 31, 2020 and December 31, 2019 are comprised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106,244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89,453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22,242</w:t>
            </w: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171,586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134,520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(90,370)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(75,704)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96,383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73,068</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Aggregate depreciation expenses totaled $10,448, thousand $9,720 thousand and $8,310 thousand for the years ended December 31, 2020, 2019 and 2018, respectively.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40"/>
          </w:cols>
          <w:pgMar w:left="320" w:top="486" w:right="6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December 31, 2020 and December 31, 2019 are comprised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0"/>
              </w:rPr>
              <w:t>Gross</w:t>
            </w:r>
          </w:p>
        </w:tc>
        <w:tc>
          <w:tcPr>
            <w:tcW w:w="1680" w:type="dxa"/>
            <w:vAlign w:val="bottom"/>
            <w:gridSpan w:val="6"/>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4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amortization</w:t>
            </w:r>
          </w:p>
        </w:tc>
        <w:tc>
          <w:tcPr>
            <w:tcW w:w="4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9,486</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(6,759)</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2,727</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1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9,486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2,727</w:t>
            </w: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center"/>
              <w:ind w:left="42"/>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4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260" w:type="dxa"/>
            <w:vAlign w:val="bottom"/>
            <w:gridSpan w:val="5"/>
          </w:tcPr>
          <w:p>
            <w:pPr>
              <w:jc w:val="center"/>
              <w:ind w:right="241"/>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4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amortization</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$ 6,575</w:t>
            </w:r>
          </w:p>
        </w:tc>
        <w:tc>
          <w:tcPr>
            <w:tcW w:w="6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(6,575)</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780" w:type="dxa"/>
            <w:vAlign w:val="bottom"/>
            <w:gridSpan w:val="5"/>
          </w:tcPr>
          <w:p>
            <w:pPr>
              <w:jc w:val="right"/>
              <w:spacing w:after="0"/>
              <w:rPr>
                <w:sz w:val="20"/>
                <w:szCs w:val="20"/>
                <w:color w:val="auto"/>
              </w:rPr>
            </w:pPr>
            <w:r>
              <w:rPr>
                <w:rFonts w:ascii="Arial" w:cs="Arial" w:eastAsia="Arial" w:hAnsi="Arial"/>
                <w:sz w:val="18"/>
                <w:szCs w:val="18"/>
                <w:color w:val="auto"/>
              </w:rPr>
              <w:t>10,180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61"/>
              <w:spacing w:after="0"/>
              <w:rPr>
                <w:sz w:val="20"/>
                <w:szCs w:val="20"/>
                <w:color w:val="auto"/>
              </w:rPr>
            </w:pPr>
            <w:r>
              <w:rPr>
                <w:rFonts w:ascii="Arial" w:cs="Arial" w:eastAsia="Arial" w:hAnsi="Arial"/>
                <w:sz w:val="18"/>
                <w:szCs w:val="18"/>
                <w:color w:val="auto"/>
              </w:rPr>
              <w:t>(10,180)</w:t>
            </w:r>
          </w:p>
        </w:tc>
        <w:tc>
          <w:tcPr>
            <w:tcW w:w="2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(5,868)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1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25,392</w:t>
            </w:r>
          </w:p>
        </w:tc>
        <w:tc>
          <w:tcPr>
            <w:tcW w:w="5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(22,623</w:t>
            </w:r>
          </w:p>
        </w:tc>
        <w:tc>
          <w:tcPr>
            <w:tcW w:w="340" w:type="dxa"/>
            <w:vAlign w:val="bottom"/>
          </w:tcPr>
          <w:p>
            <w:pPr>
              <w:jc w:val="right"/>
              <w:ind w:right="26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2,769</w:t>
            </w: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Aggregate amortization expense for intangible assets totaled $668 thousand, $598 thousand and $518 thousand for the years ended December 31, 2020, 2019 and 2018, respectively. The aggregate amortization expense of intangible assets for the next five years are estimated to be $672 thousand, $619 thousand, $504 thousand, $351 thousand and $223 thousand, for the years ended December 31, 2021, 2022, 2023, 2024 and 2025, respectively.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5 years.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Supplemental balance sheets information related to leases as of December 31, 2020 and December 31, 2019 are as follows (in thousands):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Leases</w:t>
            </w:r>
          </w:p>
        </w:tc>
        <w:tc>
          <w:tcPr>
            <w:tcW w:w="60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7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340"/>
              <w:spacing w:after="0"/>
              <w:rPr>
                <w:sz w:val="20"/>
                <w:szCs w:val="20"/>
                <w:color w:val="auto"/>
              </w:rPr>
            </w:pPr>
            <w:r>
              <w:rPr>
                <w:rFonts w:ascii="Arial" w:cs="Arial" w:eastAsia="Arial" w:hAnsi="Arial"/>
                <w:sz w:val="18"/>
                <w:szCs w:val="18"/>
                <w:color w:val="auto"/>
              </w:rPr>
              <w:t>Operating lease</w:t>
            </w: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Operating lease right-of-use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lease</w:t>
            </w: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Total lease assets</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4,838</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lease liabilities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340"/>
              <w:spacing w:after="0"/>
              <w:rPr>
                <w:sz w:val="20"/>
                <w:szCs w:val="20"/>
                <w:color w:val="auto"/>
              </w:rPr>
            </w:pPr>
            <w:r>
              <w:rPr>
                <w:rFonts w:ascii="Arial" w:cs="Arial" w:eastAsia="Arial" w:hAnsi="Arial"/>
                <w:sz w:val="18"/>
                <w:szCs w:val="18"/>
                <w:color w:val="auto"/>
              </w:rPr>
              <w:t>Finance</w:t>
            </w: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Other current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340"/>
              <w:spacing w:after="0"/>
              <w:rPr>
                <w:sz w:val="20"/>
                <w:szCs w:val="20"/>
                <w:color w:val="auto"/>
              </w:rPr>
            </w:pPr>
            <w:r>
              <w:rPr>
                <w:rFonts w:ascii="Arial" w:cs="Arial" w:eastAsia="Arial" w:hAnsi="Arial"/>
                <w:sz w:val="18"/>
                <w:szCs w:val="18"/>
                <w:color w:val="auto"/>
              </w:rPr>
              <w:t>Operating</w:t>
            </w: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w:t>
            </w: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4,853</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0" w:type="dxa"/>
            <w:vAlign w:val="bottom"/>
            <w:gridSpan w:val="2"/>
            <w:vMerge w:val="restart"/>
          </w:tcPr>
          <w:p>
            <w:pPr>
              <w:ind w:left="238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6" w:right="5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1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3.0 years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 years</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3.0 years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4.0 years</w:t>
            </w: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components of lease cost included in the Company’s consolidated statements of operations, are as follows (in thousands):</w:t>
      </w:r>
    </w:p>
    <w:p>
      <w:pPr>
        <w:spacing w:after="0" w:line="267"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Finance lease cost</w:t>
            </w: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2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9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4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2,076</w:t>
            </w:r>
          </w:p>
        </w:tc>
      </w:tr>
      <w:tr>
        <w:trPr>
          <w:trHeight w:val="20"/>
        </w:trPr>
        <w:tc>
          <w:tcPr>
            <w:tcW w:w="4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above table does not include an immaterial cost of short-term leases for the years ended December 31, 2020 and 2019.</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7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$1,885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$1,990</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76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r>
      <w:tr>
        <w:trPr>
          <w:trHeight w:val="350"/>
        </w:trPr>
        <w:tc>
          <w:tcPr>
            <w:tcW w:w="6100" w:type="dxa"/>
            <w:vAlign w:val="bottom"/>
          </w:tcPr>
          <w:p>
            <w:pPr>
              <w:ind w:left="4100"/>
              <w:spacing w:after="0"/>
              <w:rPr>
                <w:sz w:val="20"/>
                <w:szCs w:val="20"/>
                <w:color w:val="auto"/>
              </w:rPr>
            </w:pPr>
            <w:r>
              <w:rPr>
                <w:rFonts w:ascii="Arial" w:cs="Arial" w:eastAsia="Arial" w:hAnsi="Arial"/>
                <w:sz w:val="18"/>
                <w:szCs w:val="18"/>
                <w:color w:val="auto"/>
              </w:rPr>
              <w:t>94</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39"/>
          </w:cols>
          <w:pgMar w:left="320" w:top="486"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December 31, 2020 are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Leases</w:t>
            </w:r>
          </w:p>
        </w:tc>
        <w:tc>
          <w:tcPr>
            <w:tcW w:w="1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Leases</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2,424</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Total future lease payments</w:t>
            </w: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5,030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Present value of future payments</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4,632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3"/>
          </w:tcPr>
          <w:p>
            <w:pPr>
              <w:ind w:left="440"/>
              <w:spacing w:after="0"/>
              <w:rPr>
                <w:sz w:val="20"/>
                <w:szCs w:val="20"/>
                <w:color w:val="auto"/>
              </w:rPr>
            </w:pPr>
            <w:r>
              <w:rPr>
                <w:rFonts w:ascii="Arial" w:cs="Arial" w:eastAsia="Arial" w:hAnsi="Arial"/>
                <w:sz w:val="18"/>
                <w:szCs w:val="18"/>
                <w:color w:val="auto"/>
                <w:w w:val="90"/>
              </w:rPr>
              <w:t>Accrued expenses as of December 31, 2020 and 2019 are comprised of the following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10,296</w:t>
            </w:r>
          </w:p>
        </w:tc>
        <w:tc>
          <w:tcPr>
            <w:tcW w:w="62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8,493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100" w:type="dxa"/>
            <w:vAlign w:val="bottom"/>
            <w:gridSpan w:val="6"/>
          </w:tcPr>
          <w:p>
            <w:pPr>
              <w:jc w:val="right"/>
              <w:ind w:right="60"/>
              <w:spacing w:after="0"/>
              <w:rPr>
                <w:sz w:val="20"/>
                <w:szCs w:val="20"/>
                <w:color w:val="auto"/>
              </w:rPr>
            </w:pPr>
            <w:r>
              <w:rPr>
                <w:rFonts w:ascii="Arial" w:cs="Arial" w:eastAsia="Arial" w:hAnsi="Arial"/>
                <w:sz w:val="18"/>
                <w:szCs w:val="18"/>
                <w:color w:val="auto"/>
              </w:rPr>
              <w:t>23,371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8,205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Outside service fees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755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others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2,018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1,814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16,241</w:t>
            </w: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$ 44,799</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2020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3760" w:type="dxa"/>
            <w:vAlign w:val="bottom"/>
          </w:tcPr>
          <w:p>
            <w:pPr>
              <w:spacing w:after="0"/>
              <w:rPr>
                <w:sz w:val="14"/>
                <w:szCs w:val="1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Type of derivative</w:t>
            </w:r>
          </w:p>
        </w:tc>
        <w:tc>
          <w:tcPr>
            <w:tcW w:w="540" w:type="dxa"/>
            <w:vAlign w:val="bottom"/>
          </w:tcPr>
          <w:p>
            <w:pPr>
              <w:spacing w:after="0"/>
              <w:rPr>
                <w:sz w:val="14"/>
                <w:szCs w:val="1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Total notional amount</w:t>
            </w:r>
          </w:p>
        </w:tc>
        <w:tc>
          <w:tcPr>
            <w:tcW w:w="6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 2020</w:t>
            </w:r>
          </w:p>
        </w:tc>
        <w:tc>
          <w:tcPr>
            <w:tcW w:w="12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0"/>
              </w:rPr>
              <w:t>Zero cost collar</w:t>
            </w: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2021 to June 2021</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1220" w:type="dxa"/>
            <w:vAlign w:val="bottom"/>
          </w:tcPr>
          <w:p>
            <w:pPr>
              <w:jc w:val="center"/>
              <w:ind w:right="14"/>
              <w:spacing w:after="0"/>
              <w:rPr>
                <w:sz w:val="20"/>
                <w:szCs w:val="20"/>
                <w:color w:val="auto"/>
              </w:rPr>
            </w:pPr>
            <w:r>
              <w:rPr>
                <w:rFonts w:ascii="Arial" w:cs="Arial" w:eastAsia="Arial" w:hAnsi="Arial"/>
                <w:sz w:val="18"/>
                <w:szCs w:val="18"/>
                <w:color w:val="auto"/>
                <w:w w:val="90"/>
              </w:rPr>
              <w:t>Zero cost collar</w:t>
            </w:r>
          </w:p>
        </w:tc>
        <w:tc>
          <w:tcPr>
            <w:tcW w:w="10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18, 2020</w:t>
            </w:r>
          </w:p>
        </w:tc>
        <w:tc>
          <w:tcPr>
            <w:tcW w:w="12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0"/>
              </w:rPr>
              <w:t>Zero cost collar</w:t>
            </w: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 to June 2021</w:t>
            </w:r>
          </w:p>
        </w:tc>
      </w:tr>
      <w:tr>
        <w:trPr>
          <w:trHeight w:val="365"/>
        </w:trPr>
        <w:tc>
          <w:tcPr>
            <w:tcW w:w="1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2019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3760" w:type="dxa"/>
            <w:vAlign w:val="bottom"/>
          </w:tcPr>
          <w:p>
            <w:pPr>
              <w:spacing w:after="0"/>
              <w:rPr>
                <w:sz w:val="14"/>
                <w:szCs w:val="1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Type of derivative</w:t>
            </w:r>
          </w:p>
        </w:tc>
        <w:tc>
          <w:tcPr>
            <w:tcW w:w="540" w:type="dxa"/>
            <w:vAlign w:val="bottom"/>
          </w:tcPr>
          <w:p>
            <w:pPr>
              <w:spacing w:after="0"/>
              <w:rPr>
                <w:sz w:val="14"/>
                <w:szCs w:val="1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Total notional amount</w:t>
            </w:r>
          </w:p>
        </w:tc>
        <w:tc>
          <w:tcPr>
            <w:tcW w:w="6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9"/>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13, 2019</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7"/>
              </w:rPr>
              <w:t>Zero cost collar</w:t>
            </w: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2020 to June 2020</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220" w:type="dxa"/>
            <w:vAlign w:val="bottom"/>
          </w:tcPr>
          <w:p>
            <w:pPr>
              <w:spacing w:after="0"/>
              <w:rPr>
                <w:sz w:val="20"/>
                <w:szCs w:val="20"/>
                <w:color w:val="auto"/>
              </w:rPr>
            </w:pPr>
            <w:r>
              <w:rPr>
                <w:rFonts w:ascii="Arial" w:cs="Arial" w:eastAsia="Arial" w:hAnsi="Arial"/>
                <w:sz w:val="18"/>
                <w:szCs w:val="18"/>
                <w:color w:val="auto"/>
                <w:w w:val="97"/>
              </w:rPr>
              <w:t>Zero cost collar</w:t>
            </w:r>
          </w:p>
        </w:tc>
        <w:tc>
          <w:tcPr>
            <w:tcW w:w="10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42,000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January 2020 to June 2020</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2019</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7"/>
              </w:rPr>
              <w:t>Zero cost collar</w:t>
            </w: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2020 to December 2020</w:t>
            </w:r>
          </w:p>
        </w:tc>
      </w:tr>
    </w:tbl>
    <w:p>
      <w:pPr>
        <w:spacing w:after="0" w:line="20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assets and liabilities as of December 31, 2020 and 2019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3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380" w:type="dxa"/>
            <w:vAlign w:val="bottom"/>
          </w:tcPr>
          <w:p>
            <w:pPr>
              <w:ind w:left="1340"/>
              <w:spacing w:after="0"/>
              <w:rPr>
                <w:sz w:val="20"/>
                <w:szCs w:val="20"/>
                <w:color w:val="auto"/>
              </w:rPr>
            </w:pPr>
            <w:r>
              <w:rPr>
                <w:rFonts w:ascii="Arial" w:cs="Arial" w:eastAsia="Arial" w:hAnsi="Arial"/>
                <w:sz w:val="18"/>
                <w:szCs w:val="18"/>
                <w:color w:val="auto"/>
              </w:rPr>
              <w:t>Other current assets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3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380" w:type="dxa"/>
            <w:vAlign w:val="bottom"/>
          </w:tcPr>
          <w:p>
            <w:pPr>
              <w:ind w:left="1340"/>
              <w:spacing w:after="0"/>
              <w:rPr>
                <w:sz w:val="20"/>
                <w:szCs w:val="20"/>
                <w:color w:val="auto"/>
              </w:rPr>
            </w:pPr>
            <w:r>
              <w:rPr>
                <w:rFonts w:ascii="Arial" w:cs="Arial" w:eastAsia="Arial" w:hAnsi="Arial"/>
                <w:sz w:val="18"/>
                <w:szCs w:val="18"/>
                <w:color w:val="auto"/>
              </w:rPr>
              <w:t>Other current liabilities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and liabilities as of December 31, 2020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22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Gross amounts</w:t>
            </w:r>
          </w:p>
        </w:tc>
        <w:tc>
          <w:tcPr>
            <w:tcW w:w="46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Net amounts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Gross amounts not offset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recognized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6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presented in the</w:t>
            </w:r>
          </w:p>
        </w:tc>
        <w:tc>
          <w:tcPr>
            <w:tcW w:w="22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4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46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assets/liabilities</w:t>
            </w:r>
          </w:p>
        </w:tc>
        <w:tc>
          <w:tcPr>
            <w:tcW w:w="2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balance sheets</w:t>
            </w:r>
          </w:p>
        </w:tc>
        <w:tc>
          <w:tcPr>
            <w:tcW w:w="46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balance sheets</w:t>
            </w:r>
          </w:p>
        </w:tc>
        <w:tc>
          <w:tcPr>
            <w:tcW w:w="2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9"/>
              </w:rPr>
              <w:t>instruments</w:t>
            </w:r>
          </w:p>
        </w:tc>
        <w:tc>
          <w:tcPr>
            <w:tcW w:w="46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pledged</w:t>
            </w:r>
          </w:p>
        </w:tc>
        <w:tc>
          <w:tcPr>
            <w:tcW w:w="4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2,036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2,036</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as of December 31, 2019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8"/>
              </w:rPr>
              <w:t>Gross amounts of</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46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Net amounts of</w:t>
            </w:r>
          </w:p>
        </w:tc>
        <w:tc>
          <w:tcPr>
            <w:tcW w:w="2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5"/>
              </w:rPr>
              <w:t>Gross amounts not offset</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in the balance sheets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6"/>
              </w:rPr>
              <w:t>recognized</w:t>
            </w:r>
          </w:p>
        </w:tc>
        <w:tc>
          <w:tcPr>
            <w:tcW w:w="100" w:type="dxa"/>
            <w:vAlign w:val="bottom"/>
          </w:tcPr>
          <w:p>
            <w:pPr>
              <w:spacing w:after="0"/>
              <w:rPr>
                <w:sz w:val="10"/>
                <w:szCs w:val="10"/>
                <w:color w:val="auto"/>
              </w:rPr>
            </w:pPr>
          </w:p>
        </w:tc>
        <w:tc>
          <w:tcPr>
            <w:tcW w:w="84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60" w:type="dxa"/>
            <w:vAlign w:val="bottom"/>
          </w:tcPr>
          <w:p>
            <w:pPr>
              <w:spacing w:after="0"/>
              <w:rPr>
                <w:sz w:val="10"/>
                <w:szCs w:val="10"/>
                <w:color w:val="auto"/>
              </w:rPr>
            </w:pPr>
          </w:p>
        </w:tc>
        <w:tc>
          <w:tcPr>
            <w:tcW w:w="14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740" w:type="dxa"/>
            <w:vAlign w:val="bottom"/>
            <w:tcBorders>
              <w:top w:val="single" w:sz="8" w:color="auto"/>
            </w:tcBorders>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5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77"/>
              </w:rPr>
              <w:t>assets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balance sheets</w:t>
            </w:r>
          </w:p>
        </w:tc>
        <w:tc>
          <w:tcPr>
            <w:tcW w:w="46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balance sheets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9"/>
              </w:rPr>
              <w:t>instruments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pledged</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1,070</w:t>
            </w:r>
          </w:p>
        </w:tc>
        <w:tc>
          <w:tcPr>
            <w:tcW w:w="800" w:type="dxa"/>
            <w:vAlign w:val="bottom"/>
            <w:gridSpan w:val="2"/>
          </w:tcPr>
          <w:p>
            <w:pPr>
              <w:spacing w:after="0"/>
              <w:rPr>
                <w:sz w:val="20"/>
                <w:szCs w:val="20"/>
                <w:color w:val="auto"/>
              </w:rPr>
            </w:pPr>
            <w:r>
              <w:rPr>
                <w:rFonts w:ascii="Arial" w:cs="Arial" w:eastAsia="Arial" w:hAnsi="Arial"/>
                <w:sz w:val="18"/>
                <w:szCs w:val="18"/>
                <w:color w:val="auto"/>
              </w:rPr>
              <w:t>$   2,526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86"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statements of operations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 and net sales of discontinued operations are included in the below table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Derivatives in</w:t>
            </w:r>
          </w:p>
        </w:tc>
        <w:tc>
          <w:tcPr>
            <w:tcW w:w="1400" w:type="dxa"/>
            <w:vAlign w:val="bottom"/>
          </w:tcPr>
          <w:p>
            <w:pPr>
              <w:spacing w:after="0"/>
              <w:rPr>
                <w:sz w:val="14"/>
                <w:szCs w:val="14"/>
                <w:color w:val="auto"/>
              </w:rPr>
            </w:pPr>
          </w:p>
        </w:tc>
        <w:tc>
          <w:tcPr>
            <w:tcW w:w="186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 Gain (Loss)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3"/>
              </w:rPr>
              <w:t>Location/Amount of Gain (Loss)</w:t>
            </w: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ASC 815</w:t>
            </w:r>
          </w:p>
        </w:tc>
        <w:tc>
          <w:tcPr>
            <w:tcW w:w="140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264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93"/>
              </w:rPr>
              <w:t>Location/Amount of Gain (Loss)</w:t>
            </w:r>
          </w:p>
        </w:tc>
        <w:tc>
          <w:tcPr>
            <w:tcW w:w="25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640" w:type="dxa"/>
            <w:vAlign w:val="bottom"/>
            <w:gridSpan w:val="7"/>
            <w:vMerge w:val="continue"/>
          </w:tcPr>
          <w:p>
            <w:pPr>
              <w:spacing w:after="0"/>
              <w:rPr>
                <w:sz w:val="12"/>
                <w:szCs w:val="12"/>
                <w:color w:val="auto"/>
              </w:rPr>
            </w:pPr>
          </w:p>
        </w:tc>
        <w:tc>
          <w:tcPr>
            <w:tcW w:w="1980" w:type="dxa"/>
            <w:vAlign w:val="bottom"/>
            <w:gridSpan w:val="5"/>
          </w:tcPr>
          <w:p>
            <w:pPr>
              <w:jc w:val="center"/>
              <w:ind w:left="35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9"/>
              </w:rPr>
              <w:t>AOCI on</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252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Statement of Operations on</w:t>
            </w:r>
          </w:p>
        </w:tc>
        <w:tc>
          <w:tcPr>
            <w:tcW w:w="0" w:type="dxa"/>
            <w:vAlign w:val="bottom"/>
          </w:tcPr>
          <w:p>
            <w:pPr>
              <w:spacing w:after="0"/>
              <w:rPr>
                <w:sz w:val="1"/>
                <w:szCs w:val="1"/>
                <w:color w:val="auto"/>
              </w:rPr>
            </w:pPr>
          </w:p>
        </w:tc>
      </w:tr>
      <w:tr>
        <w:trPr>
          <w:trHeight w:val="17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Derivatives</w:t>
            </w:r>
          </w:p>
        </w:tc>
        <w:tc>
          <w:tcPr>
            <w:tcW w:w="26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2"/>
              </w:rPr>
              <w:t>Statement of Operations</w:t>
            </w:r>
          </w:p>
        </w:tc>
        <w:tc>
          <w:tcPr>
            <w:tcW w:w="198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w w:val="93"/>
              </w:rPr>
              <w:t>Derivatives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auto"/>
            </w:tcBorders>
          </w:tcPr>
          <w:p>
            <w:pPr>
              <w:spacing w:after="0"/>
              <w:rPr>
                <w:sz w:val="12"/>
                <w:szCs w:val="12"/>
                <w:color w:val="auto"/>
              </w:rPr>
            </w:pPr>
          </w:p>
        </w:tc>
        <w:tc>
          <w:tcPr>
            <w:tcW w:w="1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Zero cost collars</w:t>
            </w:r>
          </w:p>
        </w:tc>
        <w:tc>
          <w:tcPr>
            <w:tcW w:w="15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line="195" w:lineRule="exact"/>
              <w:rPr>
                <w:sz w:val="20"/>
                <w:szCs w:val="20"/>
                <w:color w:val="auto"/>
              </w:rPr>
            </w:pPr>
            <w:r>
              <w:rPr>
                <w:rFonts w:ascii="Arial" w:cs="Arial" w:eastAsia="Arial" w:hAnsi="Arial"/>
                <w:sz w:val="18"/>
                <w:szCs w:val="18"/>
                <w:color w:val="auto"/>
                <w:w w:val="97"/>
              </w:rPr>
              <w:t>1,769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(1,096)</w:t>
            </w:r>
          </w:p>
        </w:tc>
        <w:tc>
          <w:tcPr>
            <w:tcW w:w="84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line="195" w:lineRule="exact"/>
              <w:rPr>
                <w:sz w:val="20"/>
                <w:szCs w:val="20"/>
                <w:color w:val="auto"/>
              </w:rPr>
            </w:pPr>
            <w:r>
              <w:rPr>
                <w:rFonts w:ascii="Arial" w:cs="Arial" w:eastAsia="Arial" w:hAnsi="Arial"/>
                <w:sz w:val="18"/>
                <w:szCs w:val="18"/>
                <w:color w:val="auto"/>
                <w:w w:val="84"/>
              </w:rPr>
              <w:t>1,363</w:t>
            </w:r>
          </w:p>
        </w:tc>
        <w:tc>
          <w:tcPr>
            <w:tcW w:w="900" w:type="dxa"/>
            <w:vAlign w:val="bottom"/>
            <w:gridSpan w:val="2"/>
            <w:shd w:val="clear" w:color="auto" w:fill="CCEEFF"/>
          </w:tcPr>
          <w:p>
            <w:pPr>
              <w:jc w:val="right"/>
              <w:ind w:right="260"/>
              <w:spacing w:after="0" w:line="195" w:lineRule="exact"/>
              <w:rPr>
                <w:sz w:val="20"/>
                <w:szCs w:val="20"/>
                <w:color w:val="auto"/>
              </w:rPr>
            </w:pPr>
            <w:r>
              <w:rPr>
                <w:rFonts w:ascii="Arial" w:cs="Arial" w:eastAsia="Arial" w:hAnsi="Arial"/>
                <w:sz w:val="18"/>
                <w:szCs w:val="18"/>
                <w:color w:val="auto"/>
                <w:w w:val="92"/>
              </w:rPr>
              <w:t>$(2,738)</w:t>
            </w:r>
          </w:p>
        </w:tc>
        <w:tc>
          <w:tcPr>
            <w:tcW w:w="1200" w:type="dxa"/>
            <w:vAlign w:val="bottom"/>
            <w:shd w:val="clear" w:color="auto" w:fill="CCEEFF"/>
          </w:tcPr>
          <w:p>
            <w:pPr>
              <w:jc w:val="right"/>
              <w:ind w:right="59"/>
              <w:spacing w:after="0" w:line="195" w:lineRule="exact"/>
              <w:rPr>
                <w:sz w:val="20"/>
                <w:szCs w:val="20"/>
                <w:color w:val="auto"/>
              </w:rPr>
            </w:pPr>
            <w:r>
              <w:rPr>
                <w:rFonts w:ascii="Arial" w:cs="Arial" w:eastAsia="Arial" w:hAnsi="Arial"/>
                <w:sz w:val="18"/>
                <w:szCs w:val="18"/>
                <w:color w:val="auto"/>
                <w:w w:val="96"/>
              </w:rPr>
              <w:t>Other income</w:t>
            </w:r>
          </w:p>
        </w:tc>
        <w:tc>
          <w:tcPr>
            <w:tcW w:w="2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line="195" w:lineRule="exact"/>
              <w:rPr>
                <w:sz w:val="20"/>
                <w:szCs w:val="20"/>
                <w:color w:val="auto"/>
              </w:rPr>
            </w:pPr>
            <w:r>
              <w:rPr>
                <w:rFonts w:ascii="Arial" w:cs="Arial" w:eastAsia="Arial" w:hAnsi="Arial"/>
                <w:sz w:val="18"/>
                <w:szCs w:val="18"/>
                <w:color w:val="auto"/>
                <w:w w:val="86"/>
              </w:rPr>
              <w:t>148</w:t>
            </w:r>
          </w:p>
        </w:tc>
        <w:tc>
          <w:tcPr>
            <w:tcW w:w="54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w w:val="88"/>
              </w:rPr>
              <w:t>$(193)</w:t>
            </w:r>
          </w:p>
        </w:tc>
        <w:tc>
          <w:tcPr>
            <w:tcW w:w="0" w:type="dxa"/>
            <w:vAlign w:val="bottom"/>
          </w:tcPr>
          <w:p>
            <w:pPr>
              <w:spacing w:after="0"/>
              <w:rPr>
                <w:sz w:val="1"/>
                <w:szCs w:val="1"/>
                <w:color w:val="auto"/>
              </w:rPr>
            </w:pPr>
          </w:p>
        </w:tc>
      </w:tr>
      <w:tr>
        <w:trPr>
          <w:trHeight w:val="244"/>
        </w:trPr>
        <w:tc>
          <w:tcPr>
            <w:tcW w:w="8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0"/>
              </w:rPr>
              <w:t>(expense), net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Forwards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(1,798)</w:t>
            </w:r>
          </w:p>
        </w:tc>
        <w:tc>
          <w:tcPr>
            <w:tcW w:w="840" w:type="dxa"/>
            <w:vAlign w:val="bottom"/>
          </w:tcPr>
          <w:p>
            <w:pPr>
              <w:ind w:left="60"/>
              <w:spacing w:after="0" w:line="201" w:lineRule="exact"/>
              <w:rPr>
                <w:sz w:val="20"/>
                <w:szCs w:val="20"/>
                <w:color w:val="auto"/>
              </w:rPr>
            </w:pPr>
            <w:r>
              <w:rPr>
                <w:rFonts w:ascii="Arial" w:cs="Arial" w:eastAsia="Arial" w:hAnsi="Arial"/>
                <w:sz w:val="18"/>
                <w:szCs w:val="18"/>
                <w:color w:val="auto"/>
              </w:rPr>
              <w:t>Net sales</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2"/>
              </w:rPr>
              <w:t>$(1,750)</w:t>
            </w:r>
          </w:p>
        </w:tc>
        <w:tc>
          <w:tcPr>
            <w:tcW w:w="1200" w:type="dxa"/>
            <w:vAlign w:val="bottom"/>
          </w:tcPr>
          <w:p>
            <w:pPr>
              <w:jc w:val="right"/>
              <w:ind w:right="59"/>
              <w:spacing w:after="0" w:line="201" w:lineRule="exact"/>
              <w:rPr>
                <w:sz w:val="20"/>
                <w:szCs w:val="20"/>
                <w:color w:val="auto"/>
              </w:rPr>
            </w:pPr>
            <w:r>
              <w:rPr>
                <w:rFonts w:ascii="Arial" w:cs="Arial" w:eastAsia="Arial" w:hAnsi="Arial"/>
                <w:sz w:val="18"/>
                <w:szCs w:val="18"/>
                <w:color w:val="auto"/>
                <w:w w:val="96"/>
              </w:rPr>
              <w:t>Other income</w:t>
            </w:r>
          </w:p>
        </w:tc>
        <w:tc>
          <w:tcPr>
            <w:tcW w:w="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88"/>
              </w:rPr>
              <w:t>$(125)</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8"/>
                <w:szCs w:val="18"/>
                <w:color w:val="auto"/>
                <w:w w:val="90"/>
              </w:rPr>
              <w:t>(expense), net</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(2,894)</w:t>
            </w: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1,363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(4,488)</w:t>
            </w:r>
          </w:p>
        </w:tc>
        <w:tc>
          <w:tcPr>
            <w:tcW w:w="1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of December 31, 2020, the amount expected to be reclassified from accumulated other comprehensive income into income within the next twelve months is $1,634 thousand.</w:t>
      </w:r>
    </w:p>
    <w:p>
      <w:pPr>
        <w:spacing w:after="0" w:line="2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set aside cash deposits to the counterparties, Nomura Financial Investment (Korea) Co., Ltd. (“NFIK”), Deutsche Bank AG, Seoul Branch (“DB”) and Standard Chartered Bank Korea Limited (“SC”), as required for the zero cost collar contracts. These cash deposits are recorded as hedge collateral on the consolidated balance sheets. Cash deposits as of December 31, 2020 and 2019 are as follows (in thousands):</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Counterparties</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vMerge w:val="continue"/>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NFIK</w:t>
            </w:r>
          </w:p>
        </w:tc>
        <w:tc>
          <w:tcPr>
            <w:tcW w:w="6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$3,250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DB</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SC</w:t>
            </w:r>
          </w:p>
        </w:tc>
        <w:tc>
          <w:tcPr>
            <w:tcW w:w="6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Total</w:t>
            </w:r>
          </w:p>
        </w:tc>
        <w:tc>
          <w:tcPr>
            <w:tcW w:w="5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5,250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 no such cash collateral was required as of December 31, 2020. As of December 31, 2019, $1,070 thousand of additional cash collateral were required to NFIK and recorded as hedge collateral on the consolidated balance sheet.</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These zero cost collar contracts may be terminated by the counterparties in a number of circumstances, including if the Company’s borrowing rating falls below B-/B3 or if the Company’s total cash and cash equivalents is less than $30,000 thousand at the end of a fiscal quarter, unless a waiver is obtained.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86"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Product Warranties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warranty liabilities for the years ended December 31, 2020, 2019 and 2018 are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Provision (reversal)</w:t>
            </w:r>
          </w:p>
        </w:tc>
        <w:tc>
          <w:tcPr>
            <w:tcW w:w="1540" w:type="dxa"/>
            <w:vAlign w:val="bottom"/>
            <w:gridSpan w:val="5"/>
          </w:tcPr>
          <w:p>
            <w:pPr>
              <w:jc w:val="right"/>
              <w:ind w:right="136"/>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932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Usage</w:t>
            </w:r>
          </w:p>
        </w:tc>
        <w:tc>
          <w:tcPr>
            <w:tcW w:w="1540" w:type="dxa"/>
            <w:vAlign w:val="bottom"/>
            <w:gridSpan w:val="5"/>
            <w:shd w:val="clear" w:color="auto" w:fill="CCEEFF"/>
          </w:tcPr>
          <w:p>
            <w:pPr>
              <w:jc w:val="right"/>
              <w:ind w:right="136"/>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840" w:type="dxa"/>
            <w:vAlign w:val="bottom"/>
          </w:tcPr>
          <w:p>
            <w:pPr>
              <w:spacing w:after="0"/>
              <w:rPr>
                <w:sz w:val="18"/>
                <w:szCs w:val="18"/>
                <w:color w:val="auto"/>
              </w:rPr>
            </w:pPr>
          </w:p>
        </w:tc>
        <w:tc>
          <w:tcPr>
            <w:tcW w:w="700" w:type="dxa"/>
            <w:vAlign w:val="bottom"/>
            <w:gridSpan w:val="4"/>
          </w:tcPr>
          <w:p>
            <w:pPr>
              <w:jc w:val="right"/>
              <w:ind w:right="136"/>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12. Borrowings</w:t>
            </w: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2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Borrowings as of December 31, 2020 and 2019 are as follows (in thousands):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6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170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$83,740</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$ 83,740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224,250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Total borrowings,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83,479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304,743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borrowings, net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7"/>
              </w:rPr>
              <w:t>83,479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Long-term borrowings, net</w:t>
            </w:r>
          </w:p>
        </w:tc>
        <w:tc>
          <w:tcPr>
            <w:tcW w:w="9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years ended December 31, 2020 and 2019 was $5,708 thousand and $5,618 thousand, respectively.</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February 2019, the Company repurchased a principal amount equal to $920 thousand of the Exchangeable Notes in the open market, resulting in a loss of $63 thousand, which was recorded as loss on early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320" w:top="486" w:right="5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extinguishment of borrowings, net in the consolidated statements of operations for the year ended December 31, 2019. In December 2018, the Company repurchased a principal amount equal to $1,590 thousand of the Exchangeable Notes in the open market, resulting in a loss of $234 thousand, which was recorded as loss on early extinguishment of borrowings, net in the consolidated statements of operations for the year ended December 31, 2018.</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including fractional shares to be paid in cash, but will not be adjusted for any accrued and unpaid interest.</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Prior to the March 1, 2021 maturity of the Exchangeable Notes, holders elected to exchange for an aggregate of 10,144,131 shares of the Company’s common stock in satisfaction in full of the outstanding obligations under the Exchangeable Notes. Following March 1, 2021, the Company does not have any Exchangeable Notes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were recorded as a direct deduction from the borrowings in the consolidated balance sheets and amortized to interest expense using the effective interest method over the term of the 2021 Notes. Interest expense related to the 2021 Notes for the years ended December 31, 2020 and 2019 was $11,926 thousand and $15,730 thousand, respectively.</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January 2019, the Company repurchased a principal amount equal to $250 thousand of the 2021 Notes in the open market, resulting in a net gain of $21 thousand, which was recorded as loss on early extinguishment of borrowings, net in the consolidated statements of operations for the year ended December 31, 2019. In December 2018, the Company repurchased a principal amount equal to $500 thousand of the 2021 Notes in the open market, resulting in a net gain of $28 thousand, which was recorded as loss on early extinguishment of borrowings, net in the consolidated statements of operations for the year ended December 31, 2018.</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completed the full redemption of the remaining outstanding 2021 Notes on October 2, 2020. The Company paid approximately $227,428 thousand to fully redeem all of the outstanding $224,250 thousand aggregate principal amount of the 2021 Notes at a redemption price equal to the sum of 100% of the principal amount of the 2021 Notes, plus accrued and unpaid interest thereon through, but excluding, the Redemption Date. In connection with the redemption of the 2021 Notes, the Company recorded a $766 thousand as loss on early extinguishment of borrowings, net related to the remaining unamortized debt discount and debt issuance costs. The redemption of the 2021 Notes was funded by the Company’s Korean subsidiary’s repayment of intercompany loans. On October 12, 2020, the Company paid a withholding tax of approximately $20,562 thousand, attributable to the repaid accrued interests on the related intercompany loans. See Note 9, “Accrued Expenses” for the withholding tax payment.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86"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13. Accrued Severance Benefits</w:t>
      </w:r>
    </w:p>
    <w:p>
      <w:pPr>
        <w:spacing w:after="0" w:line="121" w:lineRule="exact"/>
        <w:rPr>
          <w:sz w:val="20"/>
          <w:szCs w:val="20"/>
          <w:color w:val="auto"/>
        </w:rPr>
      </w:pPr>
    </w:p>
    <w:p>
      <w:pPr>
        <w:ind w:left="18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2020, 98% of all employees of the Company were eligible for severance benefits.</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17"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55,691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(10,937)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(6,733)</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(1,874)</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53,344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(13,704)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(1,856)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Group severance insurance plan</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51,181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right="24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80" w:right="60" w:firstLine="440"/>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43"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4"/>
              </w:rPr>
              <w:t>Severance</w:t>
            </w:r>
          </w:p>
        </w:tc>
      </w:tr>
      <w:tr>
        <w:trPr>
          <w:trHeight w:val="171"/>
        </w:trPr>
        <w:tc>
          <w:tcPr>
            <w:tcW w:w="6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Benefit</w:t>
            </w:r>
          </w:p>
        </w:tc>
        <w:tc>
          <w:tcPr>
            <w:tcW w:w="6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947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2026 – 2030</w:t>
            </w: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19,292</w:t>
            </w:r>
          </w:p>
        </w:tc>
      </w:tr>
    </w:tbl>
    <w:p>
      <w:pPr>
        <w:spacing w:after="0" w:line="187" w:lineRule="exact"/>
        <w:rPr>
          <w:sz w:val="20"/>
          <w:szCs w:val="20"/>
          <w:color w:val="auto"/>
        </w:rPr>
      </w:pPr>
    </w:p>
    <w:p>
      <w:pPr>
        <w:ind w:left="180" w:right="360" w:firstLine="440"/>
        <w:spacing w:after="0" w:line="277"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260" w:top="486"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amounts that might be paid to non-executive employees that will cease working with the Company before their normal retirement ages.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14. Equity Incentive Plans</w:t>
      </w:r>
    </w:p>
    <w:p>
      <w:pPr>
        <w:spacing w:after="0" w:line="121" w:lineRule="exact"/>
        <w:rPr>
          <w:sz w:val="20"/>
          <w:szCs w:val="20"/>
          <w:color w:val="auto"/>
        </w:rPr>
      </w:pPr>
    </w:p>
    <w:p>
      <w:pPr>
        <w:ind w:left="180" w:right="20" w:firstLine="440"/>
        <w:spacing w:after="0" w:line="288" w:lineRule="auto"/>
        <w:rPr>
          <w:sz w:val="20"/>
          <w:szCs w:val="20"/>
          <w:color w:val="auto"/>
        </w:rPr>
      </w:pPr>
      <w:r>
        <w:rPr>
          <w:rFonts w:ascii="Arial" w:cs="Arial" w:eastAsia="Arial" w:hAnsi="Arial"/>
          <w:sz w:val="16"/>
          <w:szCs w:val="16"/>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However, options granted under the 2009 Plan prior to its termination will remain outstanding until they are either exercised or expired.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w:t>
      </w:r>
    </w:p>
    <w:p>
      <w:pPr>
        <w:spacing w:after="0" w:line="168" w:lineRule="exact"/>
        <w:rPr>
          <w:sz w:val="20"/>
          <w:szCs w:val="20"/>
          <w:color w:val="auto"/>
        </w:rPr>
      </w:pPr>
    </w:p>
    <w:p>
      <w:pPr>
        <w:ind w:left="180" w:right="80" w:firstLine="440"/>
        <w:spacing w:after="0" w:line="273" w:lineRule="auto"/>
        <w:rPr>
          <w:sz w:val="20"/>
          <w:szCs w:val="20"/>
          <w:color w:val="auto"/>
        </w:rPr>
      </w:pPr>
      <w:r>
        <w:rPr>
          <w:rFonts w:ascii="Arial" w:cs="Arial" w:eastAsia="Arial" w:hAnsi="Arial"/>
          <w:sz w:val="17"/>
          <w:szCs w:val="17"/>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2020 an aggregate maximum of 11,352,919 shares were authorized and 2,441,666 shares were reserved for all future grants.</w:t>
      </w:r>
    </w:p>
    <w:p>
      <w:pPr>
        <w:spacing w:after="0" w:line="178" w:lineRule="exact"/>
        <w:rPr>
          <w:sz w:val="20"/>
          <w:szCs w:val="20"/>
          <w:color w:val="auto"/>
        </w:rPr>
      </w:pPr>
    </w:p>
    <w:p>
      <w:pPr>
        <w:ind w:left="180" w:right="60" w:firstLine="440"/>
        <w:spacing w:after="0" w:line="311" w:lineRule="auto"/>
        <w:rPr>
          <w:sz w:val="20"/>
          <w:szCs w:val="20"/>
          <w:color w:val="auto"/>
        </w:rPr>
      </w:pPr>
      <w:r>
        <w:rPr>
          <w:rFonts w:ascii="Arial" w:cs="Arial" w:eastAsia="Arial" w:hAnsi="Arial"/>
          <w:sz w:val="16"/>
          <w:szCs w:val="16"/>
          <w:color w:val="auto"/>
        </w:rPr>
        <w:t>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2020, no stock options or stock appreciation rights had been granted under 2020 Plan.</w:t>
      </w:r>
    </w:p>
    <w:p>
      <w:pPr>
        <w:spacing w:after="0" w:line="149" w:lineRule="exact"/>
        <w:rPr>
          <w:sz w:val="20"/>
          <w:szCs w:val="20"/>
          <w:color w:val="auto"/>
        </w:rPr>
      </w:pPr>
    </w:p>
    <w:p>
      <w:pPr>
        <w:ind w:left="180" w:firstLine="440"/>
        <w:spacing w:after="0" w:line="254" w:lineRule="auto"/>
        <w:rPr>
          <w:sz w:val="20"/>
          <w:szCs w:val="20"/>
          <w:color w:val="auto"/>
        </w:rPr>
      </w:pPr>
      <w:r>
        <w:rPr>
          <w:rFonts w:ascii="Arial" w:cs="Arial" w:eastAsia="Arial" w:hAnsi="Arial"/>
          <w:sz w:val="18"/>
          <w:szCs w:val="18"/>
          <w:color w:val="auto"/>
        </w:rPr>
        <w:t>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 subject to the participant’s continued service through the applicable vesting dates.</w:t>
      </w:r>
    </w:p>
    <w:p>
      <w:pPr>
        <w:spacing w:after="0" w:line="195" w:lineRule="exact"/>
        <w:rPr>
          <w:sz w:val="20"/>
          <w:szCs w:val="20"/>
          <w:color w:val="auto"/>
        </w:rPr>
      </w:pPr>
    </w:p>
    <w:p>
      <w:pPr>
        <w:ind w:left="180" w:right="120" w:firstLine="440"/>
        <w:spacing w:after="0" w:line="277" w:lineRule="auto"/>
        <w:rPr>
          <w:sz w:val="20"/>
          <w:szCs w:val="20"/>
          <w:color w:val="auto"/>
        </w:rPr>
      </w:pPr>
      <w:r>
        <w:rPr>
          <w:rFonts w:ascii="Arial" w:cs="Arial" w:eastAsia="Arial" w:hAnsi="Arial"/>
          <w:sz w:val="18"/>
          <w:szCs w:val="18"/>
          <w:color w:val="auto"/>
        </w:rPr>
        <w:t>Restricted stock constitutes an immediate transfer of the ownership of shares of the Company’s common stock to the participant in consideration of the performance of services, entitling such participant to voting,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260" w:top="48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80" w:right="20"/>
        <w:spacing w:after="0" w:line="289" w:lineRule="auto"/>
        <w:rPr>
          <w:sz w:val="20"/>
          <w:szCs w:val="20"/>
          <w:color w:val="auto"/>
        </w:rPr>
      </w:pPr>
      <w:r>
        <w:rPr>
          <w:rFonts w:ascii="Arial" w:cs="Arial" w:eastAsia="Arial" w:hAnsi="Arial"/>
          <w:sz w:val="16"/>
          <w:szCs w:val="16"/>
          <w:color w:val="auto"/>
        </w:rPr>
        <w:t>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A grant of restricted stock may require that any and all dividends and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summarizes restricted stock unit activities for the years ended December 31, 2020, 2019 and 2018.</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Stock Units</w:t>
            </w:r>
          </w:p>
        </w:tc>
        <w:tc>
          <w:tcPr>
            <w:tcW w:w="66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340,753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739,231</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(373,620)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Unsettled</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45,311</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(33,462)</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line="20" w:lineRule="exact"/>
              <w:rPr>
                <w:sz w:val="1"/>
                <w:szCs w:val="1"/>
                <w:color w:val="auto"/>
              </w:rPr>
            </w:pPr>
          </w:p>
        </w:tc>
      </w:tr>
      <w:tr>
        <w:trPr>
          <w:trHeight w:val="216"/>
        </w:trPr>
        <w:tc>
          <w:tcPr>
            <w:tcW w:w="6060" w:type="dxa"/>
            <w:vAlign w:val="bottom"/>
            <w:vMerge w:val="continue"/>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718,213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660"/>
              <w:spacing w:after="0" w:line="190" w:lineRule="exact"/>
              <w:rPr>
                <w:sz w:val="20"/>
                <w:szCs w:val="20"/>
                <w:color w:val="auto"/>
              </w:rPr>
            </w:pPr>
            <w:r>
              <w:rPr>
                <w:rFonts w:ascii="Arial" w:cs="Arial" w:eastAsia="Arial" w:hAnsi="Arial"/>
                <w:sz w:val="18"/>
                <w:szCs w:val="18"/>
                <w:color w:val="auto"/>
              </w:rPr>
              <w:t>711,719</w:t>
            </w: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line="190" w:lineRule="exact"/>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(528,740)</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Unsettled</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226,215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Settled of previous year vesting</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(42,189)</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(41,915)</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1,043,303</w:t>
            </w:r>
          </w:p>
        </w:tc>
        <w:tc>
          <w:tcPr>
            <w:tcW w:w="6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642,372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(354,657)</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Settled of previous year vesting</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(226,558)</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(104,704)</w:t>
            </w: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999,756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firstLine="440"/>
        <w:spacing w:after="0" w:line="311" w:lineRule="auto"/>
        <w:rPr>
          <w:sz w:val="20"/>
          <w:szCs w:val="20"/>
          <w:color w:val="auto"/>
        </w:rPr>
      </w:pPr>
      <w:r>
        <w:rPr>
          <w:rFonts w:ascii="Arial" w:cs="Arial" w:eastAsia="Arial" w:hAnsi="Arial"/>
          <w:sz w:val="16"/>
          <w:szCs w:val="16"/>
          <w:color w:val="auto"/>
        </w:rPr>
        <w:t>Total compensation expenses recorded for the restricted stock units were $6,311 thousand, $6,042 thousand and $3,511 thousand for the years ended December 31, 2020, 2019 and 2018, respectively. As of December 31, 2020, there was $3,662 thousand of total unrecognized compensation costs related to unvested restricted stock units, which is expected to be recognized over a weighted average future period of 0.6 year.</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260" w:top="48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80" w:right="180" w:firstLine="440"/>
        <w:spacing w:after="0" w:line="277" w:lineRule="auto"/>
        <w:rPr>
          <w:sz w:val="20"/>
          <w:szCs w:val="20"/>
          <w:color w:val="auto"/>
        </w:rPr>
      </w:pPr>
      <w:r>
        <w:rPr>
          <w:rFonts w:ascii="Arial" w:cs="Arial" w:eastAsia="Arial" w:hAnsi="Arial"/>
          <w:sz w:val="18"/>
          <w:szCs w:val="18"/>
          <w:color w:val="auto"/>
        </w:rPr>
        <w:t>Total fair value of restricted stock units vested of continuing operations and discontinued operations were $3,839 thousand, $5,817 thousand and $2,647 thousand for the years ended December 31, 2020, 2019 and 2018, respectively.</w:t>
      </w:r>
    </w:p>
    <w:p>
      <w:pPr>
        <w:spacing w:after="0" w:line="170" w:lineRule="exact"/>
        <w:rPr>
          <w:sz w:val="20"/>
          <w:szCs w:val="20"/>
          <w:color w:val="auto"/>
        </w:rPr>
      </w:pPr>
    </w:p>
    <w:p>
      <w:pPr>
        <w:ind w:left="180" w:right="140" w:firstLine="440"/>
        <w:spacing w:after="0" w:line="277" w:lineRule="auto"/>
        <w:rPr>
          <w:sz w:val="20"/>
          <w:szCs w:val="20"/>
          <w:color w:val="auto"/>
        </w:rPr>
      </w:pPr>
      <w:r>
        <w:rPr>
          <w:rFonts w:ascii="Arial" w:cs="Arial" w:eastAsia="Arial" w:hAnsi="Arial"/>
          <w:sz w:val="18"/>
          <w:szCs w:val="18"/>
          <w:color w:val="auto"/>
        </w:rPr>
        <w:t>The following summarizes stock option activities for the years ended December 31, 2020, 2019 and 2018. At the date of grant, all options had an exercise price not less than the fair value of common stock (aggregate intrinsic value in thousands):</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Price of</w:t>
            </w:r>
          </w:p>
        </w:tc>
        <w:tc>
          <w:tcPr>
            <w:tcW w:w="14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Life of</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2,871,904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6,073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6.2 years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2,674,756</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 years</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2,674,266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 years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Exercisable at December 31, 2018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2,544,565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5.1 years</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2,674,756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 years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(452,819)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2,177,045</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6,259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4.7 years</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2,177,045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4.7 years</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Outstanding at January 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10.42</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6,259</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4.7 years</w:t>
            </w: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2,177,045</w:t>
            </w:r>
          </w:p>
        </w:tc>
        <w:tc>
          <w:tcPr>
            <w:tcW w:w="2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(510,648)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2,689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1,647,181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 years</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Vested and Exercisable at December 31,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11.24</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6,112</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3.8 years</w:t>
            </w: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1,647,181</w:t>
            </w:r>
          </w:p>
        </w:tc>
        <w:tc>
          <w:tcPr>
            <w:tcW w:w="2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right="280" w:firstLine="440"/>
        <w:spacing w:after="0" w:line="342" w:lineRule="auto"/>
        <w:rPr>
          <w:sz w:val="20"/>
          <w:szCs w:val="20"/>
          <w:color w:val="auto"/>
        </w:rPr>
      </w:pPr>
      <w:r>
        <w:rPr>
          <w:rFonts w:ascii="Arial" w:cs="Arial" w:eastAsia="Arial" w:hAnsi="Arial"/>
          <w:sz w:val="16"/>
          <w:szCs w:val="16"/>
          <w:color w:val="auto"/>
        </w:rPr>
        <w:t>Total compensation expenses recorded for the stock options were nil, $11 thousand and $271 thousand for the years ended December 31, 2020, 2019 and 2018, respectively. There was no unrecognized compensation costs related to stock options expected to vest as of December 31, 2020.</w:t>
      </w:r>
    </w:p>
    <w:p>
      <w:pPr>
        <w:spacing w:after="0" w:line="124" w:lineRule="exact"/>
        <w:rPr>
          <w:sz w:val="20"/>
          <w:szCs w:val="20"/>
          <w:color w:val="auto"/>
        </w:rPr>
      </w:pPr>
    </w:p>
    <w:p>
      <w:pPr>
        <w:ind w:left="180" w:right="180" w:firstLine="440"/>
        <w:spacing w:after="0" w:line="277" w:lineRule="auto"/>
        <w:rPr>
          <w:sz w:val="20"/>
          <w:szCs w:val="20"/>
          <w:color w:val="auto"/>
        </w:rPr>
      </w:pPr>
      <w:r>
        <w:rPr>
          <w:rFonts w:ascii="Arial" w:cs="Arial" w:eastAsia="Arial" w:hAnsi="Arial"/>
          <w:sz w:val="18"/>
          <w:szCs w:val="18"/>
          <w:color w:val="auto"/>
        </w:rPr>
        <w:t>Total weighted average grant-date fair value of vested options of continuing operations and discontinued operations were nil, $165 thousand and $786 thousand for the years ended December 31, 2020, 2019 and 2018, respectively.</w:t>
      </w:r>
    </w:p>
    <w:p>
      <w:pPr>
        <w:spacing w:after="0" w:line="170" w:lineRule="exact"/>
        <w:rPr>
          <w:sz w:val="20"/>
          <w:szCs w:val="20"/>
          <w:color w:val="auto"/>
        </w:rPr>
      </w:pPr>
    </w:p>
    <w:p>
      <w:pPr>
        <w:ind w:left="180" w:right="540" w:firstLine="440"/>
        <w:spacing w:after="0" w:line="277"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There were no grants of stock options during the years ended December 31, 2020, 2019 and 2018.</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60" w:top="486"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and weighted average grant-date fair value of the unvested stock options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Year Ended December 31,</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Average</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Grant-</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Grant-</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Fair Value</w:t>
            </w:r>
          </w:p>
        </w:tc>
        <w:tc>
          <w:tcPr>
            <w:tcW w:w="1020" w:type="dxa"/>
            <w:vAlign w:val="bottom"/>
            <w:gridSpan w:val="2"/>
            <w:vMerge w:val="continue"/>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the beginning of the period</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Vested options during the period</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(107,100)</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(313,160)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 options during the period</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(14,738)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Exercised options during the period</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(22,746)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(17,836)</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options at the end of the period</w:t>
            </w:r>
          </w:p>
        </w:tc>
        <w:tc>
          <w:tcPr>
            <w:tcW w:w="600" w:type="dxa"/>
            <w:vAlign w:val="bottom"/>
            <w:tcBorders>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130,191</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Early termination and other charges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For the year ended December 31, 2020, the Company recorded in its consolidated statement of operations $4,422 thousand of early termination charges in connection with the headcount reduction program offered and paid to the employees during the fourth quarter of 2020. During the same period, the Company also recorded non-recurring professional service fees and expenses incurred in connection with certain treasury and finance initiatives.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Foreign Currency Loss, Net</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December 31, 2020, 2019 and 2018, the outstanding intercompany loan balances including accrued interest between the Korean subsidiary and the Dutch subsidiary were $378,852 thousand, $686,485 thousand and $666,597 thousand, respectively. The Korean won to U.S. dollar exchange rates were 1,088.0:1, 1,157.8:1 and 1,118.1:1 using the first base rate as of December 31, 2020, 2019 and 2018,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Company’s income tax expense (benefit) is composed of domestic and foreign income taxes depending on the relevant tax jurisdictions. Domestic income (loss) from continuing operations before income tax expense and income tax expense (benefit) are generated or incurred in the United States, where the parent company resides.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86"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income tax expense (benefit) attributable to income (loss) from continuing operations are as follows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w w:val="89"/>
              </w:rPr>
              <w:t>(12,305)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10"/>
              <w:spacing w:after="0"/>
              <w:rPr>
                <w:sz w:val="20"/>
                <w:szCs w:val="20"/>
                <w:color w:val="auto"/>
              </w:rPr>
            </w:pPr>
            <w:r>
              <w:rPr>
                <w:rFonts w:ascii="Arial" w:cs="Arial" w:eastAsia="Arial" w:hAnsi="Arial"/>
                <w:sz w:val="18"/>
                <w:szCs w:val="18"/>
                <w:color w:val="auto"/>
                <w:w w:val="92"/>
              </w:rPr>
              <w:t>(24,752)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8"/>
              </w:rPr>
              <w:t>23,136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(29,862)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(18,213</w:t>
            </w:r>
          </w:p>
        </w:tc>
        <w:tc>
          <w:tcPr>
            <w:tcW w:w="4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(26,856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7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Uncertain tax position liability (domestic)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Uncertain tax position liability (foreign)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(4,461)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89"/>
              </w:rPr>
              <w:t>(39,484)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(43,945)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Benefits from intra-period allocation</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(1,655)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(4,631)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89"/>
              </w:rPr>
              <w:t>(46,228)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Company’s effective tax rates were negative for the years ended December 31, 2020 and 2019 and 4.0% for the year ended December 31, 2018. The negative effective tax rate in 2020 as compared to the U.S. federal statutory rate of 21.0%, was primarily attributable to the reversal of the valuation allowances established against the deferred tax assets in connection with the Company’s operating subsidiary in Korea and parent entity in the U.S. The differences between the annual effective income tax rates and the U.S. federal statutory rate of 21.0% in 2019 and in 2018 primarily related to the non-income based withholding tax attributable to intercompany interest income of the Company’s Dutch subsidiary, application of different tax rates associated with certain earnings from the Company’s operations outside the US, the parent Company’s interest income, which is non-taxable for U.S. tax purposes, and the change of deferred tax assets and valuation allowances.</w:t>
      </w:r>
    </w:p>
    <w:p>
      <w:pPr>
        <w:spacing w:after="0" w:line="17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Company’s Korean subsidiary recorded $1,655 thousand and $4,631 thousand income tax benefits for the years ended December 31, 2019 and 2018, respectively, primarily attributable to the application of the exception rule under ASC 740, in connection with the intra-period allocation, which resulted in tax benefits in its continuing operations and tax expenses in the discontinued operations for an equal and offsetting amount for the presentation purposes only.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provision for domestic and foreign income taxes incurred is different from the amount calculated by applying the statutory tax rates to the income (loss) from continuing operations before income tax expense. The significant items causing this difference are as follows (in thousands):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(5,640)</w:t>
            </w: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State income taxes, net of federal effect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(1,651)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Derivative assets adjustment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(1,111)</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TPECs, hybrid and other interest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(2,722)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(5,555)</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Thin capitalization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foreign currency loss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(2,490)</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Penalty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GILTI</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Intercompany debt restructuring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(18,435)</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Withholding tax</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2"/>
              </w:rPr>
              <w:t>(75,452)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14,647</w:t>
            </w: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Benefits from intra-period allocation</w:t>
            </w:r>
          </w:p>
        </w:tc>
        <w:tc>
          <w:tcPr>
            <w:tcW w:w="160" w:type="dxa"/>
            <w:vAlign w:val="bottom"/>
          </w:tcPr>
          <w:p>
            <w:pPr>
              <w:spacing w:after="0"/>
              <w:rPr>
                <w:sz w:val="18"/>
                <w:szCs w:val="18"/>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(1,655)</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(4,631)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Tax credits claimed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2"/>
              </w:rPr>
              <w:t>(12,397)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credits expired</w:t>
            </w:r>
          </w:p>
        </w:tc>
        <w:tc>
          <w:tcPr>
            <w:tcW w:w="160" w:type="dxa"/>
            <w:vAlign w:val="bottom"/>
          </w:tcPr>
          <w:p>
            <w:pPr>
              <w:spacing w:after="0"/>
              <w:rPr>
                <w:sz w:val="18"/>
                <w:szCs w:val="18"/>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liability</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Change in net operating loss carry-forwards</w:t>
            </w:r>
          </w:p>
        </w:tc>
        <w:tc>
          <w:tcPr>
            <w:tcW w:w="160" w:type="dxa"/>
            <w:vAlign w:val="bottom"/>
          </w:tcPr>
          <w:p>
            <w:pPr>
              <w:spacing w:after="0"/>
              <w:rPr>
                <w:sz w:val="18"/>
                <w:szCs w:val="18"/>
                <w:color w:val="auto"/>
              </w:rPr>
            </w:pPr>
          </w:p>
        </w:tc>
        <w:tc>
          <w:tcPr>
            <w:tcW w:w="900" w:type="dxa"/>
            <w:vAlign w:val="bottom"/>
            <w:gridSpan w:val="2"/>
          </w:tcPr>
          <w:p>
            <w:pPr>
              <w:jc w:val="right"/>
              <w:ind w:right="188"/>
              <w:spacing w:after="0"/>
              <w:rPr>
                <w:sz w:val="20"/>
                <w:szCs w:val="20"/>
                <w:color w:val="auto"/>
              </w:rPr>
            </w:pPr>
            <w:r>
              <w:rPr>
                <w:rFonts w:ascii="Arial" w:cs="Arial" w:eastAsia="Arial" w:hAnsi="Arial"/>
                <w:sz w:val="18"/>
                <w:szCs w:val="18"/>
                <w:color w:val="auto"/>
              </w:rPr>
              <w:t>(3,314)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(46,228)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(1,079)</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For the year ended December 31, 2020, a permanent difference of $24,224 thousand was included as Global intangible low-taxed income (“GILTI”) in the U.S., and was primarily attributable to the income earned by certain foreign subsidiaries of the Company, including its Korean subsidiary, from the sale of the Foundry Services Group business and Fab 4.</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income tax benefit of $75,452 thousand was due to the changes in valuation allowances during the year ended December 31, 2020, of which $31,578 thousand related to the release of valuation allowances related to the Company’s current year earnings, which were mainly driven by GILTI inclusion at the U.S. parent company. The remaining $43,874 thousand represented the release of valuation allowances based on the realizability of the related deferred tax assets in future years. The Company’s operating subsidiary in Korea had generated three years of cumulative profits adjusted for permanent differences and is anticipated to generate taxable basis for the subsequent years. As a result, $39,413 thousand of valuation allowances, established against the Korean subsidiary’s deferred tax assets, were released as of December 31, 2020. In addition, management believes it is more likely than not that the Company’s parent in the U.S. would be able to utilize its net operating loss in future tax years, which would provide incremental tax savings of approximately $4,461 thousand. Therefore, the Company released its valuation allowances established against the U.S. parent’s deferred tax assets up to these anticipated tax savings as of December 31, 2020.</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86"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Of the permanent tax expense of $11,137 thousand related to intercompany debt restructuring recorded for the year ended December 31, 2020, $11,890 thousand related to the waiver and release of unpaid interests of the intercompany loans granted to the Korean subsidiary by the Dutch subsidiary. This transaction created taxable income for the Korean subsidiary, but did not result in a liability because of the utilization of loss carryforwards, which were used against income from cancellation of intercompany loans.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During 2019, the Company completed a restructuring of its intercompany borrowings between the Company and the other entities within the group of the Company. The main purpose of this restructuring was to simplify the intercompany debt structure of the group in order to align with the anti-hybrid mismatch provision mandated by the Organization for Economic Co-operation and Development (OECD). A portion of hybrid instruments issued by the Company’s Luxembourg subsidiary to its parent in the U.S. were subject to this restructuring. The Company recorded a net deferred tax asset of $18,435 thousand related to the unrealized foreign exchange translation loss, which was attributable to the changes in the balances of hybrid instruments that are denominated in Euros. However, there was no impact on the provision for income taxes due to a full valuation allowance against the deferred tax assets of the Company’s Luxembourg subsidiary.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the composition of net deferred income tax assets (liabilities) of continuing operations and discontinued operations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 are as follows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tcBorders>
              <w:bottom w:val="single" w:sz="8" w:color="CCEEFF"/>
            </w:tcBorders>
          </w:tcPr>
          <w:p>
            <w:pPr>
              <w:spacing w:after="0"/>
              <w:rPr>
                <w:sz w:val="13"/>
                <w:szCs w:val="13"/>
                <w:color w:val="auto"/>
              </w:rPr>
            </w:pPr>
          </w:p>
        </w:tc>
        <w:tc>
          <w:tcPr>
            <w:tcW w:w="256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Inventory reserves</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Accumulated severance benefits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lease right-of-use liabilities</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NOL carry-forwards</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121,389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long-term payable</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deduction limitation</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2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169,076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(115,636)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(246,224)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53,440</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Prepaid expense</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Severance benefit deposits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Others</w:t>
            </w:r>
          </w:p>
        </w:tc>
        <w:tc>
          <w:tcPr>
            <w:tcW w:w="2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24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60" w:type="dxa"/>
            <w:vAlign w:val="bottom"/>
            <w:vMerge w:val="restart"/>
          </w:tcPr>
          <w:p>
            <w:pPr>
              <w:jc w:val="right"/>
              <w:ind w:right="1330"/>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Changes in valuation allowance for deferred tax assets of continuing operations and discontinued operations for the years ended December 31, 2020, 2019 and 2018 are as follows (in thousands):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18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7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$246,224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$248,633</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$251,132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7,912</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(75,452)</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Changes relating to the discontinued operations</w:t>
            </w: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(67,484)</w:t>
            </w:r>
          </w:p>
        </w:tc>
        <w:tc>
          <w:tcPr>
            <w:tcW w:w="4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NOL/tax credit claimed/expired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(3,529)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(6,792)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115,636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246,224</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248,633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December 31, 2020, 2019 and 2018, the Company recorded a valuation allowance of $115,636 thousand, $246,224 thousand and $248,633 thousand on its deferred tax assets related to temporary differences, net operating loss carry-forwards and tax credits of domestic and foreign subsidiaries. The $67,484 of decrease in valuation allowance for the year ended December 31, 2020 was primarily due to the utilization of net operating losses and certain temporary differences in connection with the sale of the Foundry Services Group business and Fab 4 in the Korean subsidiary.</w:t>
      </w:r>
    </w:p>
    <w:p>
      <w:pPr>
        <w:spacing w:after="0" w:line="15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Company has recorded a full valuation allowance against certain foreign subsidiaries’ deferred tax assets pertaining to its related tax loss carry-forwards that are not anticipated to generate a tax benefit. The valuation allowances at December 31, 2020, 2019 and 2018 were primarily attributable to its Luxembourg subsidiary.</w:t>
      </w:r>
    </w:p>
    <w:p>
      <w:pPr>
        <w:spacing w:after="0" w:line="21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8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2020</w:t>
            </w:r>
          </w:p>
        </w:tc>
        <w:tc>
          <w:tcPr>
            <w:tcW w:w="1200" w:type="dxa"/>
            <w:vAlign w:val="bottom"/>
            <w:gridSpan w:val="2"/>
          </w:tcPr>
          <w:p>
            <w:pPr>
              <w:jc w:val="center"/>
              <w:ind w:left="448"/>
              <w:spacing w:after="0" w:line="155" w:lineRule="exact"/>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3"/>
                <w:szCs w:val="13"/>
                <w:color w:val="auto"/>
              </w:rPr>
            </w:pPr>
          </w:p>
        </w:tc>
        <w:tc>
          <w:tcPr>
            <w:tcW w:w="72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 carry-forwards</w:t>
            </w:r>
          </w:p>
        </w:tc>
        <w:tc>
          <w:tcPr>
            <w:tcW w:w="2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$604,977</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$708,885</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$730,472</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December 31, 2020, the Company had approximately $604,977 thousand of net operating loss carry-forwards available to offset future taxable income, of which $69,856 thousand is associated with the Company’s Korean subsidiary, which expires from 2025 through 2026. The net operating loss of $324,733 thousand associated with the Company’s Luxembourg subsidiary is mainly attributable to certain expenses incurred in connection with its shareholding in the Company’s Dutch subsidiary. Although this net operating loss amount is carried forward indefinitely, it will be recaptured on future capital gain. The remaining net operating loss mainly relates to the U.S. parent company and its domestic subsidiary and substantially most of the net operating loss expires at various dates through 2040.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utilized net operating loss of $169,600 thousand, $30,945 thousand and $24,123 thousand for the years ended December 31, 2020,</w:t>
      </w:r>
    </w:p>
    <w:p>
      <w:pPr>
        <w:spacing w:after="0" w:line="46" w:lineRule="exact"/>
        <w:rPr>
          <w:sz w:val="20"/>
          <w:szCs w:val="20"/>
          <w:color w:val="auto"/>
        </w:rPr>
      </w:pPr>
    </w:p>
    <w:p>
      <w:pPr>
        <w:ind w:left="120" w:right="400"/>
        <w:spacing w:after="0" w:line="290" w:lineRule="auto"/>
        <w:rPr>
          <w:sz w:val="20"/>
          <w:szCs w:val="20"/>
          <w:color w:val="auto"/>
        </w:rPr>
      </w:pPr>
      <w:r>
        <w:rPr>
          <w:rFonts w:ascii="Arial" w:cs="Arial" w:eastAsia="Arial" w:hAnsi="Arial"/>
          <w:sz w:val="17"/>
          <w:szCs w:val="17"/>
          <w:color w:val="auto"/>
        </w:rPr>
        <w:t>2019 and 2018, respectively. The Company also has Dutch and U.S. tax credit carry-forwards of approximately $15,386 thousand and $9 thousand, respectively, as of December 31, 2020. The Dutch tax credits are carried forward to be used for an indefinite period of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Uncertainty in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and the U.S. and in various other jurisdictions. The Company is subject to income- or non-income tax examinations by tax authorities of these jurisdictions for all open tax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86"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3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2020, 2019 and 2018, the Company recorded $414 thousand, $445 thousand and $426 thousand of unrecognized tax benefits of continuing operations and discontinued operations,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tabular reconciliation of the total amounts of unrecognized tax benefits at the beginning and end of each period is as follows (in thousands):</w:t>
      </w:r>
    </w:p>
    <w:p>
      <w:pPr>
        <w:spacing w:after="0" w:line="28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balance at the beginning</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$ 426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Lapse of statute of limitations</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adjustments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Unrecognized tax benefits, balance at the ending</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$ 426</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interest and penalties related to unrecognized tax benefits were recognized as of December 31, 2020, 2019 and 2018.</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is currently unaware of any uncertain tax positions that could result in significant additional payments, accruals, or other material deviations from this estimate over the next 12 months.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299,057</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$ 308,531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256,113</w:t>
            </w:r>
          </w:p>
        </w:tc>
        <w:tc>
          <w:tcPr>
            <w:tcW w:w="0" w:type="dxa"/>
            <w:vAlign w:val="bottom"/>
          </w:tcPr>
          <w:p>
            <w:pPr>
              <w:spacing w:after="0"/>
              <w:rPr>
                <w:sz w:val="1"/>
                <w:szCs w:val="1"/>
                <w:color w:val="auto"/>
              </w:rPr>
            </w:pPr>
          </w:p>
        </w:tc>
      </w:tr>
      <w:tr>
        <w:trPr>
          <w:trHeight w:val="216"/>
        </w:trPr>
        <w:tc>
          <w:tcPr>
            <w:tcW w:w="392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166,462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176,316</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169,377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465,519</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484,847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425,490</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41,540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35,824</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507,059</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$ 520,671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465,425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127,099</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$ 116,397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115,648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1,218</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3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128,317</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$ 116,397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60" w:type="dxa"/>
            <w:vAlign w:val="bottom"/>
            <w:vMerge w:val="restart"/>
          </w:tcPr>
          <w:p>
            <w:pPr>
              <w:jc w:val="right"/>
              <w:ind w:right="179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86" w:right="6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7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$ 106,415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$ 132,622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176,097</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347,597</w:t>
            </w:r>
          </w:p>
        </w:tc>
        <w:tc>
          <w:tcPr>
            <w:tcW w:w="3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343,652</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241,461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5,147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Europe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4,317</w:t>
            </w:r>
          </w:p>
        </w:tc>
        <w:tc>
          <w:tcPr>
            <w:tcW w:w="3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4,801</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4,360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$ 465,519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$ 484,847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425,490</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years ended December 31, 2020, 2019 and 2018, of the Company’s net sales—standard products business in Asia Pacific (other than Korea), net sales—standard products business in Greater China (China, Hong Kong and Macau) represented 82.0%, 95.8% and 89.8%, respectively, and net sales—standard products business in Vietnam represented 14.4%, 0.7% and 0.4%, respectively.</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88%, 90% and 85% for the years ended December 31, 2020, 2019 and 2018, respectively.</w:t>
      </w:r>
    </w:p>
    <w:p>
      <w:pPr>
        <w:spacing w:after="0" w:line="170"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For the year ended December 31, 2020, the Company had one customer that represented 56.2% of its net sales—standard products business, and for the year ended December 31, 2019, the Company had one customer that represented 53.8% of its net sales—standard products business, and for the year ended December 31, 2018, the Company had two customers that represented 34.1% and 23.4% of its net sales—standard products business.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and 2019, one customer accounted for 45.1% and 42.7% of accounts receivable,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97% of the Company’s property, plant and equipment from continuing operations are located in Korea as of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Purchase Agreements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Company purchases raw materials from a variety of vendors. During the normal course of business, in order to manage manufacturing lead times and help assure adequate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December 31, 2020 or 2019.</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86"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Accumulated Other Comprehensive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Accumulated other comprehensive income (loss) consists of the following at December 31, 2020 and 2019, respectively (in thousands):</w:t>
      </w:r>
    </w:p>
    <w:p>
      <w:pPr>
        <w:spacing w:after="0" w:line="255"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Year Ended</w:t>
      </w:r>
    </w:p>
    <w:p>
      <w:pPr>
        <w:jc w:val="center"/>
        <w:ind w:left="6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56"/>
        </w:trPr>
        <w:tc>
          <w:tcPr>
            <w:tcW w:w="67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$2,069</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$(4,205)</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1,634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7"/>
        </w:trPr>
        <w:tc>
          <w:tcPr>
            <w:tcW w:w="6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(2,660)</w:t>
            </w:r>
          </w:p>
        </w:tc>
      </w:tr>
      <w:tr>
        <w:trPr>
          <w:trHeight w:val="20"/>
        </w:trPr>
        <w:tc>
          <w:tcPr>
            <w:tcW w:w="6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income (loss) for the years ended December 31, 2020, 2019 and 2018 are as follows (in thousands):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61"/>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2"/>
                <w:szCs w:val="12"/>
                <w:color w:val="auto"/>
              </w:rPr>
            </w:pPr>
          </w:p>
        </w:tc>
        <w:tc>
          <w:tcPr>
            <w:tcW w:w="1000" w:type="dxa"/>
            <w:vAlign w:val="bottom"/>
            <w:gridSpan w:val="4"/>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7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spacing w:after="0" w:line="125"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ind w:left="20"/>
              <w:spacing w:after="0" w:line="125"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(4,205</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1,545</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(2,660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(1,363)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2,069</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1,634</w:t>
            </w: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$ 3,703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9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center"/>
              <w:ind w:right="381"/>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2"/>
                <w:szCs w:val="12"/>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1100" w:type="dxa"/>
            <w:vAlign w:val="bottom"/>
            <w:gridSpan w:val="5"/>
          </w:tcPr>
          <w:p>
            <w:pPr>
              <w:jc w:val="center"/>
              <w:ind w:right="28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7700" w:type="dxa"/>
            <w:vAlign w:val="bottom"/>
            <w:gridSpan w:val="2"/>
            <w:vMerge w:val="continue"/>
          </w:tcPr>
          <w:p>
            <w:pPr>
              <w:spacing w:after="0"/>
              <w:rPr>
                <w:sz w:val="12"/>
                <w:szCs w:val="12"/>
                <w:color w:val="auto"/>
              </w:rPr>
            </w:pPr>
          </w:p>
        </w:tc>
        <w:tc>
          <w:tcPr>
            <w:tcW w:w="1100" w:type="dxa"/>
            <w:vAlign w:val="bottom"/>
            <w:gridSpan w:val="5"/>
          </w:tcPr>
          <w:p>
            <w:pPr>
              <w:spacing w:after="0" w:line="125"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2"/>
                <w:szCs w:val="12"/>
                <w:color w:val="auto"/>
              </w:rPr>
            </w:pPr>
          </w:p>
        </w:tc>
        <w:tc>
          <w:tcPr>
            <w:tcW w:w="1280" w:type="dxa"/>
            <w:vAlign w:val="bottom"/>
            <w:gridSpan w:val="5"/>
          </w:tcPr>
          <w:p>
            <w:pPr>
              <w:spacing w:after="0" w:line="125"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(20,061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15,856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(2,894)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(2,660)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Year Ended December 31, 2018</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7" w:lineRule="exact"/>
        <w:rPr>
          <w:sz w:val="20"/>
          <w:szCs w:val="20"/>
          <w:color w:val="auto"/>
        </w:rPr>
      </w:pPr>
    </w:p>
    <w:p>
      <w:pPr>
        <w:ind w:left="480" w:right="1620"/>
        <w:spacing w:after="0" w:line="304" w:lineRule="auto"/>
        <w:rPr>
          <w:sz w:val="20"/>
          <w:szCs w:val="20"/>
          <w:color w:val="auto"/>
        </w:rPr>
      </w:pPr>
      <w:r>
        <w:rPr>
          <w:rFonts w:ascii="Arial" w:cs="Arial" w:eastAsia="Arial" w:hAnsi="Arial"/>
          <w:sz w:val="16"/>
          <w:szCs w:val="16"/>
          <w:color w:val="auto"/>
        </w:rPr>
        <w:t>Other comprehensive income (loss) before reclassifications Amounts reclassified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69951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0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adjustments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(38,413</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5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(1,589)</w:t>
            </w:r>
          </w:p>
        </w:tc>
        <w:tc>
          <w:tcPr>
            <w:tcW w:w="5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(3,759)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100" w:space="720"/>
            <w:col w:w="332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4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30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18,352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(5,348)</w:t>
            </w:r>
          </w:p>
        </w:tc>
        <w:tc>
          <w:tcPr>
            <w:tcW w:w="7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(20,061)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(20,110)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60" w:type="dxa"/>
            <w:vAlign w:val="bottom"/>
            <w:vMerge w:val="restart"/>
          </w:tcPr>
          <w:p>
            <w:pPr>
              <w:jc w:val="right"/>
              <w:ind w:right="1970"/>
              <w:spacing w:after="0"/>
              <w:rPr>
                <w:sz w:val="20"/>
                <w:szCs w:val="20"/>
                <w:color w:val="auto"/>
              </w:rPr>
            </w:pPr>
            <w:r>
              <w:rPr>
                <w:rFonts w:ascii="Arial" w:cs="Arial" w:eastAsia="Arial" w:hAnsi="Arial"/>
                <w:sz w:val="18"/>
                <w:szCs w:val="18"/>
                <w:color w:val="auto"/>
              </w:rPr>
              <w:t>111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There was an income tax benefit of $316 thousand related to changes in accumulated other comprehensive income for the year ended December 31, 2020.</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Earnings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years ended December 31,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and 2018:</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1"/>
              <w:spacing w:after="0" w:line="155" w:lineRule="exact"/>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57,059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(20,413)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287,906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21,877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35,213,525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8"/>
              </w:rPr>
              <w:t>34,321,888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34,469,921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(20,413)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Add back: Interest expense on Exchangeable Notes</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allocated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(20,413)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287,906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21,877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allocated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350,673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(21,826)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weighted average common stock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35,213,525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34,321,888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34,469,921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equity awards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1,145,906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effect of assumed conversion of 5.0% Exchangeable Notes to common stock</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10,144,155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46,503,586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8"/>
              </w:rPr>
              <w:t>34,321,888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34,469,921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have an anti-dilutive effect on the calculation:</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0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1180" w:type="dxa"/>
            <w:vAlign w:val="bottom"/>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29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651,417</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2,177,045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2,674,756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9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382"/>
              <w:spacing w:after="0"/>
              <w:rPr>
                <w:sz w:val="20"/>
                <w:szCs w:val="20"/>
                <w:color w:val="auto"/>
              </w:rPr>
            </w:pPr>
            <w:r>
              <w:rPr>
                <w:rFonts w:ascii="Arial" w:cs="Arial" w:eastAsia="Arial" w:hAnsi="Arial"/>
                <w:sz w:val="18"/>
                <w:szCs w:val="18"/>
                <w:color w:val="auto"/>
                <w:w w:val="89"/>
              </w:rPr>
              <w:t>1,043,303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718,213</w:t>
            </w:r>
          </w:p>
        </w:tc>
        <w:tc>
          <w:tcPr>
            <w:tcW w:w="80" w:type="dxa"/>
            <w:vAlign w:val="bottom"/>
          </w:tcPr>
          <w:p>
            <w:pPr>
              <w:spacing w:after="0"/>
              <w:rPr>
                <w:sz w:val="20"/>
                <w:szCs w:val="20"/>
                <w:color w:val="auto"/>
              </w:rPr>
            </w:pPr>
          </w:p>
        </w:tc>
      </w:tr>
      <w:tr>
        <w:trPr>
          <w:trHeight w:val="445"/>
        </w:trPr>
        <w:tc>
          <w:tcPr>
            <w:tcW w:w="3060" w:type="dxa"/>
            <w:vAlign w:val="bottom"/>
          </w:tcPr>
          <w:p>
            <w:pPr>
              <w:spacing w:after="0"/>
              <w:rPr>
                <w:sz w:val="24"/>
                <w:szCs w:val="24"/>
                <w:color w:val="auto"/>
              </w:rPr>
            </w:pPr>
          </w:p>
        </w:tc>
        <w:tc>
          <w:tcPr>
            <w:tcW w:w="2940" w:type="dxa"/>
            <w:vAlign w:val="bottom"/>
          </w:tcPr>
          <w:p>
            <w:pPr>
              <w:jc w:val="right"/>
              <w:ind w:right="1150"/>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1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For the years ended December 31, 2019 and 2018, respectively, 10,153,620 shares and 10,438,187 shares of potential common stock from the assumed conversion of Exchangeable Notes were excluded from the computation of diluted loss per share as the effect were anti-dilutive for the period.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Unaudited Quarterly Financial Results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tables present selected unaudited Consolidated Statements of Operations for each quarter of the years ended December 31, 2020 and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1"/>
              </w:rPr>
              <w:t>Fiscal Year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First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3"/>
              </w:rPr>
              <w:t>Second</w:t>
            </w:r>
          </w:p>
        </w:tc>
        <w:tc>
          <w:tcPr>
            <w:tcW w:w="8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0"/>
                <w:szCs w:val="10"/>
                <w:color w:val="auto"/>
              </w:rPr>
            </w:pPr>
          </w:p>
        </w:tc>
      </w:tr>
      <w:tr>
        <w:trPr>
          <w:trHeight w:val="171"/>
        </w:trPr>
        <w:tc>
          <w:tcPr>
            <w:tcW w:w="4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4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7"/>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 of U.S. dollars, except share data)</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120,473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118,828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124,813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142,945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29,130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32,138</w:t>
            </w: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28,588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38,461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8,622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11,774</w:t>
            </w: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67,902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17,397</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264,501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29,171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272,962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66,581</w:t>
            </w:r>
          </w:p>
        </w:tc>
      </w:tr>
      <w:tr>
        <w:trPr>
          <w:trHeight w:val="20"/>
        </w:trPr>
        <w:tc>
          <w:tcPr>
            <w:tcW w:w="4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23"/>
        </w:trPr>
        <w:tc>
          <w:tcPr>
            <w:tcW w:w="4640" w:type="dxa"/>
            <w:vAlign w:val="bottom"/>
          </w:tcPr>
          <w:p>
            <w:pPr>
              <w:ind w:left="7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34,893,157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35,092,312</w:t>
            </w: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35,280,864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35,582,966</w:t>
            </w: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34,893,157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46,474,237</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46,581,788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47,062,903</w:t>
            </w:r>
          </w:p>
        </w:tc>
      </w:tr>
      <w:tr>
        <w:trPr>
          <w:trHeight w:val="432"/>
        </w:trPr>
        <w:tc>
          <w:tcPr>
            <w:tcW w:w="46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4"/>
                <w:szCs w:val="14"/>
                <w:b w:val="1"/>
                <w:bCs w:val="1"/>
                <w:color w:val="auto"/>
              </w:rPr>
              <w:t>Fiscal Year 2019</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33"/>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right"/>
              <w:ind w:right="661"/>
              <w:spacing w:after="0" w:line="133" w:lineRule="exact"/>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1"/>
                <w:szCs w:val="11"/>
                <w:color w:val="auto"/>
              </w:rPr>
            </w:pPr>
          </w:p>
        </w:tc>
        <w:tc>
          <w:tcPr>
            <w:tcW w:w="1060" w:type="dxa"/>
            <w:vAlign w:val="bottom"/>
            <w:gridSpan w:val="2"/>
          </w:tcPr>
          <w:p>
            <w:pPr>
              <w:jc w:val="right"/>
              <w:ind w:right="390"/>
              <w:spacing w:after="0" w:line="133" w:lineRule="exact"/>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1"/>
                <w:szCs w:val="11"/>
                <w:color w:val="auto"/>
              </w:rPr>
            </w:pPr>
          </w:p>
        </w:tc>
        <w:tc>
          <w:tcPr>
            <w:tcW w:w="1060" w:type="dxa"/>
            <w:vAlign w:val="bottom"/>
            <w:gridSpan w:val="2"/>
          </w:tcPr>
          <w:p>
            <w:pPr>
              <w:jc w:val="right"/>
              <w:ind w:right="430"/>
              <w:spacing w:after="0" w:line="133"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1"/>
                <w:szCs w:val="11"/>
                <w:color w:val="auto"/>
              </w:rPr>
            </w:pPr>
          </w:p>
        </w:tc>
        <w:tc>
          <w:tcPr>
            <w:tcW w:w="84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Fourth</w:t>
            </w:r>
          </w:p>
        </w:tc>
        <w:tc>
          <w:tcPr>
            <w:tcW w:w="140" w:type="dxa"/>
            <w:vAlign w:val="bottom"/>
          </w:tcPr>
          <w:p>
            <w:pPr>
              <w:spacing w:after="0"/>
              <w:rPr>
                <w:sz w:val="11"/>
                <w:szCs w:val="11"/>
                <w:color w:val="auto"/>
              </w:rPr>
            </w:pPr>
          </w:p>
        </w:tc>
      </w:t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r>
      <w:tr>
        <w:trPr>
          <w:trHeight w:val="169"/>
        </w:trPr>
        <w:tc>
          <w:tcPr>
            <w:tcW w:w="59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(In thousands of U.S. dollars, except share data)</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123,352</w:t>
            </w:r>
          </w:p>
        </w:tc>
        <w:tc>
          <w:tcPr>
            <w:tcW w:w="140" w:type="dxa"/>
            <w:vAlign w:val="bottom"/>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30,497</w:t>
            </w:r>
          </w:p>
        </w:tc>
        <w:tc>
          <w:tcPr>
            <w:tcW w:w="140" w:type="dxa"/>
            <w:vAlign w:val="bottom"/>
          </w:tcPr>
          <w:p>
            <w:pPr>
              <w:spacing w:after="0"/>
              <w:rPr>
                <w:sz w:val="20"/>
                <w:szCs w:val="20"/>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(5,057 )</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40" w:type="dxa"/>
            <w:vAlign w:val="bottom"/>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(21,555 )</w:t>
            </w:r>
          </w:p>
        </w:tc>
        <w:tc>
          <w:tcPr>
            <w:tcW w:w="1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(8,490 )</w:t>
            </w:r>
          </w:p>
        </w:tc>
        <w:tc>
          <w:tcPr>
            <w:tcW w:w="1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(14,244 )</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23,876</w:t>
            </w:r>
          </w:p>
        </w:tc>
        <w:tc>
          <w:tcPr>
            <w:tcW w:w="140" w:type="dxa"/>
            <w:vAlign w:val="bottom"/>
          </w:tcPr>
          <w:p>
            <w:pPr>
              <w:spacing w:after="0"/>
              <w:rPr>
                <w:sz w:val="20"/>
                <w:szCs w:val="20"/>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(12,570 )</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(1,030 )</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(450 )</w:t>
            </w:r>
          </w:p>
        </w:tc>
      </w:tr>
      <w:tr>
        <w:trPr>
          <w:trHeight w:val="290"/>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(34,125 )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(9,520 )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(1,607 )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23,426</w:t>
            </w:r>
          </w:p>
        </w:tc>
        <w:tc>
          <w:tcPr>
            <w:tcW w:w="140" w:type="dxa"/>
            <w:vAlign w:val="bottom"/>
          </w:tcPr>
          <w:p>
            <w:pPr>
              <w:spacing w:after="0"/>
              <w:rPr>
                <w:sz w:val="24"/>
                <w:szCs w:val="24"/>
                <w:color w:val="auto"/>
              </w:rPr>
            </w:pPr>
          </w:p>
        </w:tc>
      </w:tr>
      <w:tr>
        <w:trPr>
          <w:trHeight w:val="210"/>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(loss) per common share—</w:t>
            </w: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(0.63 )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(0.25 )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(0.41 )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20"/>
                <w:szCs w:val="20"/>
                <w:color w:val="auto"/>
              </w:rPr>
            </w:pP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(0.37 )</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(0.03 )</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(0.01 )</w:t>
            </w:r>
          </w:p>
        </w:tc>
      </w:tr>
      <w:tr>
        <w:trPr>
          <w:trHeight w:val="270"/>
        </w:trPr>
        <w:tc>
          <w:tcPr>
            <w:tcW w:w="5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Borders>
              <w:bottom w:val="single" w:sz="8" w:color="CCEEFF"/>
            </w:tcBorders>
          </w:tcPr>
          <w:p>
            <w:pPr>
              <w:spacing w:after="0"/>
              <w:rPr>
                <w:sz w:val="23"/>
                <w:szCs w:val="23"/>
                <w:color w:val="auto"/>
              </w:rPr>
            </w:pPr>
          </w:p>
        </w:tc>
      </w:tr>
      <w:tr>
        <w:trPr>
          <w:trHeight w:val="210"/>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(loss) per common share—</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(0.63 )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(0.25 )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(0.41 )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20"/>
                <w:szCs w:val="20"/>
                <w:color w:val="auto"/>
              </w:rPr>
            </w:pP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(0.37 )</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(0.03 )</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(0.01 )</w:t>
            </w:r>
          </w:p>
        </w:tc>
      </w:tr>
      <w:tr>
        <w:trPr>
          <w:trHeight w:val="270"/>
        </w:trPr>
        <w:tc>
          <w:tcPr>
            <w:tcW w:w="5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bottom w:val="single" w:sz="8" w:color="CCEEFF"/>
            </w:tcBorders>
          </w:tcPr>
          <w:p>
            <w:pPr>
              <w:spacing w:after="0"/>
              <w:rPr>
                <w:sz w:val="23"/>
                <w:szCs w:val="23"/>
                <w:color w:val="auto"/>
              </w:rPr>
            </w:pPr>
          </w:p>
        </w:tc>
      </w:tr>
      <w:tr>
        <w:trPr>
          <w:trHeight w:val="210"/>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34,194,878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34,245,127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34,357,745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34,542,415</w:t>
            </w:r>
          </w:p>
        </w:tc>
        <w:tc>
          <w:tcPr>
            <w:tcW w:w="140" w:type="dxa"/>
            <w:vAlign w:val="bottom"/>
          </w:tcPr>
          <w:p>
            <w:pPr>
              <w:spacing w:after="0"/>
              <w:rPr>
                <w:sz w:val="20"/>
                <w:szCs w:val="20"/>
                <w:color w:val="auto"/>
              </w:rPr>
            </w:pP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34,194,878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34,245,127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34,357,745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46,078,768</w:t>
            </w:r>
          </w:p>
        </w:tc>
        <w:tc>
          <w:tcPr>
            <w:tcW w:w="140" w:type="dxa"/>
            <w:vAlign w:val="bottom"/>
            <w:shd w:val="clear" w:color="auto" w:fill="CCEEFF"/>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contracts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February 2021, the Company and NFIK entered into derivative contracts of zero cost collars for the period from July 2021 to December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notional amounts are $18,000 thousand.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Exchangeable Notes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Prior to the March 1, 2021 maturity of the Exchangeable Notes, holders elected to exchange for an aggregate of 10,144,131 shares of the Company’s common stock in satisfaction in full of the outstanding principal amount of the Exchangeable Notes. On March 1, 2021, the Company paid the final interest payment on the Exchangeable Notes of $2,094 thousand and no longer have any Exchangeable Notes obligations outstanding as of such date.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86"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2020. Based on this evaluation, our Principal Executive Officer and our Principal Financial Officer have concluded that our disclosure controls and procedures were effective as of December 31,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2020, based on the criteria set forth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(2013) issued by the Committee of Sponsoring Organizations of the Treadway Commission (“COSO”).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assessment, we concluded that our internal control over financial reporting was effective as of December 31, 2020.</w:t>
      </w:r>
    </w:p>
    <w:p>
      <w:pPr>
        <w:spacing w:after="0" w:line="171" w:lineRule="exact"/>
        <w:rPr>
          <w:sz w:val="20"/>
          <w:szCs w:val="20"/>
          <w:color w:val="auto"/>
        </w:rPr>
      </w:pPr>
    </w:p>
    <w:p>
      <w:pPr>
        <w:ind w:left="120" w:right="940" w:firstLine="440"/>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2020 has been audited by Samil PricewaterhouseCoopers, an independent registered public accounting firm, as stated in their report which appears in Item 8 of this Report.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quarter ended December 31, 2020 that have materially affected, or are reasonably likely to materially affect, our internal control over financial reporting.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86"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120" w:firstLine="436"/>
        <w:spacing w:after="0" w:line="296" w:lineRule="auto"/>
        <w:tabs>
          <w:tab w:leader="none" w:pos="8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March 8, 2021, the Board awarded one-time discretionary cash incentive bonuses to certain executive officers and employees of the Company, including named executive officers YJ Kim, the Company’s Chief Executive Officer, and Theodore Kim, the Company’s Chief Compliance Officer and General Counsel, for their substantial contributions toward the completion of the successful sale of the Company’s Foundry Services Group business and its fabrication facility located in Cheongju. The aggregate amount of the one-time discretionary cash incentive bonuses was approximately $2.6 million, of which approximately 44.45% and 23.58% were awarded to YJ Kim and Theodore Kim, respectively.</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40"/>
          </w:cols>
          <w:pgMar w:left="320" w:top="486"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2021 annual meeting of stockholders or will be included by amendment to this Report within 120 days after the end of the fiscal year to which this Report relates.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2021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2021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2021 annual meeting of stockholders or will be included by amendment to this Report within 120 days after the end of the fiscal year to which this Report relates.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2021 annual meeting of stockholders or will be included by amendment to this Report within 120 days after the end of the fiscal year to which this Report relates.</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840"/>
          </w:cols>
          <w:pgMar w:left="320" w:top="486" w:right="7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Report.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Exhibits</w:t>
      </w:r>
    </w:p>
    <w:p>
      <w:pPr>
        <w:sectPr>
          <w:pgSz w:w="11900" w:h="16838" w:orient="portrait"/>
          <w:cols w:equalWidth="0" w:num="1">
            <w:col w:w="11080"/>
          </w:cols>
          <w:pgMar w:left="320" w:top="486" w:right="499" w:bottom="1440" w:gutter="0" w:footer="0" w:header="0"/>
        </w:sectPr>
      </w:pPr>
    </w:p>
    <w:p>
      <w:pPr>
        <w:spacing w:after="0" w:line="244"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25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4340"/>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jc w:val="both"/>
        <w:ind w:right="900"/>
        <w:spacing w:after="0" w:line="263"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Business Transfer Agreement, dated as of March 31, 2020 among by and among Magnus Semiconductor, LLC, MagnaChip</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Semiconductor S.A. and MagnaChip Semiconductor, Ltd. (incorporated by reference to Exhibit 10.1 to our Current Report</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on Form 8-K filed on March 31, 2020)</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600" w:space="660"/>
            <w:col w:w="9820"/>
          </w:cols>
          <w:pgMar w:left="320" w:top="486" w:right="49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3.1</w:t>
            </w:r>
          </w:p>
        </w:tc>
        <w:tc>
          <w:tcPr>
            <w:tcW w:w="9820" w:type="dxa"/>
            <w:vAlign w:val="bottom"/>
            <w:gridSpan w:val="17"/>
          </w:tcPr>
          <w:p>
            <w:pPr>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Certificate of Conversion of MagnaChip Semiconductor LLC (incorporated by reference to Exhibit 3.1 to our Current Report on Form</w:t>
              </w:r>
            </w:hyperlink>
          </w:p>
        </w:tc>
      </w:tr>
      <w:tr>
        <w:trPr>
          <w:trHeight w:val="196"/>
        </w:trPr>
        <w:tc>
          <w:tcPr>
            <w:tcW w:w="1140" w:type="dxa"/>
            <w:vAlign w:val="bottom"/>
          </w:tcPr>
          <w:p>
            <w:pPr>
              <w:spacing w:after="0"/>
              <w:rPr>
                <w:sz w:val="17"/>
                <w:szCs w:val="17"/>
                <w:color w:val="auto"/>
              </w:rPr>
            </w:pPr>
          </w:p>
        </w:tc>
        <w:tc>
          <w:tcPr>
            <w:tcW w:w="9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8-K filed on March 11, 2011).</w:t>
              </w:r>
            </w:hyperlink>
          </w:p>
        </w:tc>
        <w:tc>
          <w:tcPr>
            <w:tcW w:w="1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3.2</w:t>
            </w:r>
          </w:p>
        </w:tc>
        <w:tc>
          <w:tcPr>
            <w:tcW w:w="9820" w:type="dxa"/>
            <w:vAlign w:val="bottom"/>
            <w:gridSpan w:val="17"/>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Certificate of Incorporation of MagnaChip Semiconductor Corporation (incorporated by reference to Exhibit 3.2 to our Current Report</w:t>
              </w:r>
            </w:hyperlink>
          </w:p>
        </w:tc>
      </w:tr>
      <w:tr>
        <w:trPr>
          <w:trHeight w:val="196"/>
        </w:trPr>
        <w:tc>
          <w:tcPr>
            <w:tcW w:w="1140" w:type="dxa"/>
            <w:vAlign w:val="bottom"/>
          </w:tcPr>
          <w:p>
            <w:pPr>
              <w:spacing w:after="0"/>
              <w:rPr>
                <w:sz w:val="17"/>
                <w:szCs w:val="17"/>
                <w:color w:val="auto"/>
              </w:rPr>
            </w:pPr>
          </w:p>
        </w:tc>
        <w:tc>
          <w:tcPr>
            <w:tcW w:w="97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on Form 8-K filed on March 11, 2011).</w:t>
              </w:r>
            </w:hyperlink>
          </w:p>
        </w:tc>
        <w:tc>
          <w:tcPr>
            <w:tcW w:w="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3.3</w:t>
            </w:r>
          </w:p>
        </w:tc>
        <w:tc>
          <w:tcPr>
            <w:tcW w:w="9820" w:type="dxa"/>
            <w:vAlign w:val="bottom"/>
            <w:gridSpan w:val="17"/>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Certificate of Amendment to the Certificate of Incorporation of Magnachip Semiconductor Corporation (incorporated by reference to</w:t>
              </w:r>
            </w:hyperlink>
          </w:p>
        </w:tc>
      </w:tr>
      <w:tr>
        <w:trPr>
          <w:trHeight w:val="196"/>
        </w:trPr>
        <w:tc>
          <w:tcPr>
            <w:tcW w:w="1140" w:type="dxa"/>
            <w:vAlign w:val="bottom"/>
          </w:tcPr>
          <w:p>
            <w:pPr>
              <w:spacing w:after="0"/>
              <w:rPr>
                <w:sz w:val="17"/>
                <w:szCs w:val="17"/>
                <w:color w:val="auto"/>
              </w:rPr>
            </w:pPr>
          </w:p>
        </w:tc>
        <w:tc>
          <w:tcPr>
            <w:tcW w:w="9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Exhibit 3.1 to our Current report on Form 8-K filed on December 30, 2020)</w:t>
              </w:r>
            </w:hyperlink>
          </w:p>
        </w:tc>
        <w:tc>
          <w:tcPr>
            <w:tcW w:w="22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3.4</w:t>
            </w:r>
          </w:p>
        </w:tc>
        <w:tc>
          <w:tcPr>
            <w:tcW w:w="9820" w:type="dxa"/>
            <w:vAlign w:val="bottom"/>
            <w:gridSpan w:val="17"/>
          </w:tcPr>
          <w:p>
            <w:pPr>
              <w:spacing w:after="0"/>
              <w:rPr>
                <w:rFonts w:ascii="Arial" w:cs="Arial" w:eastAsia="Arial" w:hAnsi="Arial"/>
                <w:sz w:val="18"/>
                <w:szCs w:val="18"/>
                <w:color w:val="0000EE"/>
                <w:w w:val="94"/>
              </w:rPr>
            </w:pPr>
            <w:hyperlink r:id="rId150">
              <w:r>
                <w:rPr>
                  <w:rFonts w:ascii="Arial" w:cs="Arial" w:eastAsia="Arial" w:hAnsi="Arial"/>
                  <w:sz w:val="18"/>
                  <w:szCs w:val="18"/>
                  <w:color w:val="0000EE"/>
                  <w:w w:val="94"/>
                </w:rPr>
                <w:t>Amended and Restated Bylaws of MagnaChip Semiconductor Corporation (incorporated by reference to Exhibit 3.1 to our Current</w:t>
              </w:r>
            </w:hyperlink>
          </w:p>
        </w:tc>
      </w:tr>
      <w:tr>
        <w:trPr>
          <w:trHeight w:val="196"/>
        </w:trPr>
        <w:tc>
          <w:tcPr>
            <w:tcW w:w="114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Report on Form 8-K filed on May 6, 2016).</w:t>
              </w:r>
            </w:hyperlink>
          </w:p>
        </w:tc>
        <w:tc>
          <w:tcPr>
            <w:tcW w:w="36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3.5</w:t>
            </w:r>
          </w:p>
        </w:tc>
        <w:tc>
          <w:tcPr>
            <w:tcW w:w="9820" w:type="dxa"/>
            <w:vAlign w:val="bottom"/>
            <w:gridSpan w:val="17"/>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Form of Plan of Conversion of MagnaChip Semiconductor LLC (incorporated by reference to Exhibit 3.6 to our Amendment No. 2 to</w:t>
              </w:r>
            </w:hyperlink>
          </w:p>
        </w:tc>
      </w:tr>
      <w:tr>
        <w:trPr>
          <w:trHeight w:val="196"/>
        </w:trPr>
        <w:tc>
          <w:tcPr>
            <w:tcW w:w="114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Registration Statement on Form S-1 filed on May 11, 2010 (Registration No. 333-165467)).</w:t>
              </w:r>
            </w:hyperlink>
          </w:p>
        </w:tc>
        <w:tc>
          <w:tcPr>
            <w:tcW w:w="3020" w:type="dxa"/>
            <w:vAlign w:val="bottom"/>
            <w:tcBorders>
              <w:top w:val="single" w:sz="8" w:color="0000EE"/>
            </w:tcBorders>
            <w:gridSpan w:val="7"/>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3.6</w:t>
            </w:r>
          </w:p>
        </w:tc>
        <w:tc>
          <w:tcPr>
            <w:tcW w:w="9820" w:type="dxa"/>
            <w:vAlign w:val="bottom"/>
            <w:gridSpan w:val="17"/>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Certificate of Designation, Preferences and Rights of Series A Junior Participating Preferred Stock of MagnaChip Semiconductor</w:t>
              </w:r>
            </w:hyperlink>
          </w:p>
        </w:tc>
      </w:tr>
      <w:tr>
        <w:trPr>
          <w:trHeight w:val="20"/>
        </w:trPr>
        <w:tc>
          <w:tcPr>
            <w:tcW w:w="1140" w:type="dxa"/>
            <w:vAlign w:val="bottom"/>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Corporation, as filed with the Secretary of the State of Delaware on March 6, 2015 (incorporated by reference to Exhibit 3.1 to our</w:t>
              </w:r>
            </w:hyperlink>
          </w:p>
        </w:tc>
        <w:tc>
          <w:tcPr>
            <w:tcW w:w="4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Current Report on Form 8-K filed on March 6, 2015).</w:t>
              </w:r>
            </w:hyperlink>
          </w:p>
        </w:tc>
        <w:tc>
          <w:tcPr>
            <w:tcW w:w="5940" w:type="dxa"/>
            <w:vAlign w:val="bottom"/>
            <w:gridSpan w:val="13"/>
          </w:tcPr>
          <w:p>
            <w:pPr>
              <w:spacing w:after="0"/>
              <w:rPr>
                <w:sz w:val="17"/>
                <w:szCs w:val="17"/>
                <w:color w:val="auto"/>
              </w:rPr>
            </w:pPr>
          </w:p>
        </w:tc>
      </w:tr>
      <w:tr>
        <w:trPr>
          <w:trHeight w:val="345"/>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4.6</w:t>
            </w:r>
          </w:p>
        </w:tc>
        <w:tc>
          <w:tcPr>
            <w:tcW w:w="9820" w:type="dxa"/>
            <w:vAlign w:val="bottom"/>
            <w:gridSpan w:val="17"/>
          </w:tcPr>
          <w:p>
            <w:pPr>
              <w:spacing w:after="0"/>
              <w:rPr>
                <w:rFonts w:ascii="Arial" w:cs="Arial" w:eastAsia="Arial" w:hAnsi="Arial"/>
                <w:sz w:val="18"/>
                <w:szCs w:val="18"/>
                <w:u w:val="single" w:color="auto"/>
                <w:color w:val="0000EE"/>
                <w:w w:val="95"/>
              </w:rPr>
            </w:pPr>
            <w:hyperlink r:id="rId153">
              <w:r>
                <w:rPr>
                  <w:rFonts w:ascii="Arial" w:cs="Arial" w:eastAsia="Arial" w:hAnsi="Arial"/>
                  <w:sz w:val="18"/>
                  <w:szCs w:val="18"/>
                  <w:u w:val="single" w:color="auto"/>
                  <w:color w:val="0000EE"/>
                  <w:w w:val="95"/>
                </w:rPr>
                <w:t>Description of Securities (incorporated by reference to Exhibit 4.6 to our Annual Report on Form 10-K filed on February 21, 2020)</w:t>
              </w:r>
            </w:hyperlink>
          </w:p>
        </w:tc>
      </w:tr>
      <w:tr>
        <w:trPr>
          <w:trHeight w:val="283"/>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10.1</w:t>
            </w:r>
          </w:p>
        </w:tc>
        <w:tc>
          <w:tcPr>
            <w:tcW w:w="9380" w:type="dxa"/>
            <w:vAlign w:val="bottom"/>
            <w:tcBorders>
              <w:bottom w:val="single" w:sz="8" w:color="0000EE"/>
            </w:tcBorders>
            <w:gridSpan w:val="10"/>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Intellectual Property License Agreement, dated as of October 6, 2004, by and between Hynix Semiconductor Inc. and MagnaChip</w:t>
              </w:r>
            </w:hyperlink>
          </w:p>
        </w:tc>
        <w:tc>
          <w:tcPr>
            <w:tcW w:w="44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Semiconductor, Ltd. (Korea) (incorporated by reference to Exhibit 10.2 to our Amendment No. 1 to Registration Statement on Form S-1</w:t>
              </w:r>
            </w:hyperlink>
          </w:p>
        </w:tc>
      </w:tr>
      <w:tr>
        <w:trPr>
          <w:trHeight w:val="196"/>
        </w:trPr>
        <w:tc>
          <w:tcPr>
            <w:tcW w:w="114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filed on April 20, 2010 (Registration No. 333-165467)).</w:t>
              </w:r>
            </w:hyperlink>
          </w:p>
        </w:tc>
        <w:tc>
          <w:tcPr>
            <w:tcW w:w="5780" w:type="dxa"/>
            <w:vAlign w:val="bottom"/>
            <w:gridSpan w:val="12"/>
          </w:tcPr>
          <w:p>
            <w:pPr>
              <w:spacing w:after="0"/>
              <w:rPr>
                <w:sz w:val="17"/>
                <w:szCs w:val="17"/>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10.2</w:t>
            </w:r>
          </w:p>
        </w:tc>
        <w:tc>
          <w:tcPr>
            <w:tcW w:w="9820" w:type="dxa"/>
            <w:vAlign w:val="bottom"/>
            <w:gridSpan w:val="17"/>
          </w:tcPr>
          <w:p>
            <w:pPr>
              <w:spacing w:after="0"/>
              <w:rPr>
                <w:rFonts w:ascii="Arial" w:cs="Arial" w:eastAsia="Arial" w:hAnsi="Arial"/>
                <w:sz w:val="18"/>
                <w:szCs w:val="18"/>
                <w:color w:val="0000EE"/>
                <w:w w:val="95"/>
              </w:rPr>
            </w:pPr>
            <w:hyperlink r:id="rId155">
              <w:r>
                <w:rPr>
                  <w:rFonts w:ascii="Arial" w:cs="Arial" w:eastAsia="Arial" w:hAnsi="Arial"/>
                  <w:sz w:val="18"/>
                  <w:szCs w:val="18"/>
                  <w:color w:val="0000EE"/>
                  <w:w w:val="95"/>
                </w:rPr>
                <w:t>Amended &amp; Restated License Agreement (TrenchDMOS), dated as of September 19, 2007, by and between Advanced Analogic</w:t>
              </w:r>
            </w:hyperlink>
          </w:p>
        </w:tc>
      </w:tr>
      <w:tr>
        <w:trPr>
          <w:trHeight w:val="20"/>
        </w:trPr>
        <w:tc>
          <w:tcPr>
            <w:tcW w:w="1140" w:type="dxa"/>
            <w:vAlign w:val="bottom"/>
          </w:tcPr>
          <w:p>
            <w:pPr>
              <w:spacing w:after="0" w:line="20" w:lineRule="exact"/>
              <w:rPr>
                <w:sz w:val="1"/>
                <w:szCs w:val="1"/>
                <w:color w:val="auto"/>
              </w:rPr>
            </w:pPr>
          </w:p>
        </w:tc>
        <w:tc>
          <w:tcPr>
            <w:tcW w:w="9240" w:type="dxa"/>
            <w:vAlign w:val="bottom"/>
            <w:gridSpan w:val="8"/>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Technologies, Inc. and MagnaChip Semiconductor, Ltd. (Korea) (incorporated by reference to Exhibit 10.8 to Amendment No. 2 to</w:t>
              </w:r>
            </w:hyperlink>
          </w:p>
        </w:tc>
      </w:tr>
      <w:tr>
        <w:trPr>
          <w:trHeight w:val="20"/>
        </w:trPr>
        <w:tc>
          <w:tcPr>
            <w:tcW w:w="11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1260" w:right="900"/>
        <w:spacing w:after="0" w:line="277" w:lineRule="auto"/>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MagnaChip Semiconductor S.A.’s and MagnaChip Semiconductor Finance Company’s Registration Statement on Form S-4</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(Registration No. 333-168516) filed on October 14, 2010).</w:t>
        </w:r>
      </w:hyperlink>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86" w:right="49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10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80" w:type="dxa"/>
            <w:vAlign w:val="bottom"/>
            <w:gridSpan w:val="20"/>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1"/>
                <w:szCs w:val="21"/>
                <w:color w:val="auto"/>
              </w:rPr>
            </w:pPr>
          </w:p>
        </w:tc>
        <w:tc>
          <w:tcPr>
            <w:tcW w:w="8720" w:type="dxa"/>
            <w:vAlign w:val="bottom"/>
            <w:tcBorders>
              <w:bottom w:val="single" w:sz="8" w:color="0000EE"/>
            </w:tcBorders>
            <w:gridSpan w:val="9"/>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Basic Contract on Joint Development and Grant of License, dated as of November 10, 2006, by and between MagnaChip</w:t>
              </w:r>
            </w:hyperlink>
          </w:p>
        </w:tc>
        <w:tc>
          <w:tcPr>
            <w:tcW w:w="1040" w:type="dxa"/>
            <w:vAlign w:val="bottom"/>
            <w:gridSpan w:val="14"/>
          </w:tcPr>
          <w:p>
            <w:pPr>
              <w:spacing w:after="0"/>
              <w:rPr>
                <w:sz w:val="21"/>
                <w:szCs w:val="2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Semiconductor, Ltd. and Silicon Works Co., Ltd. (English translation) (incorporated by reference to Exhibit 10.17 to our Registration</w:t>
              </w:r>
            </w:hyperlink>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Statement on Form S-1 filed on March 15, 2010 (Registration No. 333-165467)).</w:t>
              </w:r>
            </w:hyperlink>
          </w:p>
        </w:tc>
        <w:tc>
          <w:tcPr>
            <w:tcW w:w="180" w:type="dxa"/>
            <w:vAlign w:val="bottom"/>
            <w:gridSpan w:val="3"/>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400" w:type="dxa"/>
            <w:vAlign w:val="bottom"/>
            <w:tcBorders>
              <w:bottom w:val="single" w:sz="8" w:color="0000EE"/>
            </w:tcBorders>
            <w:gridSpan w:val="16"/>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Amendment to Basic Contract on Joint Development and Grant of License, dated as of May 18, 2016, by and between MagnaChip</w:t>
              </w:r>
            </w:hyperlink>
          </w:p>
        </w:tc>
        <w:tc>
          <w:tcPr>
            <w:tcW w:w="360" w:type="dxa"/>
            <w:vAlign w:val="bottom"/>
            <w:gridSpan w:val="7"/>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w w:val="96"/>
              </w:rPr>
            </w:pPr>
            <w:hyperlink r:id="rId158">
              <w:r>
                <w:rPr>
                  <w:rFonts w:ascii="Arial" w:cs="Arial" w:eastAsia="Arial" w:hAnsi="Arial"/>
                  <w:sz w:val="18"/>
                  <w:szCs w:val="18"/>
                  <w:color w:val="0000EE"/>
                  <w:w w:val="96"/>
                </w:rPr>
                <w:t>Semiconductor, Ltd. and Silicon Works Co., Ltd. (English translation) (incorporated by reference to Exhibit 10.2 to our Quarterly</w:t>
              </w:r>
            </w:hyperlink>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Report on Form 10-Q filed on August 5, 2016).</w:t>
              </w:r>
            </w:hyperlink>
          </w:p>
        </w:tc>
        <w:tc>
          <w:tcPr>
            <w:tcW w:w="460" w:type="dxa"/>
            <w:vAlign w:val="bottom"/>
            <w:gridSpan w:val="9"/>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MagnaChip Semiconductor LLC 2009 Common Unit Plan (incorporated by reference to Exhibit 10.20 to our Registration Statement on</w:t>
              </w:r>
            </w:hyperlink>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Form S-1 filed on March 15, 2010 (Registration No. 333-165467)).</w:t>
              </w:r>
            </w:hyperlink>
          </w:p>
        </w:tc>
        <w:tc>
          <w:tcPr>
            <w:tcW w:w="4920" w:type="dxa"/>
            <w:vAlign w:val="bottom"/>
            <w:gridSpan w:val="19"/>
          </w:tcPr>
          <w:p>
            <w:pPr>
              <w:spacing w:after="0"/>
              <w:rPr>
                <w:sz w:val="17"/>
                <w:szCs w:val="17"/>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180" w:type="dxa"/>
            <w:vAlign w:val="bottom"/>
            <w:tcBorders>
              <w:bottom w:val="single" w:sz="8" w:color="0000EE"/>
            </w:tcBorders>
            <w:gridSpan w:val="10"/>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MagnaChip Semiconductor LLC 2009 Common Unit Plan form of Option Agreement (Non-U.S. Participants) (incorporated by</w:t>
              </w:r>
            </w:hyperlink>
          </w:p>
        </w:tc>
        <w:tc>
          <w:tcPr>
            <w:tcW w:w="580" w:type="dxa"/>
            <w:vAlign w:val="bottom"/>
            <w:gridSpan w:val="13"/>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gridSpan w:val="23"/>
          </w:tcPr>
          <w:p>
            <w:pPr>
              <w:spacing w:after="0"/>
              <w:rPr>
                <w:rFonts w:ascii="Arial" w:cs="Arial" w:eastAsia="Arial" w:hAnsi="Arial"/>
                <w:sz w:val="18"/>
                <w:szCs w:val="18"/>
                <w:u w:val="single" w:color="auto"/>
                <w:color w:val="0000EE"/>
                <w:w w:val="97"/>
              </w:rPr>
            </w:pPr>
            <w:hyperlink r:id="rId160">
              <w:r>
                <w:rPr>
                  <w:rFonts w:ascii="Arial" w:cs="Arial" w:eastAsia="Arial" w:hAnsi="Arial"/>
                  <w:sz w:val="18"/>
                  <w:szCs w:val="18"/>
                  <w:u w:val="single" w:color="auto"/>
                  <w:color w:val="0000EE"/>
                  <w:w w:val="97"/>
                </w:rPr>
                <w:t>reference to Exhibit 10.21 to our Registration Statement on Form S-1 filed on March 15, 2010 (Registration No. 333-165467)).</w:t>
              </w:r>
            </w:hyperlink>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MagnaChip Semiconductor LLC 2009 Common Unit Plan form of Option Agreement (U.S. Participants) (incorporated by reference to</w:t>
              </w:r>
            </w:hyperlink>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Borders>
              <w:top w:val="single" w:sz="8" w:color="0000EE"/>
            </w:tcBorders>
            <w:gridSpan w:val="21"/>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Exhibit 10.22 to our Registration Statement on Form S-1 filed on March 15, 2010 (Registration No. 333-165467)).</w:t>
              </w:r>
            </w:hyperlink>
          </w:p>
        </w:tc>
        <w:tc>
          <w:tcPr>
            <w:tcW w:w="60" w:type="dxa"/>
            <w:vAlign w:val="bottom"/>
            <w:gridSpan w:val="2"/>
          </w:tcPr>
          <w:p>
            <w:pPr>
              <w:spacing w:after="0"/>
              <w:rPr>
                <w:sz w:val="20"/>
                <w:szCs w:val="20"/>
                <w:color w:val="auto"/>
              </w:rPr>
            </w:pPr>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MagnaChip Semiconductor LLC 2009 Common Unit Plan form of Restricted Unit Agreement (Non-U.S. Participants). Incorporated by</w:t>
              </w:r>
            </w:hyperlink>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gridSpan w:val="23"/>
          </w:tcPr>
          <w:p>
            <w:pPr>
              <w:spacing w:after="0"/>
              <w:rPr>
                <w:rFonts w:ascii="Arial" w:cs="Arial" w:eastAsia="Arial" w:hAnsi="Arial"/>
                <w:sz w:val="18"/>
                <w:szCs w:val="18"/>
                <w:u w:val="single" w:color="auto"/>
                <w:color w:val="0000EE"/>
                <w:w w:val="97"/>
              </w:rPr>
            </w:pPr>
            <w:hyperlink r:id="rId162">
              <w:r>
                <w:rPr>
                  <w:rFonts w:ascii="Arial" w:cs="Arial" w:eastAsia="Arial" w:hAnsi="Arial"/>
                  <w:sz w:val="18"/>
                  <w:szCs w:val="18"/>
                  <w:u w:val="single" w:color="auto"/>
                  <w:color w:val="0000EE"/>
                  <w:w w:val="97"/>
                </w:rPr>
                <w:t>reference to Exhibit 10.23 to our Registration Statement on Form S-1 filed on March 15, 2010 (Registration No. 333-165467).</w:t>
              </w:r>
            </w:hyperlink>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EE"/>
                <w:w w:val="95"/>
              </w:rPr>
            </w:pPr>
            <w:hyperlink r:id="rId163">
              <w:r>
                <w:rPr>
                  <w:rFonts w:ascii="Arial" w:cs="Arial" w:eastAsia="Arial" w:hAnsi="Arial"/>
                  <w:sz w:val="18"/>
                  <w:szCs w:val="18"/>
                  <w:color w:val="0000EE"/>
                  <w:w w:val="95"/>
                </w:rPr>
                <w:t>MagnaChip Semiconductor LLC 2009 Common Unit Plan form of Restricted Unit Agreement (U.S. Participants) (incorporated by</w:t>
              </w:r>
            </w:hyperlink>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0" w:type="dxa"/>
            <w:vAlign w:val="bottom"/>
            <w:tcBorders>
              <w:top w:val="single" w:sz="8" w:color="0000EE"/>
            </w:tcBorders>
            <w:gridSpan w:val="16"/>
          </w:tcPr>
          <w:p>
            <w:pPr>
              <w:spacing w:after="0"/>
              <w:rPr>
                <w:rFonts w:ascii="Arial" w:cs="Arial" w:eastAsia="Arial" w:hAnsi="Arial"/>
                <w:sz w:val="18"/>
                <w:szCs w:val="18"/>
                <w:u w:val="single" w:color="auto"/>
                <w:color w:val="0000EE"/>
                <w:w w:val="93"/>
              </w:rPr>
            </w:pPr>
            <w:hyperlink r:id="rId163">
              <w:r>
                <w:rPr>
                  <w:rFonts w:ascii="Arial" w:cs="Arial" w:eastAsia="Arial" w:hAnsi="Arial"/>
                  <w:sz w:val="18"/>
                  <w:szCs w:val="18"/>
                  <w:u w:val="single" w:color="auto"/>
                  <w:color w:val="0000EE"/>
                  <w:w w:val="93"/>
                </w:rPr>
                <w:t>reference to Exhibit 10.24 to our Registration Statement on Form S-1 filed on March 15, 2010 (Registration No. 333-165467)).</w:t>
              </w:r>
            </w:hyperlink>
          </w:p>
        </w:tc>
        <w:tc>
          <w:tcPr>
            <w:tcW w:w="360" w:type="dxa"/>
            <w:vAlign w:val="bottom"/>
            <w:gridSpan w:val="7"/>
          </w:tcPr>
          <w:p>
            <w:pPr>
              <w:spacing w:after="0"/>
              <w:rPr>
                <w:sz w:val="20"/>
                <w:szCs w:val="20"/>
                <w:color w:val="auto"/>
              </w:rPr>
            </w:pPr>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MagnaChip Semiconductor Corporation 2011 Equity Incentive Plan (as amended on April 26, 2018) (incorporated by reference to</w:t>
              </w:r>
            </w:hyperlink>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Exhibit 10.24 to our Annual Report on Form 10-K filed on February 22, 2019).</w:t>
              </w:r>
            </w:hyperlink>
          </w:p>
        </w:tc>
        <w:tc>
          <w:tcPr>
            <w:tcW w:w="3660" w:type="dxa"/>
            <w:vAlign w:val="bottom"/>
            <w:tcBorders>
              <w:top w:val="single" w:sz="8" w:color="0000EE"/>
            </w:tcBorders>
            <w:gridSpan w:val="8"/>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MagnaChip Semiconductor Corporation 2020 Equity and Incentive Compensation Plan (incorporated by reference to Exhibit 10.1 to</w:t>
              </w:r>
            </w:hyperlink>
          </w:p>
        </w:tc>
        <w:tc>
          <w:tcPr>
            <w:tcW w:w="200" w:type="dxa"/>
            <w:vAlign w:val="bottom"/>
            <w:gridSpan w:val="4"/>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the Registrant’s Current Report on Form 8-K filed on June 17, 2020).</w:t>
              </w:r>
            </w:hyperlink>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20" w:type="dxa"/>
            <w:vAlign w:val="bottom"/>
            <w:gridSpan w:val="4"/>
            <w:shd w:val="clear" w:color="auto" w:fill="0000EE"/>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EE"/>
                <w:w w:val="96"/>
              </w:rPr>
            </w:pPr>
            <w:hyperlink r:id="rId166">
              <w:r>
                <w:rPr>
                  <w:rFonts w:ascii="Arial" w:cs="Arial" w:eastAsia="Arial" w:hAnsi="Arial"/>
                  <w:sz w:val="18"/>
                  <w:szCs w:val="18"/>
                  <w:color w:val="0000EE"/>
                  <w:w w:val="96"/>
                </w:rPr>
                <w:t>MagnaChip Semiconductor Corporation 2011 Employee Stock Purchase Plan (incorporated by reference to Exhibit 10.26 to our</w:t>
              </w:r>
            </w:hyperlink>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0" w:type="dxa"/>
            <w:vAlign w:val="bottom"/>
            <w:tcBorders>
              <w:top w:val="single" w:sz="8" w:color="0000EE"/>
            </w:tcBorders>
            <w:gridSpan w:val="11"/>
          </w:tcPr>
          <w:p>
            <w:pPr>
              <w:spacing w:after="0"/>
              <w:rPr>
                <w:rFonts w:ascii="Arial" w:cs="Arial" w:eastAsia="Arial" w:hAnsi="Arial"/>
                <w:sz w:val="18"/>
                <w:szCs w:val="18"/>
                <w:u w:val="single" w:color="auto"/>
                <w:color w:val="0000EE"/>
                <w:w w:val="95"/>
              </w:rPr>
            </w:pPr>
            <w:hyperlink r:id="rId166">
              <w:r>
                <w:rPr>
                  <w:rFonts w:ascii="Arial" w:cs="Arial" w:eastAsia="Arial" w:hAnsi="Arial"/>
                  <w:sz w:val="18"/>
                  <w:szCs w:val="18"/>
                  <w:u w:val="single" w:color="auto"/>
                  <w:color w:val="0000EE"/>
                  <w:w w:val="95"/>
                </w:rPr>
                <w:t>Amendment No 9 to the Registration Statement on Form S-1 filed on February 18, 2011 (Registration No. 333-165467)).</w:t>
              </w:r>
            </w:hyperlink>
          </w:p>
        </w:tc>
        <w:tc>
          <w:tcPr>
            <w:tcW w:w="560" w:type="dxa"/>
            <w:vAlign w:val="bottom"/>
            <w:gridSpan w:val="12"/>
          </w:tcPr>
          <w:p>
            <w:pPr>
              <w:spacing w:after="0"/>
              <w:rPr>
                <w:sz w:val="20"/>
                <w:szCs w:val="20"/>
                <w:color w:val="auto"/>
              </w:rPr>
            </w:pPr>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Offer Letter, dated as of June 20, 2007, by and between MagnaChip Semiconductor, Ltd. (Korea) and Tae Jong Lee (incorporated by</w:t>
              </w:r>
            </w:hyperlink>
          </w:p>
        </w:tc>
        <w:tc>
          <w:tcPr>
            <w:tcW w:w="220" w:type="dxa"/>
            <w:vAlign w:val="bottom"/>
            <w:gridSpan w:val="5"/>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gridSpan w:val="23"/>
          </w:tcPr>
          <w:p>
            <w:pPr>
              <w:spacing w:after="0"/>
              <w:rPr>
                <w:rFonts w:ascii="Arial" w:cs="Arial" w:eastAsia="Arial" w:hAnsi="Arial"/>
                <w:sz w:val="18"/>
                <w:szCs w:val="18"/>
                <w:u w:val="single" w:color="auto"/>
                <w:color w:val="0000EE"/>
                <w:w w:val="97"/>
              </w:rPr>
            </w:pPr>
            <w:hyperlink r:id="rId167">
              <w:r>
                <w:rPr>
                  <w:rFonts w:ascii="Arial" w:cs="Arial" w:eastAsia="Arial" w:hAnsi="Arial"/>
                  <w:sz w:val="18"/>
                  <w:szCs w:val="18"/>
                  <w:u w:val="single" w:color="auto"/>
                  <w:color w:val="0000EE"/>
                  <w:w w:val="97"/>
                </w:rPr>
                <w:t>reference to Exhibit 10.42 to our Registration Statement on Form S-1 filed on March 15, 2010 (Registration No. 333-165467)).</w:t>
              </w:r>
            </w:hyperlink>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52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Severance Agreement, dated November 3, 2015, from MagnaChip Semiconductor, Ltd. (Korea) and MagnaChip Semiconductor</w:t>
              </w:r>
            </w:hyperlink>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76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Corporation to Tae Jong Lee (incorporated by reference to Exhibit 10.5 to our Quarterly Report on Form 10-Q filed on November 6,</w:t>
              </w:r>
            </w:hyperlink>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68">
              <w:r>
                <w:rPr>
                  <w:rFonts w:ascii="Arial" w:cs="Arial" w:eastAsia="Arial" w:hAnsi="Arial"/>
                  <w:sz w:val="18"/>
                  <w:szCs w:val="18"/>
                  <w:color w:val="0000EE"/>
                  <w:w w:val="86"/>
                </w:rPr>
                <w:t>2015).</w:t>
              </w:r>
            </w:hyperlink>
          </w:p>
        </w:tc>
        <w:tc>
          <w:tcPr>
            <w:tcW w:w="29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10.14-1*</w:t>
            </w:r>
          </w:p>
        </w:tc>
        <w:tc>
          <w:tcPr>
            <w:tcW w:w="9760" w:type="dxa"/>
            <w:vAlign w:val="bottom"/>
            <w:gridSpan w:val="23"/>
          </w:tcPr>
          <w:p>
            <w:pPr>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Separation Agreement, dated as of January 9, 2019 among MagnaChip Semiconductor, Ltd. (Korea), MagnaChip Semiconductor</w:t>
              </w:r>
            </w:hyperlink>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80" w:type="dxa"/>
            <w:vAlign w:val="bottom"/>
            <w:gridSpan w:val="13"/>
            <w:shd w:val="clear" w:color="auto" w:fill="0000EE"/>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Corporation and Tae Jong Lee (incorporated by reference to Exhibit 10.26-2 to our Annual Report on Form 10-K filed on February 22,</w:t>
              </w:r>
            </w:hyperlink>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69">
              <w:r>
                <w:rPr>
                  <w:rFonts w:ascii="Arial" w:cs="Arial" w:eastAsia="Arial" w:hAnsi="Arial"/>
                  <w:sz w:val="18"/>
                  <w:szCs w:val="18"/>
                  <w:color w:val="0000EE"/>
                  <w:w w:val="86"/>
                </w:rPr>
                <w:t>2019).</w:t>
              </w:r>
            </w:hyperlink>
          </w:p>
        </w:tc>
        <w:tc>
          <w:tcPr>
            <w:tcW w:w="29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MagnaChip Semiconductor Corporation Form of Indemnification Agreement with Directors and Officers (incorporated by reference to</w:t>
              </w:r>
            </w:hyperlink>
          </w:p>
        </w:tc>
        <w:tc>
          <w:tcPr>
            <w:tcW w:w="4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gridSpan w:val="23"/>
          </w:tcPr>
          <w:p>
            <w:pPr>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Exhibit 10.49 to our Registration Statement on Form S-1 filed on March 15, 2010 (Registration No. 333-165467)).</w:t>
              </w:r>
            </w:hyperlink>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gridSpan w:val="4"/>
          </w:tcPr>
          <w:p>
            <w:pPr>
              <w:ind w:left="416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5080</wp:posOffset>
            </wp:positionV>
            <wp:extent cx="3257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120"/>
        <w:spacing w:after="0" w:line="277"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Offer Letter, dated as of March 8, 2014, by and between MagnaChip Semiconductor, Ltd. (Korea) and Jonathan W. Kim (incorporated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by reference to Exhibit 10.35 to our Annual Report on Form 10-K filed on February 12, 2015).</w:t>
        </w:r>
      </w:hyperlink>
    </w:p>
    <w:p>
      <w:pPr>
        <w:spacing w:after="0" w:line="62" w:lineRule="exact"/>
        <w:rPr>
          <w:sz w:val="20"/>
          <w:szCs w:val="20"/>
          <w:color w:val="auto"/>
        </w:rPr>
      </w:pPr>
    </w:p>
    <w:p>
      <w:pPr>
        <w:ind w:right="160"/>
        <w:spacing w:after="0" w:line="263"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Severance Agreement, dated November 3, 2015, from MagnaChip Semiconductor, Ltd. (Korea) and MagnaChip Semiconductor</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Corporation to Jonathan W. Kim (incorporated by reference to Exhibit 10.3 to our Quarterly Report on Form 10-Q filed on November</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6, 2015).</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860" w:space="480"/>
            <w:col w:w="9780"/>
          </w:cols>
          <w:pgMar w:left="320" w:top="486" w:right="45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10.16-2*</w:t>
            </w:r>
          </w:p>
        </w:tc>
        <w:tc>
          <w:tcPr>
            <w:tcW w:w="9780" w:type="dxa"/>
            <w:vAlign w:val="bottom"/>
            <w:gridSpan w:val="22"/>
          </w:tcPr>
          <w:p>
            <w:pPr>
              <w:spacing w:after="0"/>
              <w:rPr>
                <w:rFonts w:ascii="Arial" w:cs="Arial" w:eastAsia="Arial" w:hAnsi="Arial"/>
                <w:sz w:val="18"/>
                <w:szCs w:val="18"/>
                <w:color w:val="0000EE"/>
                <w:w w:val="95"/>
              </w:rPr>
            </w:pPr>
            <w:hyperlink r:id="rId175">
              <w:r>
                <w:rPr>
                  <w:rFonts w:ascii="Arial" w:cs="Arial" w:eastAsia="Arial" w:hAnsi="Arial"/>
                  <w:sz w:val="18"/>
                  <w:szCs w:val="18"/>
                  <w:color w:val="0000EE"/>
                  <w:w w:val="95"/>
                </w:rPr>
                <w:t>Separation Agreement, dated as of March 26, 2020 among MagnaChip Semiconductor, Ltd. (Korea), MagnaChip Semiconductor</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Corporation and Jonathan W. Kim. (incorporated by reference to Exhibit 10.1 to our Current Report on Form 8-K filed on March 27,</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5">
              <w:r>
                <w:rPr>
                  <w:rFonts w:ascii="Arial" w:cs="Arial" w:eastAsia="Arial" w:hAnsi="Arial"/>
                  <w:sz w:val="18"/>
                  <w:szCs w:val="18"/>
                  <w:color w:val="0000EE"/>
                  <w:w w:val="86"/>
                </w:rPr>
                <w:t>2020).</w:t>
              </w:r>
            </w:hyperlink>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9660" w:type="dxa"/>
            <w:vAlign w:val="bottom"/>
            <w:tcBorders>
              <w:bottom w:val="single" w:sz="8" w:color="0000EE"/>
            </w:tcBorders>
            <w:gridSpan w:val="20"/>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Offer Letter, dated as of April 15, 2013, by and between MagnaChip Semiconductor, Ltd. (Korea) and Young-Joon Kim (incorporated</w:t>
              </w:r>
            </w:hyperlink>
          </w:p>
        </w:tc>
        <w:tc>
          <w:tcPr>
            <w:tcW w:w="12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by reference to Exhibit 10.36 to our Annual Report on Form 10-K filed on February 12, 2015).</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10.17-1*</w:t>
            </w:r>
          </w:p>
        </w:tc>
        <w:tc>
          <w:tcPr>
            <w:tcW w:w="9780" w:type="dxa"/>
            <w:vAlign w:val="bottom"/>
            <w:gridSpan w:val="22"/>
          </w:tcPr>
          <w:p>
            <w:pPr>
              <w:spacing w:after="0"/>
              <w:rPr>
                <w:rFonts w:ascii="Arial" w:cs="Arial" w:eastAsia="Arial" w:hAnsi="Arial"/>
                <w:sz w:val="18"/>
                <w:szCs w:val="18"/>
                <w:color w:val="0000EE"/>
                <w:w w:val="93"/>
              </w:rPr>
            </w:pPr>
            <w:hyperlink r:id="rId177">
              <w:r>
                <w:rPr>
                  <w:rFonts w:ascii="Arial" w:cs="Arial" w:eastAsia="Arial" w:hAnsi="Arial"/>
                  <w:sz w:val="18"/>
                  <w:szCs w:val="18"/>
                  <w:color w:val="0000EE"/>
                  <w:w w:val="93"/>
                </w:rPr>
                <w:t>Amendment of Offer Letter, dated July 27, 2015, from MagnaChip Semiconductor, Ltd. (Korea) to Young-Joon Kim (incorporated by</w:t>
              </w:r>
            </w:hyperlink>
          </w:p>
        </w:tc>
      </w:tr>
      <w:tr>
        <w:trPr>
          <w:trHeight w:val="196"/>
        </w:trPr>
        <w:tc>
          <w:tcPr>
            <w:tcW w:w="114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reference to Exhibit 10.1 to our Quarterly Report on Form 10-Q filed on November 6, 2015).</w:t>
              </w:r>
            </w:hyperlink>
          </w:p>
        </w:tc>
        <w:tc>
          <w:tcPr>
            <w:tcW w:w="16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10.17-2*</w:t>
            </w:r>
          </w:p>
        </w:tc>
        <w:tc>
          <w:tcPr>
            <w:tcW w:w="9780" w:type="dxa"/>
            <w:vAlign w:val="bottom"/>
            <w:gridSpan w:val="22"/>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Severance Agreement, dated November 3, 2015, from MagnaChip Semiconductor, Ltd. (Korea) and MagnaChip Semiconductor</w:t>
              </w:r>
            </w:hyperlink>
          </w:p>
        </w:tc>
      </w:tr>
      <w:tr>
        <w:trPr>
          <w:trHeight w:val="196"/>
        </w:trPr>
        <w:tc>
          <w:tcPr>
            <w:tcW w:w="11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Corporation to Young-Joon Kim (incorporated by reference to Exhibit 10.2 to our Quarterly Report on Form 10-Q filed on</w:t>
              </w:r>
            </w:hyperlink>
          </w:p>
        </w:tc>
        <w:tc>
          <w:tcPr>
            <w:tcW w:w="400" w:type="dxa"/>
            <w:vAlign w:val="bottom"/>
            <w:tcBorders>
              <w:top w:val="single" w:sz="8" w:color="0000EE"/>
            </w:tcBorders>
            <w:gridSpan w:val="2"/>
          </w:tcPr>
          <w:p>
            <w:pPr>
              <w:spacing w:after="0"/>
              <w:rPr>
                <w:sz w:val="17"/>
                <w:szCs w:val="17"/>
                <w:color w:val="auto"/>
              </w:rPr>
            </w:pPr>
          </w:p>
        </w:tc>
        <w:tc>
          <w:tcPr>
            <w:tcW w:w="56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November 6, 2015).</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10.17-3*</w:t>
            </w:r>
          </w:p>
        </w:tc>
        <w:tc>
          <w:tcPr>
            <w:tcW w:w="9780" w:type="dxa"/>
            <w:vAlign w:val="bottom"/>
            <w:gridSpan w:val="22"/>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Employment Agreement, dated as of April 26, 2018, by and between MagnaChip Semiconductor Corporation and Young Joon Kim</w:t>
              </w:r>
            </w:hyperlink>
          </w:p>
        </w:tc>
      </w:tr>
      <w:tr>
        <w:trPr>
          <w:trHeight w:val="196"/>
        </w:trPr>
        <w:tc>
          <w:tcPr>
            <w:tcW w:w="1140" w:type="dxa"/>
            <w:vAlign w:val="bottom"/>
          </w:tcPr>
          <w:p>
            <w:pPr>
              <w:spacing w:after="0"/>
              <w:rPr>
                <w:sz w:val="17"/>
                <w:szCs w:val="17"/>
                <w:color w:val="auto"/>
              </w:rPr>
            </w:pPr>
          </w:p>
        </w:tc>
        <w:tc>
          <w:tcPr>
            <w:tcW w:w="9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(incorporated by reference to Exhibit 10.1 to our Current Report on Form 8-K filed on April 27, 2018).</w:t>
              </w:r>
            </w:hyperlink>
          </w:p>
        </w:tc>
        <w:tc>
          <w:tcPr>
            <w:tcW w:w="32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10.17-4*</w:t>
            </w:r>
          </w:p>
        </w:tc>
        <w:tc>
          <w:tcPr>
            <w:tcW w:w="9780" w:type="dxa"/>
            <w:vAlign w:val="bottom"/>
            <w:gridSpan w:val="22"/>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Amendment to Employment Agreement by and between MagnaChip Semiconductor Corporation and Young Joon Kim, dated as of</w:t>
              </w:r>
            </w:hyperlink>
          </w:p>
        </w:tc>
      </w:tr>
      <w:tr>
        <w:trPr>
          <w:trHeight w:val="237"/>
        </w:trPr>
        <w:tc>
          <w:tcPr>
            <w:tcW w:w="1140" w:type="dxa"/>
            <w:vAlign w:val="bottom"/>
          </w:tcPr>
          <w:p>
            <w:pPr>
              <w:spacing w:after="0"/>
              <w:rPr>
                <w:sz w:val="20"/>
                <w:szCs w:val="20"/>
                <w:color w:val="auto"/>
              </w:rPr>
            </w:pPr>
          </w:p>
        </w:tc>
        <w:tc>
          <w:tcPr>
            <w:tcW w:w="9440" w:type="dxa"/>
            <w:vAlign w:val="bottom"/>
            <w:tcBorders>
              <w:top w:val="single" w:sz="8" w:color="0000EE"/>
            </w:tcBorders>
            <w:gridSpan w:val="14"/>
          </w:tcPr>
          <w:p>
            <w:pPr>
              <w:spacing w:after="0"/>
              <w:rPr>
                <w:rFonts w:ascii="Arial" w:cs="Arial" w:eastAsia="Arial" w:hAnsi="Arial"/>
                <w:sz w:val="18"/>
                <w:szCs w:val="18"/>
                <w:u w:val="single" w:color="auto"/>
                <w:color w:val="0000EE"/>
                <w:w w:val="91"/>
              </w:rPr>
            </w:pPr>
            <w:hyperlink r:id="rId180">
              <w:r>
                <w:rPr>
                  <w:rFonts w:ascii="Arial" w:cs="Arial" w:eastAsia="Arial" w:hAnsi="Arial"/>
                  <w:sz w:val="18"/>
                  <w:szCs w:val="18"/>
                  <w:u w:val="single" w:color="auto"/>
                  <w:color w:val="0000EE"/>
                  <w:w w:val="91"/>
                </w:rPr>
                <w:t>September 3, 2018 (incorporated by reference to Exhibit 10.29-4 to our Annual Report on Form 10-K filed on February 22, 2019).</w:t>
              </w:r>
            </w:hyperlink>
          </w:p>
        </w:tc>
        <w:tc>
          <w:tcPr>
            <w:tcW w:w="340" w:type="dxa"/>
            <w:vAlign w:val="bottom"/>
            <w:gridSpan w:val="8"/>
          </w:tcPr>
          <w:p>
            <w:pPr>
              <w:spacing w:after="0"/>
              <w:rPr>
                <w:sz w:val="20"/>
                <w:szCs w:val="20"/>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10.17-5*</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Form of Restricted Stock Units Agreement for Chief Executive Officer (incorporated by reference to Exhibit 10.2 to our Current Report</w:t>
              </w:r>
            </w:hyperlink>
          </w:p>
        </w:tc>
      </w:tr>
      <w:tr>
        <w:trPr>
          <w:trHeight w:val="196"/>
        </w:trPr>
        <w:tc>
          <w:tcPr>
            <w:tcW w:w="114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on Form 8-K filed on April 27, 2018).</w:t>
              </w:r>
            </w:hyperlink>
          </w:p>
        </w:tc>
        <w:tc>
          <w:tcPr>
            <w:tcW w:w="7040" w:type="dxa"/>
            <w:vAlign w:val="bottom"/>
            <w:gridSpan w:val="18"/>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10.17-6*</w:t>
            </w:r>
          </w:p>
        </w:tc>
        <w:tc>
          <w:tcPr>
            <w:tcW w:w="9780" w:type="dxa"/>
            <w:vAlign w:val="bottom"/>
            <w:gridSpan w:val="22"/>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Form of Restricted Stock Units Agreement (TSR Performance) for Chief Executive Officer (incorporated by reference to Exhibit 10.3</w:t>
              </w:r>
            </w:hyperlink>
          </w:p>
        </w:tc>
      </w:tr>
      <w:tr>
        <w:trPr>
          <w:trHeight w:val="196"/>
        </w:trPr>
        <w:tc>
          <w:tcPr>
            <w:tcW w:w="114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to our Current Report on Form 8-K filed on April 27, 2018).</w:t>
              </w:r>
            </w:hyperlink>
          </w:p>
        </w:tc>
        <w:tc>
          <w:tcPr>
            <w:tcW w:w="5300" w:type="dxa"/>
            <w:vAlign w:val="bottom"/>
            <w:tcBorders>
              <w:top w:val="single" w:sz="8" w:color="0000EE"/>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10.17-7*</w:t>
            </w:r>
          </w:p>
        </w:tc>
        <w:tc>
          <w:tcPr>
            <w:tcW w:w="9680" w:type="dxa"/>
            <w:vAlign w:val="bottom"/>
            <w:tcBorders>
              <w:bottom w:val="single" w:sz="8" w:color="0000EE"/>
            </w:tcBorders>
            <w:gridSpan w:val="21"/>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Form of Restricted Stock Units Agreement (AOP Performance) for Chief Executive Officer (incorporated by reference to Exhibit 10.4</w:t>
              </w:r>
            </w:hyperlink>
          </w:p>
        </w:tc>
        <w:tc>
          <w:tcPr>
            <w:tcW w:w="1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to our Current Report on Form 8-K filed on April 27, 2018).</w:t>
              </w:r>
            </w:hyperlink>
          </w:p>
        </w:tc>
        <w:tc>
          <w:tcPr>
            <w:tcW w:w="5440" w:type="dxa"/>
            <w:vAlign w:val="bottom"/>
            <w:gridSpan w:val="17"/>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8840" w:type="dxa"/>
            <w:vAlign w:val="bottom"/>
            <w:tcBorders>
              <w:bottom w:val="single" w:sz="8" w:color="0000EE"/>
            </w:tcBorders>
            <w:gridSpan w:val="12"/>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Offer Letter, dated as of September 27, 2013, by and between MagnaChip Semiconductor, Ltd. (Korea) and Theodore Kim</w:t>
              </w:r>
            </w:hyperlink>
          </w:p>
        </w:tc>
        <w:tc>
          <w:tcPr>
            <w:tcW w:w="940" w:type="dxa"/>
            <w:vAlign w:val="bottom"/>
            <w:gridSpan w:val="10"/>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9780" w:type="dxa"/>
            <w:vAlign w:val="bottom"/>
            <w:gridSpan w:val="22"/>
          </w:tcPr>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(incorporated by reference to Exhibit 10.37 to our Annual Report on Form 10-K filed on February 12, 2015).</w:t>
              </w:r>
            </w:hyperlink>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10.18-1*</w:t>
            </w:r>
          </w:p>
        </w:tc>
        <w:tc>
          <w:tcPr>
            <w:tcW w:w="9780" w:type="dxa"/>
            <w:vAlign w:val="bottom"/>
            <w:gridSpan w:val="22"/>
          </w:tcPr>
          <w:p>
            <w:pPr>
              <w:spacing w:after="0"/>
              <w:rPr>
                <w:rFonts w:ascii="Arial" w:cs="Arial" w:eastAsia="Arial" w:hAnsi="Arial"/>
                <w:sz w:val="18"/>
                <w:szCs w:val="18"/>
                <w:color w:val="0000EE"/>
                <w:w w:val="95"/>
              </w:rPr>
            </w:pPr>
            <w:hyperlink r:id="rId185">
              <w:r>
                <w:rPr>
                  <w:rFonts w:ascii="Arial" w:cs="Arial" w:eastAsia="Arial" w:hAnsi="Arial"/>
                  <w:sz w:val="18"/>
                  <w:szCs w:val="18"/>
                  <w:color w:val="0000EE"/>
                  <w:w w:val="95"/>
                </w:rPr>
                <w:t>Severance Agreement, dated November 3, 2015, from MagnaChip Semiconductor, Ltd. (Korea) and MagnaChip Semiconductor</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960" w:type="dxa"/>
            <w:vAlign w:val="bottom"/>
            <w:gridSpan w:val="7"/>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Corporation to Theodore S. Kim (incorporated by reference to Exhibit 10.4 to our Quarterly Report on Form 10-Q filed on November</w:t>
              </w:r>
            </w:hyperlink>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85">
              <w:r>
                <w:rPr>
                  <w:rFonts w:ascii="Arial" w:cs="Arial" w:eastAsia="Arial" w:hAnsi="Arial"/>
                  <w:sz w:val="18"/>
                  <w:szCs w:val="18"/>
                  <w:color w:val="0000EE"/>
                  <w:w w:val="87"/>
                </w:rPr>
                <w:t>6, 2015).</w:t>
              </w:r>
            </w:hyperlink>
          </w:p>
        </w:tc>
        <w:tc>
          <w:tcPr>
            <w:tcW w:w="8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10.18-2*</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Employment Agreement, dated as of October 22, 2018, by and between MagnaChip Semiconductor Corporation and Theodore Kim</w:t>
              </w:r>
            </w:hyperlink>
          </w:p>
        </w:tc>
        <w:tc>
          <w:tcPr>
            <w:tcW w:w="28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2"/>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(incorporated by reference to Exhibit 10.1 to our Current Report on Form 8-K filed on October 26, 2018).</w:t>
              </w:r>
            </w:hyperlink>
          </w:p>
        </w:tc>
      </w:tr>
      <w:tr>
        <w:trPr>
          <w:trHeight w:val="20"/>
        </w:trPr>
        <w:tc>
          <w:tcPr>
            <w:tcW w:w="1140" w:type="dxa"/>
            <w:vAlign w:val="bottom"/>
          </w:tcPr>
          <w:p>
            <w:pPr>
              <w:spacing w:after="0" w:line="20" w:lineRule="exact"/>
              <w:rPr>
                <w:sz w:val="1"/>
                <w:szCs w:val="1"/>
                <w:color w:val="auto"/>
              </w:rPr>
            </w:pPr>
          </w:p>
        </w:tc>
        <w:tc>
          <w:tcPr>
            <w:tcW w:w="7600" w:type="dxa"/>
            <w:vAlign w:val="bottom"/>
            <w:gridSpan w:val="9"/>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9780" w:type="dxa"/>
            <w:vAlign w:val="bottom"/>
            <w:gridSpan w:val="22"/>
          </w:tcPr>
          <w:p>
            <w:pPr>
              <w:spacing w:after="0"/>
              <w:rPr>
                <w:rFonts w:ascii="Arial" w:cs="Arial" w:eastAsia="Arial" w:hAnsi="Arial"/>
                <w:sz w:val="18"/>
                <w:szCs w:val="18"/>
                <w:color w:val="0000EE"/>
              </w:rPr>
            </w:pPr>
            <w:hyperlink r:id="rId187">
              <w:r>
                <w:rPr>
                  <w:rFonts w:ascii="Arial" w:cs="Arial" w:eastAsia="Arial" w:hAnsi="Arial"/>
                  <w:sz w:val="18"/>
                  <w:szCs w:val="18"/>
                  <w:color w:val="0000EE"/>
                </w:rPr>
                <w:t>Offer Letter, dated as of October 16, 2013, by and between MagnaChip Semiconductor, Ltd. (Korea) and Woung Moo Lee</w:t>
              </w:r>
            </w:hyperlink>
          </w:p>
        </w:tc>
      </w:tr>
      <w:tr>
        <w:trPr>
          <w:trHeight w:val="237"/>
        </w:trPr>
        <w:tc>
          <w:tcPr>
            <w:tcW w:w="1140" w:type="dxa"/>
            <w:vAlign w:val="bottom"/>
          </w:tcPr>
          <w:p>
            <w:pPr>
              <w:spacing w:after="0"/>
              <w:rPr>
                <w:sz w:val="20"/>
                <w:szCs w:val="20"/>
                <w:color w:val="auto"/>
              </w:rPr>
            </w:pPr>
          </w:p>
        </w:tc>
        <w:tc>
          <w:tcPr>
            <w:tcW w:w="880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(incorporated by reference to Exhibit 10.36 to our Annual Report on Form 10-K filed on February 22, 2016).</w:t>
              </w:r>
            </w:hyperlink>
          </w:p>
        </w:tc>
        <w:tc>
          <w:tcPr>
            <w:tcW w:w="980" w:type="dxa"/>
            <w:vAlign w:val="bottom"/>
            <w:gridSpan w:val="12"/>
          </w:tcPr>
          <w:p>
            <w:pPr>
              <w:spacing w:after="0"/>
              <w:rPr>
                <w:sz w:val="20"/>
                <w:szCs w:val="20"/>
                <w:color w:val="auto"/>
              </w:rPr>
            </w:pPr>
          </w:p>
        </w:tc>
      </w:tr>
      <w:tr>
        <w:trPr>
          <w:trHeight w:val="365"/>
        </w:trPr>
        <w:tc>
          <w:tcPr>
            <w:tcW w:w="1140" w:type="dxa"/>
            <w:vAlign w:val="bottom"/>
          </w:tcPr>
          <w:p>
            <w:pPr>
              <w:spacing w:after="0"/>
              <w:rPr>
                <w:sz w:val="24"/>
                <w:szCs w:val="24"/>
                <w:color w:val="auto"/>
              </w:rPr>
            </w:pPr>
          </w:p>
        </w:tc>
        <w:tc>
          <w:tcPr>
            <w:tcW w:w="6680" w:type="dxa"/>
            <w:vAlign w:val="bottom"/>
            <w:gridSpan w:val="6"/>
          </w:tcPr>
          <w:p>
            <w:pPr>
              <w:ind w:left="414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type w:val="continuous"/>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86" w:right="439" w:bottom="1440" w:gutter="0" w:footer="0" w:header="0"/>
        </w:sectPr>
      </w:pPr>
    </w:p>
    <w:p>
      <w:pPr>
        <w:spacing w:after="0" w:line="32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5080</wp:posOffset>
            </wp:positionV>
            <wp:extent cx="325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10.19-1*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4300"/>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20"/>
        <w:spacing w:after="0" w:line="263" w:lineRule="auto"/>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Severance Agreement, dated November 3, 2015, from MagnaChip Semiconductor, Ltd. (Korea) and MagnaChip Semiconductor</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Corporation to Woung Moo Lee (incorporated by reference to Exhibit 10.6 to our Quarterly Report on Form 10-Q filed on November 6,</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2015).</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860" w:space="480"/>
            <w:col w:w="9800"/>
          </w:cols>
          <w:pgMar w:left="320" w:top="486" w:right="4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10.19-2*</w:t>
            </w:r>
          </w:p>
        </w:tc>
        <w:tc>
          <w:tcPr>
            <w:tcW w:w="9800" w:type="dxa"/>
            <w:vAlign w:val="bottom"/>
            <w:gridSpan w:val="24"/>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Employment Agreement, dated as of October 22, 2018, by and between MagnaChip Semiconductor Corporation and Woung Moo Lee</w:t>
              </w:r>
            </w:hyperlink>
          </w:p>
        </w:tc>
      </w:tr>
      <w:tr>
        <w:trPr>
          <w:trHeight w:val="196"/>
        </w:trPr>
        <w:tc>
          <w:tcPr>
            <w:tcW w:w="1140" w:type="dxa"/>
            <w:vAlign w:val="bottom"/>
          </w:tcPr>
          <w:p>
            <w:pPr>
              <w:spacing w:after="0"/>
              <w:rPr>
                <w:sz w:val="17"/>
                <w:szCs w:val="17"/>
                <w:color w:val="auto"/>
              </w:rPr>
            </w:pPr>
          </w:p>
        </w:tc>
        <w:tc>
          <w:tcPr>
            <w:tcW w:w="96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(incorporated by reference to Exhibit 10.2 to our Current Report on Form 8-K filed on October 26, 2018).</w:t>
              </w:r>
            </w:hyperlink>
          </w:p>
        </w:tc>
        <w:tc>
          <w:tcPr>
            <w:tcW w:w="14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9800" w:type="dxa"/>
            <w:vAlign w:val="bottom"/>
            <w:tcBorders>
              <w:bottom w:val="single" w:sz="8" w:color="0000EE"/>
            </w:tcBorders>
            <w:gridSpan w:val="24"/>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Executive Service Agreement, dated as of May 25, 2020, by and between Young Soo Woo, MagnaChip Semiconductor Corporation and</w:t>
              </w:r>
            </w:hyperlink>
          </w:p>
        </w:tc>
      </w:tr>
      <w:tr>
        <w:trPr>
          <w:trHeight w:val="196"/>
        </w:trPr>
        <w:tc>
          <w:tcPr>
            <w:tcW w:w="114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MagnaChip Semiconductor, Ltd. (incorporated by reference to Exhibit 10.8 to our Quarterly Report on Form 10-Q filed on August 7,</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2">
              <w:r>
                <w:rPr>
                  <w:rFonts w:ascii="Arial" w:cs="Arial" w:eastAsia="Arial" w:hAnsi="Arial"/>
                  <w:sz w:val="18"/>
                  <w:szCs w:val="18"/>
                  <w:color w:val="0000EE"/>
                  <w:w w:val="86"/>
                </w:rPr>
                <w:t>2020)</w:t>
              </w:r>
            </w:hyperlink>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10.21*</w:t>
            </w:r>
          </w:p>
        </w:tc>
        <w:tc>
          <w:tcPr>
            <w:tcW w:w="9800" w:type="dxa"/>
            <w:vAlign w:val="bottom"/>
            <w:gridSpan w:val="24"/>
          </w:tcPr>
          <w:p>
            <w:pPr>
              <w:spacing w:after="0"/>
              <w:rPr>
                <w:rFonts w:ascii="Arial" w:cs="Arial" w:eastAsia="Arial" w:hAnsi="Arial"/>
                <w:sz w:val="18"/>
                <w:szCs w:val="18"/>
                <w:color w:val="0000EE"/>
                <w:w w:val="92"/>
              </w:rPr>
            </w:pPr>
            <w:hyperlink r:id="rId193">
              <w:r>
                <w:rPr>
                  <w:rFonts w:ascii="Arial" w:cs="Arial" w:eastAsia="Arial" w:hAnsi="Arial"/>
                  <w:sz w:val="18"/>
                  <w:szCs w:val="18"/>
                  <w:color w:val="0000EE"/>
                  <w:w w:val="92"/>
                </w:rPr>
                <w:t>Executive Service Agreement, dated as of June 1, 2020, by and between Chan Ho Park, MagnaChip Semiconductor Corporation and</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24"/>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MagnaChip Semiconductor, Ltd. (incorporated by reference to Exhibit 10.9 to our Quarterly Report on Form 10-Q filed on August 7,</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3">
              <w:r>
                <w:rPr>
                  <w:rFonts w:ascii="Arial" w:cs="Arial" w:eastAsia="Arial" w:hAnsi="Arial"/>
                  <w:sz w:val="18"/>
                  <w:szCs w:val="18"/>
                  <w:color w:val="0000EE"/>
                  <w:w w:val="86"/>
                </w:rPr>
                <w:t>2020)</w:t>
              </w:r>
            </w:hyperlink>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10.22*</w:t>
            </w:r>
          </w:p>
        </w:tc>
        <w:tc>
          <w:tcPr>
            <w:tcW w:w="8880" w:type="dxa"/>
            <w:vAlign w:val="bottom"/>
            <w:tcBorders>
              <w:bottom w:val="single" w:sz="8" w:color="0000EE"/>
            </w:tcBorders>
            <w:gridSpan w:val="9"/>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MagnaChip Semiconductor LLC Profit Sharing Plan as adopted on December 31, 2009 and amended on February 15, 2010</w:t>
              </w:r>
            </w:hyperlink>
          </w:p>
        </w:tc>
        <w:tc>
          <w:tcPr>
            <w:tcW w:w="920" w:type="dxa"/>
            <w:vAlign w:val="bottom"/>
            <w:gridSpan w:val="15"/>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9800" w:type="dxa"/>
            <w:vAlign w:val="bottom"/>
            <w:gridSpan w:val="24"/>
          </w:tcPr>
          <w:p>
            <w:pPr>
              <w:spacing w:after="0"/>
              <w:rPr>
                <w:rFonts w:ascii="Arial" w:cs="Arial" w:eastAsia="Arial" w:hAnsi="Arial"/>
                <w:sz w:val="18"/>
                <w:szCs w:val="18"/>
                <w:u w:val="single" w:color="auto"/>
                <w:color w:val="0000EE"/>
              </w:rPr>
            </w:pPr>
            <w:hyperlink r:id="rId194">
              <w:r>
                <w:rPr>
                  <w:rFonts w:ascii="Arial" w:cs="Arial" w:eastAsia="Arial" w:hAnsi="Arial"/>
                  <w:sz w:val="18"/>
                  <w:szCs w:val="18"/>
                  <w:u w:val="single" w:color="auto"/>
                  <w:color w:val="0000EE"/>
                </w:rPr>
                <w:t>(incorporated by reference to Exhibit 10.54 to our Quarterly Report on Form 10-Q filed on August 5, 2011).</w:t>
              </w:r>
            </w:hyperlink>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10.23*</w:t>
            </w:r>
          </w:p>
        </w:tc>
        <w:tc>
          <w:tcPr>
            <w:tcW w:w="9280" w:type="dxa"/>
            <w:vAlign w:val="bottom"/>
            <w:tcBorders>
              <w:bottom w:val="single" w:sz="8" w:color="0000EE"/>
            </w:tcBorders>
            <w:gridSpan w:val="11"/>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MagnaChip Semiconductor Corporation 2011 Form of Stock Option Agreement (U.S. Participants) (incorporated by reference to</w:t>
              </w:r>
            </w:hyperlink>
          </w:p>
        </w:tc>
        <w:tc>
          <w:tcPr>
            <w:tcW w:w="52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Exhibit 10.55 to our Amendment No 9 to the Registration Statement on Form S-1 filed on February 18, 2011 (Registration</w:t>
              </w:r>
            </w:hyperlink>
          </w:p>
        </w:tc>
        <w:tc>
          <w:tcPr>
            <w:tcW w:w="98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No. 333-165467)).</w:t>
              </w:r>
            </w:hyperlink>
          </w:p>
        </w:tc>
        <w:tc>
          <w:tcPr>
            <w:tcW w:w="8460" w:type="dxa"/>
            <w:vAlign w:val="bottom"/>
            <w:gridSpan w:val="2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10.24*</w:t>
            </w:r>
          </w:p>
        </w:tc>
        <w:tc>
          <w:tcPr>
            <w:tcW w:w="9800" w:type="dxa"/>
            <w:vAlign w:val="bottom"/>
            <w:gridSpan w:val="24"/>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MagnaChip Semiconductor Corporation 2011 Form of Stock Option Agreement (Non-U.S. Participants) (incorporated by reference to</w:t>
              </w:r>
            </w:hyperlink>
          </w:p>
        </w:tc>
      </w:tr>
      <w:tr>
        <w:trPr>
          <w:trHeight w:val="196"/>
        </w:trPr>
        <w:tc>
          <w:tcPr>
            <w:tcW w:w="11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Exhibit 10.56 to our Amendment No 9 to the Registration Statement on Form S-1 filed on February 18, 2011 (Registration</w:t>
              </w:r>
            </w:hyperlink>
          </w:p>
        </w:tc>
        <w:tc>
          <w:tcPr>
            <w:tcW w:w="820" w:type="dxa"/>
            <w:vAlign w:val="bottom"/>
            <w:tcBorders>
              <w:top w:val="single" w:sz="8" w:color="0000EE"/>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No. 333-165467)).</w:t>
              </w:r>
            </w:hyperlink>
          </w:p>
        </w:tc>
        <w:tc>
          <w:tcPr>
            <w:tcW w:w="8460" w:type="dxa"/>
            <w:vAlign w:val="bottom"/>
            <w:gridSpan w:val="2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10.25*</w:t>
            </w:r>
          </w:p>
        </w:tc>
        <w:tc>
          <w:tcPr>
            <w:tcW w:w="9760" w:type="dxa"/>
            <w:vAlign w:val="bottom"/>
            <w:tcBorders>
              <w:bottom w:val="single" w:sz="8" w:color="0000EE"/>
            </w:tcBorders>
            <w:gridSpan w:val="23"/>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MagnaChip Semiconductor Corporation 2011 Form of Restricted Stock Units Agreement (U.S. Participants) (incorporated by reference</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to Exhibit 10.57 to our Amendment No 9 to the Registration Statement on Form S-1 filed on February 18, 2011 (Registration</w:t>
              </w:r>
            </w:hyperlink>
          </w:p>
        </w:tc>
        <w:tc>
          <w:tcPr>
            <w:tcW w:w="80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No. 333-165467)).</w:t>
              </w:r>
            </w:hyperlink>
          </w:p>
        </w:tc>
        <w:tc>
          <w:tcPr>
            <w:tcW w:w="8460" w:type="dxa"/>
            <w:vAlign w:val="bottom"/>
            <w:gridSpan w:val="2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10.26*</w:t>
            </w:r>
          </w:p>
        </w:tc>
        <w:tc>
          <w:tcPr>
            <w:tcW w:w="9420" w:type="dxa"/>
            <w:vAlign w:val="bottom"/>
            <w:tcBorders>
              <w:bottom w:val="single" w:sz="8" w:color="0000EE"/>
            </w:tcBorders>
            <w:gridSpan w:val="13"/>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MagnaChip Semiconductor Corporation 2011 Form of Restricted Stock Units Agreement (Non-U.S. Participants) (incorporated by</w:t>
              </w:r>
            </w:hyperlink>
          </w:p>
        </w:tc>
        <w:tc>
          <w:tcPr>
            <w:tcW w:w="38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reference to Exhibit 10.58 to our Amendment No 9 to the Registration Statement on Form S-1 filed on February 18, 2011 (Registration</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No. 333-165467)).</w:t>
              </w:r>
            </w:hyperlink>
          </w:p>
        </w:tc>
        <w:tc>
          <w:tcPr>
            <w:tcW w:w="8460" w:type="dxa"/>
            <w:vAlign w:val="bottom"/>
            <w:gridSpan w:val="2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10.27*</w:t>
            </w:r>
          </w:p>
        </w:tc>
        <w:tc>
          <w:tcPr>
            <w:tcW w:w="9800" w:type="dxa"/>
            <w:vAlign w:val="bottom"/>
            <w:gridSpan w:val="24"/>
          </w:tcPr>
          <w:p>
            <w:pPr>
              <w:spacing w:after="0"/>
              <w:rPr>
                <w:rFonts w:ascii="Arial" w:cs="Arial" w:eastAsia="Arial" w:hAnsi="Arial"/>
                <w:sz w:val="18"/>
                <w:szCs w:val="18"/>
                <w:color w:val="0000EE"/>
                <w:w w:val="93"/>
              </w:rPr>
            </w:pPr>
            <w:hyperlink r:id="rId199">
              <w:r>
                <w:rPr>
                  <w:rFonts w:ascii="Arial" w:cs="Arial" w:eastAsia="Arial" w:hAnsi="Arial"/>
                  <w:sz w:val="18"/>
                  <w:szCs w:val="18"/>
                  <w:color w:val="0000EE"/>
                  <w:w w:val="93"/>
                </w:rPr>
                <w:t>MagnaChip Semiconductor Corporation 2011 Form of Restricted Stock Agreement (U.S. Participants) (incorporated by reference to</w:t>
              </w:r>
            </w:hyperlink>
          </w:p>
        </w:tc>
      </w:tr>
      <w:tr>
        <w:trPr>
          <w:trHeight w:val="196"/>
        </w:trPr>
        <w:tc>
          <w:tcPr>
            <w:tcW w:w="11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Exhibit 10.59 to our Amendment No 9 to the Registration Statement on Form S-1 filed on February 18, 2011 (Registration</w:t>
              </w:r>
            </w:hyperlink>
          </w:p>
        </w:tc>
        <w:tc>
          <w:tcPr>
            <w:tcW w:w="720" w:type="dxa"/>
            <w:vAlign w:val="bottom"/>
            <w:tcBorders>
              <w:top w:val="single" w:sz="8" w:color="0000EE"/>
            </w:tcBorders>
            <w:gridSpan w:val="9"/>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No. 333-165467)).</w:t>
              </w:r>
            </w:hyperlink>
          </w:p>
        </w:tc>
        <w:tc>
          <w:tcPr>
            <w:tcW w:w="8460" w:type="dxa"/>
            <w:vAlign w:val="bottom"/>
            <w:gridSpan w:val="2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10.28*</w:t>
            </w:r>
          </w:p>
        </w:tc>
        <w:tc>
          <w:tcPr>
            <w:tcW w:w="9700" w:type="dxa"/>
            <w:vAlign w:val="bottom"/>
            <w:tcBorders>
              <w:bottom w:val="single" w:sz="8" w:color="0000EE"/>
            </w:tcBorders>
            <w:gridSpan w:val="21"/>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MagnaChip Semiconductor Corporation 2011 Form of Restricted Stock Agreement (Non-U.S. Participants) (incorporated by reference</w:t>
              </w:r>
            </w:hyperlink>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to Exhibit 10.60 to our Amendment No 9 to the Registration Statement on Form S-1 filed on February 18, 2011 (Registration</w:t>
              </w:r>
            </w:hyperlink>
          </w:p>
        </w:tc>
        <w:tc>
          <w:tcPr>
            <w:tcW w:w="80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No. 333-165467)).</w:t>
              </w:r>
            </w:hyperlink>
          </w:p>
        </w:tc>
        <w:tc>
          <w:tcPr>
            <w:tcW w:w="8460" w:type="dxa"/>
            <w:vAlign w:val="bottom"/>
            <w:gridSpan w:val="2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10.29*</w:t>
            </w:r>
          </w:p>
        </w:tc>
        <w:tc>
          <w:tcPr>
            <w:tcW w:w="9800" w:type="dxa"/>
            <w:vAlign w:val="bottom"/>
            <w:gridSpan w:val="24"/>
          </w:tcPr>
          <w:p>
            <w:pPr>
              <w:spacing w:after="0"/>
              <w:rPr>
                <w:rFonts w:ascii="Arial" w:cs="Arial" w:eastAsia="Arial" w:hAnsi="Arial"/>
                <w:sz w:val="18"/>
                <w:szCs w:val="18"/>
                <w:color w:val="0000EE"/>
                <w:w w:val="94"/>
              </w:rPr>
            </w:pPr>
            <w:hyperlink r:id="rId201">
              <w:r>
                <w:rPr>
                  <w:rFonts w:ascii="Arial" w:cs="Arial" w:eastAsia="Arial" w:hAnsi="Arial"/>
                  <w:sz w:val="18"/>
                  <w:szCs w:val="18"/>
                  <w:color w:val="0000EE"/>
                  <w:w w:val="94"/>
                </w:rPr>
                <w:t>MagnaChip Semiconductor Corporation 2011 Form of Restricted Stock Units Agreement (Nonemployee Director) (incorporated by</w:t>
              </w:r>
            </w:hyperlink>
          </w:p>
        </w:tc>
      </w:tr>
      <w:tr>
        <w:trPr>
          <w:trHeight w:val="196"/>
        </w:trPr>
        <w:tc>
          <w:tcPr>
            <w:tcW w:w="114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reference to Exhibit 10.1 to our Quarterly Report on Form 10-Q filed on May 6, 2016).</w:t>
              </w:r>
            </w:hyperlink>
          </w:p>
        </w:tc>
        <w:tc>
          <w:tcPr>
            <w:tcW w:w="3220" w:type="dxa"/>
            <w:vAlign w:val="bottom"/>
            <w:tcBorders>
              <w:top w:val="single" w:sz="8" w:color="0000EE"/>
            </w:tcBorders>
            <w:gridSpan w:val="10"/>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10.30*</w:t>
            </w:r>
          </w:p>
        </w:tc>
        <w:tc>
          <w:tcPr>
            <w:tcW w:w="9340" w:type="dxa"/>
            <w:vAlign w:val="bottom"/>
            <w:tcBorders>
              <w:bottom w:val="single" w:sz="8" w:color="0000EE"/>
            </w:tcBorders>
            <w:gridSpan w:val="12"/>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Form of Restricted Stock Units Agreement (incorporated by reference to Exhibit 10.3 to our Current Report on Form 8-K filed on</w:t>
              </w:r>
            </w:hyperlink>
          </w:p>
        </w:tc>
        <w:tc>
          <w:tcPr>
            <w:tcW w:w="46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October 26, 2018).</w:t>
              </w:r>
            </w:hyperlink>
          </w:p>
        </w:tc>
        <w:tc>
          <w:tcPr>
            <w:tcW w:w="8440" w:type="dxa"/>
            <w:vAlign w:val="bottom"/>
            <w:gridSpan w:val="21"/>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10.31*</w:t>
            </w:r>
          </w:p>
        </w:tc>
        <w:tc>
          <w:tcPr>
            <w:tcW w:w="9440" w:type="dxa"/>
            <w:vAlign w:val="bottom"/>
            <w:tcBorders>
              <w:bottom w:val="single" w:sz="8" w:color="0000EE"/>
            </w:tcBorders>
            <w:gridSpan w:val="14"/>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Form of Restricted Stock Units Agreement (TSR Performance) (incorporated by reference to Exhibit 10.4 to our Current Report on</w:t>
              </w:r>
            </w:hyperlink>
          </w:p>
        </w:tc>
        <w:tc>
          <w:tcPr>
            <w:tcW w:w="36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Form 8-K filed on October 26, 2018).</w:t>
              </w:r>
            </w:hyperlink>
          </w:p>
        </w:tc>
        <w:tc>
          <w:tcPr>
            <w:tcW w:w="7080" w:type="dxa"/>
            <w:vAlign w:val="bottom"/>
            <w:gridSpan w:val="19"/>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10.32*</w:t>
            </w:r>
          </w:p>
        </w:tc>
        <w:tc>
          <w:tcPr>
            <w:tcW w:w="9800" w:type="dxa"/>
            <w:vAlign w:val="bottom"/>
            <w:gridSpan w:val="24"/>
          </w:tcPr>
          <w:p>
            <w:pPr>
              <w:spacing w:after="0"/>
              <w:rPr>
                <w:rFonts w:ascii="Arial" w:cs="Arial" w:eastAsia="Arial" w:hAnsi="Arial"/>
                <w:sz w:val="18"/>
                <w:szCs w:val="18"/>
                <w:color w:val="0000EE"/>
                <w:w w:val="94"/>
              </w:rPr>
            </w:pPr>
            <w:hyperlink r:id="rId204">
              <w:r>
                <w:rPr>
                  <w:rFonts w:ascii="Arial" w:cs="Arial" w:eastAsia="Arial" w:hAnsi="Arial"/>
                  <w:sz w:val="18"/>
                  <w:szCs w:val="18"/>
                  <w:color w:val="0000EE"/>
                  <w:w w:val="94"/>
                </w:rPr>
                <w:t>Form of Restricted Stock Units Agreement (AOP Performance) (incorporated by reference to Exhibit 10.5 to our Current Report on</w:t>
              </w:r>
            </w:hyperlink>
          </w:p>
        </w:tc>
      </w:tr>
      <w:tr>
        <w:trPr>
          <w:trHeight w:val="196"/>
        </w:trPr>
        <w:tc>
          <w:tcPr>
            <w:tcW w:w="1140" w:type="dxa"/>
            <w:vAlign w:val="bottom"/>
          </w:tcPr>
          <w:p>
            <w:pPr>
              <w:spacing w:after="0"/>
              <w:rPr>
                <w:sz w:val="17"/>
                <w:szCs w:val="17"/>
                <w:color w:val="auto"/>
              </w:rPr>
            </w:pPr>
          </w:p>
        </w:tc>
        <w:tc>
          <w:tcPr>
            <w:tcW w:w="9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Form 8-K filed on October 26, 2018).</w:t>
              </w:r>
            </w:hyperlink>
          </w:p>
        </w:tc>
        <w:tc>
          <w:tcPr>
            <w:tcW w:w="340" w:type="dxa"/>
            <w:vAlign w:val="bottom"/>
            <w:gridSpan w:val="9"/>
          </w:tcPr>
          <w:p>
            <w:pPr>
              <w:spacing w:after="0"/>
              <w:rPr>
                <w:sz w:val="17"/>
                <w:szCs w:val="17"/>
                <w:color w:val="auto"/>
              </w:rPr>
            </w:pPr>
          </w:p>
        </w:tc>
      </w:tr>
      <w:tr>
        <w:trPr>
          <w:trHeight w:val="385"/>
        </w:trPr>
        <w:tc>
          <w:tcPr>
            <w:tcW w:w="1140" w:type="dxa"/>
            <w:vAlign w:val="bottom"/>
          </w:tcPr>
          <w:p>
            <w:pPr>
              <w:spacing w:after="0"/>
              <w:rPr>
                <w:sz w:val="24"/>
                <w:szCs w:val="24"/>
                <w:color w:val="auto"/>
              </w:rPr>
            </w:pPr>
          </w:p>
        </w:tc>
        <w:tc>
          <w:tcPr>
            <w:tcW w:w="2700" w:type="dxa"/>
            <w:vAlign w:val="bottom"/>
            <w:tcBorders>
              <w:top w:val="single" w:sz="8" w:color="0000EE"/>
            </w:tcBorders>
            <w:gridSpan w:val="4"/>
          </w:tcPr>
          <w:p>
            <w:pPr>
              <w:spacing w:after="0"/>
              <w:rPr>
                <w:sz w:val="24"/>
                <w:szCs w:val="24"/>
                <w:color w:val="auto"/>
              </w:rPr>
            </w:pPr>
          </w:p>
        </w:tc>
        <w:tc>
          <w:tcPr>
            <w:tcW w:w="3560" w:type="dxa"/>
            <w:vAlign w:val="bottom"/>
            <w:gridSpan w:val="2"/>
          </w:tcPr>
          <w:p>
            <w:pPr>
              <w:jc w:val="right"/>
              <w:ind w:right="1840"/>
              <w:spacing w:after="0"/>
              <w:rPr>
                <w:sz w:val="20"/>
                <w:szCs w:val="20"/>
                <w:color w:val="auto"/>
              </w:rPr>
            </w:pPr>
            <w:r>
              <w:rPr>
                <w:rFonts w:ascii="Arial" w:cs="Arial" w:eastAsia="Arial" w:hAnsi="Arial"/>
                <w:sz w:val="18"/>
                <w:szCs w:val="18"/>
                <w:color w:val="auto"/>
              </w:rPr>
              <w:t>121</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type w:val="continuous"/>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5080</wp:posOffset>
            </wp:positionV>
            <wp:extent cx="316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207">
        <w:r>
          <w:rPr>
            <w:rFonts w:ascii="Arial" w:cs="Arial" w:eastAsia="Arial" w:hAnsi="Arial"/>
            <w:sz w:val="18"/>
            <w:szCs w:val="18"/>
            <w:u w:val="single" w:color="auto"/>
            <w:color w:val="0000EE"/>
          </w:rPr>
          <w:t>MagnaChip Semiconductor Corporation 2020 Form of Restricted Stock Units Agreement (Non-employee Directors) (incorporated</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by reference to Exhibit 99.2 to our Registration Statement on Form S-8 filed on July 15, 2020)</w:t>
        </w:r>
      </w:hyperlink>
    </w:p>
    <w:p>
      <w:pPr>
        <w:spacing w:after="0" w:line="45" w:lineRule="exact"/>
        <w:rPr>
          <w:sz w:val="20"/>
          <w:szCs w:val="20"/>
          <w:color w:val="auto"/>
        </w:rPr>
      </w:pPr>
    </w:p>
    <w:p>
      <w:pPr>
        <w:sectPr>
          <w:pgSz w:w="11900" w:h="16838" w:orient="portrait"/>
          <w:cols w:equalWidth="0" w:num="2">
            <w:col w:w="940" w:space="720"/>
            <w:col w:w="9460"/>
          </w:cols>
          <w:pgMar w:left="320" w:top="486" w:right="45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10.34*</w:t>
            </w:r>
          </w:p>
        </w:tc>
        <w:tc>
          <w:tcPr>
            <w:tcW w:w="9460" w:type="dxa"/>
            <w:vAlign w:val="bottom"/>
            <w:gridSpan w:val="13"/>
          </w:tcPr>
          <w:p>
            <w:pPr>
              <w:spacing w:after="0"/>
              <w:rPr>
                <w:rFonts w:ascii="Arial" w:cs="Arial" w:eastAsia="Arial" w:hAnsi="Arial"/>
                <w:sz w:val="18"/>
                <w:szCs w:val="18"/>
                <w:color w:val="0000EE"/>
                <w:w w:val="93"/>
              </w:rPr>
            </w:pPr>
            <w:hyperlink r:id="rId208">
              <w:r>
                <w:rPr>
                  <w:rFonts w:ascii="Arial" w:cs="Arial" w:eastAsia="Arial" w:hAnsi="Arial"/>
                  <w:sz w:val="18"/>
                  <w:szCs w:val="18"/>
                  <w:color w:val="0000EE"/>
                  <w:w w:val="93"/>
                </w:rPr>
                <w:t>MagnaChip Semiconductor Corporation 2020 Form of Restricted Stock Units Agreement (Section 16 Officers) (incorporated by</w:t>
              </w:r>
            </w:hyperlink>
          </w:p>
        </w:tc>
      </w:tr>
      <w:tr>
        <w:trPr>
          <w:trHeight w:val="196"/>
        </w:trPr>
        <w:tc>
          <w:tcPr>
            <w:tcW w:w="146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reference to Exhibit 99.3 to our Registration Statement on Form S-8 filed on July 15, 2020).</w:t>
              </w:r>
            </w:hyperlink>
          </w:p>
        </w:tc>
        <w:tc>
          <w:tcPr>
            <w:tcW w:w="2600" w:type="dxa"/>
            <w:vAlign w:val="bottom"/>
            <w:tcBorders>
              <w:top w:val="single" w:sz="8" w:color="0000EE"/>
            </w:tcBorders>
            <w:gridSpan w:val="6"/>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10.35*</w:t>
            </w:r>
          </w:p>
        </w:tc>
        <w:tc>
          <w:tcPr>
            <w:tcW w:w="9460" w:type="dxa"/>
            <w:vAlign w:val="bottom"/>
            <w:gridSpan w:val="13"/>
          </w:tcPr>
          <w:p>
            <w:pPr>
              <w:spacing w:after="0"/>
              <w:rPr>
                <w:rFonts w:ascii="Arial" w:cs="Arial" w:eastAsia="Arial" w:hAnsi="Arial"/>
                <w:sz w:val="18"/>
                <w:szCs w:val="18"/>
                <w:color w:val="0000EE"/>
                <w:w w:val="98"/>
              </w:rPr>
            </w:pPr>
            <w:hyperlink r:id="rId209">
              <w:r>
                <w:rPr>
                  <w:rFonts w:ascii="Arial" w:cs="Arial" w:eastAsia="Arial" w:hAnsi="Arial"/>
                  <w:sz w:val="18"/>
                  <w:szCs w:val="18"/>
                  <w:color w:val="0000EE"/>
                  <w:w w:val="98"/>
                </w:rPr>
                <w:t>MagnaChip Semiconductor Corporation 2020 Form of Restricted Stock Units Agreement—Financial Performance (CEO)</w:t>
              </w:r>
            </w:hyperlink>
          </w:p>
        </w:tc>
      </w:tr>
      <w:tr>
        <w:trPr>
          <w:trHeight w:val="237"/>
        </w:trPr>
        <w:tc>
          <w:tcPr>
            <w:tcW w:w="1460" w:type="dxa"/>
            <w:vAlign w:val="bottom"/>
          </w:tcPr>
          <w:p>
            <w:pPr>
              <w:spacing w:after="0"/>
              <w:rPr>
                <w:sz w:val="20"/>
                <w:szCs w:val="20"/>
                <w:color w:val="auto"/>
              </w:rPr>
            </w:pPr>
          </w:p>
        </w:tc>
        <w:tc>
          <w:tcPr>
            <w:tcW w:w="878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(incorporated by reference to Exhibit 99.4 to our Registration Statement on Form S-8 filed on July 15, 2020).</w:t>
              </w:r>
            </w:hyperlink>
          </w:p>
        </w:tc>
        <w:tc>
          <w:tcPr>
            <w:tcW w:w="680" w:type="dxa"/>
            <w:vAlign w:val="bottom"/>
            <w:gridSpan w:val="4"/>
          </w:tcPr>
          <w:p>
            <w:pPr>
              <w:spacing w:after="0"/>
              <w:rPr>
                <w:sz w:val="20"/>
                <w:szCs w:val="20"/>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10.36*</w:t>
            </w:r>
          </w:p>
        </w:tc>
        <w:tc>
          <w:tcPr>
            <w:tcW w:w="7300" w:type="dxa"/>
            <w:vAlign w:val="bottom"/>
            <w:tcBorders>
              <w:bottom w:val="single" w:sz="8" w:color="0000EE"/>
            </w:tcBorders>
            <w:gridSpan w:val="7"/>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MagnaChip Semiconductor Corporation 2020 Form of Restricted Stock Units Agreement—Financial</w:t>
              </w:r>
            </w:hyperlink>
          </w:p>
        </w:tc>
        <w:tc>
          <w:tcPr>
            <w:tcW w:w="2160" w:type="dxa"/>
            <w:vAlign w:val="bottom"/>
            <w:gridSpan w:val="6"/>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87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Performance (Non-CEO Section 16 Officers) (incorporated by reference to Exhibit 99.5 to our Registration Statement on</w:t>
              </w:r>
            </w:hyperlink>
          </w:p>
        </w:tc>
        <w:tc>
          <w:tcPr>
            <w:tcW w:w="740" w:type="dxa"/>
            <w:vAlign w:val="bottom"/>
            <w:gridSpan w:val="5"/>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Form S-8 filed on July 15, 2020).</w:t>
              </w:r>
            </w:hyperlink>
          </w:p>
        </w:tc>
        <w:tc>
          <w:tcPr>
            <w:tcW w:w="7020" w:type="dxa"/>
            <w:vAlign w:val="bottom"/>
            <w:gridSpan w:val="10"/>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10.37*</w:t>
            </w:r>
          </w:p>
        </w:tc>
        <w:tc>
          <w:tcPr>
            <w:tcW w:w="9460" w:type="dxa"/>
            <w:vAlign w:val="bottom"/>
            <w:tcBorders>
              <w:bottom w:val="single" w:sz="8" w:color="0000EE"/>
            </w:tcBorders>
            <w:gridSpan w:val="13"/>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MagnaChip Semiconductor Corporation 2020 Form of Restricted Stock Units Agreement—TSR Performance (CEO) (incorporated</w:t>
              </w:r>
            </w:hyperlink>
          </w:p>
        </w:tc>
      </w:tr>
      <w:tr>
        <w:trPr>
          <w:trHeight w:val="196"/>
        </w:trPr>
        <w:tc>
          <w:tcPr>
            <w:tcW w:w="1460" w:type="dxa"/>
            <w:vAlign w:val="bottom"/>
          </w:tcPr>
          <w:p>
            <w:pPr>
              <w:spacing w:after="0"/>
              <w:rPr>
                <w:sz w:val="17"/>
                <w:szCs w:val="17"/>
                <w:color w:val="auto"/>
              </w:rPr>
            </w:pPr>
          </w:p>
        </w:tc>
        <w:tc>
          <w:tcPr>
            <w:tcW w:w="6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by reference to Exhibit 99.6 to our Registration Statement on Form S-8 filed on July 15, 2020).</w:t>
              </w:r>
            </w:hyperlink>
          </w:p>
        </w:tc>
        <w:tc>
          <w:tcPr>
            <w:tcW w:w="2600" w:type="dxa"/>
            <w:vAlign w:val="bottom"/>
            <w:gridSpan w:val="8"/>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10.38*</w:t>
            </w:r>
          </w:p>
        </w:tc>
        <w:tc>
          <w:tcPr>
            <w:tcW w:w="6960" w:type="dxa"/>
            <w:vAlign w:val="bottom"/>
            <w:tcBorders>
              <w:bottom w:val="single" w:sz="8" w:color="0000EE"/>
            </w:tcBorders>
            <w:gridSpan w:val="6"/>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MagnaChip Semiconductor Corporation 2020 Form of Restricted Stock Units Agreement—TSR</w:t>
              </w:r>
            </w:hyperlink>
          </w:p>
        </w:tc>
        <w:tc>
          <w:tcPr>
            <w:tcW w:w="2500" w:type="dxa"/>
            <w:vAlign w:val="bottom"/>
            <w:gridSpan w:val="7"/>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87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Performance (Non-CEO Section 16 Officers) (incorporated by reference to Exhibit 99.7 to our Registration Statement on</w:t>
              </w:r>
            </w:hyperlink>
          </w:p>
        </w:tc>
        <w:tc>
          <w:tcPr>
            <w:tcW w:w="740" w:type="dxa"/>
            <w:vAlign w:val="bottom"/>
            <w:gridSpan w:val="5"/>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Form S-8 filed on July 15, 2020).</w:t>
              </w:r>
            </w:hyperlink>
          </w:p>
        </w:tc>
        <w:tc>
          <w:tcPr>
            <w:tcW w:w="7040" w:type="dxa"/>
            <w:vAlign w:val="bottom"/>
            <w:gridSpan w:val="11"/>
          </w:tcPr>
          <w:p>
            <w:pPr>
              <w:spacing w:after="0"/>
              <w:rPr>
                <w:sz w:val="17"/>
                <w:szCs w:val="17"/>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21.1#</w:t>
            </w:r>
          </w:p>
        </w:tc>
        <w:tc>
          <w:tcPr>
            <w:tcW w:w="9460" w:type="dxa"/>
            <w:vAlign w:val="bottom"/>
            <w:gridSpan w:val="13"/>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Subsidiaries of the Registrant</w:t>
              </w:r>
            </w:hyperlink>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9460" w:type="dxa"/>
            <w:vAlign w:val="bottom"/>
            <w:gridSpan w:val="13"/>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Consent of Samil PricewaterhouseCoopers</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gridSpan w:val="13"/>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of Chief Executive Officer required by Rule 13(a)-14(a), as adopted pursuant to § 302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8">
              <w:r>
                <w:rPr>
                  <w:rFonts w:ascii="Arial" w:cs="Arial" w:eastAsia="Arial" w:hAnsi="Arial"/>
                  <w:sz w:val="18"/>
                  <w:szCs w:val="18"/>
                  <w:color w:val="0000EE"/>
                  <w:w w:val="84"/>
                </w:rPr>
                <w:t>2002</w:t>
              </w:r>
            </w:hyperlink>
          </w:p>
        </w:tc>
        <w:tc>
          <w:tcPr>
            <w:tcW w:w="2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9460" w:type="dxa"/>
            <w:vAlign w:val="bottom"/>
            <w:gridSpan w:val="13"/>
          </w:tcPr>
          <w:p>
            <w:pP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Certification of Chief Financial Officer required by Rule 13(a)-14(a), as adopted pursuant to § 302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9">
              <w:r>
                <w:rPr>
                  <w:rFonts w:ascii="Arial" w:cs="Arial" w:eastAsia="Arial" w:hAnsi="Arial"/>
                  <w:sz w:val="18"/>
                  <w:szCs w:val="18"/>
                  <w:color w:val="0000EE"/>
                  <w:w w:val="84"/>
                </w:rPr>
                <w:t>2002</w:t>
              </w:r>
            </w:hyperlink>
          </w:p>
        </w:tc>
        <w:tc>
          <w:tcPr>
            <w:tcW w:w="2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9460" w:type="dxa"/>
            <w:vAlign w:val="bottom"/>
            <w:gridSpan w:val="13"/>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Certification of Chief Executive Officer required by 18 U.S.C § 1350, as adopted pursuant to § 906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30">
              <w:r>
                <w:rPr>
                  <w:rFonts w:ascii="Arial" w:cs="Arial" w:eastAsia="Arial" w:hAnsi="Arial"/>
                  <w:sz w:val="18"/>
                  <w:szCs w:val="18"/>
                  <w:color w:val="0000EE"/>
                  <w:w w:val="84"/>
                </w:rPr>
                <w:t>2002</w:t>
              </w:r>
            </w:hyperlink>
          </w:p>
        </w:tc>
        <w:tc>
          <w:tcPr>
            <w:tcW w:w="2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460" w:type="dxa"/>
            <w:vAlign w:val="bottom"/>
            <w:gridSpan w:val="13"/>
          </w:tcPr>
          <w:p>
            <w:pPr>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Certification of Chief Financial Officer required by 18 U.S.C. § 1350, as adopted pursuant to § 906 of the Sarbanes-Oxley Act of</w:t>
              </w:r>
            </w:hyperlink>
          </w:p>
        </w:tc>
      </w:tr>
      <w:tr>
        <w:trPr>
          <w:trHeight w:val="196"/>
        </w:trPr>
        <w:tc>
          <w:tcPr>
            <w:tcW w:w="1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31">
              <w:r>
                <w:rPr>
                  <w:rFonts w:ascii="Arial" w:cs="Arial" w:eastAsia="Arial" w:hAnsi="Arial"/>
                  <w:sz w:val="18"/>
                  <w:szCs w:val="18"/>
                  <w:color w:val="0000EE"/>
                  <w:w w:val="84"/>
                </w:rPr>
                <w:t>2002</w:t>
              </w:r>
            </w:hyperlink>
          </w:p>
        </w:tc>
        <w:tc>
          <w:tcPr>
            <w:tcW w:w="2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46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120" w:right="2660" w:hanging="4"/>
        <w:spacing w:after="0" w:line="258" w:lineRule="auto"/>
        <w:tabs>
          <w:tab w:leader="none" w:pos="5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86" w:right="45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19202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Date:</w:t>
        <w:tab/>
        <w:t>March 9, 2021</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Young-Joon Kim, </w:t>
      </w:r>
      <w:r>
        <w:rPr>
          <w:rFonts w:ascii="Arial" w:cs="Arial" w:eastAsia="Arial" w:hAnsi="Arial"/>
          <w:sz w:val="16"/>
          <w:szCs w:val="16"/>
          <w:i w:val="1"/>
          <w:iCs w:val="1"/>
          <w:color w:val="auto"/>
        </w:rPr>
        <w:t>Chief Executive Officer and Director (Principal Executive Officer)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Young Soo Woo, </w:t>
      </w:r>
      <w:r>
        <w:rPr>
          <w:rFonts w:ascii="Arial" w:cs="Arial" w:eastAsia="Arial" w:hAnsi="Arial"/>
          <w:sz w:val="18"/>
          <w:szCs w:val="18"/>
          <w:i w:val="1"/>
          <w:iCs w:val="1"/>
          <w:color w:val="auto"/>
        </w:rPr>
        <w:t>Chief Financial Officer (Principal Financial Officer)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Melvin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Non-Executive Chairman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Gary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Nader Tavakoli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Liz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43973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Liz Chung, </w:t>
      </w:r>
      <w:r>
        <w:rPr>
          <w:rFonts w:ascii="Arial" w:cs="Arial" w:eastAsia="Arial" w:hAnsi="Arial"/>
          <w:sz w:val="18"/>
          <w:szCs w:val="18"/>
          <w:i w:val="1"/>
          <w:iCs w:val="1"/>
          <w:color w:val="auto"/>
        </w:rPr>
        <w:t>Director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4"/>
          <w:szCs w:val="14"/>
          <w:b w:val="1"/>
          <w:bCs w:val="1"/>
          <w:u w:val="single" w:color="auto"/>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9, 2021</w:t>
      </w:r>
    </w:p>
    <w:p>
      <w:pPr>
        <w:sectPr>
          <w:pgSz w:w="11900" w:h="16838" w:orient="portrait"/>
          <w:cols w:equalWidth="0" w:num="2">
            <w:col w:w="7940" w:space="720"/>
            <w:col w:w="2440"/>
          </w:cols>
          <w:pgMar w:left="320" w:top="486" w:right="47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MAGNACHIP SEMICONDUCTOR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gridSpan w:val="2"/>
          </w:tcPr>
          <w:p>
            <w:pPr>
              <w:ind w:left="2500"/>
              <w:spacing w:after="0"/>
              <w:rPr>
                <w:sz w:val="20"/>
                <w:szCs w:val="20"/>
                <w:color w:val="auto"/>
              </w:rPr>
            </w:pPr>
            <w:r>
              <w:rPr>
                <w:rFonts w:ascii="Arial" w:cs="Arial" w:eastAsia="Arial" w:hAnsi="Arial"/>
                <w:sz w:val="14"/>
                <w:szCs w:val="14"/>
                <w:color w:val="auto"/>
              </w:rPr>
              <w:t>Subsidiary</w:t>
            </w:r>
          </w:p>
        </w:tc>
        <w:tc>
          <w:tcPr>
            <w:tcW w:w="5280" w:type="dxa"/>
            <w:vAlign w:val="bottom"/>
          </w:tcPr>
          <w:p>
            <w:pPr>
              <w:jc w:val="center"/>
              <w:spacing w:after="0"/>
              <w:rPr>
                <w:sz w:val="20"/>
                <w:szCs w:val="20"/>
                <w:color w:val="auto"/>
              </w:rPr>
            </w:pPr>
            <w:r>
              <w:rPr>
                <w:rFonts w:ascii="Arial" w:cs="Arial" w:eastAsia="Arial" w:hAnsi="Arial"/>
                <w:sz w:val="14"/>
                <w:szCs w:val="14"/>
                <w:color w:val="auto"/>
                <w:w w:val="96"/>
              </w:rPr>
              <w:t>Jurisdiction of Incorporation</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MagnaChip Semiconductor S.A.</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Luxembourg</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B.V.</w:t>
            </w:r>
          </w:p>
        </w:tc>
        <w:tc>
          <w:tcPr>
            <w:tcW w:w="5280" w:type="dxa"/>
            <w:vAlign w:val="bottom"/>
          </w:tcPr>
          <w:p>
            <w:pPr>
              <w:jc w:val="center"/>
              <w:spacing w:after="0"/>
              <w:rPr>
                <w:sz w:val="20"/>
                <w:szCs w:val="20"/>
                <w:color w:val="auto"/>
              </w:rPr>
            </w:pPr>
            <w:r>
              <w:rPr>
                <w:rFonts w:ascii="Arial" w:cs="Arial" w:eastAsia="Arial" w:hAnsi="Arial"/>
                <w:sz w:val="18"/>
                <w:szCs w:val="18"/>
                <w:color w:val="auto"/>
                <w:w w:val="88"/>
              </w:rPr>
              <w:t>The Netherlands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SA Holdings LLC</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Taiwan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Hong Kong SAR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Inc.</w:t>
            </w:r>
          </w:p>
        </w:tc>
        <w:tc>
          <w:tcPr>
            <w:tcW w:w="5280" w:type="dxa"/>
            <w:vAlign w:val="bottom"/>
          </w:tcPr>
          <w:p>
            <w:pPr>
              <w:jc w:val="center"/>
              <w:spacing w:after="0"/>
              <w:rPr>
                <w:sz w:val="20"/>
                <w:szCs w:val="20"/>
                <w:color w:val="auto"/>
              </w:rPr>
            </w:pPr>
            <w:r>
              <w:rPr>
                <w:rFonts w:ascii="Arial" w:cs="Arial" w:eastAsia="Arial" w:hAnsi="Arial"/>
                <w:sz w:val="18"/>
                <w:szCs w:val="18"/>
                <w:color w:val="auto"/>
                <w:w w:val="85"/>
              </w:rPr>
              <w:t>Japan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Holding Company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British Virgin Islands</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Magnachip Semiconductor (Shanghai) Company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China</w:t>
            </w:r>
          </w:p>
        </w:tc>
      </w:tr>
    </w:tbl>
    <w:p>
      <w:pPr>
        <w:sectPr>
          <w:pgSz w:w="11900" w:h="16838" w:orient="portrait"/>
          <w:cols w:equalWidth="0" w:num="1">
            <w:col w:w="11020"/>
          </w:cols>
          <w:pgMar w:left="440" w:top="121"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333-172864, 333-180696, 333-186789, 333-202120, 333-209756, 333-216204, 333-223155, 333-229811, 333-236565 and 333-239872) of Magnachip Semiconductor Corporation of our report dated March 9, 2021 relating to the financial statements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020"/>
          </w:cols>
          <w:pgMar w:left="440" w:top="121"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March 9,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970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Young Soo Woo, certify that:</w:t>
      </w:r>
    </w:p>
    <w:p>
      <w:pPr>
        <w:spacing w:after="0" w:line="131"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March 9,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970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24"/>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2020 as filed with the Securities and Exchange</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7" w:lineRule="exact"/>
        <w:rPr>
          <w:rFonts w:ascii="Arial" w:cs="Arial" w:eastAsia="Arial" w:hAnsi="Arial"/>
          <w:sz w:val="17"/>
          <w:szCs w:val="17"/>
          <w:color w:val="auto"/>
        </w:rPr>
      </w:pPr>
    </w:p>
    <w:p>
      <w:pPr>
        <w:ind w:right="720" w:firstLine="436"/>
        <w:spacing w:after="0" w:line="277"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52"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24"/>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2020 as filed with the Securities and Exchange</w:t>
      </w:r>
    </w:p>
    <w:p>
      <w:pPr>
        <w:spacing w:after="0" w:line="34" w:lineRule="exact"/>
        <w:rPr>
          <w:rFonts w:ascii="Arial" w:cs="Arial" w:eastAsia="Arial" w:hAnsi="Arial"/>
          <w:sz w:val="17"/>
          <w:szCs w:val="17"/>
          <w:color w:val="auto"/>
        </w:rPr>
      </w:pPr>
    </w:p>
    <w:p>
      <w:pPr>
        <w:ind w:right="300"/>
        <w:spacing w:after="0" w:line="260"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7" w:lineRule="exact"/>
        <w:rPr>
          <w:rFonts w:ascii="Arial" w:cs="Arial" w:eastAsia="Arial" w:hAnsi="Arial"/>
          <w:sz w:val="17"/>
          <w:szCs w:val="17"/>
          <w:color w:val="auto"/>
        </w:rPr>
      </w:pPr>
    </w:p>
    <w:p>
      <w:pPr>
        <w:ind w:right="720" w:firstLine="436"/>
        <w:spacing w:after="0" w:line="277"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52"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5"/>
    </w:lvl>
    <w:lvl w:ilvl="1">
      <w:lvlJc w:val="left"/>
      <w:lvlText w:val="•"/>
      <w:numFmt w:val="bullet"/>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5"/>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Roman"/>
      <w:start w:val="5"/>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4"/>
    </w:lvl>
    <w:lvl w:ilvl="1">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Roman"/>
      <w:start w:val="3"/>
    </w:lvl>
  </w:abstractNum>
  <w:abstractNum w:abstractNumId="38">
    <w:nsid w:val="6A2342EC"/>
    <w:multiLevelType w:val="hybridMultilevel"/>
    <w:lvl w:ilvl="0">
      <w:lvlJc w:val="left"/>
      <w:lvlText w:val="(%1)"/>
      <w:numFmt w:val="lowerRoman"/>
      <w:start w:val="3"/>
    </w:lvl>
  </w:abstractNum>
  <w:abstractNum w:abstractNumId="39">
    <w:nsid w:val="2A487CB0"/>
    <w:multiLevelType w:val="hybridMultilevel"/>
    <w:lvl w:ilvl="0">
      <w:lvlJc w:val="left"/>
      <w:lvlText w:val="(%1)"/>
      <w:numFmt w:val="lowerLetter"/>
      <w:start w:val="5"/>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6"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146" Type="http://schemas.openxmlformats.org/officeDocument/2006/relationships/hyperlink" Target="http://www.sec.gov/Archives/edgar/data/1325702/000119312520091932/d908763dex101.htm" TargetMode="External"/><Relationship Id="rId147" Type="http://schemas.openxmlformats.org/officeDocument/2006/relationships/hyperlink" Target="http://www.sec.gov/Archives/edgar/data/1325702/000119312511062703/dex31.htm" TargetMode="External"/><Relationship Id="rId148" Type="http://schemas.openxmlformats.org/officeDocument/2006/relationships/hyperlink" Target="http://www.sec.gov/Archives/edgar/data/1325702/000119312511062703/dex32.htm" TargetMode="External"/><Relationship Id="rId149" Type="http://schemas.openxmlformats.org/officeDocument/2006/relationships/hyperlink" Target="http://www.sec.gov/Archives/edgar/data/1325702/000119312520329844/d85816dex31.htm" TargetMode="External"/><Relationship Id="rId150" Type="http://schemas.openxmlformats.org/officeDocument/2006/relationships/hyperlink" Target="http://www.sec.gov/Archives/edgar/data/1325702/000119312516582070/d161114dex31.htm" TargetMode="External"/><Relationship Id="rId151" Type="http://schemas.openxmlformats.org/officeDocument/2006/relationships/hyperlink" Target="http://www.sec.gov/Archives/edgar/data/1325702/000095012310047545/f54652a2exv3w6.htm" TargetMode="External"/><Relationship Id="rId152" Type="http://schemas.openxmlformats.org/officeDocument/2006/relationships/hyperlink" Target="http://www.sec.gov/Archives/edgar/data/1325702/000095014215000541/eh1500371_ex0301.htm" TargetMode="External"/><Relationship Id="rId153" Type="http://schemas.openxmlformats.org/officeDocument/2006/relationships/hyperlink" Target="http://www.sec.gov/Archives/edgar/data/1325702/000119312520044746/d878295dex46.htm" TargetMode="External"/><Relationship Id="rId154" Type="http://schemas.openxmlformats.org/officeDocument/2006/relationships/hyperlink" Target="http://www.sec.gov/Archives/edgar/data/1325702/000095012310036061/f54652a1exv10w2.htm" TargetMode="External"/><Relationship Id="rId155" Type="http://schemas.openxmlformats.org/officeDocument/2006/relationships/hyperlink" Target="http://www.sec.gov/Archives/edgar/data/1113806/000119312510229129/dex108.htm" TargetMode="External"/><Relationship Id="rId157" Type="http://schemas.openxmlformats.org/officeDocument/2006/relationships/hyperlink" Target="http://www.sec.gov/Archives/edgar/data/1325702/000095012310024348/f54652orexv10w17.htm" TargetMode="External"/><Relationship Id="rId158" Type="http://schemas.openxmlformats.org/officeDocument/2006/relationships/hyperlink" Target="http://www.sec.gov/Archives/edgar/data/1325702/000119312516673542/d169579dex102.htm" TargetMode="External"/><Relationship Id="rId159" Type="http://schemas.openxmlformats.org/officeDocument/2006/relationships/hyperlink" Target="http://www.sec.gov/Archives/edgar/data/1325702/000095012310024348/f54652orexv10w20.htm" TargetMode="External"/><Relationship Id="rId160" Type="http://schemas.openxmlformats.org/officeDocument/2006/relationships/hyperlink" Target="http://www.sec.gov/Archives/edgar/data/1325702/000095012310024348/f54652orexv10w21.htm" TargetMode="External"/><Relationship Id="rId161" Type="http://schemas.openxmlformats.org/officeDocument/2006/relationships/hyperlink" Target="http://www.sec.gov/Archives/edgar/data/1325702/000095012310024348/f54652orexv10w22.htm" TargetMode="External"/><Relationship Id="rId162" Type="http://schemas.openxmlformats.org/officeDocument/2006/relationships/hyperlink" Target="http://www.sec.gov/Archives/edgar/data/1325702/000095012310024348/f54652orexv10w23.htm" TargetMode="External"/><Relationship Id="rId163" Type="http://schemas.openxmlformats.org/officeDocument/2006/relationships/hyperlink" Target="http://www.sec.gov/Archives/edgar/data/1325702/000095012310024348/f54652orexv10w24.htm" TargetMode="External"/><Relationship Id="rId164" Type="http://schemas.openxmlformats.org/officeDocument/2006/relationships/hyperlink" Target="http://www.sec.gov/Archives/edgar/data/1325702/000119312519048327/d695091dex1024.htm" TargetMode="External"/><Relationship Id="rId165" Type="http://schemas.openxmlformats.org/officeDocument/2006/relationships/hyperlink" Target="http://www.sec.gov/Archives/edgar/data/1325702/000119312520171326/d922566dex101.htm" TargetMode="External"/><Relationship Id="rId166" Type="http://schemas.openxmlformats.org/officeDocument/2006/relationships/hyperlink" Target="http://www.sec.gov/Archives/edgar/data/1325702/000119312511039495/dex1026.htm" TargetMode="External"/><Relationship Id="rId167" Type="http://schemas.openxmlformats.org/officeDocument/2006/relationships/hyperlink" Target="http://www.sec.gov/Archives/edgar/data/1325702/000095012310024348/f54652orexv10w42.htm" TargetMode="External"/><Relationship Id="rId168" Type="http://schemas.openxmlformats.org/officeDocument/2006/relationships/hyperlink" Target="http://www.sec.gov/Archives/edgar/data/1325702/000119312515370252/d78736dex105.htm" TargetMode="External"/><Relationship Id="rId169" Type="http://schemas.openxmlformats.org/officeDocument/2006/relationships/hyperlink" Target="http://www.sec.gov/Archives/edgar/data/1325702/000119312519048327/d695091dex10262.htm" TargetMode="External"/><Relationship Id="rId170" Type="http://schemas.openxmlformats.org/officeDocument/2006/relationships/hyperlink" Target="http://www.sec.gov/Archives/edgar/data/1325702/000095012310024348/f54652orexv10w49.htm" TargetMode="External"/><Relationship Id="rId173" Type="http://schemas.openxmlformats.org/officeDocument/2006/relationships/hyperlink" Target="http://www.sec.gov/Archives/edgar/data/1325702/000119312515046730/d655531dex1035.htm" TargetMode="External"/><Relationship Id="rId174" Type="http://schemas.openxmlformats.org/officeDocument/2006/relationships/hyperlink" Target="http://www.sec.gov/Archives/edgar/data/1325702/000119312515370252/d78736dex103.htm" TargetMode="External"/><Relationship Id="rId175" Type="http://schemas.openxmlformats.org/officeDocument/2006/relationships/hyperlink" Target="http://www.sec.gov/Archives/edgar/data/1325702/000119312520088874/d875391dex101.htm" TargetMode="External"/><Relationship Id="rId176" Type="http://schemas.openxmlformats.org/officeDocument/2006/relationships/hyperlink" Target="http://www.sec.gov/Archives/edgar/data/1325702/000119312515046730/d655531dex1036.htm" TargetMode="External"/><Relationship Id="rId177" Type="http://schemas.openxmlformats.org/officeDocument/2006/relationships/hyperlink" Target="http://www.sec.gov/Archives/edgar/data/1325702/000119312515370252/d78736dex101.htm" TargetMode="External"/><Relationship Id="rId178" Type="http://schemas.openxmlformats.org/officeDocument/2006/relationships/hyperlink" Target="http://www.sec.gov/Archives/edgar/data/1325702/000119312515370252/d78736dex102.htm" TargetMode="External"/><Relationship Id="rId179" Type="http://schemas.openxmlformats.org/officeDocument/2006/relationships/hyperlink" Target="http://www.sec.gov/Archives/edgar/data/1325702/000119312518138973/d571231dex101.htm" TargetMode="External"/><Relationship Id="rId180" Type="http://schemas.openxmlformats.org/officeDocument/2006/relationships/hyperlink" Target="http://www.sec.gov/Archives/edgar/data/1325702/000119312519048327/d695091dex10294.htm" TargetMode="External"/><Relationship Id="rId181" Type="http://schemas.openxmlformats.org/officeDocument/2006/relationships/hyperlink" Target="http://www.sec.gov/Archives/edgar/data/1325702/000119312518138973/d571231dex102.htm" TargetMode="External"/><Relationship Id="rId182" Type="http://schemas.openxmlformats.org/officeDocument/2006/relationships/hyperlink" Target="http://www.sec.gov/Archives/edgar/data/1325702/000119312518138973/d571231dex103.htm" TargetMode="External"/><Relationship Id="rId183" Type="http://schemas.openxmlformats.org/officeDocument/2006/relationships/hyperlink" Target="http://www.sec.gov/Archives/edgar/data/1325702/000119312518138973/d571231dex104.htm" TargetMode="External"/><Relationship Id="rId184" Type="http://schemas.openxmlformats.org/officeDocument/2006/relationships/hyperlink" Target="http://www.sec.gov/Archives/edgar/data/1325702/000119312515046730/d655531dex1037.htm" TargetMode="External"/><Relationship Id="rId185" Type="http://schemas.openxmlformats.org/officeDocument/2006/relationships/hyperlink" Target="http://www.sec.gov/Archives/edgar/data/1325702/000119312515370252/d78736dex104.htm" TargetMode="External"/><Relationship Id="rId186" Type="http://schemas.openxmlformats.org/officeDocument/2006/relationships/hyperlink" Target="http://www.sec.gov/Archives/edgar/data/1325702/000119312518309120/d645333dex101.htm" TargetMode="External"/><Relationship Id="rId187" Type="http://schemas.openxmlformats.org/officeDocument/2006/relationships/hyperlink" Target="http://www.sec.gov/Archives/edgar/data/1325702/000119312516470674/d103672dex1036.htm" TargetMode="External"/><Relationship Id="rId190" Type="http://schemas.openxmlformats.org/officeDocument/2006/relationships/hyperlink" Target="http://www.sec.gov/Archives/edgar/data/1325702/000119312515370252/d78736dex106.htm" TargetMode="External"/><Relationship Id="rId191" Type="http://schemas.openxmlformats.org/officeDocument/2006/relationships/hyperlink" Target="http://www.sec.gov/Archives/edgar/data/1325702/000119312518309120/d645333dex102.htm" TargetMode="External"/><Relationship Id="rId192" Type="http://schemas.openxmlformats.org/officeDocument/2006/relationships/hyperlink" Target="http://www.sec.gov/Archives/edgar/data/1325702/000119312520212439/d53649dex108.htm" TargetMode="External"/><Relationship Id="rId193" Type="http://schemas.openxmlformats.org/officeDocument/2006/relationships/hyperlink" Target="http://www.sec.gov/Archives/edgar/data/1325702/000119312520212439/d53649dex109.htm" TargetMode="External"/><Relationship Id="rId194" Type="http://schemas.openxmlformats.org/officeDocument/2006/relationships/hyperlink" Target="http://www.sec.gov/Archives/edgar/data/1325702/000119312511211470/dex1054.htm" TargetMode="External"/><Relationship Id="rId195" Type="http://schemas.openxmlformats.org/officeDocument/2006/relationships/hyperlink" Target="http://www.sec.gov/Archives/edgar/data/1325702/000119312511039495/dex1055.htm" TargetMode="External"/><Relationship Id="rId196" Type="http://schemas.openxmlformats.org/officeDocument/2006/relationships/hyperlink" Target="http://www.sec.gov/Archives/edgar/data/1325702/000119312511039495/dex1056.htm" TargetMode="External"/><Relationship Id="rId197" Type="http://schemas.openxmlformats.org/officeDocument/2006/relationships/hyperlink" Target="http://www.sec.gov/Archives/edgar/data/1325702/000119312511039495/dex1057.htm" TargetMode="External"/><Relationship Id="rId198" Type="http://schemas.openxmlformats.org/officeDocument/2006/relationships/hyperlink" Target="http://www.sec.gov/Archives/edgar/data/1325702/000119312511039495/dex1058.htm" TargetMode="External"/><Relationship Id="rId199" Type="http://schemas.openxmlformats.org/officeDocument/2006/relationships/hyperlink" Target="http://www.sec.gov/Archives/edgar/data/1325702/000119312511039495/dex1059.htm" TargetMode="External"/><Relationship Id="rId200" Type="http://schemas.openxmlformats.org/officeDocument/2006/relationships/hyperlink" Target="http://www.sec.gov/Archives/edgar/data/1325702/000119312511039495/dex1060.htm" TargetMode="External"/><Relationship Id="rId201" Type="http://schemas.openxmlformats.org/officeDocument/2006/relationships/hyperlink" Target="http://www.sec.gov/Archives/edgar/data/1325702/000119312516580819/d184718dex101.htm" TargetMode="External"/><Relationship Id="rId202" Type="http://schemas.openxmlformats.org/officeDocument/2006/relationships/hyperlink" Target="http://www.sec.gov/Archives/edgar/data/1325702/000119312518309120/d645333dex103.htm" TargetMode="External"/><Relationship Id="rId203" Type="http://schemas.openxmlformats.org/officeDocument/2006/relationships/hyperlink" Target="http://www.sec.gov/Archives/edgar/data/1325702/000119312518309120/d645333dex104.htm" TargetMode="External"/><Relationship Id="rId204" Type="http://schemas.openxmlformats.org/officeDocument/2006/relationships/hyperlink" Target="http://www.sec.gov/Archives/edgar/data/1325702/000119312518309120/d645333dex105.htm" TargetMode="External"/><Relationship Id="rId207" Type="http://schemas.openxmlformats.org/officeDocument/2006/relationships/hyperlink" Target="http://www.sec.gov/Archives/edgar/data/1325702/000119312520193326/d945107dex992.htm" TargetMode="External"/><Relationship Id="rId208" Type="http://schemas.openxmlformats.org/officeDocument/2006/relationships/hyperlink" Target="http://www.sec.gov/Archives/edgar/data/1325702/000119312520193326/d945107dex993.htm" TargetMode="External"/><Relationship Id="rId209" Type="http://schemas.openxmlformats.org/officeDocument/2006/relationships/hyperlink" Target="http://www.sec.gov/Archives/edgar/data/1325702/000119312520193326/d945107dex994.htm" TargetMode="External"/><Relationship Id="rId210" Type="http://schemas.openxmlformats.org/officeDocument/2006/relationships/hyperlink" Target="http://www.sec.gov/Archives/edgar/data/1325702/000119312520193326/d945107dex995.htm" TargetMode="External"/><Relationship Id="rId211" Type="http://schemas.openxmlformats.org/officeDocument/2006/relationships/hyperlink" Target="http://www.sec.gov/Archives/edgar/data/1325702/000119312520193326/d945107dex996.htm" TargetMode="External"/><Relationship Id="rId212" Type="http://schemas.openxmlformats.org/officeDocument/2006/relationships/hyperlink" Target="http://www.sec.gov/Archives/edgar/data/1325702/000119312520193326/d945107dex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2021-03-09T05:24:19Z</dcterms:created>
  <dcterms:modified xsi:type="dcterms:W3CDTF">2021-03-09T05:24:19Z</dcterms:modified>
</cp:coreProperties>
</file>