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175260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(the “Proxy Statement”).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Litigation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Since April 22, 2021, eleven complaints (each, a “Shareholder Complaint,” and together, the “Shareholder Complaints”) have been filed seeking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enjoin the Merger, or, if the Merger is consummated, rescind the Merger or recover damages, as well as an award of each plaintiff’s fees and litigation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expenses. The Shareholder Complaints, each filed as an individual action by a purported stockholder of the Company, are captioned as </w:t>
      </w:r>
      <w:r>
        <w:rPr>
          <w:rFonts w:ascii="Arial" w:cs="Arial" w:eastAsia="Arial" w:hAnsi="Arial"/>
          <w:sz w:val="16"/>
          <w:szCs w:val="16"/>
          <w:i w:val="1"/>
          <w:iCs w:val="1"/>
          <w:color w:val="auto"/>
        </w:rPr>
        <w:t>Schulthess 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Magnachip Semiconductor Corporation, et al.</w:t>
      </w:r>
      <w:r>
        <w:rPr>
          <w:rFonts w:ascii="Arial" w:cs="Arial" w:eastAsia="Arial" w:hAnsi="Arial"/>
          <w:sz w:val="16"/>
          <w:szCs w:val="16"/>
          <w:color w:val="auto"/>
        </w:rPr>
        <w:t>, Case No. 1:21-cv-03587 (S.D.N.Y.) (the “Schulthess Complaint”),</w:t>
      </w:r>
      <w:r>
        <w:rPr>
          <w:rFonts w:ascii="Arial" w:cs="Arial" w:eastAsia="Arial" w:hAnsi="Arial"/>
          <w:sz w:val="16"/>
          <w:szCs w:val="16"/>
          <w:i w:val="1"/>
          <w:iCs w:val="1"/>
          <w:color w:val="auto"/>
        </w:rPr>
        <w:t xml:space="preserve"> Pittman v. Magnachip Semiconductor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Corporation, et al.</w:t>
      </w:r>
      <w:r>
        <w:rPr>
          <w:rFonts w:ascii="Arial" w:cs="Arial" w:eastAsia="Arial" w:hAnsi="Arial"/>
          <w:sz w:val="17"/>
          <w:szCs w:val="17"/>
          <w:color w:val="auto"/>
        </w:rPr>
        <w:t>, Case No. 1:21-cv-02306 (E.D.N.Y.),</w:t>
      </w:r>
      <w:r>
        <w:rPr>
          <w:rFonts w:ascii="Arial" w:cs="Arial" w:eastAsia="Arial" w:hAnsi="Arial"/>
          <w:sz w:val="17"/>
          <w:szCs w:val="17"/>
          <w:i w:val="1"/>
          <w:iCs w:val="1"/>
          <w:color w:val="auto"/>
        </w:rPr>
        <w:t xml:space="preserve"> Flanagan v. Magnachip Semiconductor Corporation, et al.</w:t>
      </w:r>
      <w:r>
        <w:rPr>
          <w:rFonts w:ascii="Arial" w:cs="Arial" w:eastAsia="Arial" w:hAnsi="Arial"/>
          <w:sz w:val="17"/>
          <w:szCs w:val="17"/>
          <w:color w:val="auto"/>
        </w:rPr>
        <w:t>, Case No. 1:21-cv-03743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(S.D.N.Y.), </w:t>
      </w:r>
      <w:r>
        <w:rPr>
          <w:rFonts w:ascii="Arial" w:cs="Arial" w:eastAsia="Arial" w:hAnsi="Arial"/>
          <w:sz w:val="17"/>
          <w:szCs w:val="17"/>
          <w:i w:val="1"/>
          <w:iCs w:val="1"/>
          <w:color w:val="auto"/>
        </w:rPr>
        <w:t>Castelli v. Magnachip Semiconductor Corporation, et al.</w:t>
      </w:r>
      <w:r>
        <w:rPr>
          <w:rFonts w:ascii="Arial" w:cs="Arial" w:eastAsia="Arial" w:hAnsi="Arial"/>
          <w:sz w:val="17"/>
          <w:szCs w:val="17"/>
          <w:color w:val="auto"/>
        </w:rPr>
        <w:t xml:space="preserve">, Case No. 1:21-cv-03769 (S.D.N.Y.) (the “Castelli Complaint”), </w:t>
      </w:r>
      <w:r>
        <w:rPr>
          <w:rFonts w:ascii="Arial" w:cs="Arial" w:eastAsia="Arial" w:hAnsi="Arial"/>
          <w:sz w:val="17"/>
          <w:szCs w:val="17"/>
          <w:i w:val="1"/>
          <w:iCs w:val="1"/>
          <w:color w:val="auto"/>
        </w:rPr>
        <w:t>Doolittle 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Magnachip Semiconductor Corporation, et al.</w:t>
      </w:r>
      <w:r>
        <w:rPr>
          <w:rFonts w:ascii="Arial" w:cs="Arial" w:eastAsia="Arial" w:hAnsi="Arial"/>
          <w:sz w:val="16"/>
          <w:szCs w:val="16"/>
          <w:color w:val="auto"/>
        </w:rPr>
        <w:t>, Case No. 1:21-cv-03801 (S.D.N.Y.),</w:t>
      </w:r>
      <w:r>
        <w:rPr>
          <w:rFonts w:ascii="Arial" w:cs="Arial" w:eastAsia="Arial" w:hAnsi="Arial"/>
          <w:sz w:val="16"/>
          <w:szCs w:val="16"/>
          <w:i w:val="1"/>
          <w:iCs w:val="1"/>
          <w:color w:val="auto"/>
        </w:rPr>
        <w:t xml:space="preserve"> Thomas v. Magnachip Semiconductor Corporation, et al.</w:t>
      </w:r>
      <w:r>
        <w:rPr>
          <w:rFonts w:ascii="Arial" w:cs="Arial" w:eastAsia="Arial" w:hAnsi="Arial"/>
          <w:sz w:val="16"/>
          <w:szCs w:val="16"/>
          <w:color w:val="auto"/>
        </w:rPr>
        <w:t>, Case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1:21-cv-03860 (S.D.N.Y.), </w:t>
      </w:r>
      <w:r>
        <w:rPr>
          <w:rFonts w:ascii="Arial" w:cs="Arial" w:eastAsia="Arial" w:hAnsi="Arial"/>
          <w:sz w:val="18"/>
          <w:szCs w:val="18"/>
          <w:i w:val="1"/>
          <w:iCs w:val="1"/>
          <w:color w:val="auto"/>
        </w:rPr>
        <w:t>Finger v. Magnachip Semiconductor Corporation, et al.</w:t>
      </w:r>
      <w:r>
        <w:rPr>
          <w:rFonts w:ascii="Arial" w:cs="Arial" w:eastAsia="Arial" w:hAnsi="Arial"/>
          <w:sz w:val="18"/>
          <w:szCs w:val="18"/>
          <w:color w:val="auto"/>
        </w:rPr>
        <w:t xml:space="preserve">, Case No. 1:21-cv-03927 (S.D.N.Y.), </w:t>
      </w:r>
      <w:r>
        <w:rPr>
          <w:rFonts w:ascii="Arial" w:cs="Arial" w:eastAsia="Arial" w:hAnsi="Arial"/>
          <w:sz w:val="18"/>
          <w:szCs w:val="18"/>
          <w:i w:val="1"/>
          <w:iCs w:val="1"/>
          <w:color w:val="auto"/>
        </w:rPr>
        <w:t>Kent v. Magnachip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 Corporation, et al.</w:t>
      </w:r>
      <w:r>
        <w:rPr>
          <w:rFonts w:ascii="Arial" w:cs="Arial" w:eastAsia="Arial" w:hAnsi="Arial"/>
          <w:sz w:val="18"/>
          <w:szCs w:val="18"/>
          <w:color w:val="auto"/>
        </w:rPr>
        <w:t>, Case No. 1:21-cv-00657 (D. Del.),</w:t>
      </w:r>
      <w:r>
        <w:rPr>
          <w:rFonts w:ascii="Arial" w:cs="Arial" w:eastAsia="Arial" w:hAnsi="Arial"/>
          <w:sz w:val="18"/>
          <w:szCs w:val="18"/>
          <w:i w:val="1"/>
          <w:iCs w:val="1"/>
          <w:color w:val="auto"/>
        </w:rPr>
        <w:t xml:space="preserve"> Kennedy v. Magnachip Semiconductor Corporation, et al.</w:t>
      </w:r>
      <w:r>
        <w:rPr>
          <w:rFonts w:ascii="Arial" w:cs="Arial" w:eastAsia="Arial" w:hAnsi="Arial"/>
          <w:sz w:val="18"/>
          <w:szCs w:val="18"/>
          <w:color w:val="auto"/>
        </w:rPr>
        <w:t>, Case No.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2:21-cv-02110 (E.D. Pa.), </w:t>
      </w:r>
      <w:r>
        <w:rPr>
          <w:rFonts w:ascii="Arial" w:cs="Arial" w:eastAsia="Arial" w:hAnsi="Arial"/>
          <w:sz w:val="16"/>
          <w:szCs w:val="16"/>
          <w:i w:val="1"/>
          <w:iCs w:val="1"/>
          <w:color w:val="auto"/>
        </w:rPr>
        <w:t>Monroy v. Magnachip Semiconductor Corporation, et al.</w:t>
      </w:r>
      <w:r>
        <w:rPr>
          <w:rFonts w:ascii="Arial" w:cs="Arial" w:eastAsia="Arial" w:hAnsi="Arial"/>
          <w:sz w:val="16"/>
          <w:szCs w:val="16"/>
          <w:color w:val="auto"/>
        </w:rPr>
        <w:t>, Case No. 1:21-cv-04921 (S.D.N.Y.) (the “Monroy Complaint”),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Jones v. Magnachip Semiconductor Corporation, et al.</w:t>
      </w:r>
      <w:r>
        <w:rPr>
          <w:rFonts w:ascii="Arial" w:cs="Arial" w:eastAsia="Arial" w:hAnsi="Arial"/>
          <w:sz w:val="17"/>
          <w:szCs w:val="17"/>
          <w:color w:val="auto"/>
        </w:rPr>
        <w:t>, Case No. 1:21-cv-04966 (S.D.N.Y.). Each Shareholder Complaint alleges either that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preliminary proxy statement filed by the Company with the SEC on April 19, 2021, or the definitive proxy statement filed by the Company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 on May 7, 2021, is false and/or misleading and asserts claims for violations of Section 14(a) and 20(a) of the Securities Exchange Act of 1934,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(the “Exchange Act”), and SEC Rule 14a-9 against the Company and certain current or former members of the Company’s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“Board”). The Schulthess Complaint, Castelli Complaint and Monroy Complaint also allege breaches of fiduciary duties by certain current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former members of the Board. The Schulthess Complaint further alleges that the Company aided and abetted purported breaches of fiduciary duties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current or former members of the Board.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w:t>
      </w:r>
    </w:p>
    <w:p>
      <w:pPr>
        <w:spacing w:after="0" w:line="12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The Company believes that no further disclosure is required to supplement the Proxy Statement under applicable laws; however, to avoid the risk that the Shareholder Complaints described above may delay or otherwise adversely affect the consummation of the Merger and to minimize the expense of defending such actions, the Company wishes to voluntarily make supplemental disclosures related to the Merger, all of which are set forth below, in response to certain of the allegations raised in the Shareholder Complaints described above. Nothing in this Current Report on Form 8-K shall be deemed an admission of the legal necessity or materiality of the disclosures set forth herein. To the contrary, the Company specifically denies all allegations in the Shareholder Complaints described herein that any additional disclosure was or is required. The information contained in this Current Report on Form 8-K is incorporated by reference into the Proxy Statement. To the extent that information in this Current Report on Form 8-K differs from or updates information contained in the Proxy Statement, the information in this Current Report on Form 8-K shall supersede or supplement the information in the Proxy Statement.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ind w:right="1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information should be read in conjunction with the Proxy Statement. All page references in the information below are to pages in the Proxy Statement, and capitalized terms used in this Current Report on Form 8-K shall have the meanings set forth in the Proxy Statement, unless otherwise defined herein. Unless stated otherwise, new text is bolded and underlined to highlight the supplemental information being provided to you.</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(1) Supplements to “Proposal 1: Adoption of the Merger Agreement and Approval of the Merger—Background of the Merger”</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following disclosures amend and supplement the existing disclosures contained under the heading “Proposal 1: Adoption of the Merger Agreement and Approval of the Merger—Background of the Merger” on page 38 of the Proxy Statement as follows:</w:t>
      </w:r>
    </w:p>
    <w:p>
      <w:pPr>
        <w:spacing w:after="0" w:line="170"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On November 9, 2020, the Company and Party A entered into a confidentiality agreement, which included a customary standstill </w:t>
      </w:r>
      <w:r>
        <w:rPr>
          <w:rFonts w:ascii="Arial" w:cs="Arial" w:eastAsia="Arial" w:hAnsi="Arial"/>
          <w:sz w:val="18"/>
          <w:szCs w:val="18"/>
          <w:b w:val="1"/>
          <w:bCs w:val="1"/>
          <w:u w:val="single" w:color="auto"/>
          <w:color w:val="auto"/>
        </w:rPr>
        <w:t>(including a prohibition on requesting the Company to waive such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 fall-away provision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(including with respect to the foregoing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prohibition)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the Company enters into a definitive agreement with another party with respect to all or a controlling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equity securities or all or substantially all of the Company’s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 Supplements to “Proposal 1: Adoption of the Merger Agreement and Approval of the Merger—Background of the Merger”</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following disclosures amend and supplement the existing disclosures contained under the heading “Proposal 1: Adoption of the Merger Agreement and Approval of the Merger—Background of the Merger” on page 41 of the Proxy Statement as follows:</w:t>
      </w:r>
    </w:p>
    <w:p>
      <w:pPr>
        <w:spacing w:after="0" w:line="170"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On January 8, 2021, at a meeting of our Board and Paul, Weiss, our Board tasked the Company’s Nominating and Governance Committee to consider forming an </w:t>
      </w:r>
      <w:r>
        <w:rPr>
          <w:rFonts w:ascii="Arial" w:cs="Arial" w:eastAsia="Arial" w:hAnsi="Arial"/>
          <w:sz w:val="17"/>
          <w:szCs w:val="17"/>
          <w:i w:val="1"/>
          <w:iCs w:val="1"/>
          <w:color w:val="auto"/>
        </w:rPr>
        <w:t>ad hoc</w:t>
      </w:r>
      <w:r>
        <w:rPr>
          <w:rFonts w:ascii="Arial" w:cs="Arial" w:eastAsia="Arial" w:hAnsi="Arial"/>
          <w:sz w:val="17"/>
          <w:szCs w:val="17"/>
          <w:color w:val="auto"/>
        </w:rPr>
        <w:t xml:space="preserve"> committee of our Board to ensure the efficient coordination of the transaction</w:t>
      </w:r>
      <w:r>
        <w:rPr>
          <w:rFonts w:ascii="Arial" w:cs="Arial" w:eastAsia="Arial" w:hAnsi="Arial"/>
          <w:sz w:val="17"/>
          <w:szCs w:val="17"/>
          <w:b w:val="1"/>
          <w:bCs w:val="1"/>
          <w:u w:val="single" w:color="auto"/>
          <w:color w:val="auto"/>
        </w:rPr>
        <w:t>, including among the Company’s various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outside advisors and management and to ensure timely interaction with potential bidders. Our Board also tasked the Company’s Nominating and Governance Committee to</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 engaging additional legal counsel for our directors and such committee.</w:t>
      </w:r>
    </w:p>
    <w:p>
      <w:pPr>
        <w:spacing w:after="0" w:line="171"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 xml:space="preserve">On January 10, 2021, the Company’s Nominating and Governance Committee had a meeting in which the relevant members of our Board determined to recommend to our Board that an </w:t>
      </w:r>
      <w:r>
        <w:rPr>
          <w:rFonts w:ascii="Arial" w:cs="Arial" w:eastAsia="Arial" w:hAnsi="Arial"/>
          <w:sz w:val="16"/>
          <w:szCs w:val="16"/>
          <w:i w:val="1"/>
          <w:iCs w:val="1"/>
          <w:color w:val="auto"/>
        </w:rPr>
        <w:t>ad hoc</w:t>
      </w:r>
      <w:r>
        <w:rPr>
          <w:rFonts w:ascii="Arial" w:cs="Arial" w:eastAsia="Arial" w:hAnsi="Arial"/>
          <w:sz w:val="16"/>
          <w:szCs w:val="16"/>
          <w:color w:val="auto"/>
        </w:rPr>
        <w:t xml:space="preserve"> committee (the “Ad Hoc Transaction Committee”) consisting of two members, Mr. Camillo Martino and Mr. Tanner, be formed to ensure the efficient coordination of the transaction by the Company, Paul, Weiss and J.P. Morgan. </w:t>
      </w:r>
      <w:r>
        <w:rPr>
          <w:rFonts w:ascii="Arial" w:cs="Arial" w:eastAsia="Arial" w:hAnsi="Arial"/>
          <w:sz w:val="16"/>
          <w:szCs w:val="16"/>
          <w:b w:val="1"/>
          <w:bCs w:val="1"/>
          <w:u w:val="single" w:color="auto"/>
          <w:color w:val="auto"/>
        </w:rPr>
        <w:t>The Ad Hoc</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u w:val="single" w:color="auto"/>
          <w:color w:val="auto"/>
        </w:rPr>
        <w:t>Transaction Committee was created primarily to represent our Board on an advisory basis in order to liaise and coordinate with our financial and legal advisors, subject to the direction and approval of our Board.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(3) Supplements to “Proposal 1: Adoption of the Merger Agreement and Approval of the Merger—Background of the Merger”</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following disclosures amend and supplement the existing disclosures contained under the heading “Proposal 1: Adoption of the Merger Agreement and Approval of the Merger—Background of the Merger” on page 44 of the Proxy Statement as follows:</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On February 2, 2021, BMO Capital Markets Corp. (including its representatives, “BMO”), the financial advisor of Wise Road, contacted Mr. Tanner to express Wise Road’s interest in exploring a potential transaction with the Company. Mr. Tanner then forwarded J.P. Morgan’s contact information to BMO</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Wise Road had not previously been contacted by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301"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(4) Supplements to “Proposal 1: Adoption of the Merger Agreement and Approval of the Merger—Background of the Merger”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following disclosures amend and supplement the existing disclosures contained under the heading “Proposal 1: Adoption of the Merger Agreement and Approval of the Merger—Background of the Merger” on page 45 of the Proxy Statement as follows:</w:t>
      </w:r>
    </w:p>
    <w:p>
      <w:pPr>
        <w:spacing w:after="0" w:line="170"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 xml:space="preserve">On February 11 and February 20, 2021, the Company entered into confidentiality agreements with each of Wise Road and Party E, respectively, which </w:t>
      </w:r>
      <w:r>
        <w:rPr>
          <w:rFonts w:ascii="Arial" w:cs="Arial" w:eastAsia="Arial" w:hAnsi="Arial"/>
          <w:sz w:val="16"/>
          <w:szCs w:val="16"/>
          <w:b w:val="1"/>
          <w:bCs w:val="1"/>
          <w:u w:val="single" w:color="auto"/>
          <w:color w:val="auto"/>
        </w:rPr>
        <w:t>were substantially similar to the confidentiality agreement that the Company executed with Party A, and which included</w:t>
      </w:r>
      <w:r>
        <w:rPr>
          <w:rFonts w:ascii="Arial" w:cs="Arial" w:eastAsia="Arial" w:hAnsi="Arial"/>
          <w:sz w:val="16"/>
          <w:szCs w:val="16"/>
          <w:color w:val="auto"/>
        </w:rPr>
        <w:t xml:space="preserve"> a customary standstill </w:t>
      </w:r>
      <w:r>
        <w:rPr>
          <w:rFonts w:ascii="Arial" w:cs="Arial" w:eastAsia="Arial" w:hAnsi="Arial"/>
          <w:sz w:val="16"/>
          <w:szCs w:val="16"/>
          <w:b w:val="1"/>
          <w:bCs w:val="1"/>
          <w:u w:val="single" w:color="auto"/>
          <w:color w:val="auto"/>
        </w:rPr>
        <w:t>(including a prohibition on requesting the Company to waive such provision)</w:t>
      </w:r>
      <w:r>
        <w:rPr>
          <w:rFonts w:ascii="Arial" w:cs="Arial" w:eastAsia="Arial" w:hAnsi="Arial"/>
          <w:sz w:val="16"/>
          <w:szCs w:val="16"/>
          <w:color w:val="auto"/>
        </w:rPr>
        <w:t xml:space="preserve"> with a fall-away provision </w:t>
      </w:r>
      <w:r>
        <w:rPr>
          <w:rFonts w:ascii="Arial" w:cs="Arial" w:eastAsia="Arial" w:hAnsi="Arial"/>
          <w:sz w:val="16"/>
          <w:szCs w:val="16"/>
          <w:b w:val="1"/>
          <w:bCs w:val="1"/>
          <w:u w:val="single" w:color="auto"/>
          <w:color w:val="auto"/>
        </w:rPr>
        <w:t>(including with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respect to the foregoing prohibition)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the Company enters into a definitive agreement with another party with respect to all or a</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controlling portion of the Company’s equity securities or all or substantially all of the Company’s assets. J.P. Morgan provided Wise Road, Party E and their representatives with access to a virtual data room in order to facilitate their due diligence investigation of the Company.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(5) Supplements to “Proposal 1: Adoption of the Merger Agreement and Approval of the Merger—Background of the Merger”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following disclosures amend and supplement the existing disclosures contained under the heading “Proposal 1: Adoption of the Merger Agreement and Approval of the Merger—Background of the Merger” on page 52 of the Proxy Statement as follows:</w:t>
      </w:r>
    </w:p>
    <w:p>
      <w:pPr>
        <w:spacing w:after="0" w:line="170"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On March 24, 2021, J.P. Morgan sent draft confidentiality agreements to Party C, Party F and a potential strategic buyer we refer to as Party G (including its representatives). The Company and Party G entered into a confidentiality agreement on March 24, 2021, which </w:t>
      </w:r>
      <w:r>
        <w:rPr>
          <w:rFonts w:ascii="Arial" w:cs="Arial" w:eastAsia="Arial" w:hAnsi="Arial"/>
          <w:sz w:val="18"/>
          <w:szCs w:val="18"/>
          <w:b w:val="1"/>
          <w:bCs w:val="1"/>
          <w:u w:val="single" w:color="auto"/>
          <w:color w:val="auto"/>
        </w:rPr>
        <w:t>was substantially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similar to the confidentiality agreements that the Company executed with Party A, Wise Road and Party E, and which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a customary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standstill </w:t>
      </w:r>
      <w:r>
        <w:rPr>
          <w:rFonts w:ascii="Arial" w:cs="Arial" w:eastAsia="Arial" w:hAnsi="Arial"/>
          <w:sz w:val="18"/>
          <w:szCs w:val="18"/>
          <w:b w:val="1"/>
          <w:bCs w:val="1"/>
          <w:u w:val="single" w:color="auto"/>
          <w:color w:val="auto"/>
        </w:rPr>
        <w:t>(including a prohibition on requesting the Company to waive such provision)</w:t>
      </w:r>
      <w:r>
        <w:rPr>
          <w:rFonts w:ascii="Arial" w:cs="Arial" w:eastAsia="Arial" w:hAnsi="Arial"/>
          <w:sz w:val="18"/>
          <w:szCs w:val="18"/>
          <w:color w:val="auto"/>
        </w:rPr>
        <w:t xml:space="preserve"> with a fall-away provision </w:t>
      </w:r>
      <w:r>
        <w:rPr>
          <w:rFonts w:ascii="Arial" w:cs="Arial" w:eastAsia="Arial" w:hAnsi="Arial"/>
          <w:sz w:val="18"/>
          <w:szCs w:val="18"/>
          <w:b w:val="1"/>
          <w:bCs w:val="1"/>
          <w:u w:val="single" w:color="auto"/>
          <w:color w:val="auto"/>
        </w:rPr>
        <w:t>(including with respect to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foregoing prohibition)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the Company enters into a definitive agreement with respect to all or a controlling portion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securities or all or substantially all of the Company’s assets.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(6) Supplements to “Proposal 1: Adoption of the Merger Agreement and Approval of the Merger—Background of the Merger”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following disclosures amend and supplement the existing disclosures contained under the heading “Proposal 1: Adoption of the Merger Agreement and Approval of the Merger—Background of the Merger” on page 53 of the Proxy Statement as follows:</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Following the above negotiations, the parties’ final agreed terms were (1) a price of $29.00 per share of Company Common Stock, (2) a reverse termination fee of 5% of equity transaction value if the merger agreement is terminated due to U.S. regulatory issues only (i.e., $70,200,000), (3) a reverse termination fee of 6% of equity transaction value if the merger agreement is terminated due to Korean regulatory issues only</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(i.e., $84,300,000) and (4) a reverse termination fee of 7.5% of equity transaction value if the merger agreement is terminated due to any other regulatory issues (i.e., $105,300,000). J.P. Morgan and BMO agreed that the funds under the standby letter of credit would be placed into escrow in the event of a dispute over the payment of the reverse termination fee and would be released from escrow upon mutual agreement of Parent and the Company or upon the rendering of a final arbitral award with respect to such dispute. </w:t>
      </w:r>
      <w:r>
        <w:rPr>
          <w:rFonts w:ascii="Arial" w:cs="Arial" w:eastAsia="Arial" w:hAnsi="Arial"/>
          <w:sz w:val="18"/>
          <w:szCs w:val="18"/>
          <w:b w:val="1"/>
          <w:bCs w:val="1"/>
          <w:color w:val="auto"/>
        </w:rPr>
        <w:t>To the knowledge of the Company, at no time prior to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finalizing the terms of and executing the Merger Agreement did any director or officer of the Company discuss with Wise Road such director’s or officer’s future employment or directorship.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-304165</wp:posOffset>
            </wp:positionV>
            <wp:extent cx="263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3980" cy="8255"/>
                    </a:xfrm>
                    <a:prstGeom prst="rect">
                      <a:avLst/>
                    </a:prstGeom>
                    <a:noFill/>
                  </pic:spPr>
                </pic:pic>
              </a:graphicData>
            </a:graphic>
          </wp:anchor>
        </w:drawing>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301" w:right="459" w:bottom="1440" w:gutter="0" w:footer="0" w:header="0"/>
        </w:sectPr>
      </w:pPr>
    </w:p>
    <w:bookmarkStart w:id="4" w:name="page5"/>
    <w:bookmarkEnd w:id="4"/>
    <w:p>
      <w:pPr>
        <w:ind w:left="4" w:right="140" w:hanging="4"/>
        <w:spacing w:after="0" w:line="277" w:lineRule="auto"/>
        <w:tabs>
          <w:tab w:leader="none" w:pos="259" w:val="left"/>
        </w:tabs>
        <w:numPr>
          <w:ilvl w:val="0"/>
          <w:numId w:val="2"/>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Supplements to “Proposal 1: Adoption of the Merger Agreement and Approval of the Merger—Fairness Opinion of J.P. Morgan— Discounted Cash Flow Analysis”</w:t>
      </w:r>
    </w:p>
    <w:p>
      <w:pPr>
        <w:spacing w:after="0" w:line="62"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i w:val="1"/>
          <w:iCs w:val="1"/>
          <w:color w:val="auto"/>
        </w:rPr>
        <w:t>The following disclosures amend and supplement the existing disclosures contained under the heading “Proposal 1: Adoption of the Merger Agreement and Approval of the Merger—Fairness Opinion of J.P. Morgan— Discounted Cash Flow Analysis” on page 63 of the Proxy Statement as follows:</w:t>
      </w:r>
    </w:p>
    <w:p>
      <w:pPr>
        <w:spacing w:after="0" w:line="124"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 xml:space="preserve">J.P. Morgan calculated the unlevered free cash flows that the Company is expected to generate from March 1, 2021 through the remainder of calendar year 2021 and during calendar years 2022 through 2030 based upon the financial projections prepared by Company management. J.P. Morgan also calculated a range of terminal asset values of the Company at the end of this period by applying a perpetual growth rate ranging from 2.0% to 3.0% of the unlevered free cash flows of the Company during the final year of such period. The unlevered free cash flows and the range of terminal asset values were then discounted to present values using a range of discount rates from 9.50% to 11.50%, which were chosen by J.P. Morgan based upon an analysis of the weighted average cost of capital of the Company, taking into account macroeconomic assumptions and estimates of risk, the opportunity cost of capital and other factors J.P. Morgan deemed appropriate. These present values, when added together, resulted in an implied firm value for the Company. To calculate an estimated equity value per share of Company Common Stock, J.P. Morgan then adjusted the implied firm value for the Company’s debt and cash, and divided the result by the fully diluted number of the shares of Company Common Stock outstanding. </w:t>
      </w:r>
      <w:r>
        <w:rPr>
          <w:rFonts w:ascii="Arial" w:cs="Arial" w:eastAsia="Arial" w:hAnsi="Arial"/>
          <w:sz w:val="17"/>
          <w:szCs w:val="17"/>
          <w:b w:val="1"/>
          <w:bCs w:val="1"/>
          <w:u w:val="single" w:color="auto"/>
          <w:color w:val="auto"/>
        </w:rPr>
        <w:t>For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purposes of its analyses, J.P. Morgan used the Company’s $273 million in net cash as of March 1, 2021, and the Company’s 46,130,726 shares of Company Common Stock outstanding as of such date.</w:t>
      </w:r>
    </w:p>
    <w:p>
      <w:pPr>
        <w:spacing w:after="0" w:line="290" w:lineRule="exact"/>
        <w:rPr>
          <w:sz w:val="20"/>
          <w:szCs w:val="20"/>
          <w:color w:val="auto"/>
        </w:rPr>
      </w:pPr>
    </w:p>
    <w:p>
      <w:pPr>
        <w:ind w:left="4" w:right="380" w:hanging="4"/>
        <w:spacing w:after="0" w:line="277" w:lineRule="auto"/>
        <w:tabs>
          <w:tab w:leader="none" w:pos="259" w:val="left"/>
        </w:tabs>
        <w:numPr>
          <w:ilvl w:val="0"/>
          <w:numId w:val="3"/>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Supplements to “Proposal 1: Adoption of the Merger Agreement and Approval of the Merger—Fairness Opinion of J.P. Morgan— Selected Transaction Multiples Analysis”</w:t>
      </w:r>
    </w:p>
    <w:p>
      <w:pPr>
        <w:spacing w:after="0" w:line="62"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i w:val="1"/>
          <w:iCs w:val="1"/>
          <w:color w:val="auto"/>
        </w:rPr>
        <w:t>The following disclosures amend and supplement the existing disclosures contained under the heading “Proposal 1: Adoption of the Merger Agreement and Approval of the Merger—Fairness Opinion of J.P. Morgan— Selected Transaction Multiples Analysis” on page 64 of the Proxy Statement as follows:</w:t>
      </w:r>
    </w:p>
    <w:p>
      <w:pPr>
        <w:spacing w:after="0" w:line="199"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gridSpan w:val="2"/>
          </w:tcPr>
          <w:p>
            <w:pPr>
              <w:ind w:left="520"/>
              <w:spacing w:after="0"/>
              <w:rPr>
                <w:sz w:val="20"/>
                <w:szCs w:val="20"/>
                <w:color w:val="auto"/>
              </w:rPr>
            </w:pPr>
            <w:r>
              <w:rPr>
                <w:rFonts w:ascii="Arial" w:cs="Arial" w:eastAsia="Arial" w:hAnsi="Arial"/>
                <w:sz w:val="14"/>
                <w:szCs w:val="14"/>
                <w:color w:val="auto"/>
              </w:rPr>
              <w:t>Month/Year</w:t>
            </w:r>
          </w:p>
        </w:tc>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Transaction</w:t>
            </w:r>
          </w:p>
        </w:tc>
        <w:tc>
          <w:tcPr>
            <w:tcW w:w="600" w:type="dxa"/>
            <w:vAlign w:val="bottom"/>
            <w:gridSpan w:val="2"/>
          </w:tcPr>
          <w:p>
            <w:pPr>
              <w:spacing w:after="0"/>
              <w:rPr>
                <w:sz w:val="20"/>
                <w:szCs w:val="20"/>
                <w:color w:val="auto"/>
              </w:rPr>
            </w:pPr>
            <w:r>
              <w:rPr>
                <w:rFonts w:ascii="Arial" w:cs="Arial" w:eastAsia="Arial" w:hAnsi="Arial"/>
                <w:sz w:val="14"/>
                <w:szCs w:val="14"/>
                <w:color w:val="auto"/>
              </w:rPr>
              <w:t>FV/NTM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60" w:type="dxa"/>
            <w:vAlign w:val="bottom"/>
            <w:gridSpan w:val="2"/>
          </w:tcPr>
          <w:p>
            <w:pPr>
              <w:ind w:left="540"/>
              <w:spacing w:after="0"/>
              <w:rPr>
                <w:sz w:val="20"/>
                <w:szCs w:val="20"/>
                <w:color w:val="auto"/>
              </w:rPr>
            </w:pPr>
            <w:r>
              <w:rPr>
                <w:rFonts w:ascii="Arial" w:cs="Arial" w:eastAsia="Arial" w:hAnsi="Arial"/>
                <w:sz w:val="14"/>
                <w:szCs w:val="14"/>
                <w:color w:val="auto"/>
              </w:rPr>
              <w:t>Announced</w:t>
            </w:r>
          </w:p>
        </w:tc>
        <w:tc>
          <w:tcPr>
            <w:tcW w:w="2980" w:type="dxa"/>
            <w:vAlign w:val="bottom"/>
          </w:tcPr>
          <w:p>
            <w:pPr>
              <w:ind w:left="1240"/>
              <w:spacing w:after="0"/>
              <w:rPr>
                <w:sz w:val="20"/>
                <w:szCs w:val="20"/>
                <w:color w:val="auto"/>
              </w:rPr>
            </w:pPr>
            <w:r>
              <w:rPr>
                <w:rFonts w:ascii="Arial" w:cs="Arial" w:eastAsia="Arial" w:hAnsi="Arial"/>
                <w:sz w:val="14"/>
                <w:szCs w:val="14"/>
                <w:color w:val="auto"/>
              </w:rPr>
              <w:t>Acquiror</w:t>
            </w:r>
          </w:p>
        </w:tc>
        <w:tc>
          <w:tcPr>
            <w:tcW w:w="220" w:type="dxa"/>
            <w:vAlign w:val="bottom"/>
          </w:tcPr>
          <w:p>
            <w:pPr>
              <w:spacing w:after="0"/>
              <w:rPr>
                <w:sz w:val="15"/>
                <w:szCs w:val="15"/>
                <w:color w:val="auto"/>
              </w:rPr>
            </w:pPr>
          </w:p>
        </w:tc>
        <w:tc>
          <w:tcPr>
            <w:tcW w:w="3080" w:type="dxa"/>
            <w:vAlign w:val="bottom"/>
            <w:gridSpan w:val="2"/>
          </w:tcPr>
          <w:p>
            <w:pPr>
              <w:ind w:left="1260"/>
              <w:spacing w:after="0"/>
              <w:rPr>
                <w:sz w:val="20"/>
                <w:szCs w:val="20"/>
                <w:color w:val="auto"/>
              </w:rPr>
            </w:pPr>
            <w:r>
              <w:rPr>
                <w:rFonts w:ascii="Arial" w:cs="Arial" w:eastAsia="Arial" w:hAnsi="Arial"/>
                <w:sz w:val="14"/>
                <w:szCs w:val="14"/>
                <w:color w:val="auto"/>
              </w:rPr>
              <w:t>Target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Value</w:t>
            </w: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EBITDA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June 2014</w:t>
            </w:r>
          </w:p>
        </w:tc>
        <w:tc>
          <w:tcPr>
            <w:tcW w:w="200" w:type="dxa"/>
            <w:vAlign w:val="bottom"/>
            <w:tcBorders>
              <w:top w:val="single" w:sz="8" w:color="CCEEFF"/>
            </w:tcBorders>
            <w:shd w:val="clear" w:color="auto" w:fill="CCEEFF"/>
          </w:tcPr>
          <w:p>
            <w:pPr>
              <w:spacing w:after="0"/>
              <w:rPr>
                <w:sz w:val="14"/>
                <w:szCs w:val="14"/>
                <w:color w:val="auto"/>
              </w:rPr>
            </w:pPr>
          </w:p>
        </w:tc>
        <w:tc>
          <w:tcPr>
            <w:tcW w:w="29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Analog Devices, Inc.</w:t>
            </w:r>
          </w:p>
        </w:tc>
        <w:tc>
          <w:tcPr>
            <w:tcW w:w="220" w:type="dxa"/>
            <w:vAlign w:val="bottom"/>
            <w:tcBorders>
              <w:top w:val="single" w:sz="8" w:color="CCEEFF"/>
            </w:tcBorders>
            <w:shd w:val="clear" w:color="auto" w:fill="CCEEFF"/>
          </w:tcPr>
          <w:p>
            <w:pPr>
              <w:spacing w:after="0"/>
              <w:rPr>
                <w:sz w:val="14"/>
                <w:szCs w:val="14"/>
                <w:color w:val="auto"/>
              </w:rPr>
            </w:pPr>
          </w:p>
        </w:tc>
        <w:tc>
          <w:tcPr>
            <w:tcW w:w="28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Hittite Microwave Corporation</w:t>
            </w: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2.0 billion</w:t>
            </w:r>
          </w:p>
        </w:tc>
        <w:tc>
          <w:tcPr>
            <w:tcW w:w="2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13.8x</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7"/>
              </w:rPr>
              <w:t>Beijing Jianguang Asset Management</w:t>
            </w:r>
          </w:p>
        </w:tc>
        <w:tc>
          <w:tcPr>
            <w:tcW w:w="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1.8 billion</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980" w:type="dxa"/>
            <w:vAlign w:val="bottom"/>
            <w:gridSpan w:val="3"/>
          </w:tcPr>
          <w:p>
            <w:pPr>
              <w:spacing w:after="0" w:line="190" w:lineRule="exact"/>
              <w:rPr>
                <w:sz w:val="20"/>
                <w:szCs w:val="20"/>
                <w:color w:val="auto"/>
              </w:rPr>
            </w:pPr>
            <w:r>
              <w:rPr>
                <w:rFonts w:ascii="Arial" w:cs="Arial" w:eastAsia="Arial" w:hAnsi="Arial"/>
                <w:sz w:val="18"/>
                <w:szCs w:val="18"/>
                <w:color w:val="auto"/>
              </w:rPr>
              <w:t>May 2015</w:t>
            </w:r>
          </w:p>
        </w:tc>
        <w:tc>
          <w:tcPr>
            <w:tcW w:w="2980" w:type="dxa"/>
            <w:vAlign w:val="bottom"/>
          </w:tcPr>
          <w:p>
            <w:pPr>
              <w:spacing w:after="0" w:line="190" w:lineRule="exact"/>
              <w:rPr>
                <w:sz w:val="20"/>
                <w:szCs w:val="20"/>
                <w:color w:val="auto"/>
              </w:rPr>
            </w:pPr>
            <w:r>
              <w:rPr>
                <w:rFonts w:ascii="Arial" w:cs="Arial" w:eastAsia="Arial" w:hAnsi="Arial"/>
                <w:sz w:val="18"/>
                <w:szCs w:val="18"/>
                <w:color w:val="auto"/>
              </w:rPr>
              <w:t>Co., Ltd</w:t>
            </w:r>
          </w:p>
        </w:tc>
        <w:tc>
          <w:tcPr>
            <w:tcW w:w="220" w:type="dxa"/>
            <w:vAlign w:val="bottom"/>
          </w:tcPr>
          <w:p>
            <w:pPr>
              <w:spacing w:after="0"/>
              <w:rPr>
                <w:sz w:val="16"/>
                <w:szCs w:val="16"/>
                <w:color w:val="auto"/>
              </w:rPr>
            </w:pPr>
          </w:p>
        </w:tc>
        <w:tc>
          <w:tcPr>
            <w:tcW w:w="3080" w:type="dxa"/>
            <w:vAlign w:val="bottom"/>
            <w:gridSpan w:val="2"/>
          </w:tcPr>
          <w:p>
            <w:pPr>
              <w:spacing w:after="0" w:line="190" w:lineRule="exact"/>
              <w:rPr>
                <w:sz w:val="20"/>
                <w:szCs w:val="20"/>
                <w:color w:val="auto"/>
              </w:rPr>
            </w:pPr>
            <w:r>
              <w:rPr>
                <w:rFonts w:ascii="Arial" w:cs="Arial" w:eastAsia="Arial" w:hAnsi="Arial"/>
                <w:sz w:val="18"/>
                <w:szCs w:val="18"/>
                <w:color w:val="auto"/>
                <w:w w:val="99"/>
              </w:rPr>
              <w:t>NXP Semiconductors N.V. (RF Power)</w:t>
            </w:r>
          </w:p>
        </w:tc>
        <w:tc>
          <w:tcPr>
            <w:tcW w:w="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0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12.4x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April 2015</w:t>
            </w:r>
          </w:p>
        </w:tc>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Diodes Incorporated</w:t>
            </w:r>
          </w:p>
        </w:tc>
        <w:tc>
          <w:tcPr>
            <w:tcW w:w="2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Pericom Semiconductor Corp.</w:t>
            </w:r>
          </w:p>
        </w:tc>
        <w:tc>
          <w:tcPr>
            <w:tcW w:w="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300 million</w:t>
            </w:r>
          </w:p>
        </w:tc>
        <w:tc>
          <w:tcPr>
            <w:tcW w:w="6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12.0x</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9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Hua Capital Management Co., Ltd.,</w:t>
            </w:r>
          </w:p>
        </w:tc>
        <w:tc>
          <w:tcPr>
            <w:tcW w:w="220" w:type="dxa"/>
            <w:vAlign w:val="bottom"/>
            <w:tcBorders>
              <w:top w:val="single" w:sz="8" w:color="CCEEFF"/>
            </w:tcBorders>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CITIC Capital Holdings Limited and</w:t>
            </w:r>
          </w:p>
        </w:tc>
        <w:tc>
          <w:tcPr>
            <w:tcW w:w="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1.2 billion</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80" w:type="dxa"/>
            <w:vAlign w:val="bottom"/>
            <w:gridSpan w:val="3"/>
          </w:tcPr>
          <w:p>
            <w:pPr>
              <w:spacing w:after="0" w:line="190" w:lineRule="exact"/>
              <w:rPr>
                <w:sz w:val="20"/>
                <w:szCs w:val="20"/>
                <w:color w:val="auto"/>
              </w:rPr>
            </w:pPr>
            <w:r>
              <w:rPr>
                <w:rFonts w:ascii="Arial" w:cs="Arial" w:eastAsia="Arial" w:hAnsi="Arial"/>
                <w:sz w:val="18"/>
                <w:szCs w:val="18"/>
                <w:color w:val="auto"/>
              </w:rPr>
              <w:t>September 2015</w:t>
            </w:r>
          </w:p>
        </w:tc>
        <w:tc>
          <w:tcPr>
            <w:tcW w:w="2980" w:type="dxa"/>
            <w:vAlign w:val="bottom"/>
          </w:tcPr>
          <w:p>
            <w:pPr>
              <w:spacing w:after="0" w:line="190" w:lineRule="exact"/>
              <w:rPr>
                <w:sz w:val="20"/>
                <w:szCs w:val="20"/>
                <w:color w:val="auto"/>
              </w:rPr>
            </w:pPr>
            <w:r>
              <w:rPr>
                <w:rFonts w:ascii="Arial" w:cs="Arial" w:eastAsia="Arial" w:hAnsi="Arial"/>
                <w:sz w:val="18"/>
                <w:szCs w:val="18"/>
                <w:color w:val="auto"/>
              </w:rPr>
              <w:t>Goldstone Investment Co., Ltd.</w:t>
            </w:r>
          </w:p>
        </w:tc>
        <w:tc>
          <w:tcPr>
            <w:tcW w:w="220" w:type="dxa"/>
            <w:vAlign w:val="bottom"/>
          </w:tcPr>
          <w:p>
            <w:pPr>
              <w:spacing w:after="0"/>
              <w:rPr>
                <w:sz w:val="16"/>
                <w:szCs w:val="16"/>
                <w:color w:val="auto"/>
              </w:rPr>
            </w:pPr>
          </w:p>
        </w:tc>
        <w:tc>
          <w:tcPr>
            <w:tcW w:w="3080" w:type="dxa"/>
            <w:vAlign w:val="bottom"/>
            <w:gridSpan w:val="2"/>
          </w:tcPr>
          <w:p>
            <w:pPr>
              <w:spacing w:after="0" w:line="190" w:lineRule="exact"/>
              <w:rPr>
                <w:sz w:val="20"/>
                <w:szCs w:val="20"/>
                <w:color w:val="auto"/>
              </w:rPr>
            </w:pPr>
            <w:r>
              <w:rPr>
                <w:rFonts w:ascii="Arial" w:cs="Arial" w:eastAsia="Arial" w:hAnsi="Arial"/>
                <w:sz w:val="18"/>
                <w:szCs w:val="18"/>
                <w:color w:val="auto"/>
              </w:rPr>
              <w:t>OmniVision Technologies, Inc.</w:t>
            </w:r>
          </w:p>
        </w:tc>
        <w:tc>
          <w:tcPr>
            <w:tcW w:w="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0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11.3x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Fairchild Semiconductor International</w:t>
            </w:r>
          </w:p>
        </w:tc>
        <w:tc>
          <w:tcPr>
            <w:tcW w:w="60" w:type="dxa"/>
            <w:vAlign w:val="bottom"/>
            <w:shd w:val="clear" w:color="auto" w:fill="CCEEFF"/>
          </w:tcPr>
          <w:p>
            <w:pPr>
              <w:spacing w:after="0"/>
              <w:rPr>
                <w:sz w:val="17"/>
                <w:szCs w:val="17"/>
                <w:color w:val="auto"/>
              </w:rPr>
            </w:pPr>
          </w:p>
        </w:tc>
        <w:tc>
          <w:tcPr>
            <w:tcW w:w="12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2.3 billion</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November 2015</w:t>
            </w:r>
          </w:p>
        </w:tc>
        <w:tc>
          <w:tcPr>
            <w:tcW w:w="29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ON Semiconductor Corporation</w:t>
            </w:r>
          </w:p>
        </w:tc>
        <w:tc>
          <w:tcPr>
            <w:tcW w:w="2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Inc.</w:t>
            </w:r>
          </w:p>
        </w:tc>
        <w:tc>
          <w:tcPr>
            <w:tcW w:w="6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line="190" w:lineRule="exact"/>
              <w:rPr>
                <w:sz w:val="20"/>
                <w:szCs w:val="20"/>
                <w:color w:val="auto"/>
              </w:rPr>
            </w:pPr>
            <w:r>
              <w:rPr>
                <w:rFonts w:ascii="Arial" w:cs="Arial" w:eastAsia="Arial" w:hAnsi="Arial"/>
                <w:sz w:val="18"/>
                <w:szCs w:val="18"/>
                <w:color w:val="auto"/>
              </w:rPr>
              <w:t>9.6x</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9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28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301" w:right="479" w:bottom="1440" w:gutter="0" w:footer="0" w:header="0"/>
        </w:sectPr>
      </w:pPr>
    </w:p>
    <w:bookmarkStart w:id="5" w:name="page6"/>
    <w:bookmarkEnd w:id="5"/>
    <w:p>
      <w:pPr>
        <w:ind w:left="4" w:right="20" w:hanging="4"/>
        <w:spacing w:after="0" w:line="277" w:lineRule="auto"/>
        <w:tabs>
          <w:tab w:leader="none" w:pos="259" w:val="left"/>
        </w:tabs>
        <w:numPr>
          <w:ilvl w:val="0"/>
          <w:numId w:val="4"/>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Supplements to “Proposal 1: Adoption of the Merger Agreement and Approval of the Merger—Fairness Opinion of J.P. Morgan— Analyst Price Target for the Company”</w:t>
      </w:r>
    </w:p>
    <w:p>
      <w:pPr>
        <w:spacing w:after="0" w:line="62" w:lineRule="exact"/>
        <w:rPr>
          <w:sz w:val="20"/>
          <w:szCs w:val="20"/>
          <w:color w:val="auto"/>
        </w:rPr>
      </w:pPr>
    </w:p>
    <w:p>
      <w:pPr>
        <w:jc w:val="both"/>
        <w:ind w:left="4" w:right="80"/>
        <w:spacing w:after="0" w:line="342" w:lineRule="auto"/>
        <w:rPr>
          <w:sz w:val="20"/>
          <w:szCs w:val="20"/>
          <w:color w:val="auto"/>
        </w:rPr>
      </w:pPr>
      <w:r>
        <w:rPr>
          <w:rFonts w:ascii="Arial" w:cs="Arial" w:eastAsia="Arial" w:hAnsi="Arial"/>
          <w:sz w:val="16"/>
          <w:szCs w:val="16"/>
          <w:i w:val="1"/>
          <w:iCs w:val="1"/>
          <w:color w:val="auto"/>
        </w:rPr>
        <w:t>The following disclosures amend and supplement the existing disclosures contained under the heading “Proposal 1: Adoption of the Merger Agreement and Approval of the Merger—Fairness Opinion of J.P. Morgan— Analyst Price Target for the Company” on page 65 of the Proxy Statement as follows:</w:t>
      </w:r>
    </w:p>
    <w:p>
      <w:pPr>
        <w:spacing w:after="0" w:line="124" w:lineRule="exact"/>
        <w:rPr>
          <w:sz w:val="20"/>
          <w:szCs w:val="20"/>
          <w:color w:val="auto"/>
        </w:rPr>
      </w:pPr>
    </w:p>
    <w:p>
      <w:pPr>
        <w:ind w:left="4" w:right="80" w:firstLine="991"/>
        <w:spacing w:after="0" w:line="255" w:lineRule="auto"/>
        <w:rPr>
          <w:sz w:val="20"/>
          <w:szCs w:val="20"/>
          <w:color w:val="auto"/>
        </w:rPr>
      </w:pPr>
      <w:r>
        <w:rPr>
          <w:rFonts w:ascii="Arial" w:cs="Arial" w:eastAsia="Arial" w:hAnsi="Arial"/>
          <w:sz w:val="18"/>
          <w:szCs w:val="18"/>
          <w:color w:val="auto"/>
        </w:rPr>
        <w:t xml:space="preserve">For reference purposes only and not as a component of its fairness analysis, J.P. Morgan reviewed certain publicly available equity research analyst share price targets for the Company Common Stock, </w:t>
      </w:r>
      <w:r>
        <w:rPr>
          <w:rFonts w:ascii="Arial" w:cs="Arial" w:eastAsia="Arial" w:hAnsi="Arial"/>
          <w:sz w:val="18"/>
          <w:szCs w:val="18"/>
          <w:b w:val="1"/>
          <w:bCs w:val="1"/>
          <w:u w:val="single" w:color="auto"/>
          <w:color w:val="auto"/>
        </w:rPr>
        <w:t>which ranged from $25.00 to $30.00 per share of Company Common Stock</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and were provided by Oppenheimer and Roth Capital Partners / Needham, respectively. J.P. Morgan also</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these equity research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analyst share price targets for the Company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to present values, using a discount rate of 10.75%, noting that these present values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 price targets for the Company Common Stock, rounded to the nearest $0.25, ranged from $22.50 per share of Company Common Stock to $27.00 per share of Company Common Stock.</w:t>
      </w:r>
    </w:p>
    <w:p>
      <w:pPr>
        <w:spacing w:after="0" w:line="300" w:lineRule="exact"/>
        <w:rPr>
          <w:sz w:val="20"/>
          <w:szCs w:val="20"/>
          <w:color w:val="auto"/>
        </w:rPr>
      </w:pPr>
    </w:p>
    <w:p>
      <w:pPr>
        <w:ind w:left="4" w:right="960" w:hanging="4"/>
        <w:spacing w:after="0" w:line="277" w:lineRule="auto"/>
        <w:tabs>
          <w:tab w:leader="none" w:pos="349" w:val="left"/>
        </w:tabs>
        <w:numPr>
          <w:ilvl w:val="0"/>
          <w:numId w:val="5"/>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Supplements to “Proposal 1: Adoption of the Merger Agreement and Approval of the Merger—Fairness Opinion of J.P. Morgan— Miscellaneous”</w:t>
      </w:r>
    </w:p>
    <w:p>
      <w:pPr>
        <w:spacing w:after="0" w:line="62"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i w:val="1"/>
          <w:iCs w:val="1"/>
          <w:color w:val="auto"/>
        </w:rPr>
        <w:t>The following disclosures amend and supplement the existing disclosures contained under the heading “Proposal 1: Adoption of the Merger Agreement and Approval of the Merger—Fairness Opinion of J.P. Morgan—Miscellaneous” on pages 65-66 of the Proxy Statement as follows:</w:t>
      </w:r>
    </w:p>
    <w:p>
      <w:pPr>
        <w:spacing w:after="0" w:line="146"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For services rendered in connection with the Merger and the delivery of its opinion, the Company has agreed to pay J.P. Morgan a fee </w:t>
      </w:r>
      <w:r>
        <w:rPr>
          <w:rFonts w:ascii="Arial" w:cs="Arial" w:eastAsia="Arial" w:hAnsi="Arial"/>
          <w:sz w:val="16"/>
          <w:szCs w:val="16"/>
          <w:b w:val="1"/>
          <w:bCs w:val="1"/>
          <w:u w:val="single" w:color="auto"/>
          <w:color w:val="auto"/>
        </w:rPr>
        <w:t>equal to the greater of $30 million or 2.0% of the Sale Transaction Consideration (defined generally to include, among other things, the total amount of cash and fair market value of any other property paid or payable to the Company’s shareholders and holders of Company Equity Awards), provided that the Merger is consummated prior to September 30, 2021. Of such fee,</w:t>
      </w:r>
      <w:r>
        <w:rPr>
          <w:rFonts w:ascii="Arial" w:cs="Arial" w:eastAsia="Arial" w:hAnsi="Arial"/>
          <w:sz w:val="16"/>
          <w:szCs w:val="16"/>
          <w:b w:val="1"/>
          <w:bCs w:val="1"/>
          <w:color w:val="auto"/>
        </w:rPr>
        <w:t xml:space="preserve"> </w:t>
      </w:r>
      <w:r>
        <w:rPr>
          <w:rFonts w:ascii="Arial" w:cs="Arial" w:eastAsia="Arial" w:hAnsi="Arial"/>
          <w:sz w:val="16"/>
          <w:szCs w:val="16"/>
          <w:color w:val="auto"/>
        </w:rPr>
        <w:t>$5 million became payable to J.P. Morgan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delivery of its opinion, and the remainder will become payable to J.P. Morgan upon the consummation of the proposed Merger. </w:t>
      </w:r>
      <w:r>
        <w:rPr>
          <w:rFonts w:ascii="Arial" w:cs="Arial" w:eastAsia="Arial" w:hAnsi="Arial"/>
          <w:sz w:val="16"/>
          <w:szCs w:val="16"/>
          <w:b w:val="1"/>
          <w:bCs w:val="1"/>
          <w:u w:val="single" w:color="auto"/>
          <w:color w:val="auto"/>
        </w:rPr>
        <w:t>If, however, the Merger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is consummated between October 1, 2021 and December 31, 2021, the fee is reduced to the greater of $29 million or 2.0% of the Sale Transaction Consideration. If the Merger is consummated after December 31, 2021, the fee is reduced further to 2.0% of the Sale Transaction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the Company has agreed to reimburse J.P. Morgan for certain of its expenses incurred in connection with its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the fees and disbursements of counsel, and will indemnify J.P. Morgan against certain liabilities arising out of J.P. Morgan’s engagement. During the two years preceding the date of J.P. Morgan’s opinion, neither J.P. Morgan nor any its affiliates have had any material financial advisory or material commercial or investment banking relationships with Parent. During the two years preceding the date of J.P. Morgan’s opinion, J.P. Morgan and its affiliates have had, and continue to have, commercial or investment banking relationships with the Company for which J.P. Morgan and such affiliates have received, or will receive, customary compensation. Such services during such period have included acting as financial advisor on the Company’s divestiture which closed in September 2020. In addition, J.P. Morgan and its affiliates hold, on a proprietary basis, less than 1% of the outstanding Company Common Stock. During the two-year period preceding delivery of its opinion ending on February 28, 2021, the aggregate fees recognized by J.P. Morgan from the Company were approximately $11 million. </w:t>
      </w:r>
      <w:r>
        <w:rPr>
          <w:rFonts w:ascii="Arial" w:cs="Arial" w:eastAsia="Arial" w:hAnsi="Arial"/>
          <w:sz w:val="16"/>
          <w:szCs w:val="16"/>
          <w:b w:val="1"/>
          <w:bCs w:val="1"/>
          <w:u w:val="single" w:color="auto"/>
          <w:color w:val="auto"/>
        </w:rPr>
        <w:t>During the two-year period preceding delivery of its opinion ending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on February 28, 2021, J.P. Morgan and its affiliates received less than $50,000 in aggregate fees from Wise Road, all of which were for work unrelated to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ordinary course of their businesses, J.P. Morgan and its affiliates may actively trade the debt and equity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(including derivatives, bank loans or other obligations) of the Company for J.P. Morgan’s account or for the accounts of customers and, accordingly, J.P. Morgan may at any time hold long or short positions in such securities or other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-1700530</wp:posOffset>
            </wp:positionV>
            <wp:extent cx="24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30" cy="8890"/>
                    </a:xfrm>
                    <a:prstGeom prst="rect">
                      <a:avLst/>
                    </a:prstGeom>
                    <a:noFill/>
                  </pic:spPr>
                </pic:pic>
              </a:graphicData>
            </a:graphic>
          </wp:anchor>
        </w:drawing>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301"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97"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w w:val="99"/>
              </w:rPr>
              <w:t>Chief Compliance Officer, General Counsel and</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7"/>
    </w:lvl>
  </w:abstractNum>
  <w:abstractNum w:abstractNumId="2">
    <w:nsid w:val="625558EC"/>
    <w:multiLevelType w:val="hybridMultilevel"/>
    <w:lvl w:ilvl="0">
      <w:lvlJc w:val="left"/>
      <w:lvlText w:val="(%1)"/>
      <w:numFmt w:val="decimal"/>
      <w:start w:val="8"/>
    </w:lvl>
  </w:abstractNum>
  <w:abstractNum w:abstractNumId="3">
    <w:nsid w:val="238E1F29"/>
    <w:multiLevelType w:val="hybridMultilevel"/>
    <w:lvl w:ilvl="0">
      <w:lvlJc w:val="left"/>
      <w:lvlText w:val="(%1)"/>
      <w:numFmt w:val="decimal"/>
      <w:start w:val="9"/>
    </w:lvl>
  </w:abstractNum>
  <w:abstractNum w:abstractNumId="4">
    <w:nsid w:val="46E87CC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2021-06-08T07:23:22Z</dcterms:created>
  <dcterms:modified xsi:type="dcterms:W3CDTF">2021-06-08T07:23:22Z</dcterms:modified>
</cp:coreProperties>
</file>