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Engaged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40"/>
        <w:spacing w:after="0" w:line="331" w:lineRule="auto"/>
        <w:rPr>
          <w:sz w:val="20"/>
          <w:szCs w:val="20"/>
          <w:color w:val="auto"/>
        </w:rPr>
      </w:pPr>
      <w:r>
        <w:rPr>
          <w:rFonts w:ascii="Arial" w:cs="Arial" w:eastAsia="Arial" w:hAnsi="Arial"/>
          <w:sz w:val="18"/>
          <w:szCs w:val="18"/>
          <w:color w:val="0000FF"/>
        </w:rPr>
        <w:t>610 NEWPORT CENTER DRIVE SUITE 250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NEWPORT</w:t>
            </w:r>
          </w:p>
        </w:tc>
        <w:tc>
          <w:tcPr>
            <w:tcW w:w="1060" w:type="dxa"/>
            <w:vAlign w:val="bottom"/>
            <w:vMerge w:val="restart"/>
          </w:tcPr>
          <w:p>
            <w:pPr>
              <w:ind w:left="22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92660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06/01/2016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2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3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3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7"/>
              </w:rPr>
              <w:t>Engaged</w:t>
            </w:r>
          </w:p>
        </w:tc>
        <w:tc>
          <w:tcPr>
            <w:tcW w:w="0" w:type="dxa"/>
            <w:vAlign w:val="bottom"/>
          </w:tcPr>
          <w:p>
            <w:pPr>
              <w:spacing w:after="0"/>
              <w:rPr>
                <w:sz w:val="1"/>
                <w:szCs w:val="1"/>
                <w:color w:val="auto"/>
              </w:rPr>
            </w:pPr>
          </w:p>
        </w:tc>
      </w:tr>
      <w:tr>
        <w:trPr>
          <w:trHeight w:val="216"/>
        </w:trPr>
        <w:tc>
          <w:tcPr>
            <w:tcW w:w="3320" w:type="dxa"/>
            <w:vAlign w:val="bottom"/>
            <w:vMerge w:val="restart"/>
          </w:tcPr>
          <w:p>
            <w:pPr>
              <w:ind w:left="60"/>
              <w:spacing w:after="0"/>
              <w:rPr>
                <w:sz w:val="20"/>
                <w:szCs w:val="20"/>
                <w:color w:val="auto"/>
              </w:rPr>
            </w:pPr>
            <w:r>
              <w:rPr>
                <w:rFonts w:ascii="Arial" w:cs="Arial" w:eastAsia="Arial" w:hAnsi="Arial"/>
                <w:sz w:val="18"/>
                <w:szCs w:val="18"/>
                <w:color w:val="0000FF"/>
                <w:w w:val="88"/>
              </w:rPr>
              <w:t>Common Stock, par value $0.001 per share</w:t>
            </w:r>
            <w:r>
              <w:rPr>
                <w:rFonts w:ascii="Arial" w:cs="Arial" w:eastAsia="Arial" w:hAnsi="Arial"/>
                <w:sz w:val="22"/>
                <w:szCs w:val="22"/>
                <w:color w:val="008000"/>
                <w:w w:val="88"/>
                <w:vertAlign w:val="superscript"/>
              </w:rPr>
              <w:t>(1)</w:t>
            </w:r>
          </w:p>
        </w:tc>
        <w:tc>
          <w:tcPr>
            <w:tcW w:w="1140" w:type="dxa"/>
            <w:vAlign w:val="bottom"/>
            <w:vMerge w:val="restart"/>
          </w:tcPr>
          <w:p>
            <w:pPr>
              <w:jc w:val="right"/>
              <w:ind w:right="88"/>
              <w:spacing w:after="0"/>
              <w:rPr>
                <w:sz w:val="20"/>
                <w:szCs w:val="20"/>
                <w:color w:val="auto"/>
              </w:rPr>
            </w:pPr>
            <w:r>
              <w:rPr>
                <w:rFonts w:ascii="Arial" w:cs="Arial" w:eastAsia="Arial" w:hAnsi="Arial"/>
                <w:sz w:val="18"/>
                <w:szCs w:val="18"/>
                <w:color w:val="0000FF"/>
              </w:rPr>
              <w:t>06/01/2016</w:t>
            </w:r>
          </w:p>
        </w:tc>
        <w:tc>
          <w:tcPr>
            <w:tcW w:w="11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880" w:type="dxa"/>
            <w:vAlign w:val="bottom"/>
            <w:vMerge w:val="restart"/>
          </w:tcPr>
          <w:p>
            <w:pPr>
              <w:ind w:left="100"/>
              <w:spacing w:after="0"/>
              <w:rPr>
                <w:sz w:val="20"/>
                <w:szCs w:val="20"/>
                <w:color w:val="auto"/>
              </w:rPr>
            </w:pPr>
            <w:r>
              <w:rPr>
                <w:rFonts w:ascii="Arial" w:cs="Arial" w:eastAsia="Arial" w:hAnsi="Arial"/>
                <w:sz w:val="18"/>
                <w:szCs w:val="18"/>
                <w:color w:val="0000FF"/>
                <w:w w:val="94"/>
              </w:rPr>
              <w:t>1,017,209</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60" w:type="dxa"/>
            <w:vAlign w:val="bottom"/>
            <w:vMerge w:val="restart"/>
          </w:tcPr>
          <w:p>
            <w:pPr>
              <w:jc w:val="right"/>
              <w:ind w:right="1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vMerge w:val="restart"/>
          </w:tcPr>
          <w:p>
            <w:pPr>
              <w:jc w:val="right"/>
              <w:ind w:right="453"/>
              <w:spacing w:after="0"/>
              <w:rPr>
                <w:sz w:val="20"/>
                <w:szCs w:val="20"/>
                <w:color w:val="auto"/>
              </w:rPr>
            </w:pPr>
            <w:r>
              <w:rPr>
                <w:rFonts w:ascii="Arial" w:cs="Arial" w:eastAsia="Arial" w:hAnsi="Arial"/>
                <w:sz w:val="18"/>
                <w:szCs w:val="18"/>
                <w:color w:val="0000FF"/>
              </w:rPr>
              <w:t>0</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170"/>
        </w:trPr>
        <w:tc>
          <w:tcPr>
            <w:tcW w:w="33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Master</w:t>
            </w:r>
          </w:p>
        </w:tc>
        <w:tc>
          <w:tcPr>
            <w:tcW w:w="0" w:type="dxa"/>
            <w:vAlign w:val="bottom"/>
          </w:tcPr>
          <w:p>
            <w:pPr>
              <w:spacing w:after="0"/>
              <w:rPr>
                <w:sz w:val="1"/>
                <w:szCs w:val="1"/>
                <w:color w:val="auto"/>
              </w:rPr>
            </w:pPr>
          </w:p>
        </w:tc>
      </w:tr>
      <w:tr>
        <w:trPr>
          <w:trHeight w:val="46"/>
        </w:trPr>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7"/>
              </w:rPr>
              <w:t>Feeder I,</w:t>
            </w:r>
          </w:p>
        </w:tc>
        <w:tc>
          <w:tcPr>
            <w:tcW w:w="0" w:type="dxa"/>
            <w:vAlign w:val="bottom"/>
          </w:tcPr>
          <w:p>
            <w:pPr>
              <w:spacing w:after="0"/>
              <w:rPr>
                <w:sz w:val="1"/>
                <w:szCs w:val="1"/>
                <w:color w:val="auto"/>
              </w:rPr>
            </w:pPr>
          </w:p>
        </w:tc>
      </w:tr>
      <w:tr>
        <w:trPr>
          <w:trHeight w:val="285"/>
        </w:trPr>
        <w:tc>
          <w:tcPr>
            <w:tcW w:w="33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62"/>
        </w:trPr>
        <w:tc>
          <w:tcPr>
            <w:tcW w:w="3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7"/>
              </w:rPr>
              <w:t>Engaged</w:t>
            </w:r>
          </w:p>
        </w:tc>
        <w:tc>
          <w:tcPr>
            <w:tcW w:w="0" w:type="dxa"/>
            <w:vAlign w:val="bottom"/>
          </w:tcPr>
          <w:p>
            <w:pPr>
              <w:spacing w:after="0"/>
              <w:rPr>
                <w:sz w:val="1"/>
                <w:szCs w:val="1"/>
                <w:color w:val="auto"/>
              </w:rPr>
            </w:pPr>
          </w:p>
        </w:tc>
      </w:tr>
      <w:tr>
        <w:trPr>
          <w:trHeight w:val="230"/>
        </w:trPr>
        <w:tc>
          <w:tcPr>
            <w:tcW w:w="3320" w:type="dxa"/>
            <w:vAlign w:val="bottom"/>
          </w:tcPr>
          <w:p>
            <w:pPr>
              <w:ind w:left="60"/>
              <w:spacing w:after="0" w:line="230" w:lineRule="exact"/>
              <w:rPr>
                <w:sz w:val="20"/>
                <w:szCs w:val="20"/>
                <w:color w:val="auto"/>
              </w:rPr>
            </w:pPr>
            <w:r>
              <w:rPr>
                <w:rFonts w:ascii="Arial" w:cs="Arial" w:eastAsia="Arial" w:hAnsi="Arial"/>
                <w:sz w:val="18"/>
                <w:szCs w:val="18"/>
                <w:color w:val="0000FF"/>
                <w:w w:val="88"/>
              </w:rPr>
              <w:t>Common Stock, par value $0.001 per share</w:t>
            </w:r>
            <w:r>
              <w:rPr>
                <w:rFonts w:ascii="Arial" w:cs="Arial" w:eastAsia="Arial" w:hAnsi="Arial"/>
                <w:sz w:val="22"/>
                <w:szCs w:val="22"/>
                <w:color w:val="008000"/>
                <w:w w:val="88"/>
                <w:vertAlign w:val="superscript"/>
              </w:rPr>
              <w:t>(1)</w:t>
            </w:r>
          </w:p>
        </w:tc>
        <w:tc>
          <w:tcPr>
            <w:tcW w:w="1140" w:type="dxa"/>
            <w:vAlign w:val="bottom"/>
          </w:tcPr>
          <w:p>
            <w:pPr>
              <w:jc w:val="right"/>
              <w:ind w:right="88"/>
              <w:spacing w:after="0"/>
              <w:rPr>
                <w:sz w:val="20"/>
                <w:szCs w:val="20"/>
                <w:color w:val="auto"/>
              </w:rPr>
            </w:pPr>
            <w:r>
              <w:rPr>
                <w:rFonts w:ascii="Arial" w:cs="Arial" w:eastAsia="Arial" w:hAnsi="Arial"/>
                <w:sz w:val="18"/>
                <w:szCs w:val="18"/>
                <w:color w:val="0000FF"/>
              </w:rPr>
              <w:t>06/01/2016</w:t>
            </w:r>
          </w:p>
        </w:tc>
        <w:tc>
          <w:tcPr>
            <w:tcW w:w="1140" w:type="dxa"/>
            <w:vAlign w:val="bottom"/>
          </w:tcPr>
          <w:p>
            <w:pPr>
              <w:spacing w:after="0"/>
              <w:rPr>
                <w:sz w:val="20"/>
                <w:szCs w:val="20"/>
                <w:color w:val="auto"/>
              </w:rPr>
            </w:pPr>
          </w:p>
        </w:tc>
        <w:tc>
          <w:tcPr>
            <w:tcW w:w="800" w:type="dxa"/>
            <w:vAlign w:val="bottom"/>
          </w:tcPr>
          <w:p>
            <w:pPr>
              <w:ind w:left="140"/>
              <w:spacing w:after="0" w:line="230" w:lineRule="exact"/>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880" w:type="dxa"/>
            <w:vAlign w:val="bottom"/>
          </w:tcPr>
          <w:p>
            <w:pPr>
              <w:ind w:left="100"/>
              <w:spacing w:after="0"/>
              <w:rPr>
                <w:sz w:val="20"/>
                <w:szCs w:val="20"/>
                <w:color w:val="auto"/>
              </w:rPr>
            </w:pPr>
            <w:r>
              <w:rPr>
                <w:rFonts w:ascii="Arial" w:cs="Arial" w:eastAsia="Arial" w:hAnsi="Arial"/>
                <w:sz w:val="18"/>
                <w:szCs w:val="18"/>
                <w:color w:val="0000FF"/>
                <w:w w:val="94"/>
              </w:rPr>
              <w:t>1,017,209</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1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3,452,974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Master</w:t>
      </w:r>
    </w:p>
    <w:p>
      <w:pPr>
        <w:spacing w:after="0" w:line="1"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Feeder</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II, LP</w:t>
      </w:r>
      <w:r>
        <w:rPr>
          <w:rFonts w:ascii="Arial" w:cs="Arial" w:eastAsia="Arial" w:hAnsi="Arial"/>
          <w:sz w:val="22"/>
          <w:szCs w:val="22"/>
          <w:color w:val="008000"/>
          <w:vertAlign w:val="superscript"/>
        </w:rPr>
        <w:t>(3)</w:t>
      </w:r>
    </w:p>
    <w:p>
      <w:pPr>
        <w:spacing w:after="0" w:line="92"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By:</w:t>
      </w:r>
    </w:p>
    <w:p>
      <w:pPr>
        <w:spacing w:after="0" w:line="15" w:lineRule="exact"/>
        <w:rPr>
          <w:sz w:val="20"/>
          <w:szCs w:val="20"/>
          <w:color w:val="auto"/>
        </w:rPr>
      </w:pPr>
    </w:p>
    <w:p>
      <w:pPr>
        <w:ind w:left="10680"/>
        <w:spacing w:after="0"/>
        <w:rPr>
          <w:sz w:val="20"/>
          <w:szCs w:val="20"/>
          <w:color w:val="auto"/>
        </w:rPr>
      </w:pPr>
      <w:r>
        <w:rPr>
          <w:rFonts w:ascii="Arial" w:cs="Arial" w:eastAsia="Arial" w:hAnsi="Arial"/>
          <w:sz w:val="16"/>
          <w:szCs w:val="16"/>
          <w:color w:val="0000FF"/>
        </w:rPr>
        <w:t>Managed</w:t>
      </w:r>
    </w:p>
    <w:p>
      <w:pPr>
        <w:spacing w:after="0" w:line="32"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Account</w:t>
      </w:r>
    </w:p>
    <w:p>
      <w:pPr>
        <w:ind w:left="80"/>
        <w:spacing w:after="0"/>
        <w:tabs>
          <w:tab w:leader="none" w:pos="8760" w:val="left"/>
          <w:tab w:leader="none" w:pos="10080" w:val="left"/>
          <w:tab w:leader="none" w:pos="10660" w:val="left"/>
        </w:tabs>
        <w:rPr>
          <w:sz w:val="20"/>
          <w:szCs w:val="20"/>
          <w:color w:val="auto"/>
        </w:rPr>
      </w:pPr>
      <w:r>
        <w:rPr>
          <w:rFonts w:ascii="Arial" w:cs="Arial" w:eastAsia="Arial" w:hAnsi="Arial"/>
          <w:sz w:val="18"/>
          <w:szCs w:val="18"/>
          <w:color w:val="0000FF"/>
        </w:rPr>
        <w:t>Common Stock, par value $0.001 per share</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8"/>
          <w:szCs w:val="18"/>
          <w:color w:val="0000FF"/>
        </w:rPr>
        <w:t>400,000</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of</w:t>
      </w:r>
    </w:p>
    <w:p>
      <w:pPr>
        <w:spacing w:after="0" w:line="1"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Engaged</w:t>
      </w:r>
    </w:p>
    <w:p>
      <w:pPr>
        <w:spacing w:after="0" w:line="1"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Capital,</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Engaged Capital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610 NEWPORT CENTER DRIVE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250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CA</w:t>
            </w:r>
          </w:p>
        </w:tc>
        <w:tc>
          <w:tcPr>
            <w:tcW w:w="2020" w:type="dxa"/>
            <w:vAlign w:val="bottom"/>
            <w:vMerge w:val="restart"/>
          </w:tcPr>
          <w:p>
            <w:pPr>
              <w:jc w:val="right"/>
              <w:ind w:right="892"/>
              <w:spacing w:after="0"/>
              <w:rPr>
                <w:sz w:val="20"/>
                <w:szCs w:val="20"/>
                <w:color w:val="auto"/>
              </w:rPr>
            </w:pPr>
            <w:r>
              <w:rPr>
                <w:rFonts w:ascii="Arial" w:cs="Arial" w:eastAsia="Arial" w:hAnsi="Arial"/>
                <w:sz w:val="18"/>
                <w:szCs w:val="18"/>
                <w:color w:val="0000FF"/>
              </w:rPr>
              <w:t>92660</w:t>
            </w: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16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0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Welling Glenn W.</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ENGAGED CAPITAL,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610 NEWPORT CENTER DR. SUITE 250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7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CA</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70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2"/>
              </w:rPr>
            </w:pPr>
            <w:hyperlink r:id="rId16">
              <w:r>
                <w:rPr>
                  <w:rFonts w:ascii="Arial" w:cs="Arial" w:eastAsia="Arial" w:hAnsi="Arial"/>
                  <w:sz w:val="22"/>
                  <w:szCs w:val="22"/>
                  <w:color w:val="0000EE"/>
                  <w:w w:val="92"/>
                </w:rPr>
                <w:t>Engaged Capital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610 NEWPORT CENTER DRIVE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250</w:t>
            </w: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7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CA</w:t>
            </w:r>
          </w:p>
        </w:tc>
        <w:tc>
          <w:tcPr>
            <w:tcW w:w="1480" w:type="dxa"/>
            <w:vAlign w:val="bottom"/>
            <w:vMerge w:val="restart"/>
          </w:tcPr>
          <w:p>
            <w:pPr>
              <w:ind w:left="6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70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Engaged Capital Master Feeder 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CRICKET SQUARE, HUTCHINS DRIVE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P.O. BOX 2681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GRAND</w:t>
            </w:r>
          </w:p>
        </w:tc>
        <w:tc>
          <w:tcPr>
            <w:tcW w:w="1680" w:type="dxa"/>
            <w:vAlign w:val="bottom"/>
            <w:gridSpan w:val="3"/>
            <w:vMerge w:val="restart"/>
          </w:tcPr>
          <w:p>
            <w:pPr>
              <w:ind w:left="300"/>
              <w:spacing w:after="0"/>
              <w:rPr>
                <w:sz w:val="20"/>
                <w:szCs w:val="20"/>
                <w:color w:val="auto"/>
              </w:rPr>
            </w:pPr>
            <w:r>
              <w:rPr>
                <w:rFonts w:ascii="Arial" w:cs="Arial" w:eastAsia="Arial" w:hAnsi="Arial"/>
                <w:sz w:val="18"/>
                <w:szCs w:val="18"/>
                <w:color w:val="0000FF"/>
              </w:rPr>
              <w:t>E9</w:t>
            </w:r>
          </w:p>
        </w:tc>
        <w:tc>
          <w:tcPr>
            <w:tcW w:w="1600" w:type="dxa"/>
            <w:vAlign w:val="bottom"/>
            <w:gridSpan w:val="2"/>
            <w:vMerge w:val="restart"/>
          </w:tcPr>
          <w:p>
            <w:pPr>
              <w:ind w:left="80"/>
              <w:spacing w:after="0"/>
              <w:rPr>
                <w:sz w:val="20"/>
                <w:szCs w:val="20"/>
                <w:color w:val="auto"/>
              </w:rPr>
            </w:pPr>
            <w:r>
              <w:rPr>
                <w:rFonts w:ascii="Arial" w:cs="Arial" w:eastAsia="Arial" w:hAnsi="Arial"/>
                <w:sz w:val="18"/>
                <w:szCs w:val="18"/>
                <w:color w:val="0000FF"/>
              </w:rPr>
              <w:t>KY1-1111</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68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ENGAGED CAPITAL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250</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680" w:type="dxa"/>
            <w:vAlign w:val="bottom"/>
            <w:gridSpan w:val="3"/>
            <w:vMerge w:val="restart"/>
          </w:tcPr>
          <w:p>
            <w:pPr>
              <w:ind w:left="300"/>
              <w:spacing w:after="0"/>
              <w:rPr>
                <w:sz w:val="20"/>
                <w:szCs w:val="20"/>
                <w:color w:val="auto"/>
              </w:rPr>
            </w:pPr>
            <w:r>
              <w:rPr>
                <w:rFonts w:ascii="Arial" w:cs="Arial" w:eastAsia="Arial" w:hAnsi="Arial"/>
                <w:sz w:val="18"/>
                <w:szCs w:val="18"/>
                <w:color w:val="0000FF"/>
              </w:rPr>
              <w:t>CA</w:t>
            </w:r>
          </w:p>
        </w:tc>
        <w:tc>
          <w:tcPr>
            <w:tcW w:w="1500" w:type="dxa"/>
            <w:vAlign w:val="bottom"/>
            <w:vMerge w:val="restart"/>
          </w:tcPr>
          <w:p>
            <w:pPr>
              <w:ind w:left="8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68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w w:val="93"/>
              </w:rPr>
            </w:pPr>
            <w:hyperlink r:id="rId19">
              <w:r>
                <w:rPr>
                  <w:rFonts w:ascii="Arial" w:cs="Arial" w:eastAsia="Arial" w:hAnsi="Arial"/>
                  <w:sz w:val="22"/>
                  <w:szCs w:val="22"/>
                  <w:color w:val="0000EE"/>
                  <w:w w:val="93"/>
                </w:rPr>
                <w:t>Engaged Capital I Offshore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250</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680" w:type="dxa"/>
            <w:vAlign w:val="bottom"/>
            <w:gridSpan w:val="3"/>
            <w:vMerge w:val="restart"/>
          </w:tcPr>
          <w:p>
            <w:pPr>
              <w:ind w:left="300"/>
              <w:spacing w:after="0"/>
              <w:rPr>
                <w:sz w:val="20"/>
                <w:szCs w:val="20"/>
                <w:color w:val="auto"/>
              </w:rPr>
            </w:pPr>
            <w:r>
              <w:rPr>
                <w:rFonts w:ascii="Arial" w:cs="Arial" w:eastAsia="Arial" w:hAnsi="Arial"/>
                <w:sz w:val="18"/>
                <w:szCs w:val="18"/>
                <w:color w:val="0000FF"/>
              </w:rPr>
              <w:t>CA</w:t>
            </w:r>
          </w:p>
        </w:tc>
        <w:tc>
          <w:tcPr>
            <w:tcW w:w="1500" w:type="dxa"/>
            <w:vAlign w:val="bottom"/>
            <w:vMerge w:val="restart"/>
          </w:tcPr>
          <w:p>
            <w:pPr>
              <w:ind w:left="8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68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Engaged Capital Master Feeder II, LP</w:t>
        </w:r>
      </w:hyperlink>
    </w:p>
    <w:p>
      <w:pPr>
        <w:sectPr>
          <w:pgSz w:w="11900" w:h="16838" w:orient="portrait"/>
          <w:cols w:equalWidth="0" w:num="1">
            <w:col w:w="10199"/>
          </w:cols>
          <w:pgMar w:left="260" w:top="179"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CRICKET SQUARE, HUTCHINS DRIVE</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P.O. BOX 2681</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GRAND</w:t>
            </w:r>
          </w:p>
        </w:tc>
        <w:tc>
          <w:tcPr>
            <w:tcW w:w="16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E9</w:t>
            </w: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KY1-1111</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62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ENGAGED CAPITAL II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rPr>
              <w:t>610 NEWPORT CENTER DRIVE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250</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NEWPORT</w:t>
            </w:r>
          </w:p>
        </w:tc>
        <w:tc>
          <w:tcPr>
            <w:tcW w:w="16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62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3"/>
          </w:tcPr>
          <w:p>
            <w:pPr>
              <w:spacing w:after="0" w:line="224" w:lineRule="exact"/>
              <w:rPr>
                <w:rFonts w:ascii="Arial" w:cs="Arial" w:eastAsia="Arial" w:hAnsi="Arial"/>
                <w:sz w:val="22"/>
                <w:szCs w:val="22"/>
                <w:color w:val="0000EE"/>
                <w:w w:val="90"/>
              </w:rPr>
            </w:pPr>
            <w:hyperlink r:id="rId22">
              <w:r>
                <w:rPr>
                  <w:rFonts w:ascii="Arial" w:cs="Arial" w:eastAsia="Arial" w:hAnsi="Arial"/>
                  <w:sz w:val="22"/>
                  <w:szCs w:val="22"/>
                  <w:color w:val="0000EE"/>
                  <w:w w:val="90"/>
                </w:rPr>
                <w:t>Engaged Capital II Offshore, Ltd.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rPr>
              <w:t>610 NEWPORT CENTER DRIVE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250</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NEWPORT</w:t>
            </w:r>
          </w:p>
        </w:tc>
        <w:tc>
          <w:tcPr>
            <w:tcW w:w="1620" w:type="dxa"/>
            <w:vAlign w:val="bottom"/>
            <w:gridSpan w:val="2"/>
            <w:vMerge w:val="restart"/>
          </w:tcPr>
          <w:p>
            <w:pPr>
              <w:ind w:left="1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62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31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5312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4 is filed jointly by Engaged Capital Master Feeder I, LP ("Engaged Capital Master I"), Engaged Capital Master Feeder II, LP ("Engaged Capital Master II"), Engaged Capital I, LP ("Engaged Capital I"), Engaged Capital I Offshore, Ltd. ("Engaged Capital Offshore"), Engaged Capital II, LP ("Engaged Capital II"), Engaged Capital II Offshore Ltd. ("Engaged Capital Offshore II"), Engaged Capital, LLC ("Engaged Capital"), Engaged Capital Holdings, LLC ("Engaged Holdings") and Glenn W. Welling (collectively, the "Reporting Persons"). Each of the Reporting Persons may be deemed to be a member of a Section 13(d) group that collectively beneficially owns more than 10% of the Issuer's outstanding shares of Common Stock. Each of the Reporting Persons disclaims beneficial ownership of the securities reported herein except to the extent of his or its pecuniary interest therein.</w:t>
      </w:r>
    </w:p>
    <w:p>
      <w:pPr>
        <w:spacing w:after="0" w:line="32" w:lineRule="exact"/>
        <w:rPr>
          <w:rFonts w:ascii="Arial" w:cs="Arial" w:eastAsia="Arial" w:hAnsi="Arial"/>
          <w:sz w:val="14"/>
          <w:szCs w:val="14"/>
          <w:color w:val="008000"/>
        </w:rPr>
      </w:pPr>
    </w:p>
    <w:p>
      <w:pPr>
        <w:ind w:left="20" w:right="2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owned directly by Engaged Capital Master I. As feeder funds of Engaged Capital Master I, each of Engaged Capital I and Engaged Capital Offshore may be deemed to beneficially own the shares owned directly by Engaged Capital Master I. As the general partner and investment adviser of Engaged Capital Master I, Engaged Capital may be deemed to beneficially own the shares owned directly by Engaged Capital Master I. Engaged Holdings, as the managing member of Engaged Capital, may be deemed to beneficially own the shares owned directly by Engaged Capital Master I. Mr. Welling, as the founder and Chief Investment Officer ("CIO") of Engaged Capital and sole member of Engaged Holdings, may be deemed to beneficially own the shares owned directly by Engaged Capital Master I.</w:t>
      </w:r>
    </w:p>
    <w:p>
      <w:pPr>
        <w:spacing w:after="0" w:line="8" w:lineRule="exact"/>
        <w:rPr>
          <w:rFonts w:ascii="Arial" w:cs="Arial" w:eastAsia="Arial" w:hAnsi="Arial"/>
          <w:sz w:val="12"/>
          <w:szCs w:val="12"/>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owned directly by Engaged Capital Master II. As feeder funds of Engaged Capital Master II, each of Engaged Capital II and Engaged Capital Offshore II may be deemed to beneficially own the shares owned directly by Engaged Capital Master II. As the general partner and investment adviser of Engaged Capital Master II, Engaged Capital may be deemed to beneficially own the shares owned directly by Engaged Capital Master II. Engaged Holdings, as the managing member of Engaged Capital, may be deemed to beneficially own the shares owned directly by Engaged Capital Master II. Mr. Welling, as the founder and CIO of Engaged Capital and sole member of Engaged Holdings, may be deemed to beneficially own the shares owned directly by Engaged Capital Master II.</w:t>
      </w:r>
    </w:p>
    <w:p>
      <w:pPr>
        <w:spacing w:after="0" w:line="8" w:lineRule="exact"/>
        <w:rPr>
          <w:rFonts w:ascii="Arial" w:cs="Arial" w:eastAsia="Arial" w:hAnsi="Arial"/>
          <w:sz w:val="12"/>
          <w:szCs w:val="12"/>
          <w:color w:val="008000"/>
        </w:rPr>
      </w:pPr>
    </w:p>
    <w:p>
      <w:pPr>
        <w:ind w:left="20" w:right="1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in an account separately managed by Engaged Capital (the "Engaged Capital Account"). Engaged Capital, as the investment adviser of the Engaged Capital Account, may be deemed to beneficially own the shares held in the Engaged Capital Account. Engaged Holdings, as the managing member of Engaged Capital, may be deemed to beneficially own the shares held in the Engaged Capital Account. Mr. Welling, as the founder and CIO of Engaged Capital and sole member of Engaged Holdings, may be deemed to beneficially own the shares held in the Engaged Capital Account.</w:t>
      </w:r>
    </w:p>
    <w:p>
      <w:pPr>
        <w:spacing w:after="0" w:line="2"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pro rata distribution of shares from Engaged Capital Master I to its partners and an in-kind contribution by such partners of such shares to Engaged Capital Master II. The transfer of shares from Engaged Capital Master I to Engaged Capital Master II was accomplished in-kind without the exchange of consideration. Following the pro rata distribution, Engaged Capital Master I, Engaged Capital I and Engaged Capital Offshore no longer beneficially owned any shares and shall cease to be Reporting Persons immediately following the filing of this Form 4.</w:t>
      </w:r>
    </w:p>
    <w:p>
      <w:pPr>
        <w:sectPr>
          <w:pgSz w:w="11900" w:h="16838" w:orient="portrait"/>
          <w:cols w:equalWidth="0" w:num="1">
            <w:col w:w="11320"/>
          </w:cols>
          <w:pgMar w:left="260" w:top="140" w:right="31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9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2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33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340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Engaged Capital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04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4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Engaged Capital Master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408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 LP; By: Engaged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8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4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Engaged Capital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0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10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95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33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Engaged Capital I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54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547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Ltd.;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2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9255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9060" w:space="80"/>
            <w:col w:w="2180"/>
          </w:cols>
          <w:pgMar w:left="260" w:top="140" w:right="319" w:bottom="0" w:gutter="0" w:footer="0" w:header="0"/>
          <w:type w:val="continuous"/>
        </w:sectPr>
      </w:pPr>
    </w:p>
    <w:p>
      <w:pPr>
        <w:ind w:left="6840"/>
        <w:spacing w:after="0"/>
        <w:rPr>
          <w:sz w:val="20"/>
          <w:szCs w:val="20"/>
          <w:color w:val="auto"/>
        </w:rPr>
      </w:pPr>
      <w:r>
        <w:rPr>
          <w:rFonts w:ascii="Arial" w:cs="Arial" w:eastAsia="Arial" w:hAnsi="Arial"/>
          <w:sz w:val="15"/>
          <w:szCs w:val="15"/>
          <w:color w:val="0000FF"/>
        </w:rPr>
        <w:t>Engaged Capital Master Feeder 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957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LP; By: Engaged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5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ectPr>
          <w:pgSz w:w="11900" w:h="16838" w:orient="portrait"/>
          <w:cols w:equalWidth="0" w:num="1">
            <w:col w:w="11320"/>
          </w:cols>
          <w:pgMar w:left="260" w:top="140" w:right="31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14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Engaged Capital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95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82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33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Engaged Capital II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4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Ltd.;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2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925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06/03/2016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12" Type="http://schemas.openxmlformats.org/officeDocument/2006/relationships/hyperlink" Target="http://www.sec.gov/cgi-bin/browse-edgar?action=getcompany&amp;CIK=0001559771" TargetMode="External"/><Relationship Id="rId13"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580771" TargetMode="External"/><Relationship Id="rId16" Type="http://schemas.openxmlformats.org/officeDocument/2006/relationships/hyperlink" Target="http://www.sec.gov/cgi-bin/browse-edgar?action=getcompany&amp;CIK=0001580769" TargetMode="External"/><Relationship Id="rId17" Type="http://schemas.openxmlformats.org/officeDocument/2006/relationships/hyperlink" Target="http://www.sec.gov/cgi-bin/browse-edgar?action=getcompany&amp;CIK=0001580760" TargetMode="External"/><Relationship Id="rId18" Type="http://schemas.openxmlformats.org/officeDocument/2006/relationships/hyperlink" Target="http://www.sec.gov/cgi-bin/browse-edgar?action=getcompany&amp;CIK=0001559851" TargetMode="External"/><Relationship Id="rId19" Type="http://schemas.openxmlformats.org/officeDocument/2006/relationships/hyperlink" Target="http://www.sec.gov/cgi-bin/browse-edgar?action=getcompany&amp;CIK=0001559940" TargetMode="External"/><Relationship Id="rId20" Type="http://schemas.openxmlformats.org/officeDocument/2006/relationships/hyperlink" Target="http://www.sec.gov/cgi-bin/browse-edgar?action=getcompany&amp;CIK=0001580761" TargetMode="External"/><Relationship Id="rId21" Type="http://schemas.openxmlformats.org/officeDocument/2006/relationships/hyperlink" Target="http://www.sec.gov/cgi-bin/browse-edgar?action=getcompany&amp;CIK=0001559850" TargetMode="External"/><Relationship Id="rId22" Type="http://schemas.openxmlformats.org/officeDocument/2006/relationships/hyperlink" Target="http://www.sec.gov/cgi-bin/browse-edgar?action=getcompany&amp;CIK=0001619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2019-12-08T06:16:43Z</dcterms:created>
  <dcterms:modified xsi:type="dcterms:W3CDTF">2019-12-08T06:16:43Z</dcterms:modified>
</cp:coreProperties>
</file>