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334d8ka.htm"/>
      <w:bookmarkStart w:id="1" w:name="ksd40334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April 8,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83-0406195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480" w:after="0"/>
        <w:jc w:val="center"/>
        <w:rPr>
          <w:rFonts w:ascii="Times New Roman" w:hAnsi="Times New Roman"/>
          <w:b/>
          <w:sz w:val="20"/>
        </w:rPr>
      </w:pPr>
      <w:bookmarkStart w:id="2" w:name="Fact_4"/>
      <w:bookmarkEnd w:id="2"/>
      <w:r>
        <w:rPr>
          <w:rFonts w:ascii="Times New Roman" w:hAnsi="Times New Roman"/>
          <w:b/>
          <w:sz w:val="20"/>
        </w:rPr>
        <w:t>c/o Magnachip Semiconductor, Ltd.</w:t>
      </w:r>
    </w:p>
    <w:p>
      <w:pPr>
        <w:pStyle w:val="TextBody"/>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extBody"/>
        <w:bidi w:val="0"/>
        <w:spacing w:before="0" w:after="0"/>
        <w:jc w:val="center"/>
        <w:rPr>
          <w:rFonts w:ascii="Times New Roman" w:hAnsi="Times New Roman"/>
          <w:b/>
          <w:sz w:val="20"/>
        </w:rPr>
      </w:pPr>
      <w:r>
        <w:rPr>
          <w:rFonts w:ascii="Times New Roman" w:hAnsi="Times New Roman"/>
          <w:b/>
          <w:sz w:val="20"/>
        </w:rPr>
        <w:t>Cheongju-si, Chungcheongbuk-do, 28581, Republic of Korea</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(Zip Code)</w:t>
      </w:r>
    </w:p>
    <w:p>
      <w:pPr>
        <w:pStyle w:val="TextBody"/>
        <w:bidi w:val="0"/>
        <w:spacing w:before="240" w:after="0"/>
        <w:jc w:val="center"/>
        <w:rPr>
          <w:rFonts w:ascii="Times New Roman" w:hAnsi="Times New Roman"/>
          <w:b/>
          <w:sz w:val="20"/>
        </w:rPr>
      </w:pPr>
      <w:r>
        <w:rPr>
          <w:rFonts w:ascii="Times New Roman" w:hAnsi="Times New Roman"/>
          <w:b/>
          <w:sz w:val="20"/>
        </w:rPr>
        <w:t>+82 (2) 6903-3000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Explanatory Note</w:t>
      </w:r>
    </w:p>
    <w:p>
      <w:pPr>
        <w:pStyle w:val="TextBody"/>
        <w:bidi w:val="0"/>
        <w:spacing w:before="240" w:after="0"/>
        <w:jc w:val="left"/>
        <w:rPr>
          <w:rFonts w:ascii="Times New Roman" w:hAnsi="Times New Roman"/>
          <w:sz w:val="20"/>
        </w:rPr>
      </w:pPr>
      <w:r>
        <w:rPr>
          <w:rFonts w:ascii="Times New Roman" w:hAnsi="Times New Roman"/>
          <w:sz w:val="20"/>
        </w:rPr>
        <w:t>Magnachip Semiconductor Corporation (the “Company”) is filing an amendment to its Current Report on Form 8-K, filed with the U.S. Securities and Exchange Commission (the “SEC”) on April 8, 2025 (the “Original Form 8-K”), to amend Item 2.05 to provide an estimate of the range of total charges expected to be incurred in connection with the Company’s previously announced liquidation of Magnachip Mixed-Signal, Ltd., the Company’s wholly owned subsidiary that operated the Company’s discontinued Display business (the “Liquidation”). This Amendment No. 1 to the Original Form 8-K is being filed by the Company solely to amend and supplement the Company’s disclosure under Item 2.05 of the Original Form 8-K. The remainder of the Original Form 8-K is unchanged.</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965"/>
        <w:gridCol w:w="4085"/>
      </w:tblGrid>
      <w:tr>
        <w:trPr/>
        <w:tc>
          <w:tcPr>
            <w:tcW w:w="965" w:type="dxa"/>
            <w:tcBorders/>
            <w:vAlign w:val="center"/>
          </w:tcPr>
          <w:p>
            <w:pPr>
              <w:pStyle w:val="TableContents"/>
              <w:bidi w:val="0"/>
              <w:spacing w:before="0" w:after="283"/>
              <w:jc w:val="left"/>
              <w:rPr>
                <w:b/>
              </w:rPr>
            </w:pPr>
            <w:r>
              <w:rPr>
                <w:b/>
              </w:rPr>
              <w:t>Item 2.05</w:t>
            </w:r>
          </w:p>
        </w:tc>
        <w:tc>
          <w:tcPr>
            <w:tcW w:w="4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Costs Associated with Exit or Disposal Activities</w:t>
            </w:r>
          </w:p>
        </w:tc>
      </w:tr>
    </w:tbl>
    <w:p>
      <w:pPr>
        <w:pStyle w:val="TextBody"/>
        <w:bidi w:val="0"/>
        <w:spacing w:before="120" w:after="0"/>
        <w:jc w:val="left"/>
        <w:rPr>
          <w:rFonts w:ascii="Times New Roman" w:hAnsi="Times New Roman"/>
          <w:sz w:val="20"/>
        </w:rPr>
      </w:pPr>
      <w:r>
        <w:rPr>
          <w:rFonts w:ascii="Times New Roman" w:hAnsi="Times New Roman"/>
          <w:sz w:val="20"/>
        </w:rPr>
        <w:t>After shutting down the Display business, the Company will provide limited support for remaining customer obligations including the sale of “end of life” (“EOL”) Display products, which will be conducted by Magnachip Semiconductor, Ltd. The Company will maintain a small team to continue to support customers with respect to EOL Display products. The sale of EOL Display products and the potential monetization of the intellectual property assets of the discontinued Display business are currently expected to generate cash inflow of approximately $15 million to $20 million over a period of approximately two years after completion of the Liquidation, depending upon the demand of customers and the outcome of the monetization efforts of the Display intellectual property assets.</w:t>
      </w:r>
    </w:p>
    <w:p>
      <w:pPr>
        <w:pStyle w:val="TextBody"/>
        <w:bidi w:val="0"/>
        <w:spacing w:before="240" w:after="0"/>
        <w:jc w:val="left"/>
        <w:rPr>
          <w:rFonts w:ascii="Times New Roman" w:hAnsi="Times New Roman"/>
          <w:sz w:val="20"/>
        </w:rPr>
      </w:pPr>
      <w:r>
        <w:rPr>
          <w:rFonts w:ascii="Times New Roman" w:hAnsi="Times New Roman"/>
          <w:sz w:val="20"/>
        </w:rPr>
        <w:t>The total estimated cash cost of the Liquidation is approximately $12 to $15 million, which is expected to be offset by the cash inflow that the Company will generate as described above. The one-time Liquidation cost is expected to consist of statutory severance and other employee-related costs, contract termination charges and other associated costs. Of this estimated total cash cost, approximately $4.5 million represents the net statutory severance, required by law, which has already been fully accrued in the Company’s consolidated financial statements. The Company expects to recognize substantially all of these charges, excluding the already fully-accrued net statutory severance of $4.5 million, in the quarter ending June 30, 2025.</w:t>
      </w:r>
    </w:p>
    <w:p>
      <w:pPr>
        <w:pStyle w:val="TextBody"/>
        <w:bidi w:val="0"/>
        <w:spacing w:before="360" w:after="0"/>
        <w:jc w:val="left"/>
        <w:rPr>
          <w:rFonts w:ascii="Times New Roman" w:hAnsi="Times New Roman"/>
          <w:b/>
          <w:sz w:val="20"/>
        </w:rPr>
      </w:pPr>
      <w:r>
        <w:rPr>
          <w:rFonts w:ascii="Times New Roman" w:hAnsi="Times New Roman"/>
          <w:b/>
          <w:sz w:val="20"/>
        </w:rPr>
        <w:t>Forward Looking Statements</w:t>
      </w:r>
    </w:p>
    <w:p>
      <w:pPr>
        <w:pStyle w:val="TextBody"/>
        <w:bidi w:val="0"/>
        <w:spacing w:before="120" w:after="0"/>
        <w:jc w:val="left"/>
        <w:rPr>
          <w:rFonts w:ascii="Times New Roman" w:hAnsi="Times New Roman"/>
          <w:sz w:val="20"/>
        </w:rPr>
      </w:pPr>
      <w:r>
        <w:rPr>
          <w:rFonts w:ascii="Times New Roman" w:hAnsi="Times New Roman"/>
          <w:sz w:val="20"/>
        </w:rPr>
        <w:t>This Form 8-K contains forward-looking statements within the meaning of applicable U.S. securities laws, including statements regarding the outcomes the Company expects from the Liquidation, including the expectations of cash proceeds from the sale of EOL Display products and the potential monetization of the intellectual property assets of the discontinued Display business and estimates of the cash costs and timing thereof. Forward-looking statements may be identified by words such as “seek”, “believe”, “plan”, “estimate”, “anticipate”, “expect”, “intend”, “continue”, “outlook”, “may”, “will”, “should”, “could”, “confident”, or “might”, and other similar expressions. These forward-looking statements involve risks and uncertainties, as well as assumptions that, if they do not fully materialize or prove incorrect, could cause results to differ materially from those expressed or implied by such forward-looking statements. Important factors that could materially affect these statements and our business and financial results generally include, but are not limited to, factors described in the “Risk Factors” section of the Company’s most recent Annual Report on Form 10-K filed on March 14, 2025 with the SEC, as updated and supplemented from time to time by other filings with the SEC. The Company does not have any intent, and disclaims any obligation, to update the forward-looking information to reflect events that occur, circumstances that exist or changes in its expectations after the date of this Form 8-K, except as required by law.</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264" w:type="dxa"/>
        <w:jc w:val="left"/>
        <w:tblInd w:w="0" w:type="dxa"/>
        <w:tblLayout w:type="fixed"/>
        <w:tblCellMar>
          <w:top w:w="0" w:type="dxa"/>
          <w:left w:w="0" w:type="dxa"/>
          <w:bottom w:w="0" w:type="dxa"/>
          <w:right w:w="0" w:type="dxa"/>
        </w:tblCellMar>
      </w:tblPr>
      <w:tblGrid>
        <w:gridCol w:w="608"/>
        <w:gridCol w:w="961"/>
        <w:gridCol w:w="370"/>
        <w:gridCol w:w="60"/>
        <w:gridCol w:w="650"/>
        <w:gridCol w:w="60"/>
        <w:gridCol w:w="5555"/>
      </w:tblGrid>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pPr>
            <w:r>
              <w:rPr/>
              <w:t>Date: May 13, 2025</w:t>
            </w:r>
          </w:p>
        </w:tc>
        <w:tc>
          <w:tcPr>
            <w:tcW w:w="60" w:type="dxa"/>
            <w:tcBorders/>
            <w:vAlign w:val="center"/>
          </w:tcPr>
          <w:p>
            <w:pPr>
              <w:pStyle w:val="TableContents"/>
              <w:bidi w:val="0"/>
              <w:spacing w:before="0" w:after="283"/>
              <w:jc w:val="left"/>
              <w:rPr/>
            </w:pPr>
            <w:r>
              <w:rPr/>
              <w:t> </w:t>
            </w:r>
          </w:p>
        </w:tc>
        <w:tc>
          <w:tcPr>
            <w:tcW w:w="6265" w:type="dxa"/>
            <w:gridSpan w:val="3"/>
            <w:tcBorders/>
            <w:vAlign w:val="center"/>
          </w:tcPr>
          <w:p>
            <w:pPr>
              <w:pStyle w:val="TableContents"/>
              <w:bidi w:val="0"/>
              <w:spacing w:before="0" w:after="283"/>
              <w:jc w:val="left"/>
              <w:rPr>
                <w:b/>
              </w:rPr>
            </w:pPr>
            <w:r>
              <w:rPr>
                <w:b/>
              </w:rPr>
              <w:t>MAGNACHIP SEMICONDUCTOR CORPORATION</w:t>
            </w:r>
          </w:p>
        </w:tc>
      </w:tr>
      <w:tr>
        <w:trPr/>
        <w:tc>
          <w:tcPr>
            <w:tcW w:w="608" w:type="dxa"/>
            <w:tcBorders/>
            <w:vAlign w:val="center"/>
          </w:tcPr>
          <w:p>
            <w:pPr>
              <w:pStyle w:val="TableContents"/>
              <w:bidi w:val="0"/>
              <w:spacing w:before="0" w:after="283"/>
              <w:jc w:val="left"/>
              <w:rPr>
                <w:sz w:val="4"/>
                <w:szCs w:val="4"/>
              </w:rPr>
            </w:pPr>
            <w:r>
              <w:rPr>
                <w:sz w:val="4"/>
                <w:szCs w:val="4"/>
              </w:rPr>
            </w:r>
          </w:p>
        </w:tc>
        <w:tc>
          <w:tcPr>
            <w:tcW w:w="133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Theodore Kim</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Compliance Officer,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953</Words>
  <Characters>5457</Characters>
  <CharactersWithSpaces>6383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